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D7649E" w14:textId="77777777" w:rsidR="004A79C0" w:rsidRPr="008408E9" w:rsidRDefault="004A79C0" w:rsidP="008408E9">
      <w:pPr>
        <w:pStyle w:val="Pavadinimas"/>
      </w:pPr>
    </w:p>
    <w:p w14:paraId="533BBD31" w14:textId="77777777" w:rsidR="004A79C0" w:rsidRPr="008408E9" w:rsidRDefault="004A79C0" w:rsidP="008408E9">
      <w:pPr>
        <w:pStyle w:val="Pavadinimas"/>
      </w:pPr>
    </w:p>
    <w:p w14:paraId="5EE29E33" w14:textId="77777777" w:rsidR="000F71D8" w:rsidRDefault="000F71D8" w:rsidP="000F71D8">
      <w:pPr>
        <w:pStyle w:val="Pavadinimas"/>
      </w:pPr>
      <w:r>
        <w:t>LCMB 7002</w:t>
      </w:r>
    </w:p>
    <w:p w14:paraId="36DBF081" w14:textId="77777777" w:rsidR="000F71D8" w:rsidRDefault="000F71D8" w:rsidP="000F71D8">
      <w:pPr>
        <w:jc w:val="center"/>
        <w:rPr>
          <w:sz w:val="32"/>
          <w:szCs w:val="32"/>
          <w:lang w:val="en-GB"/>
        </w:rPr>
      </w:pPr>
      <w:r>
        <w:rPr>
          <w:sz w:val="32"/>
          <w:szCs w:val="32"/>
          <w:lang w:val="en-GB"/>
        </w:rPr>
        <w:t>LINA BIRMANTE</w:t>
      </w:r>
    </w:p>
    <w:p w14:paraId="2EA666DF" w14:textId="77777777" w:rsidR="000F71D8" w:rsidRDefault="000F71D8" w:rsidP="000F71D8">
      <w:pPr>
        <w:jc w:val="center"/>
        <w:rPr>
          <w:sz w:val="32"/>
          <w:szCs w:val="32"/>
          <w:lang w:val="en-GB"/>
        </w:rPr>
      </w:pPr>
      <w:r>
        <w:rPr>
          <w:sz w:val="32"/>
          <w:szCs w:val="32"/>
          <w:lang w:val="en-GB"/>
        </w:rPr>
        <w:t>STUDENT NUMBER 2010698</w:t>
      </w:r>
    </w:p>
    <w:p w14:paraId="40C542F7" w14:textId="77777777" w:rsidR="000F71D8" w:rsidRPr="00987A13" w:rsidRDefault="000F71D8" w:rsidP="000F71D8">
      <w:pPr>
        <w:jc w:val="center"/>
        <w:rPr>
          <w:sz w:val="32"/>
          <w:szCs w:val="32"/>
          <w:lang w:val="en-GB"/>
        </w:rPr>
      </w:pPr>
      <w:r>
        <w:rPr>
          <w:sz w:val="32"/>
          <w:szCs w:val="32"/>
          <w:lang w:val="en-GB"/>
        </w:rPr>
        <w:t>MODULE LEADER JIA MIAO</w:t>
      </w:r>
    </w:p>
    <w:p w14:paraId="35D5D8B1" w14:textId="77777777" w:rsidR="004A79C0" w:rsidRPr="008408E9" w:rsidRDefault="004A79C0" w:rsidP="008408E9">
      <w:pPr>
        <w:pStyle w:val="Pavadinimas"/>
      </w:pPr>
    </w:p>
    <w:p w14:paraId="67E6DA9C" w14:textId="77777777" w:rsidR="004A79C0" w:rsidRPr="008408E9" w:rsidRDefault="004A79C0" w:rsidP="008408E9">
      <w:pPr>
        <w:pStyle w:val="Pavadinimas"/>
      </w:pPr>
    </w:p>
    <w:p w14:paraId="1E5D8A7C" w14:textId="77777777" w:rsidR="004A79C0" w:rsidRPr="008408E9" w:rsidRDefault="004A79C0" w:rsidP="008408E9">
      <w:pPr>
        <w:pStyle w:val="Pavadinimas"/>
      </w:pPr>
    </w:p>
    <w:p w14:paraId="05967B89" w14:textId="77777777" w:rsidR="004A79C0" w:rsidRPr="008408E9" w:rsidRDefault="004A79C0" w:rsidP="008408E9">
      <w:pPr>
        <w:pStyle w:val="Pavadinimas"/>
      </w:pPr>
    </w:p>
    <w:p w14:paraId="790DEAFE" w14:textId="77777777" w:rsidR="004A79C0" w:rsidRPr="008408E9" w:rsidRDefault="004A79C0" w:rsidP="008408E9">
      <w:pPr>
        <w:pStyle w:val="Pavadinimas"/>
      </w:pPr>
    </w:p>
    <w:p w14:paraId="25FD0344" w14:textId="287C1ECB" w:rsidR="0097339F" w:rsidRPr="008408E9" w:rsidRDefault="004A79C0" w:rsidP="008408E9">
      <w:pPr>
        <w:pStyle w:val="Pavadinimas"/>
      </w:pPr>
      <w:r w:rsidRPr="008408E9">
        <w:t>FINANCIAL MANAGEMEN</w:t>
      </w:r>
      <w:r w:rsidR="000F71D8">
        <w:t>T</w:t>
      </w:r>
    </w:p>
    <w:p w14:paraId="76731E3E" w14:textId="77777777" w:rsidR="00C04937" w:rsidRPr="008408E9" w:rsidRDefault="00C04937" w:rsidP="008408E9">
      <w:pPr>
        <w:spacing w:line="360" w:lineRule="auto"/>
        <w:jc w:val="both"/>
        <w:rPr>
          <w:rFonts w:ascii="Times New Roman" w:hAnsi="Times New Roman" w:cs="Times New Roman"/>
          <w:sz w:val="24"/>
          <w:lang w:val="en-GB"/>
        </w:rPr>
      </w:pPr>
    </w:p>
    <w:p w14:paraId="395C28DC" w14:textId="77777777" w:rsidR="000D0CA5" w:rsidRPr="008408E9" w:rsidRDefault="000D0CA5" w:rsidP="008408E9">
      <w:pPr>
        <w:spacing w:line="360" w:lineRule="auto"/>
        <w:jc w:val="both"/>
        <w:rPr>
          <w:rFonts w:ascii="Times New Roman" w:hAnsi="Times New Roman" w:cs="Times New Roman"/>
          <w:sz w:val="24"/>
          <w:lang w:val="en-GB"/>
        </w:rPr>
      </w:pPr>
    </w:p>
    <w:p w14:paraId="1F984EF9" w14:textId="77777777" w:rsidR="000D0CA5" w:rsidRPr="008408E9" w:rsidRDefault="000D0CA5" w:rsidP="008408E9">
      <w:pPr>
        <w:spacing w:line="360" w:lineRule="auto"/>
        <w:rPr>
          <w:rFonts w:ascii="Times New Roman" w:hAnsi="Times New Roman" w:cs="Times New Roman"/>
          <w:sz w:val="24"/>
          <w:lang w:val="en-GB"/>
        </w:rPr>
      </w:pPr>
      <w:r w:rsidRPr="008408E9">
        <w:rPr>
          <w:rFonts w:ascii="Times New Roman" w:hAnsi="Times New Roman" w:cs="Times New Roman"/>
          <w:sz w:val="24"/>
          <w:lang w:val="en-GB"/>
        </w:rPr>
        <w:br w:type="page"/>
      </w:r>
    </w:p>
    <w:sdt>
      <w:sdtPr>
        <w:rPr>
          <w:rFonts w:ascii="Times New Roman" w:eastAsiaTheme="minorHAnsi" w:hAnsi="Times New Roman" w:cs="Times New Roman"/>
          <w:color w:val="auto"/>
          <w:sz w:val="24"/>
          <w:szCs w:val="24"/>
          <w:lang w:val="en-GB"/>
        </w:rPr>
        <w:id w:val="-282662282"/>
        <w:docPartObj>
          <w:docPartGallery w:val="Table of Contents"/>
          <w:docPartUnique/>
        </w:docPartObj>
      </w:sdtPr>
      <w:sdtEndPr>
        <w:rPr>
          <w:b/>
          <w:bCs/>
          <w:noProof/>
        </w:rPr>
      </w:sdtEndPr>
      <w:sdtContent>
        <w:p w14:paraId="311A7223" w14:textId="77777777" w:rsidR="000D0CA5" w:rsidRPr="001A423B" w:rsidRDefault="000D0CA5" w:rsidP="001A423B">
          <w:pPr>
            <w:pStyle w:val="Turinioantrat"/>
            <w:spacing w:line="360" w:lineRule="auto"/>
            <w:jc w:val="center"/>
            <w:rPr>
              <w:rFonts w:ascii="Times New Roman" w:hAnsi="Times New Roman" w:cs="Times New Roman"/>
              <w:b/>
              <w:color w:val="000000" w:themeColor="text1"/>
              <w:sz w:val="28"/>
              <w:szCs w:val="28"/>
              <w:lang w:val="en-GB"/>
            </w:rPr>
          </w:pPr>
          <w:r w:rsidRPr="001A423B">
            <w:rPr>
              <w:rFonts w:ascii="Times New Roman" w:hAnsi="Times New Roman" w:cs="Times New Roman"/>
              <w:b/>
              <w:color w:val="000000" w:themeColor="text1"/>
              <w:sz w:val="28"/>
              <w:szCs w:val="28"/>
              <w:lang w:val="en-GB"/>
            </w:rPr>
            <w:t>Table of Contents</w:t>
          </w:r>
        </w:p>
        <w:p w14:paraId="59EEA4A6" w14:textId="5B376EE1" w:rsidR="001A423B" w:rsidRPr="001A423B" w:rsidRDefault="000D0CA5"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r w:rsidRPr="001A423B">
            <w:rPr>
              <w:rFonts w:ascii="Times New Roman" w:hAnsi="Times New Roman" w:cs="Times New Roman"/>
              <w:color w:val="000000" w:themeColor="text1"/>
              <w:sz w:val="24"/>
              <w:szCs w:val="24"/>
              <w:lang w:val="en-GB"/>
            </w:rPr>
            <w:fldChar w:fldCharType="begin"/>
          </w:r>
          <w:r w:rsidRPr="001A423B">
            <w:rPr>
              <w:rFonts w:ascii="Times New Roman" w:hAnsi="Times New Roman" w:cs="Times New Roman"/>
              <w:color w:val="000000" w:themeColor="text1"/>
              <w:sz w:val="24"/>
              <w:szCs w:val="24"/>
              <w:lang w:val="en-GB"/>
            </w:rPr>
            <w:instrText xml:space="preserve"> TOC \o "1-3" \h \z \u </w:instrText>
          </w:r>
          <w:r w:rsidRPr="001A423B">
            <w:rPr>
              <w:rFonts w:ascii="Times New Roman" w:hAnsi="Times New Roman" w:cs="Times New Roman"/>
              <w:color w:val="000000" w:themeColor="text1"/>
              <w:sz w:val="24"/>
              <w:szCs w:val="24"/>
              <w:lang w:val="en-GB"/>
            </w:rPr>
            <w:fldChar w:fldCharType="separate"/>
          </w:r>
          <w:hyperlink w:anchor="_Toc71388427" w:history="1">
            <w:r w:rsidR="001A423B" w:rsidRPr="001A423B">
              <w:rPr>
                <w:rStyle w:val="Hipersaitas"/>
                <w:rFonts w:ascii="Times New Roman" w:hAnsi="Times New Roman" w:cs="Times New Roman"/>
                <w:noProof/>
                <w:color w:val="000000" w:themeColor="text1"/>
                <w:sz w:val="24"/>
                <w:szCs w:val="24"/>
              </w:rPr>
              <w:t>Introduction</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_Toc71388427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3</w:t>
            </w:r>
            <w:r w:rsidR="001A423B" w:rsidRPr="001A423B">
              <w:rPr>
                <w:rFonts w:ascii="Times New Roman" w:hAnsi="Times New Roman" w:cs="Times New Roman"/>
                <w:noProof/>
                <w:webHidden/>
                <w:color w:val="000000" w:themeColor="text1"/>
                <w:sz w:val="24"/>
                <w:szCs w:val="24"/>
              </w:rPr>
              <w:fldChar w:fldCharType="end"/>
            </w:r>
          </w:hyperlink>
        </w:p>
        <w:p w14:paraId="332F6B5F" w14:textId="06C858F0" w:rsidR="001A423B" w:rsidRPr="001A423B" w:rsidRDefault="00B015D2"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28" w:history="1">
            <w:r w:rsidR="001A423B" w:rsidRPr="001A423B">
              <w:rPr>
                <w:rStyle w:val="Hipersaitas"/>
                <w:rFonts w:ascii="Times New Roman" w:hAnsi="Times New Roman" w:cs="Times New Roman"/>
                <w:noProof/>
                <w:color w:val="000000" w:themeColor="text1"/>
                <w:sz w:val="24"/>
                <w:szCs w:val="24"/>
              </w:rPr>
              <w:t>Part a) History of Shell</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_Toc71388428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3</w:t>
            </w:r>
            <w:r w:rsidR="001A423B" w:rsidRPr="001A423B">
              <w:rPr>
                <w:rFonts w:ascii="Times New Roman" w:hAnsi="Times New Roman" w:cs="Times New Roman"/>
                <w:noProof/>
                <w:webHidden/>
                <w:color w:val="000000" w:themeColor="text1"/>
                <w:sz w:val="24"/>
                <w:szCs w:val="24"/>
              </w:rPr>
              <w:fldChar w:fldCharType="end"/>
            </w:r>
          </w:hyperlink>
        </w:p>
        <w:p w14:paraId="3D36D7AE" w14:textId="17C4B987"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29" w:history="1">
            <w:r w:rsidR="001A423B" w:rsidRPr="001A423B">
              <w:rPr>
                <w:rStyle w:val="Hipersaitas"/>
                <w:rFonts w:ascii="Times New Roman" w:hAnsi="Times New Roman" w:cs="Times New Roman"/>
                <w:noProof/>
                <w:color w:val="000000" w:themeColor="text1"/>
                <w:sz w:val="24"/>
                <w:szCs w:val="24"/>
              </w:rPr>
              <w:t>1. Business Model</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_Toc71388429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3</w:t>
            </w:r>
            <w:r w:rsidR="001A423B" w:rsidRPr="001A423B">
              <w:rPr>
                <w:rFonts w:ascii="Times New Roman" w:hAnsi="Times New Roman" w:cs="Times New Roman"/>
                <w:noProof/>
                <w:webHidden/>
                <w:color w:val="000000" w:themeColor="text1"/>
                <w:sz w:val="24"/>
                <w:szCs w:val="24"/>
              </w:rPr>
              <w:fldChar w:fldCharType="end"/>
            </w:r>
          </w:hyperlink>
        </w:p>
        <w:p w14:paraId="7BFD0294" w14:textId="18E74447"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0" w:history="1">
            <w:r w:rsidR="001A423B" w:rsidRPr="001A423B">
              <w:rPr>
                <w:rStyle w:val="Hipersaitas"/>
                <w:rFonts w:ascii="Times New Roman" w:hAnsi="Times New Roman" w:cs="Times New Roman"/>
                <w:noProof/>
                <w:color w:val="000000" w:themeColor="text1"/>
                <w:sz w:val="24"/>
                <w:szCs w:val="24"/>
              </w:rPr>
              <w:t>2. Market Place</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_Toc71388430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3</w:t>
            </w:r>
            <w:r w:rsidR="001A423B" w:rsidRPr="001A423B">
              <w:rPr>
                <w:rFonts w:ascii="Times New Roman" w:hAnsi="Times New Roman" w:cs="Times New Roman"/>
                <w:noProof/>
                <w:webHidden/>
                <w:color w:val="000000" w:themeColor="text1"/>
                <w:sz w:val="24"/>
                <w:szCs w:val="24"/>
              </w:rPr>
              <w:fldChar w:fldCharType="end"/>
            </w:r>
          </w:hyperlink>
        </w:p>
        <w:p w14:paraId="3458D5D6" w14:textId="0157FFCF"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1" w:history="1">
            <w:r w:rsidR="001A423B" w:rsidRPr="001A423B">
              <w:rPr>
                <w:rStyle w:val="Hipersaitas"/>
                <w:rFonts w:ascii="Times New Roman" w:hAnsi="Times New Roman" w:cs="Times New Roman"/>
                <w:noProof/>
                <w:color w:val="000000" w:themeColor="text1"/>
                <w:sz w:val="24"/>
                <w:szCs w:val="24"/>
              </w:rPr>
              <w:t>3. Major Competitor</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_Toc71388431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4</w:t>
            </w:r>
            <w:r w:rsidR="001A423B" w:rsidRPr="001A423B">
              <w:rPr>
                <w:rFonts w:ascii="Times New Roman" w:hAnsi="Times New Roman" w:cs="Times New Roman"/>
                <w:noProof/>
                <w:webHidden/>
                <w:color w:val="000000" w:themeColor="text1"/>
                <w:sz w:val="24"/>
                <w:szCs w:val="24"/>
              </w:rPr>
              <w:fldChar w:fldCharType="end"/>
            </w:r>
          </w:hyperlink>
        </w:p>
        <w:p w14:paraId="4F104623" w14:textId="2D41CC3C" w:rsidR="001A423B" w:rsidRPr="001A423B" w:rsidRDefault="00B015D2"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2" w:history="1">
            <w:r w:rsidR="001A423B" w:rsidRPr="001A423B">
              <w:rPr>
                <w:rStyle w:val="Hipersaitas"/>
                <w:rFonts w:ascii="Times New Roman" w:hAnsi="Times New Roman" w:cs="Times New Roman"/>
                <w:noProof/>
                <w:color w:val="000000" w:themeColor="text1"/>
                <w:sz w:val="24"/>
                <w:szCs w:val="24"/>
              </w:rPr>
              <w:t>Part b) Critical review of Company’s Financial Performance</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_Toc71388432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4</w:t>
            </w:r>
            <w:r w:rsidR="001A423B" w:rsidRPr="001A423B">
              <w:rPr>
                <w:rFonts w:ascii="Times New Roman" w:hAnsi="Times New Roman" w:cs="Times New Roman"/>
                <w:noProof/>
                <w:webHidden/>
                <w:color w:val="000000" w:themeColor="text1"/>
                <w:sz w:val="24"/>
                <w:szCs w:val="24"/>
              </w:rPr>
              <w:fldChar w:fldCharType="end"/>
            </w:r>
          </w:hyperlink>
        </w:p>
        <w:p w14:paraId="3E5F8CEC" w14:textId="04476C88"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3" w:history="1">
            <w:r w:rsidR="001A423B" w:rsidRPr="001A423B">
              <w:rPr>
                <w:rStyle w:val="Hipersaitas"/>
                <w:rFonts w:ascii="Times New Roman" w:hAnsi="Times New Roman" w:cs="Times New Roman"/>
                <w:noProof/>
                <w:color w:val="000000" w:themeColor="text1"/>
                <w:sz w:val="24"/>
                <w:szCs w:val="24"/>
              </w:rPr>
              <w:t>1. Calculation of Financial Ratios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_Toc71388433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4</w:t>
            </w:r>
            <w:r w:rsidR="001A423B" w:rsidRPr="001A423B">
              <w:rPr>
                <w:rFonts w:ascii="Times New Roman" w:hAnsi="Times New Roman" w:cs="Times New Roman"/>
                <w:noProof/>
                <w:webHidden/>
                <w:color w:val="000000" w:themeColor="text1"/>
                <w:sz w:val="24"/>
                <w:szCs w:val="24"/>
              </w:rPr>
              <w:fldChar w:fldCharType="end"/>
            </w:r>
          </w:hyperlink>
        </w:p>
        <w:p w14:paraId="72AE1C43" w14:textId="27415CDB"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4" w:history="1">
            <w:r w:rsidR="001A423B" w:rsidRPr="001A423B">
              <w:rPr>
                <w:rStyle w:val="Hipersaitas"/>
                <w:rFonts w:ascii="Times New Roman" w:hAnsi="Times New Roman" w:cs="Times New Roman"/>
                <w:noProof/>
                <w:color w:val="000000" w:themeColor="text1"/>
                <w:sz w:val="24"/>
                <w:szCs w:val="24"/>
              </w:rPr>
              <w:t>2. Critical Evaluation of the Ratios Calculated</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_Toc71388434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6</w:t>
            </w:r>
            <w:r w:rsidR="001A423B" w:rsidRPr="001A423B">
              <w:rPr>
                <w:rFonts w:ascii="Times New Roman" w:hAnsi="Times New Roman" w:cs="Times New Roman"/>
                <w:noProof/>
                <w:webHidden/>
                <w:color w:val="000000" w:themeColor="text1"/>
                <w:sz w:val="24"/>
                <w:szCs w:val="24"/>
              </w:rPr>
              <w:fldChar w:fldCharType="end"/>
            </w:r>
          </w:hyperlink>
        </w:p>
        <w:p w14:paraId="1C7F3113" w14:textId="118FF8E3" w:rsidR="001A423B" w:rsidRPr="001A423B" w:rsidRDefault="00B015D2" w:rsidP="001A423B">
          <w:pPr>
            <w:pStyle w:val="Turinys3"/>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5" w:history="1">
            <w:r w:rsidR="001A423B" w:rsidRPr="001A423B">
              <w:rPr>
                <w:rStyle w:val="Hipersaitas"/>
                <w:rFonts w:ascii="Times New Roman" w:hAnsi="Times New Roman" w:cs="Times New Roman"/>
                <w:noProof/>
                <w:color w:val="000000" w:themeColor="text1"/>
                <w:sz w:val="24"/>
                <w:szCs w:val="24"/>
              </w:rPr>
              <w:t>Profitability Ratios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_Toc71388435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6</w:t>
            </w:r>
            <w:r w:rsidR="001A423B" w:rsidRPr="001A423B">
              <w:rPr>
                <w:rFonts w:ascii="Times New Roman" w:hAnsi="Times New Roman" w:cs="Times New Roman"/>
                <w:noProof/>
                <w:webHidden/>
                <w:color w:val="000000" w:themeColor="text1"/>
                <w:sz w:val="24"/>
                <w:szCs w:val="24"/>
              </w:rPr>
              <w:fldChar w:fldCharType="end"/>
            </w:r>
          </w:hyperlink>
        </w:p>
        <w:p w14:paraId="568A6DC2" w14:textId="7209E5A1" w:rsidR="001A423B" w:rsidRPr="001A423B" w:rsidRDefault="00B015D2" w:rsidP="001A423B">
          <w:pPr>
            <w:pStyle w:val="Turinys3"/>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6" w:history="1">
            <w:r w:rsidR="001A423B" w:rsidRPr="001A423B">
              <w:rPr>
                <w:rStyle w:val="Hipersaitas"/>
                <w:rFonts w:ascii="Times New Roman" w:hAnsi="Times New Roman" w:cs="Times New Roman"/>
                <w:noProof/>
                <w:color w:val="000000" w:themeColor="text1"/>
                <w:sz w:val="24"/>
                <w:szCs w:val="24"/>
              </w:rPr>
              <w:t>Liquidity Ratios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_Toc71388436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7</w:t>
            </w:r>
            <w:r w:rsidR="001A423B" w:rsidRPr="001A423B">
              <w:rPr>
                <w:rFonts w:ascii="Times New Roman" w:hAnsi="Times New Roman" w:cs="Times New Roman"/>
                <w:noProof/>
                <w:webHidden/>
                <w:color w:val="000000" w:themeColor="text1"/>
                <w:sz w:val="24"/>
                <w:szCs w:val="24"/>
              </w:rPr>
              <w:fldChar w:fldCharType="end"/>
            </w:r>
          </w:hyperlink>
        </w:p>
        <w:p w14:paraId="17A18CBC" w14:textId="539DFE32" w:rsidR="001A423B" w:rsidRPr="001A423B" w:rsidRDefault="00B015D2" w:rsidP="001A423B">
          <w:pPr>
            <w:pStyle w:val="Turinys3"/>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7" w:history="1">
            <w:r w:rsidR="001A423B" w:rsidRPr="001A423B">
              <w:rPr>
                <w:rStyle w:val="Hipersaitas"/>
                <w:rFonts w:ascii="Times New Roman" w:hAnsi="Times New Roman" w:cs="Times New Roman"/>
                <w:noProof/>
                <w:color w:val="000000" w:themeColor="text1"/>
                <w:sz w:val="24"/>
                <w:szCs w:val="24"/>
              </w:rPr>
              <w:t>Gearing Ratios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_Toc71388437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8</w:t>
            </w:r>
            <w:r w:rsidR="001A423B" w:rsidRPr="001A423B">
              <w:rPr>
                <w:rFonts w:ascii="Times New Roman" w:hAnsi="Times New Roman" w:cs="Times New Roman"/>
                <w:noProof/>
                <w:webHidden/>
                <w:color w:val="000000" w:themeColor="text1"/>
                <w:sz w:val="24"/>
                <w:szCs w:val="24"/>
              </w:rPr>
              <w:fldChar w:fldCharType="end"/>
            </w:r>
          </w:hyperlink>
        </w:p>
        <w:p w14:paraId="2BA0D94C" w14:textId="4FCED4D5" w:rsidR="001A423B" w:rsidRPr="001A423B" w:rsidRDefault="00B015D2" w:rsidP="001A423B">
          <w:pPr>
            <w:pStyle w:val="Turinys3"/>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8" w:history="1">
            <w:r w:rsidR="001A423B" w:rsidRPr="001A423B">
              <w:rPr>
                <w:rStyle w:val="Hipersaitas"/>
                <w:rFonts w:ascii="Times New Roman" w:hAnsi="Times New Roman" w:cs="Times New Roman"/>
                <w:noProof/>
                <w:color w:val="000000" w:themeColor="text1"/>
                <w:sz w:val="24"/>
                <w:szCs w:val="24"/>
              </w:rPr>
              <w:t>Efficiency Ratio</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_Toc71388438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8</w:t>
            </w:r>
            <w:r w:rsidR="001A423B" w:rsidRPr="001A423B">
              <w:rPr>
                <w:rFonts w:ascii="Times New Roman" w:hAnsi="Times New Roman" w:cs="Times New Roman"/>
                <w:noProof/>
                <w:webHidden/>
                <w:color w:val="000000" w:themeColor="text1"/>
                <w:sz w:val="24"/>
                <w:szCs w:val="24"/>
              </w:rPr>
              <w:fldChar w:fldCharType="end"/>
            </w:r>
          </w:hyperlink>
        </w:p>
        <w:p w14:paraId="54BCF9A5" w14:textId="0DDD4E06"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39" w:history="1">
            <w:r w:rsidR="001A423B" w:rsidRPr="001A423B">
              <w:rPr>
                <w:rStyle w:val="Hipersaitas"/>
                <w:rFonts w:ascii="Times New Roman" w:hAnsi="Times New Roman" w:cs="Times New Roman"/>
                <w:noProof/>
                <w:color w:val="000000" w:themeColor="text1"/>
                <w:sz w:val="24"/>
                <w:szCs w:val="24"/>
              </w:rPr>
              <w:t>3. Comparison with Major Competitors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_Toc71388439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9</w:t>
            </w:r>
            <w:r w:rsidR="001A423B" w:rsidRPr="001A423B">
              <w:rPr>
                <w:rFonts w:ascii="Times New Roman" w:hAnsi="Times New Roman" w:cs="Times New Roman"/>
                <w:noProof/>
                <w:webHidden/>
                <w:color w:val="000000" w:themeColor="text1"/>
                <w:sz w:val="24"/>
                <w:szCs w:val="24"/>
              </w:rPr>
              <w:fldChar w:fldCharType="end"/>
            </w:r>
          </w:hyperlink>
        </w:p>
        <w:p w14:paraId="70C22241" w14:textId="3F42F7C0"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0" w:history="1">
            <w:r w:rsidR="001A423B" w:rsidRPr="001A423B">
              <w:rPr>
                <w:rStyle w:val="Hipersaitas"/>
                <w:rFonts w:ascii="Times New Roman" w:hAnsi="Times New Roman" w:cs="Times New Roman"/>
                <w:noProof/>
                <w:color w:val="000000" w:themeColor="text1"/>
                <w:sz w:val="24"/>
                <w:szCs w:val="24"/>
              </w:rPr>
              <w:t>4. Recommendations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_Toc71388440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12</w:t>
            </w:r>
            <w:r w:rsidR="001A423B" w:rsidRPr="001A423B">
              <w:rPr>
                <w:rFonts w:ascii="Times New Roman" w:hAnsi="Times New Roman" w:cs="Times New Roman"/>
                <w:noProof/>
                <w:webHidden/>
                <w:color w:val="000000" w:themeColor="text1"/>
                <w:sz w:val="24"/>
                <w:szCs w:val="24"/>
              </w:rPr>
              <w:fldChar w:fldCharType="end"/>
            </w:r>
          </w:hyperlink>
        </w:p>
        <w:p w14:paraId="62A9065B" w14:textId="7DF4EBFB" w:rsidR="001A423B" w:rsidRPr="001A423B" w:rsidRDefault="00B015D2"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1" w:history="1">
            <w:r w:rsidR="001A423B" w:rsidRPr="001A423B">
              <w:rPr>
                <w:rStyle w:val="Hipersaitas"/>
                <w:rFonts w:ascii="Times New Roman" w:hAnsi="Times New Roman" w:cs="Times New Roman"/>
                <w:noProof/>
                <w:color w:val="000000" w:themeColor="text1"/>
                <w:sz w:val="24"/>
                <w:szCs w:val="24"/>
              </w:rPr>
              <w:t>Part c) Investment Appraisal techniques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_Toc71388441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12</w:t>
            </w:r>
            <w:r w:rsidR="001A423B" w:rsidRPr="001A423B">
              <w:rPr>
                <w:rFonts w:ascii="Times New Roman" w:hAnsi="Times New Roman" w:cs="Times New Roman"/>
                <w:noProof/>
                <w:webHidden/>
                <w:color w:val="000000" w:themeColor="text1"/>
                <w:sz w:val="24"/>
                <w:szCs w:val="24"/>
              </w:rPr>
              <w:fldChar w:fldCharType="end"/>
            </w:r>
          </w:hyperlink>
        </w:p>
        <w:p w14:paraId="0965BCE2" w14:textId="0849DA61"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2" w:history="1">
            <w:r w:rsidR="001A423B" w:rsidRPr="001A423B">
              <w:rPr>
                <w:rStyle w:val="Hipersaitas"/>
                <w:rFonts w:ascii="Times New Roman" w:hAnsi="Times New Roman" w:cs="Times New Roman"/>
                <w:noProof/>
                <w:color w:val="000000" w:themeColor="text1"/>
                <w:sz w:val="24"/>
                <w:szCs w:val="24"/>
              </w:rPr>
              <w:t>1. Calculation and recommendation for the investment appraisal project</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_Toc71388442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12</w:t>
            </w:r>
            <w:r w:rsidR="001A423B" w:rsidRPr="001A423B">
              <w:rPr>
                <w:rFonts w:ascii="Times New Roman" w:hAnsi="Times New Roman" w:cs="Times New Roman"/>
                <w:noProof/>
                <w:webHidden/>
                <w:color w:val="000000" w:themeColor="text1"/>
                <w:sz w:val="24"/>
                <w:szCs w:val="24"/>
              </w:rPr>
              <w:fldChar w:fldCharType="end"/>
            </w:r>
          </w:hyperlink>
        </w:p>
        <w:p w14:paraId="1F0BEC31" w14:textId="6E46F055"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3" w:history="1">
            <w:r w:rsidR="001A423B" w:rsidRPr="001A423B">
              <w:rPr>
                <w:rStyle w:val="Hipersaitas"/>
                <w:rFonts w:ascii="Times New Roman" w:hAnsi="Times New Roman" w:cs="Times New Roman"/>
                <w:noProof/>
                <w:color w:val="000000" w:themeColor="text1"/>
                <w:sz w:val="24"/>
                <w:szCs w:val="24"/>
              </w:rPr>
              <w:t>2. Critical discussion of the investment appraisal projects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_Toc71388443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16</w:t>
            </w:r>
            <w:r w:rsidR="001A423B" w:rsidRPr="001A423B">
              <w:rPr>
                <w:rFonts w:ascii="Times New Roman" w:hAnsi="Times New Roman" w:cs="Times New Roman"/>
                <w:noProof/>
                <w:webHidden/>
                <w:color w:val="000000" w:themeColor="text1"/>
                <w:sz w:val="24"/>
                <w:szCs w:val="24"/>
              </w:rPr>
              <w:fldChar w:fldCharType="end"/>
            </w:r>
          </w:hyperlink>
        </w:p>
        <w:p w14:paraId="2770CF39" w14:textId="3B2363F7" w:rsidR="001A423B" w:rsidRPr="001A423B" w:rsidRDefault="00B015D2"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4" w:history="1">
            <w:r w:rsidR="001A423B" w:rsidRPr="001A423B">
              <w:rPr>
                <w:rStyle w:val="Hipersaitas"/>
                <w:rFonts w:ascii="Times New Roman" w:hAnsi="Times New Roman" w:cs="Times New Roman"/>
                <w:noProof/>
                <w:color w:val="000000" w:themeColor="text1"/>
                <w:sz w:val="24"/>
                <w:szCs w:val="24"/>
              </w:rPr>
              <w:t>Conclusion</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_Toc71388444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18</w:t>
            </w:r>
            <w:r w:rsidR="001A423B" w:rsidRPr="001A423B">
              <w:rPr>
                <w:rFonts w:ascii="Times New Roman" w:hAnsi="Times New Roman" w:cs="Times New Roman"/>
                <w:noProof/>
                <w:webHidden/>
                <w:color w:val="000000" w:themeColor="text1"/>
                <w:sz w:val="24"/>
                <w:szCs w:val="24"/>
              </w:rPr>
              <w:fldChar w:fldCharType="end"/>
            </w:r>
          </w:hyperlink>
        </w:p>
        <w:p w14:paraId="2DCA72C2" w14:textId="2446D4CA" w:rsidR="001A423B" w:rsidRPr="001A423B" w:rsidRDefault="00B015D2"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5" w:history="1">
            <w:r w:rsidR="001A423B" w:rsidRPr="001A423B">
              <w:rPr>
                <w:rStyle w:val="Hipersaitas"/>
                <w:rFonts w:ascii="Times New Roman" w:hAnsi="Times New Roman" w:cs="Times New Roman"/>
                <w:noProof/>
                <w:color w:val="000000" w:themeColor="text1"/>
                <w:sz w:val="24"/>
                <w:szCs w:val="24"/>
              </w:rPr>
              <w:t>Reference List</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_Toc71388445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20</w:t>
            </w:r>
            <w:r w:rsidR="001A423B" w:rsidRPr="001A423B">
              <w:rPr>
                <w:rFonts w:ascii="Times New Roman" w:hAnsi="Times New Roman" w:cs="Times New Roman"/>
                <w:noProof/>
                <w:webHidden/>
                <w:color w:val="000000" w:themeColor="text1"/>
                <w:sz w:val="24"/>
                <w:szCs w:val="24"/>
              </w:rPr>
              <w:fldChar w:fldCharType="end"/>
            </w:r>
          </w:hyperlink>
        </w:p>
        <w:p w14:paraId="4AA14708" w14:textId="4E6220FA" w:rsidR="001A423B" w:rsidRPr="001A423B" w:rsidRDefault="00B015D2" w:rsidP="001A423B">
          <w:pPr>
            <w:pStyle w:val="Turinys1"/>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6" w:history="1">
            <w:r w:rsidR="001A423B" w:rsidRPr="001A423B">
              <w:rPr>
                <w:rStyle w:val="Hipersaitas"/>
                <w:rFonts w:ascii="Times New Roman" w:hAnsi="Times New Roman" w:cs="Times New Roman"/>
                <w:noProof/>
                <w:color w:val="000000" w:themeColor="text1"/>
                <w:sz w:val="24"/>
                <w:szCs w:val="24"/>
              </w:rPr>
              <w:t>Appendices</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_Toc71388446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24</w:t>
            </w:r>
            <w:r w:rsidR="001A423B" w:rsidRPr="001A423B">
              <w:rPr>
                <w:rFonts w:ascii="Times New Roman" w:hAnsi="Times New Roman" w:cs="Times New Roman"/>
                <w:noProof/>
                <w:webHidden/>
                <w:color w:val="000000" w:themeColor="text1"/>
                <w:sz w:val="24"/>
                <w:szCs w:val="24"/>
              </w:rPr>
              <w:fldChar w:fldCharType="end"/>
            </w:r>
          </w:hyperlink>
        </w:p>
        <w:p w14:paraId="282ECD7B" w14:textId="5A48B64F"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7" w:history="1">
            <w:r w:rsidR="001A423B" w:rsidRPr="001A423B">
              <w:rPr>
                <w:rStyle w:val="Hipersaitas"/>
                <w:rFonts w:ascii="Times New Roman" w:hAnsi="Times New Roman" w:cs="Times New Roman"/>
                <w:noProof/>
                <w:color w:val="000000" w:themeColor="text1"/>
                <w:sz w:val="24"/>
                <w:szCs w:val="24"/>
              </w:rPr>
              <w:t>Appendix 1: Shell’s Balance Sheet</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_Toc71388447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24</w:t>
            </w:r>
            <w:r w:rsidR="001A423B" w:rsidRPr="001A423B">
              <w:rPr>
                <w:rFonts w:ascii="Times New Roman" w:hAnsi="Times New Roman" w:cs="Times New Roman"/>
                <w:noProof/>
                <w:webHidden/>
                <w:color w:val="000000" w:themeColor="text1"/>
                <w:sz w:val="24"/>
                <w:szCs w:val="24"/>
              </w:rPr>
              <w:fldChar w:fldCharType="end"/>
            </w:r>
          </w:hyperlink>
        </w:p>
        <w:p w14:paraId="268DBDC7" w14:textId="021A3AF0" w:rsidR="001A423B" w:rsidRPr="001A423B" w:rsidRDefault="00B015D2" w:rsidP="001A423B">
          <w:pPr>
            <w:pStyle w:val="Turinys2"/>
            <w:tabs>
              <w:tab w:val="right" w:leader="dot" w:pos="9016"/>
            </w:tabs>
            <w:spacing w:line="360" w:lineRule="auto"/>
            <w:rPr>
              <w:rFonts w:ascii="Times New Roman" w:eastAsiaTheme="minorEastAsia" w:hAnsi="Times New Roman" w:cs="Times New Roman"/>
              <w:noProof/>
              <w:color w:val="000000" w:themeColor="text1"/>
              <w:sz w:val="24"/>
              <w:szCs w:val="24"/>
              <w:lang w:val="en-IN" w:eastAsia="en-IN"/>
            </w:rPr>
          </w:pPr>
          <w:hyperlink w:anchor="_Toc71388448" w:history="1">
            <w:r w:rsidR="001A423B" w:rsidRPr="001A423B">
              <w:rPr>
                <w:rStyle w:val="Hipersaitas"/>
                <w:rFonts w:ascii="Times New Roman" w:hAnsi="Times New Roman" w:cs="Times New Roman"/>
                <w:noProof/>
                <w:color w:val="000000" w:themeColor="text1"/>
                <w:sz w:val="24"/>
                <w:szCs w:val="24"/>
              </w:rPr>
              <w:t>Appendix 2: BP’s Balance Sheet</w:t>
            </w:r>
            <w:r w:rsidR="001A423B" w:rsidRPr="001A423B">
              <w:rPr>
                <w:rFonts w:ascii="Times New Roman" w:hAnsi="Times New Roman" w:cs="Times New Roman"/>
                <w:noProof/>
                <w:webHidden/>
                <w:color w:val="000000" w:themeColor="text1"/>
                <w:sz w:val="24"/>
                <w:szCs w:val="24"/>
              </w:rPr>
              <w:tab/>
            </w:r>
            <w:r w:rsidR="001A423B" w:rsidRPr="001A423B">
              <w:rPr>
                <w:rFonts w:ascii="Times New Roman" w:hAnsi="Times New Roman" w:cs="Times New Roman"/>
                <w:noProof/>
                <w:webHidden/>
                <w:color w:val="000000" w:themeColor="text1"/>
                <w:sz w:val="24"/>
                <w:szCs w:val="24"/>
              </w:rPr>
              <w:fldChar w:fldCharType="begin"/>
            </w:r>
            <w:r w:rsidR="001A423B" w:rsidRPr="001A423B">
              <w:rPr>
                <w:rFonts w:ascii="Times New Roman" w:hAnsi="Times New Roman" w:cs="Times New Roman"/>
                <w:noProof/>
                <w:webHidden/>
                <w:color w:val="000000" w:themeColor="text1"/>
                <w:sz w:val="24"/>
                <w:szCs w:val="24"/>
              </w:rPr>
              <w:instrText xml:space="preserve"> PAGEREF _Toc71388448 \h </w:instrText>
            </w:r>
            <w:r w:rsidR="001A423B" w:rsidRPr="001A423B">
              <w:rPr>
                <w:rFonts w:ascii="Times New Roman" w:hAnsi="Times New Roman" w:cs="Times New Roman"/>
                <w:noProof/>
                <w:webHidden/>
                <w:color w:val="000000" w:themeColor="text1"/>
                <w:sz w:val="24"/>
                <w:szCs w:val="24"/>
              </w:rPr>
            </w:r>
            <w:r w:rsidR="001A423B" w:rsidRPr="001A423B">
              <w:rPr>
                <w:rFonts w:ascii="Times New Roman" w:hAnsi="Times New Roman" w:cs="Times New Roman"/>
                <w:noProof/>
                <w:webHidden/>
                <w:color w:val="000000" w:themeColor="text1"/>
                <w:sz w:val="24"/>
                <w:szCs w:val="24"/>
              </w:rPr>
              <w:fldChar w:fldCharType="separate"/>
            </w:r>
            <w:r w:rsidR="00561E73">
              <w:rPr>
                <w:rFonts w:ascii="Times New Roman" w:hAnsi="Times New Roman" w:cs="Times New Roman"/>
                <w:noProof/>
                <w:webHidden/>
                <w:color w:val="000000" w:themeColor="text1"/>
                <w:sz w:val="24"/>
                <w:szCs w:val="24"/>
              </w:rPr>
              <w:t>25</w:t>
            </w:r>
            <w:r w:rsidR="001A423B" w:rsidRPr="001A423B">
              <w:rPr>
                <w:rFonts w:ascii="Times New Roman" w:hAnsi="Times New Roman" w:cs="Times New Roman"/>
                <w:noProof/>
                <w:webHidden/>
                <w:color w:val="000000" w:themeColor="text1"/>
                <w:sz w:val="24"/>
                <w:szCs w:val="24"/>
              </w:rPr>
              <w:fldChar w:fldCharType="end"/>
            </w:r>
          </w:hyperlink>
        </w:p>
        <w:p w14:paraId="5C9FE84C" w14:textId="26B649D2" w:rsidR="000D0CA5" w:rsidRPr="00481BB4" w:rsidRDefault="000D0CA5" w:rsidP="001A423B">
          <w:pPr>
            <w:spacing w:line="360" w:lineRule="auto"/>
            <w:jc w:val="both"/>
            <w:rPr>
              <w:rFonts w:ascii="Times New Roman" w:hAnsi="Times New Roman" w:cs="Times New Roman"/>
              <w:sz w:val="24"/>
              <w:szCs w:val="24"/>
              <w:lang w:val="en-GB"/>
            </w:rPr>
          </w:pPr>
          <w:r w:rsidRPr="001A423B">
            <w:rPr>
              <w:rFonts w:ascii="Times New Roman" w:hAnsi="Times New Roman" w:cs="Times New Roman"/>
              <w:b/>
              <w:bCs/>
              <w:noProof/>
              <w:color w:val="000000" w:themeColor="text1"/>
              <w:sz w:val="24"/>
              <w:szCs w:val="24"/>
              <w:lang w:val="en-GB"/>
            </w:rPr>
            <w:fldChar w:fldCharType="end"/>
          </w:r>
        </w:p>
      </w:sdtContent>
    </w:sdt>
    <w:p w14:paraId="7D9F9854" w14:textId="77777777" w:rsidR="000D0CA5" w:rsidRPr="008408E9" w:rsidRDefault="000D0CA5" w:rsidP="008408E9">
      <w:pPr>
        <w:spacing w:line="360" w:lineRule="auto"/>
        <w:jc w:val="both"/>
        <w:rPr>
          <w:rFonts w:ascii="Times New Roman" w:hAnsi="Times New Roman" w:cs="Times New Roman"/>
          <w:sz w:val="24"/>
          <w:lang w:val="en-GB"/>
        </w:rPr>
      </w:pPr>
    </w:p>
    <w:p w14:paraId="6EA3BDDB" w14:textId="77777777" w:rsidR="000D0CA5" w:rsidRPr="008408E9" w:rsidRDefault="000D0CA5" w:rsidP="008408E9">
      <w:pPr>
        <w:spacing w:line="360" w:lineRule="auto"/>
        <w:jc w:val="both"/>
        <w:rPr>
          <w:rFonts w:ascii="Times New Roman" w:hAnsi="Times New Roman" w:cs="Times New Roman"/>
          <w:sz w:val="24"/>
          <w:lang w:val="en-GB"/>
        </w:rPr>
      </w:pPr>
    </w:p>
    <w:p w14:paraId="71053B39" w14:textId="77777777" w:rsidR="00C04937" w:rsidRPr="008408E9" w:rsidRDefault="00C04937" w:rsidP="008408E9">
      <w:pPr>
        <w:spacing w:line="360" w:lineRule="auto"/>
        <w:rPr>
          <w:rFonts w:ascii="Times New Roman" w:hAnsi="Times New Roman" w:cs="Times New Roman"/>
          <w:sz w:val="24"/>
          <w:lang w:val="en-GB"/>
        </w:rPr>
      </w:pPr>
      <w:r w:rsidRPr="008408E9">
        <w:rPr>
          <w:rFonts w:ascii="Times New Roman" w:hAnsi="Times New Roman" w:cs="Times New Roman"/>
          <w:sz w:val="24"/>
          <w:lang w:val="en-GB"/>
        </w:rPr>
        <w:br w:type="page"/>
      </w:r>
    </w:p>
    <w:p w14:paraId="6D6077F8" w14:textId="77777777" w:rsidR="001A423B" w:rsidRDefault="001A423B" w:rsidP="001A423B">
      <w:pPr>
        <w:pStyle w:val="Antrat1"/>
      </w:pPr>
      <w:bookmarkStart w:id="0" w:name="_Toc71388427"/>
      <w:r>
        <w:lastRenderedPageBreak/>
        <w:t>Introduction</w:t>
      </w:r>
      <w:bookmarkEnd w:id="0"/>
    </w:p>
    <w:p w14:paraId="7E4377D9" w14:textId="3E1C9412" w:rsidR="001A423B" w:rsidRPr="00FE70B2" w:rsidRDefault="001A423B" w:rsidP="00FE70B2">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certain company has been chosen in this study, being SHELL, based on which various financial and related operational aspects have been discussed. The company chosen is based on the global public sector and is involved in dealing with shares within a certain stock exchange market, being the London Stock Exchange. Prior to such discussion, a thorough analysis of the company’s background has been carried out, based on the business model being followed. Additionally, discussion has also been made regarding the market position and major competitors of the company within such markets. This is followed by a critical analysis of the financial performance of the company, including various calculations done with data taken from annual financial reports. A definite investment appraisal has also been done along with relevant calculations, based on two project examples provided.</w:t>
      </w:r>
    </w:p>
    <w:p w14:paraId="56F9A856" w14:textId="623AA11B" w:rsidR="001A423B" w:rsidRDefault="001A423B" w:rsidP="001A423B">
      <w:pPr>
        <w:pStyle w:val="Antrat1"/>
      </w:pPr>
      <w:bookmarkStart w:id="1" w:name="_Toc71388428"/>
      <w:r>
        <w:t>Part a) History of Shell</w:t>
      </w:r>
      <w:bookmarkEnd w:id="1"/>
    </w:p>
    <w:p w14:paraId="42BBD365" w14:textId="77777777" w:rsidR="001A423B" w:rsidRDefault="001A423B" w:rsidP="001A423B">
      <w:pPr>
        <w:pStyle w:val="Antrat2"/>
      </w:pPr>
      <w:bookmarkStart w:id="2" w:name="_Toc71388429"/>
      <w:r>
        <w:t>1. Business Model</w:t>
      </w:r>
      <w:bookmarkEnd w:id="2"/>
    </w:p>
    <w:p w14:paraId="3AA98F9A" w14:textId="77777777"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SHELL’s business strategy is based on providing various clean energy solutions and facilities while facilitating a significant level of progress within the global community. In that respect, the company aims to considerably improve upon the current market position within the global oil industry (Shell, 2019). To that end, the company looks to achieve the title of top energy company through providing various clean energy systems, including oils, gas and energy products producing significantly lower carbon emission compared to conventional energy sources. In addition to such aims, the company looks forward to building upon safety and social responsibility aspects with regards to every business operation. Furthermore, the company aims to achieve such goals via indulging in effective collaborations with other similar businesses, investors, </w:t>
      </w:r>
      <w:proofErr w:type="gramStart"/>
      <w:r>
        <w:rPr>
          <w:rFonts w:ascii="Times New Roman" w:eastAsia="Times New Roman" w:hAnsi="Times New Roman" w:cs="Times New Roman"/>
          <w:sz w:val="24"/>
          <w:szCs w:val="24"/>
        </w:rPr>
        <w:t>stakeholders</w:t>
      </w:r>
      <w:proofErr w:type="gramEnd"/>
      <w:r>
        <w:rPr>
          <w:rFonts w:ascii="Times New Roman" w:eastAsia="Times New Roman" w:hAnsi="Times New Roman" w:cs="Times New Roman"/>
          <w:sz w:val="24"/>
          <w:szCs w:val="24"/>
        </w:rPr>
        <w:t xml:space="preserve"> and even respective governments. Hence, in that respect, the </w:t>
      </w:r>
      <w:proofErr w:type="gramStart"/>
      <w:r>
        <w:rPr>
          <w:rFonts w:ascii="Times New Roman" w:eastAsia="Times New Roman" w:hAnsi="Times New Roman" w:cs="Times New Roman"/>
          <w:sz w:val="24"/>
          <w:szCs w:val="24"/>
        </w:rPr>
        <w:t>particular business</w:t>
      </w:r>
      <w:proofErr w:type="gramEnd"/>
      <w:r>
        <w:rPr>
          <w:rFonts w:ascii="Times New Roman" w:eastAsia="Times New Roman" w:hAnsi="Times New Roman" w:cs="Times New Roman"/>
          <w:sz w:val="24"/>
          <w:szCs w:val="24"/>
        </w:rPr>
        <w:t xml:space="preserve"> model of shell can be essentially defined to be based upon franchising and customer loyalty. SHELL provides a wide range of franchise opportunities to several retailers through various locally established service stations. In terms of customer loyalty, the company </w:t>
      </w:r>
      <w:proofErr w:type="gramStart"/>
      <w:r>
        <w:rPr>
          <w:rFonts w:ascii="Times New Roman" w:eastAsia="Times New Roman" w:hAnsi="Times New Roman" w:cs="Times New Roman"/>
          <w:sz w:val="24"/>
          <w:szCs w:val="24"/>
        </w:rPr>
        <w:t>actually has</w:t>
      </w:r>
      <w:proofErr w:type="gramEnd"/>
      <w:r>
        <w:rPr>
          <w:rFonts w:ascii="Times New Roman" w:eastAsia="Times New Roman" w:hAnsi="Times New Roman" w:cs="Times New Roman"/>
          <w:sz w:val="24"/>
          <w:szCs w:val="24"/>
        </w:rPr>
        <w:t xml:space="preserve"> a definite loyalty program for customers, named the Fuel Rewards, wherein such customers could earn 5 cents per gallon for every 25 dollars spent within specific service stations (van </w:t>
      </w:r>
      <w:proofErr w:type="spellStart"/>
      <w:r>
        <w:rPr>
          <w:rFonts w:ascii="Times New Roman" w:eastAsia="Times New Roman" w:hAnsi="Times New Roman" w:cs="Times New Roman"/>
          <w:sz w:val="24"/>
          <w:szCs w:val="24"/>
        </w:rPr>
        <w:t>Beurden</w:t>
      </w:r>
      <w:proofErr w:type="spellEnd"/>
      <w:r>
        <w:rPr>
          <w:rFonts w:ascii="Times New Roman" w:eastAsia="Times New Roman" w:hAnsi="Times New Roman" w:cs="Times New Roman"/>
          <w:sz w:val="24"/>
          <w:szCs w:val="24"/>
        </w:rPr>
        <w:t>, 2017).</w:t>
      </w:r>
    </w:p>
    <w:p w14:paraId="15F6CC7B" w14:textId="77777777" w:rsidR="001A423B" w:rsidRDefault="001A423B" w:rsidP="001A423B">
      <w:pPr>
        <w:pStyle w:val="Antrat2"/>
      </w:pPr>
      <w:bookmarkStart w:id="3" w:name="_Toc71388430"/>
      <w:r>
        <w:t>2. Market Place</w:t>
      </w:r>
      <w:bookmarkEnd w:id="3"/>
    </w:p>
    <w:p w14:paraId="380F53BD" w14:textId="77777777"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SHELL can be determined to have a relatively strong hold over the current global energy industry, being the second largest oil company in the industry. Moreover, various collaborations done with respective governments within each foreign market serves as an effective means to gain considerable support within such markets. Effective franchise programs also attract a lot of potential retailers within such respective markets, with the best suitable candidates chosen for such franchise being based upon the overall financial performance of respective retailers. Hence, choosing the most appropriate retailers helps the company to significantly increase overall revenues gained and consecutive profitability earned, thus serving to further increase hold within respective markets. Furthermore, the company has been successful in maintaining a loyal customer base as well through </w:t>
      </w:r>
      <w:proofErr w:type="gramStart"/>
      <w:r>
        <w:rPr>
          <w:rFonts w:ascii="Times New Roman" w:eastAsia="Times New Roman" w:hAnsi="Times New Roman" w:cs="Times New Roman"/>
          <w:sz w:val="24"/>
          <w:szCs w:val="24"/>
        </w:rPr>
        <w:t>aforementioned customer</w:t>
      </w:r>
      <w:proofErr w:type="gramEnd"/>
      <w:r>
        <w:rPr>
          <w:rFonts w:ascii="Times New Roman" w:eastAsia="Times New Roman" w:hAnsi="Times New Roman" w:cs="Times New Roman"/>
          <w:sz w:val="24"/>
          <w:szCs w:val="24"/>
        </w:rPr>
        <w:t xml:space="preserve"> programs, with such loyalty and trust aspects being a major driving factor for substantially increasing the market position within both global and regional scales (Kalam, 2021).</w:t>
      </w:r>
    </w:p>
    <w:p w14:paraId="3F0C5752" w14:textId="77777777" w:rsidR="001A423B" w:rsidRDefault="001A423B" w:rsidP="001A423B">
      <w:pPr>
        <w:pStyle w:val="Antrat2"/>
      </w:pPr>
      <w:bookmarkStart w:id="4" w:name="_Toc71388431"/>
      <w:r>
        <w:t>3. Major Competitor</w:t>
      </w:r>
      <w:bookmarkEnd w:id="4"/>
    </w:p>
    <w:p w14:paraId="3E8177A0" w14:textId="0C2690B7" w:rsidR="001A423B" w:rsidRPr="00FE70B2" w:rsidRDefault="001A423B" w:rsidP="008408E9">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major competitors of the company differ widely </w:t>
      </w:r>
      <w:proofErr w:type="gramStart"/>
      <w:r>
        <w:rPr>
          <w:rFonts w:ascii="Times New Roman" w:eastAsia="Times New Roman" w:hAnsi="Times New Roman" w:cs="Times New Roman"/>
          <w:sz w:val="24"/>
          <w:szCs w:val="24"/>
        </w:rPr>
        <w:t>on the basis of</w:t>
      </w:r>
      <w:proofErr w:type="gramEnd"/>
      <w:r>
        <w:rPr>
          <w:rFonts w:ascii="Times New Roman" w:eastAsia="Times New Roman" w:hAnsi="Times New Roman" w:cs="Times New Roman"/>
          <w:sz w:val="24"/>
          <w:szCs w:val="24"/>
        </w:rPr>
        <w:t xml:space="preserve"> various energy sectors that the company is dealing with. As has been mentioned above, the company deals in a wide range of energy solutions including oils, </w:t>
      </w:r>
      <w:proofErr w:type="gramStart"/>
      <w:r>
        <w:rPr>
          <w:rFonts w:ascii="Times New Roman" w:eastAsia="Times New Roman" w:hAnsi="Times New Roman" w:cs="Times New Roman"/>
          <w:sz w:val="24"/>
          <w:szCs w:val="24"/>
        </w:rPr>
        <w:t>gases</w:t>
      </w:r>
      <w:proofErr w:type="gramEnd"/>
      <w:r>
        <w:rPr>
          <w:rFonts w:ascii="Times New Roman" w:eastAsia="Times New Roman" w:hAnsi="Times New Roman" w:cs="Times New Roman"/>
          <w:sz w:val="24"/>
          <w:szCs w:val="24"/>
        </w:rPr>
        <w:t xml:space="preserve"> and other forms of clean energy (Andersson, 2020). Hence, in terms of the oil sector, the major competitors of the company can be primarily determined to be every Integrated Oil Companies (IOCs) operating on a global scale and National Oil Companies (NOCs) within respective countries, including Petronas in Malaysia and Petronas in China. On the other hand, in the case of the gas sector, various global competitors faced include BG Group Plc and Rosneft. Moreover, on an overall global perspective with respect to energy production and distribution, the company faces multiple rivals including Petrobras, </w:t>
      </w:r>
      <w:proofErr w:type="gramStart"/>
      <w:r>
        <w:rPr>
          <w:rFonts w:ascii="Times New Roman" w:eastAsia="Times New Roman" w:hAnsi="Times New Roman" w:cs="Times New Roman"/>
          <w:sz w:val="24"/>
          <w:szCs w:val="24"/>
        </w:rPr>
        <w:t>Chevron</w:t>
      </w:r>
      <w:proofErr w:type="gramEnd"/>
      <w:r>
        <w:rPr>
          <w:rFonts w:ascii="Times New Roman" w:eastAsia="Times New Roman" w:hAnsi="Times New Roman" w:cs="Times New Roman"/>
          <w:sz w:val="24"/>
          <w:szCs w:val="24"/>
        </w:rPr>
        <w:t xml:space="preserve"> and Exxon Mobil.</w:t>
      </w:r>
    </w:p>
    <w:p w14:paraId="01931298" w14:textId="77777777" w:rsidR="003834C7" w:rsidRPr="008408E9" w:rsidRDefault="003834C7" w:rsidP="008408E9">
      <w:pPr>
        <w:pStyle w:val="Antrat1"/>
      </w:pPr>
      <w:bookmarkStart w:id="5" w:name="_Toc71388432"/>
      <w:r w:rsidRPr="008408E9">
        <w:t>Part b) Critical review of Company’s Financial Performance</w:t>
      </w:r>
      <w:bookmarkEnd w:id="5"/>
      <w:r w:rsidRPr="008408E9">
        <w:t xml:space="preserve"> </w:t>
      </w:r>
    </w:p>
    <w:p w14:paraId="023CFBC8" w14:textId="77777777" w:rsidR="003834C7" w:rsidRPr="008408E9" w:rsidRDefault="00C4729E" w:rsidP="008408E9">
      <w:pPr>
        <w:pStyle w:val="Antrat2"/>
      </w:pPr>
      <w:bookmarkStart w:id="6" w:name="_Toc71388433"/>
      <w:r w:rsidRPr="008408E9">
        <w:t xml:space="preserve">1. </w:t>
      </w:r>
      <w:r w:rsidR="00907FF5" w:rsidRPr="008408E9">
        <w:t>Calculation of Financial Ratios</w:t>
      </w:r>
      <w:bookmarkEnd w:id="6"/>
      <w:r w:rsidR="00907FF5" w:rsidRPr="008408E9">
        <w:t xml:space="preserve"> </w:t>
      </w:r>
    </w:p>
    <w:tbl>
      <w:tblPr>
        <w:tblW w:w="5990" w:type="dxa"/>
        <w:jc w:val="center"/>
        <w:tblLook w:val="04A0" w:firstRow="1" w:lastRow="0" w:firstColumn="1" w:lastColumn="0" w:noHBand="0" w:noVBand="1"/>
      </w:tblPr>
      <w:tblGrid>
        <w:gridCol w:w="1376"/>
        <w:gridCol w:w="996"/>
        <w:gridCol w:w="996"/>
        <w:gridCol w:w="996"/>
        <w:gridCol w:w="960"/>
        <w:gridCol w:w="996"/>
      </w:tblGrid>
      <w:tr w:rsidR="00806AC5" w:rsidRPr="008408E9" w14:paraId="547B3711" w14:textId="77777777" w:rsidTr="00806AC5">
        <w:trPr>
          <w:trHeight w:val="930"/>
          <w:jc w:val="center"/>
        </w:trPr>
        <w:tc>
          <w:tcPr>
            <w:tcW w:w="119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893E1B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Profitability Ratios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C477924"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CFF4035"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74EFAD6"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BF9A575"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34D3871"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806AC5" w:rsidRPr="008408E9" w14:paraId="07502D6D"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15FC763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1502387"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A6FBC12"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B8EEA10"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B63463"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D04AC3C"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209BD7FF" w14:textId="77777777" w:rsidTr="00806AC5">
        <w:trPr>
          <w:trHeight w:val="155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29EB67D8"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lastRenderedPageBreak/>
              <w:t>Return on Investment (ROI)</w:t>
            </w:r>
          </w:p>
        </w:tc>
        <w:tc>
          <w:tcPr>
            <w:tcW w:w="960" w:type="dxa"/>
            <w:tcBorders>
              <w:top w:val="nil"/>
              <w:left w:val="nil"/>
              <w:bottom w:val="single" w:sz="4" w:space="0" w:color="auto"/>
              <w:right w:val="single" w:sz="4" w:space="0" w:color="auto"/>
            </w:tcBorders>
            <w:shd w:val="clear" w:color="auto" w:fill="auto"/>
            <w:noWrap/>
            <w:vAlign w:val="bottom"/>
            <w:hideMark/>
          </w:tcPr>
          <w:p w14:paraId="46FB9A9E"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£101.26</w:t>
            </w:r>
          </w:p>
        </w:tc>
        <w:tc>
          <w:tcPr>
            <w:tcW w:w="960" w:type="dxa"/>
            <w:tcBorders>
              <w:top w:val="nil"/>
              <w:left w:val="nil"/>
              <w:bottom w:val="single" w:sz="4" w:space="0" w:color="auto"/>
              <w:right w:val="single" w:sz="4" w:space="0" w:color="auto"/>
            </w:tcBorders>
            <w:shd w:val="clear" w:color="auto" w:fill="auto"/>
            <w:noWrap/>
            <w:vAlign w:val="bottom"/>
            <w:hideMark/>
          </w:tcPr>
          <w:p w14:paraId="3D676E60"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£95.69</w:t>
            </w:r>
          </w:p>
        </w:tc>
        <w:tc>
          <w:tcPr>
            <w:tcW w:w="960" w:type="dxa"/>
            <w:tcBorders>
              <w:top w:val="nil"/>
              <w:left w:val="nil"/>
              <w:bottom w:val="single" w:sz="4" w:space="0" w:color="auto"/>
              <w:right w:val="single" w:sz="4" w:space="0" w:color="auto"/>
            </w:tcBorders>
            <w:shd w:val="clear" w:color="auto" w:fill="auto"/>
            <w:noWrap/>
            <w:vAlign w:val="bottom"/>
            <w:hideMark/>
          </w:tcPr>
          <w:p w14:paraId="44021D96"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£94.59</w:t>
            </w:r>
          </w:p>
        </w:tc>
        <w:tc>
          <w:tcPr>
            <w:tcW w:w="960" w:type="dxa"/>
            <w:tcBorders>
              <w:top w:val="nil"/>
              <w:left w:val="nil"/>
              <w:bottom w:val="single" w:sz="4" w:space="0" w:color="auto"/>
              <w:right w:val="single" w:sz="4" w:space="0" w:color="auto"/>
            </w:tcBorders>
            <w:shd w:val="clear" w:color="auto" w:fill="auto"/>
            <w:noWrap/>
            <w:vAlign w:val="bottom"/>
            <w:hideMark/>
          </w:tcPr>
          <w:p w14:paraId="2035CCA0"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£72.23</w:t>
            </w:r>
          </w:p>
        </w:tc>
        <w:tc>
          <w:tcPr>
            <w:tcW w:w="960" w:type="dxa"/>
            <w:tcBorders>
              <w:top w:val="nil"/>
              <w:left w:val="nil"/>
              <w:bottom w:val="single" w:sz="4" w:space="0" w:color="auto"/>
              <w:right w:val="single" w:sz="4" w:space="0" w:color="auto"/>
            </w:tcBorders>
            <w:shd w:val="clear" w:color="auto" w:fill="auto"/>
            <w:noWrap/>
            <w:vAlign w:val="bottom"/>
            <w:hideMark/>
          </w:tcPr>
          <w:p w14:paraId="4AF7D464"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£65.89</w:t>
            </w:r>
          </w:p>
        </w:tc>
      </w:tr>
      <w:tr w:rsidR="00806AC5" w:rsidRPr="008408E9" w14:paraId="16C5C12B"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15BA190C"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F5F98CF"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1760090"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700531B"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280EE88"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74B81F8"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4F016A09" w14:textId="77777777" w:rsidTr="00806AC5">
        <w:trPr>
          <w:trHeight w:val="124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B905055"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Return on Equity (ROE)</w:t>
            </w:r>
          </w:p>
        </w:tc>
        <w:tc>
          <w:tcPr>
            <w:tcW w:w="960" w:type="dxa"/>
            <w:tcBorders>
              <w:top w:val="nil"/>
              <w:left w:val="nil"/>
              <w:bottom w:val="single" w:sz="4" w:space="0" w:color="auto"/>
              <w:right w:val="single" w:sz="4" w:space="0" w:color="auto"/>
            </w:tcBorders>
            <w:shd w:val="clear" w:color="auto" w:fill="auto"/>
            <w:noWrap/>
            <w:vAlign w:val="bottom"/>
            <w:hideMark/>
          </w:tcPr>
          <w:p w14:paraId="2A66B22F"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0.47%</w:t>
            </w:r>
          </w:p>
        </w:tc>
        <w:tc>
          <w:tcPr>
            <w:tcW w:w="960" w:type="dxa"/>
            <w:tcBorders>
              <w:top w:val="nil"/>
              <w:left w:val="nil"/>
              <w:bottom w:val="single" w:sz="4" w:space="0" w:color="auto"/>
              <w:right w:val="single" w:sz="4" w:space="0" w:color="auto"/>
            </w:tcBorders>
            <w:shd w:val="clear" w:color="auto" w:fill="auto"/>
            <w:noWrap/>
            <w:vAlign w:val="bottom"/>
            <w:hideMark/>
          </w:tcPr>
          <w:p w14:paraId="40CE7EBB"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1.03%</w:t>
            </w:r>
          </w:p>
        </w:tc>
        <w:tc>
          <w:tcPr>
            <w:tcW w:w="960" w:type="dxa"/>
            <w:tcBorders>
              <w:top w:val="nil"/>
              <w:left w:val="nil"/>
              <w:bottom w:val="single" w:sz="4" w:space="0" w:color="auto"/>
              <w:right w:val="single" w:sz="4" w:space="0" w:color="auto"/>
            </w:tcBorders>
            <w:shd w:val="clear" w:color="auto" w:fill="auto"/>
            <w:noWrap/>
            <w:vAlign w:val="bottom"/>
            <w:hideMark/>
          </w:tcPr>
          <w:p w14:paraId="4CE0949D"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1.03%</w:t>
            </w:r>
          </w:p>
        </w:tc>
        <w:tc>
          <w:tcPr>
            <w:tcW w:w="960" w:type="dxa"/>
            <w:tcBorders>
              <w:top w:val="nil"/>
              <w:left w:val="nil"/>
              <w:bottom w:val="single" w:sz="4" w:space="0" w:color="auto"/>
              <w:right w:val="single" w:sz="4" w:space="0" w:color="auto"/>
            </w:tcBorders>
            <w:shd w:val="clear" w:color="auto" w:fill="auto"/>
            <w:noWrap/>
            <w:vAlign w:val="bottom"/>
            <w:hideMark/>
          </w:tcPr>
          <w:p w14:paraId="5EB22C37"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0.79%</w:t>
            </w:r>
          </w:p>
        </w:tc>
        <w:tc>
          <w:tcPr>
            <w:tcW w:w="960" w:type="dxa"/>
            <w:tcBorders>
              <w:top w:val="nil"/>
              <w:left w:val="nil"/>
              <w:bottom w:val="single" w:sz="4" w:space="0" w:color="auto"/>
              <w:right w:val="single" w:sz="4" w:space="0" w:color="auto"/>
            </w:tcBorders>
            <w:shd w:val="clear" w:color="auto" w:fill="auto"/>
            <w:noWrap/>
            <w:vAlign w:val="bottom"/>
            <w:hideMark/>
          </w:tcPr>
          <w:p w14:paraId="74572A5F"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1.21%</w:t>
            </w:r>
          </w:p>
        </w:tc>
      </w:tr>
      <w:tr w:rsidR="00806AC5" w:rsidRPr="008408E9" w14:paraId="03DB3CAC"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44DA7ED"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22FDB9B"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1089F1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2CC8175"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A8F5D9E"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073077"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05B01883" w14:textId="77777777" w:rsidTr="00806AC5">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CB33421"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Earnings Per Share</w:t>
            </w:r>
          </w:p>
        </w:tc>
        <w:tc>
          <w:tcPr>
            <w:tcW w:w="960" w:type="dxa"/>
            <w:tcBorders>
              <w:top w:val="nil"/>
              <w:left w:val="nil"/>
              <w:bottom w:val="single" w:sz="4" w:space="0" w:color="auto"/>
              <w:right w:val="single" w:sz="4" w:space="0" w:color="auto"/>
            </w:tcBorders>
            <w:shd w:val="clear" w:color="auto" w:fill="auto"/>
            <w:noWrap/>
            <w:vAlign w:val="bottom"/>
            <w:hideMark/>
          </w:tcPr>
          <w:p w14:paraId="51E39ED1"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£4.88</w:t>
            </w:r>
          </w:p>
        </w:tc>
        <w:tc>
          <w:tcPr>
            <w:tcW w:w="960" w:type="dxa"/>
            <w:tcBorders>
              <w:top w:val="nil"/>
              <w:left w:val="nil"/>
              <w:bottom w:val="single" w:sz="4" w:space="0" w:color="auto"/>
              <w:right w:val="single" w:sz="4" w:space="0" w:color="auto"/>
            </w:tcBorders>
            <w:shd w:val="clear" w:color="auto" w:fill="auto"/>
            <w:noWrap/>
            <w:vAlign w:val="bottom"/>
            <w:hideMark/>
          </w:tcPr>
          <w:p w14:paraId="2450A70C"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£9.57</w:t>
            </w:r>
          </w:p>
        </w:tc>
        <w:tc>
          <w:tcPr>
            <w:tcW w:w="960" w:type="dxa"/>
            <w:tcBorders>
              <w:top w:val="nil"/>
              <w:left w:val="nil"/>
              <w:bottom w:val="single" w:sz="4" w:space="0" w:color="auto"/>
              <w:right w:val="single" w:sz="4" w:space="0" w:color="auto"/>
            </w:tcBorders>
            <w:shd w:val="clear" w:color="auto" w:fill="auto"/>
            <w:noWrap/>
            <w:vAlign w:val="bottom"/>
            <w:hideMark/>
          </w:tcPr>
          <w:p w14:paraId="45253925"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£10.92</w:t>
            </w:r>
          </w:p>
        </w:tc>
        <w:tc>
          <w:tcPr>
            <w:tcW w:w="960" w:type="dxa"/>
            <w:tcBorders>
              <w:top w:val="nil"/>
              <w:left w:val="nil"/>
              <w:bottom w:val="single" w:sz="4" w:space="0" w:color="auto"/>
              <w:right w:val="single" w:sz="4" w:space="0" w:color="auto"/>
            </w:tcBorders>
            <w:shd w:val="clear" w:color="auto" w:fill="auto"/>
            <w:noWrap/>
            <w:vAlign w:val="bottom"/>
            <w:hideMark/>
          </w:tcPr>
          <w:p w14:paraId="400E2CB7"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£8.38</w:t>
            </w:r>
          </w:p>
        </w:tc>
        <w:tc>
          <w:tcPr>
            <w:tcW w:w="960" w:type="dxa"/>
            <w:tcBorders>
              <w:top w:val="nil"/>
              <w:left w:val="nil"/>
              <w:bottom w:val="single" w:sz="4" w:space="0" w:color="auto"/>
              <w:right w:val="single" w:sz="4" w:space="0" w:color="auto"/>
            </w:tcBorders>
            <w:shd w:val="clear" w:color="auto" w:fill="auto"/>
            <w:noWrap/>
            <w:vAlign w:val="bottom"/>
            <w:hideMark/>
          </w:tcPr>
          <w:p w14:paraId="7AD62E0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£5.72</w:t>
            </w:r>
          </w:p>
        </w:tc>
      </w:tr>
      <w:tr w:rsidR="00806AC5" w:rsidRPr="008408E9" w14:paraId="23FF26F1" w14:textId="77777777" w:rsidTr="00806AC5">
        <w:trPr>
          <w:trHeight w:val="310"/>
          <w:jc w:val="center"/>
        </w:trPr>
        <w:tc>
          <w:tcPr>
            <w:tcW w:w="1190" w:type="dxa"/>
            <w:tcBorders>
              <w:top w:val="nil"/>
              <w:left w:val="nil"/>
              <w:bottom w:val="nil"/>
              <w:right w:val="nil"/>
            </w:tcBorders>
            <w:shd w:val="clear" w:color="auto" w:fill="auto"/>
            <w:vAlign w:val="bottom"/>
            <w:hideMark/>
          </w:tcPr>
          <w:p w14:paraId="4FA910F6"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23FC9020"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B31DE8A"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3330F7A"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8E58FC4"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9C920E1"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r>
      <w:tr w:rsidR="00806AC5" w:rsidRPr="008408E9" w14:paraId="6979FF77" w14:textId="77777777" w:rsidTr="00806AC5">
        <w:trPr>
          <w:trHeight w:val="620"/>
          <w:jc w:val="center"/>
        </w:trPr>
        <w:tc>
          <w:tcPr>
            <w:tcW w:w="119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E859ECE"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Liquidity Ratios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72A019B"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18C56B2"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FE6DE20"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E46E4E"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46889C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806AC5" w:rsidRPr="008408E9" w14:paraId="772ABF4E"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84A5B5D"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79FBE2D"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64F9173"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58BBF1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D2EDF25"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A339012"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6100A003" w14:textId="77777777" w:rsidTr="00806AC5">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DF9F917"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Absolute Liquidity Ratio</w:t>
            </w:r>
          </w:p>
        </w:tc>
        <w:tc>
          <w:tcPr>
            <w:tcW w:w="960" w:type="dxa"/>
            <w:tcBorders>
              <w:top w:val="nil"/>
              <w:left w:val="nil"/>
              <w:bottom w:val="single" w:sz="4" w:space="0" w:color="auto"/>
              <w:right w:val="single" w:sz="4" w:space="0" w:color="auto"/>
            </w:tcBorders>
            <w:shd w:val="clear" w:color="auto" w:fill="auto"/>
            <w:noWrap/>
            <w:vAlign w:val="bottom"/>
            <w:hideMark/>
          </w:tcPr>
          <w:p w14:paraId="39D5B49B"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10.8942</w:t>
            </w:r>
          </w:p>
        </w:tc>
        <w:tc>
          <w:tcPr>
            <w:tcW w:w="960" w:type="dxa"/>
            <w:tcBorders>
              <w:top w:val="nil"/>
              <w:left w:val="nil"/>
              <w:bottom w:val="single" w:sz="4" w:space="0" w:color="auto"/>
              <w:right w:val="single" w:sz="4" w:space="0" w:color="auto"/>
            </w:tcBorders>
            <w:shd w:val="clear" w:color="auto" w:fill="auto"/>
            <w:noWrap/>
            <w:vAlign w:val="bottom"/>
            <w:hideMark/>
          </w:tcPr>
          <w:p w14:paraId="567E8290"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10.9075</w:t>
            </w:r>
          </w:p>
        </w:tc>
        <w:tc>
          <w:tcPr>
            <w:tcW w:w="960" w:type="dxa"/>
            <w:tcBorders>
              <w:top w:val="nil"/>
              <w:left w:val="nil"/>
              <w:bottom w:val="single" w:sz="4" w:space="0" w:color="auto"/>
              <w:right w:val="single" w:sz="4" w:space="0" w:color="auto"/>
            </w:tcBorders>
            <w:shd w:val="clear" w:color="auto" w:fill="auto"/>
            <w:noWrap/>
            <w:vAlign w:val="bottom"/>
            <w:hideMark/>
          </w:tcPr>
          <w:p w14:paraId="4E63A980"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11.5213</w:t>
            </w:r>
          </w:p>
        </w:tc>
        <w:tc>
          <w:tcPr>
            <w:tcW w:w="960" w:type="dxa"/>
            <w:tcBorders>
              <w:top w:val="nil"/>
              <w:left w:val="nil"/>
              <w:bottom w:val="single" w:sz="4" w:space="0" w:color="auto"/>
              <w:right w:val="single" w:sz="4" w:space="0" w:color="auto"/>
            </w:tcBorders>
            <w:shd w:val="clear" w:color="auto" w:fill="auto"/>
            <w:noWrap/>
            <w:vAlign w:val="bottom"/>
            <w:hideMark/>
          </w:tcPr>
          <w:p w14:paraId="606A6F8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11.398</w:t>
            </w:r>
          </w:p>
        </w:tc>
        <w:tc>
          <w:tcPr>
            <w:tcW w:w="960" w:type="dxa"/>
            <w:tcBorders>
              <w:top w:val="nil"/>
              <w:left w:val="nil"/>
              <w:bottom w:val="single" w:sz="4" w:space="0" w:color="auto"/>
              <w:right w:val="single" w:sz="4" w:space="0" w:color="auto"/>
            </w:tcBorders>
            <w:shd w:val="clear" w:color="auto" w:fill="auto"/>
            <w:noWrap/>
            <w:vAlign w:val="bottom"/>
            <w:hideMark/>
          </w:tcPr>
          <w:p w14:paraId="6E44D086"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11.9339</w:t>
            </w:r>
          </w:p>
        </w:tc>
      </w:tr>
      <w:tr w:rsidR="00806AC5" w:rsidRPr="008408E9" w14:paraId="194FB8FE"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70076C54"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D3B92A"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0737AC4"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9398A5F"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F7E17D6"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3651E7F"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6EF2A24A" w14:textId="77777777" w:rsidTr="00806AC5">
        <w:trPr>
          <w:trHeight w:val="62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2278AD5C"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Cash Ratios</w:t>
            </w:r>
          </w:p>
        </w:tc>
        <w:tc>
          <w:tcPr>
            <w:tcW w:w="960" w:type="dxa"/>
            <w:tcBorders>
              <w:top w:val="nil"/>
              <w:left w:val="nil"/>
              <w:bottom w:val="single" w:sz="4" w:space="0" w:color="auto"/>
              <w:right w:val="single" w:sz="4" w:space="0" w:color="auto"/>
            </w:tcBorders>
            <w:shd w:val="clear" w:color="auto" w:fill="auto"/>
            <w:noWrap/>
            <w:vAlign w:val="bottom"/>
            <w:hideMark/>
          </w:tcPr>
          <w:p w14:paraId="0A9F6809"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3.33%</w:t>
            </w:r>
          </w:p>
        </w:tc>
        <w:tc>
          <w:tcPr>
            <w:tcW w:w="960" w:type="dxa"/>
            <w:tcBorders>
              <w:top w:val="nil"/>
              <w:left w:val="nil"/>
              <w:bottom w:val="single" w:sz="4" w:space="0" w:color="auto"/>
              <w:right w:val="single" w:sz="4" w:space="0" w:color="auto"/>
            </w:tcBorders>
            <w:shd w:val="clear" w:color="auto" w:fill="auto"/>
            <w:noWrap/>
            <w:vAlign w:val="bottom"/>
            <w:hideMark/>
          </w:tcPr>
          <w:p w14:paraId="2066CAEF"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8.20%</w:t>
            </w:r>
          </w:p>
        </w:tc>
        <w:tc>
          <w:tcPr>
            <w:tcW w:w="960" w:type="dxa"/>
            <w:tcBorders>
              <w:top w:val="nil"/>
              <w:left w:val="nil"/>
              <w:bottom w:val="single" w:sz="4" w:space="0" w:color="auto"/>
              <w:right w:val="single" w:sz="4" w:space="0" w:color="auto"/>
            </w:tcBorders>
            <w:shd w:val="clear" w:color="auto" w:fill="auto"/>
            <w:noWrap/>
            <w:vAlign w:val="bottom"/>
            <w:hideMark/>
          </w:tcPr>
          <w:p w14:paraId="2283E601"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6.05%</w:t>
            </w:r>
          </w:p>
        </w:tc>
        <w:tc>
          <w:tcPr>
            <w:tcW w:w="960" w:type="dxa"/>
            <w:tcBorders>
              <w:top w:val="nil"/>
              <w:left w:val="nil"/>
              <w:bottom w:val="single" w:sz="4" w:space="0" w:color="auto"/>
              <w:right w:val="single" w:sz="4" w:space="0" w:color="auto"/>
            </w:tcBorders>
            <w:shd w:val="clear" w:color="auto" w:fill="auto"/>
            <w:noWrap/>
            <w:vAlign w:val="bottom"/>
            <w:hideMark/>
          </w:tcPr>
          <w:p w14:paraId="391B6A2A"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7.42%</w:t>
            </w:r>
          </w:p>
        </w:tc>
        <w:tc>
          <w:tcPr>
            <w:tcW w:w="960" w:type="dxa"/>
            <w:tcBorders>
              <w:top w:val="nil"/>
              <w:left w:val="nil"/>
              <w:bottom w:val="single" w:sz="4" w:space="0" w:color="auto"/>
              <w:right w:val="single" w:sz="4" w:space="0" w:color="auto"/>
            </w:tcBorders>
            <w:shd w:val="clear" w:color="auto" w:fill="auto"/>
            <w:noWrap/>
            <w:vAlign w:val="bottom"/>
            <w:hideMark/>
          </w:tcPr>
          <w:p w14:paraId="6BC490C4"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8.43%</w:t>
            </w:r>
          </w:p>
        </w:tc>
      </w:tr>
      <w:tr w:rsidR="00806AC5" w:rsidRPr="008408E9" w14:paraId="33498DAC" w14:textId="77777777" w:rsidTr="00806AC5">
        <w:trPr>
          <w:trHeight w:val="310"/>
          <w:jc w:val="center"/>
        </w:trPr>
        <w:tc>
          <w:tcPr>
            <w:tcW w:w="1190" w:type="dxa"/>
            <w:tcBorders>
              <w:top w:val="nil"/>
              <w:left w:val="nil"/>
              <w:bottom w:val="nil"/>
              <w:right w:val="nil"/>
            </w:tcBorders>
            <w:shd w:val="clear" w:color="auto" w:fill="auto"/>
            <w:vAlign w:val="bottom"/>
            <w:hideMark/>
          </w:tcPr>
          <w:p w14:paraId="6D48F115"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2255AABE"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4B83F518"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05E6ACB"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133B5C0"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7D075F2" w14:textId="77777777" w:rsidR="00806AC5" w:rsidRPr="008408E9" w:rsidRDefault="00806AC5" w:rsidP="008408E9">
            <w:pPr>
              <w:spacing w:after="0" w:line="360" w:lineRule="auto"/>
              <w:rPr>
                <w:rFonts w:ascii="Times New Roman" w:eastAsia="Times New Roman" w:hAnsi="Times New Roman" w:cs="Times New Roman"/>
                <w:sz w:val="20"/>
                <w:szCs w:val="20"/>
                <w:lang w:val="en-GB" w:eastAsia="en-GB"/>
              </w:rPr>
            </w:pPr>
          </w:p>
        </w:tc>
      </w:tr>
      <w:tr w:rsidR="00806AC5" w:rsidRPr="008408E9" w14:paraId="3681BFC5" w14:textId="77777777" w:rsidTr="00806AC5">
        <w:trPr>
          <w:trHeight w:val="620"/>
          <w:jc w:val="center"/>
        </w:trPr>
        <w:tc>
          <w:tcPr>
            <w:tcW w:w="119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27CCC146"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Gearing Ratios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51F6056"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FBFAF2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7AEC12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634130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6CA35E1"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806AC5" w:rsidRPr="008408E9" w14:paraId="483393D9"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2AA6C9E6"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B9C5485"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763559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8D79BE8"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284FE80"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32471EF"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2A37AA7A" w14:textId="77777777" w:rsidTr="00806AC5">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7DBBC43E"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Debt to Equity Ratio</w:t>
            </w:r>
          </w:p>
        </w:tc>
        <w:tc>
          <w:tcPr>
            <w:tcW w:w="960" w:type="dxa"/>
            <w:tcBorders>
              <w:top w:val="nil"/>
              <w:left w:val="nil"/>
              <w:bottom w:val="single" w:sz="4" w:space="0" w:color="auto"/>
              <w:right w:val="single" w:sz="4" w:space="0" w:color="auto"/>
            </w:tcBorders>
            <w:shd w:val="clear" w:color="auto" w:fill="auto"/>
            <w:noWrap/>
            <w:vAlign w:val="bottom"/>
            <w:hideMark/>
          </w:tcPr>
          <w:p w14:paraId="27648B9E"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0.02</w:t>
            </w:r>
          </w:p>
        </w:tc>
        <w:tc>
          <w:tcPr>
            <w:tcW w:w="960" w:type="dxa"/>
            <w:tcBorders>
              <w:top w:val="nil"/>
              <w:left w:val="nil"/>
              <w:bottom w:val="single" w:sz="4" w:space="0" w:color="auto"/>
              <w:right w:val="single" w:sz="4" w:space="0" w:color="auto"/>
            </w:tcBorders>
            <w:shd w:val="clear" w:color="auto" w:fill="auto"/>
            <w:noWrap/>
            <w:vAlign w:val="bottom"/>
            <w:hideMark/>
          </w:tcPr>
          <w:p w14:paraId="574CE112"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0.01</w:t>
            </w:r>
          </w:p>
        </w:tc>
        <w:tc>
          <w:tcPr>
            <w:tcW w:w="960" w:type="dxa"/>
            <w:tcBorders>
              <w:top w:val="nil"/>
              <w:left w:val="nil"/>
              <w:bottom w:val="single" w:sz="4" w:space="0" w:color="auto"/>
              <w:right w:val="single" w:sz="4" w:space="0" w:color="auto"/>
            </w:tcBorders>
            <w:shd w:val="clear" w:color="auto" w:fill="auto"/>
            <w:noWrap/>
            <w:vAlign w:val="bottom"/>
            <w:hideMark/>
          </w:tcPr>
          <w:p w14:paraId="3B6363FA"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0.01</w:t>
            </w:r>
          </w:p>
        </w:tc>
        <w:tc>
          <w:tcPr>
            <w:tcW w:w="960" w:type="dxa"/>
            <w:tcBorders>
              <w:top w:val="nil"/>
              <w:left w:val="nil"/>
              <w:bottom w:val="single" w:sz="4" w:space="0" w:color="auto"/>
              <w:right w:val="single" w:sz="4" w:space="0" w:color="auto"/>
            </w:tcBorders>
            <w:shd w:val="clear" w:color="auto" w:fill="auto"/>
            <w:noWrap/>
            <w:vAlign w:val="bottom"/>
            <w:hideMark/>
          </w:tcPr>
          <w:p w14:paraId="6EFF51FF"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0.01</w:t>
            </w:r>
          </w:p>
        </w:tc>
        <w:tc>
          <w:tcPr>
            <w:tcW w:w="960" w:type="dxa"/>
            <w:tcBorders>
              <w:top w:val="nil"/>
              <w:left w:val="nil"/>
              <w:bottom w:val="single" w:sz="4" w:space="0" w:color="auto"/>
              <w:right w:val="single" w:sz="4" w:space="0" w:color="auto"/>
            </w:tcBorders>
            <w:shd w:val="clear" w:color="auto" w:fill="auto"/>
            <w:noWrap/>
            <w:vAlign w:val="bottom"/>
            <w:hideMark/>
          </w:tcPr>
          <w:p w14:paraId="53F99E38"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0.01</w:t>
            </w:r>
          </w:p>
        </w:tc>
      </w:tr>
      <w:tr w:rsidR="00806AC5" w:rsidRPr="008408E9" w14:paraId="3BCFE3CD"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493E5E2"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8E6E798"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D4F798D"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CF6ED11"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7F16CA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3E24DD0"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0D450928" w14:textId="77777777" w:rsidTr="00806AC5">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1631500"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Interest Coverage Ratio</w:t>
            </w:r>
          </w:p>
        </w:tc>
        <w:tc>
          <w:tcPr>
            <w:tcW w:w="960" w:type="dxa"/>
            <w:tcBorders>
              <w:top w:val="nil"/>
              <w:left w:val="nil"/>
              <w:bottom w:val="single" w:sz="4" w:space="0" w:color="auto"/>
              <w:right w:val="single" w:sz="4" w:space="0" w:color="auto"/>
            </w:tcBorders>
            <w:shd w:val="clear" w:color="auto" w:fill="auto"/>
            <w:noWrap/>
            <w:vAlign w:val="bottom"/>
            <w:hideMark/>
          </w:tcPr>
          <w:p w14:paraId="41297F8F"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4.96</w:t>
            </w:r>
          </w:p>
        </w:tc>
        <w:tc>
          <w:tcPr>
            <w:tcW w:w="960" w:type="dxa"/>
            <w:tcBorders>
              <w:top w:val="nil"/>
              <w:left w:val="nil"/>
              <w:bottom w:val="single" w:sz="4" w:space="0" w:color="auto"/>
              <w:right w:val="single" w:sz="4" w:space="0" w:color="auto"/>
            </w:tcBorders>
            <w:shd w:val="clear" w:color="auto" w:fill="auto"/>
            <w:noWrap/>
            <w:vAlign w:val="bottom"/>
            <w:hideMark/>
          </w:tcPr>
          <w:p w14:paraId="700F73A1"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2.82</w:t>
            </w:r>
          </w:p>
        </w:tc>
        <w:tc>
          <w:tcPr>
            <w:tcW w:w="960" w:type="dxa"/>
            <w:tcBorders>
              <w:top w:val="nil"/>
              <w:left w:val="nil"/>
              <w:bottom w:val="single" w:sz="4" w:space="0" w:color="auto"/>
              <w:right w:val="single" w:sz="4" w:space="0" w:color="auto"/>
            </w:tcBorders>
            <w:shd w:val="clear" w:color="auto" w:fill="auto"/>
            <w:noWrap/>
            <w:vAlign w:val="bottom"/>
            <w:hideMark/>
          </w:tcPr>
          <w:p w14:paraId="1BD3C9CC"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3.04</w:t>
            </w:r>
          </w:p>
        </w:tc>
        <w:tc>
          <w:tcPr>
            <w:tcW w:w="960" w:type="dxa"/>
            <w:tcBorders>
              <w:top w:val="nil"/>
              <w:left w:val="nil"/>
              <w:bottom w:val="single" w:sz="4" w:space="0" w:color="auto"/>
              <w:right w:val="single" w:sz="4" w:space="0" w:color="auto"/>
            </w:tcBorders>
            <w:shd w:val="clear" w:color="auto" w:fill="auto"/>
            <w:noWrap/>
            <w:vAlign w:val="bottom"/>
            <w:hideMark/>
          </w:tcPr>
          <w:p w14:paraId="26F1569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3.86</w:t>
            </w:r>
          </w:p>
        </w:tc>
        <w:tc>
          <w:tcPr>
            <w:tcW w:w="960" w:type="dxa"/>
            <w:tcBorders>
              <w:top w:val="nil"/>
              <w:left w:val="nil"/>
              <w:bottom w:val="single" w:sz="4" w:space="0" w:color="auto"/>
              <w:right w:val="single" w:sz="4" w:space="0" w:color="auto"/>
            </w:tcBorders>
            <w:shd w:val="clear" w:color="auto" w:fill="auto"/>
            <w:noWrap/>
            <w:vAlign w:val="bottom"/>
            <w:hideMark/>
          </w:tcPr>
          <w:p w14:paraId="1393197A"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6.76</w:t>
            </w:r>
          </w:p>
        </w:tc>
      </w:tr>
      <w:tr w:rsidR="00806AC5" w:rsidRPr="008408E9" w14:paraId="6A8A9BFB"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2C7D00F9"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29B2832"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nil"/>
              <w:left w:val="nil"/>
              <w:bottom w:val="single" w:sz="4" w:space="0" w:color="auto"/>
              <w:right w:val="single" w:sz="4" w:space="0" w:color="auto"/>
            </w:tcBorders>
            <w:shd w:val="clear" w:color="auto" w:fill="auto"/>
            <w:noWrap/>
            <w:vAlign w:val="bottom"/>
            <w:hideMark/>
          </w:tcPr>
          <w:p w14:paraId="2561FAE7"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3AE3499C"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3C8BA968"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54EEDC69"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806AC5" w:rsidRPr="008408E9" w14:paraId="6DA8FF64" w14:textId="77777777" w:rsidTr="00806AC5">
        <w:trPr>
          <w:trHeight w:val="62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628EE557"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lastRenderedPageBreak/>
              <w:t>Efficiency Ratio</w:t>
            </w:r>
          </w:p>
        </w:tc>
        <w:tc>
          <w:tcPr>
            <w:tcW w:w="960" w:type="dxa"/>
            <w:tcBorders>
              <w:top w:val="nil"/>
              <w:left w:val="nil"/>
              <w:bottom w:val="single" w:sz="4" w:space="0" w:color="auto"/>
              <w:right w:val="single" w:sz="4" w:space="0" w:color="auto"/>
            </w:tcBorders>
            <w:shd w:val="clear" w:color="auto" w:fill="auto"/>
            <w:noWrap/>
            <w:vAlign w:val="bottom"/>
            <w:hideMark/>
          </w:tcPr>
          <w:p w14:paraId="1F012FCC"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147.49</w:t>
            </w:r>
          </w:p>
        </w:tc>
        <w:tc>
          <w:tcPr>
            <w:tcW w:w="960" w:type="dxa"/>
            <w:tcBorders>
              <w:top w:val="nil"/>
              <w:left w:val="nil"/>
              <w:bottom w:val="single" w:sz="4" w:space="0" w:color="auto"/>
              <w:right w:val="single" w:sz="4" w:space="0" w:color="auto"/>
            </w:tcBorders>
            <w:shd w:val="clear" w:color="auto" w:fill="auto"/>
            <w:noWrap/>
            <w:vAlign w:val="bottom"/>
            <w:hideMark/>
          </w:tcPr>
          <w:p w14:paraId="0B935BE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27.85</w:t>
            </w:r>
          </w:p>
        </w:tc>
        <w:tc>
          <w:tcPr>
            <w:tcW w:w="960" w:type="dxa"/>
            <w:tcBorders>
              <w:top w:val="nil"/>
              <w:left w:val="nil"/>
              <w:bottom w:val="single" w:sz="4" w:space="0" w:color="auto"/>
              <w:right w:val="single" w:sz="4" w:space="0" w:color="auto"/>
            </w:tcBorders>
            <w:shd w:val="clear" w:color="auto" w:fill="auto"/>
            <w:noWrap/>
            <w:vAlign w:val="bottom"/>
            <w:hideMark/>
          </w:tcPr>
          <w:p w14:paraId="2F38BE7A"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43.15</w:t>
            </w:r>
          </w:p>
        </w:tc>
        <w:tc>
          <w:tcPr>
            <w:tcW w:w="960" w:type="dxa"/>
            <w:tcBorders>
              <w:top w:val="nil"/>
              <w:left w:val="nil"/>
              <w:bottom w:val="single" w:sz="4" w:space="0" w:color="auto"/>
              <w:right w:val="single" w:sz="4" w:space="0" w:color="auto"/>
            </w:tcBorders>
            <w:shd w:val="clear" w:color="auto" w:fill="auto"/>
            <w:noWrap/>
            <w:vAlign w:val="bottom"/>
            <w:hideMark/>
          </w:tcPr>
          <w:p w14:paraId="2EF00BD6"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29.33</w:t>
            </w:r>
          </w:p>
        </w:tc>
        <w:tc>
          <w:tcPr>
            <w:tcW w:w="960" w:type="dxa"/>
            <w:tcBorders>
              <w:top w:val="nil"/>
              <w:left w:val="nil"/>
              <w:bottom w:val="single" w:sz="4" w:space="0" w:color="auto"/>
              <w:right w:val="single" w:sz="4" w:space="0" w:color="auto"/>
            </w:tcBorders>
            <w:shd w:val="clear" w:color="auto" w:fill="auto"/>
            <w:noWrap/>
            <w:vAlign w:val="bottom"/>
            <w:hideMark/>
          </w:tcPr>
          <w:p w14:paraId="4A02EF74"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23.65</w:t>
            </w:r>
          </w:p>
        </w:tc>
      </w:tr>
      <w:tr w:rsidR="00806AC5" w:rsidRPr="008408E9" w14:paraId="37444CB2" w14:textId="77777777" w:rsidTr="00806AC5">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75A9FC2"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AAF95D7"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D143411"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B1E5DA6"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6FB6B52"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650DD3E"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806AC5" w:rsidRPr="008408E9" w14:paraId="3D1A56A3" w14:textId="77777777" w:rsidTr="00806AC5">
        <w:trPr>
          <w:trHeight w:val="124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523F12D8" w14:textId="77777777" w:rsidR="00806AC5" w:rsidRPr="008408E9" w:rsidRDefault="00806AC5"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Cash Conversion Cycle (CCC)</w:t>
            </w:r>
          </w:p>
        </w:tc>
        <w:tc>
          <w:tcPr>
            <w:tcW w:w="960" w:type="dxa"/>
            <w:tcBorders>
              <w:top w:val="nil"/>
              <w:left w:val="nil"/>
              <w:bottom w:val="single" w:sz="4" w:space="0" w:color="auto"/>
              <w:right w:val="single" w:sz="4" w:space="0" w:color="auto"/>
            </w:tcBorders>
            <w:shd w:val="clear" w:color="auto" w:fill="auto"/>
            <w:noWrap/>
            <w:vAlign w:val="bottom"/>
            <w:hideMark/>
          </w:tcPr>
          <w:p w14:paraId="58C2BB90"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30</w:t>
            </w:r>
          </w:p>
        </w:tc>
        <w:tc>
          <w:tcPr>
            <w:tcW w:w="960" w:type="dxa"/>
            <w:tcBorders>
              <w:top w:val="nil"/>
              <w:left w:val="nil"/>
              <w:bottom w:val="single" w:sz="4" w:space="0" w:color="auto"/>
              <w:right w:val="single" w:sz="4" w:space="0" w:color="auto"/>
            </w:tcBorders>
            <w:shd w:val="clear" w:color="auto" w:fill="auto"/>
            <w:noWrap/>
            <w:vAlign w:val="bottom"/>
            <w:hideMark/>
          </w:tcPr>
          <w:p w14:paraId="41A26E03"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0F6335BF"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14:paraId="6C118CE4"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785702FB" w14:textId="77777777" w:rsidR="00806AC5" w:rsidRPr="008408E9" w:rsidRDefault="00806AC5"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w:t>
            </w:r>
          </w:p>
        </w:tc>
      </w:tr>
    </w:tbl>
    <w:p w14:paraId="367A8401" w14:textId="77777777" w:rsidR="00806AC5" w:rsidRPr="008408E9" w:rsidRDefault="00EC4EE3" w:rsidP="008408E9">
      <w:pPr>
        <w:pStyle w:val="Antrat"/>
      </w:pPr>
      <w:r w:rsidRPr="008408E9">
        <w:t>Table 1: Output of Shell’s Financial Position</w:t>
      </w:r>
    </w:p>
    <w:p w14:paraId="1526FD92" w14:textId="77777777" w:rsidR="00EC4EE3" w:rsidRPr="008408E9" w:rsidRDefault="00EC4EE3" w:rsidP="008408E9">
      <w:pPr>
        <w:spacing w:line="360" w:lineRule="auto"/>
        <w:jc w:val="center"/>
        <w:rPr>
          <w:rFonts w:ascii="Times New Roman" w:hAnsi="Times New Roman" w:cs="Times New Roman"/>
          <w:sz w:val="24"/>
          <w:lang w:val="en-GB"/>
        </w:rPr>
      </w:pPr>
      <w:r w:rsidRPr="008408E9">
        <w:rPr>
          <w:rFonts w:ascii="Times New Roman" w:hAnsi="Times New Roman" w:cs="Times New Roman"/>
          <w:sz w:val="24"/>
          <w:lang w:val="en-GB"/>
        </w:rPr>
        <w:t>(Source: MS Excel)</w:t>
      </w:r>
    </w:p>
    <w:p w14:paraId="13DA9066" w14:textId="77777777" w:rsidR="00907FF5" w:rsidRPr="008408E9" w:rsidRDefault="00C4729E" w:rsidP="008408E9">
      <w:pPr>
        <w:pStyle w:val="Antrat2"/>
      </w:pPr>
      <w:bookmarkStart w:id="7" w:name="_Toc71388434"/>
      <w:r w:rsidRPr="008408E9">
        <w:t xml:space="preserve">2. </w:t>
      </w:r>
      <w:r w:rsidR="00907FF5" w:rsidRPr="008408E9">
        <w:t>Critical Evaluation of the Ratios Calculated</w:t>
      </w:r>
      <w:bookmarkEnd w:id="7"/>
    </w:p>
    <w:p w14:paraId="42E26209" w14:textId="77777777" w:rsidR="00370D8F" w:rsidRPr="008408E9" w:rsidRDefault="00370D8F" w:rsidP="008408E9">
      <w:pPr>
        <w:pStyle w:val="Antrat3"/>
        <w:spacing w:after="200"/>
        <w:rPr>
          <w:rFonts w:eastAsiaTheme="minorHAnsi"/>
          <w:szCs w:val="22"/>
          <w:lang w:eastAsia="en-US"/>
        </w:rPr>
      </w:pPr>
      <w:bookmarkStart w:id="8" w:name="_Toc71388435"/>
      <w:r w:rsidRPr="008408E9">
        <w:rPr>
          <w:rFonts w:eastAsiaTheme="minorHAnsi"/>
          <w:szCs w:val="22"/>
          <w:lang w:eastAsia="en-US"/>
        </w:rPr>
        <w:t>Profitability Ratios</w:t>
      </w:r>
      <w:bookmarkEnd w:id="8"/>
    </w:p>
    <w:p w14:paraId="01D7C9F7"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Shell as a fragment of Oil and Gas industry has been operating successfully in the UK market with an escalation of its revenue margin from 2016 to 2020. </w:t>
      </w:r>
      <w:r w:rsidR="00140A14" w:rsidRPr="008408E9">
        <w:rPr>
          <w:rFonts w:ascii="Times New Roman" w:eastAsia="Times New Roman" w:hAnsi="Times New Roman" w:cs="Times New Roman"/>
          <w:sz w:val="24"/>
          <w:szCs w:val="24"/>
          <w:lang w:val="en-GB" w:eastAsia="en-GB"/>
        </w:rPr>
        <w:t xml:space="preserve">In the perspective of Campbell </w:t>
      </w:r>
      <w:r w:rsidR="00140A14" w:rsidRPr="008408E9">
        <w:rPr>
          <w:rFonts w:ascii="Times New Roman" w:eastAsia="Times New Roman" w:hAnsi="Times New Roman" w:cs="Times New Roman"/>
          <w:i/>
          <w:sz w:val="24"/>
          <w:szCs w:val="24"/>
          <w:lang w:val="en-GB" w:eastAsia="en-GB"/>
        </w:rPr>
        <w:t xml:space="preserve">et al. </w:t>
      </w:r>
      <w:r w:rsidR="00140A14" w:rsidRPr="008408E9">
        <w:rPr>
          <w:rFonts w:ascii="Times New Roman" w:eastAsia="Times New Roman" w:hAnsi="Times New Roman" w:cs="Times New Roman"/>
          <w:sz w:val="24"/>
          <w:szCs w:val="24"/>
          <w:lang w:val="en-GB" w:eastAsia="en-GB"/>
        </w:rPr>
        <w:t>(2019), elevation</w:t>
      </w:r>
      <w:r w:rsidRPr="00AC7E88">
        <w:rPr>
          <w:rFonts w:ascii="Times New Roman" w:eastAsia="Times New Roman" w:hAnsi="Times New Roman" w:cs="Times New Roman"/>
          <w:sz w:val="24"/>
          <w:szCs w:val="24"/>
          <w:lang w:val="en-GB" w:eastAsia="en-GB"/>
        </w:rPr>
        <w:t xml:space="preserve"> in the revenue margin indicates that a company is processing effective financial decisions that are escalating its operational leverage in the market. In the above </w:t>
      </w:r>
      <w:r w:rsidR="001227ED" w:rsidRPr="008408E9">
        <w:rPr>
          <w:rFonts w:ascii="Times New Roman" w:eastAsia="Times New Roman" w:hAnsi="Times New Roman" w:cs="Times New Roman"/>
          <w:sz w:val="24"/>
          <w:szCs w:val="24"/>
          <w:lang w:val="en-GB" w:eastAsia="en-GB"/>
        </w:rPr>
        <w:t>table,</w:t>
      </w:r>
      <w:r w:rsidRPr="00AC7E88">
        <w:rPr>
          <w:rFonts w:ascii="Times New Roman" w:eastAsia="Times New Roman" w:hAnsi="Times New Roman" w:cs="Times New Roman"/>
          <w:sz w:val="24"/>
          <w:szCs w:val="24"/>
          <w:lang w:val="en-GB" w:eastAsia="en-GB"/>
        </w:rPr>
        <w:t xml:space="preserve"> it is noticeable that the ROI value of this company has substantially increased from 2016 to 2020. </w:t>
      </w:r>
      <w:r w:rsidR="001227ED" w:rsidRPr="008408E9">
        <w:rPr>
          <w:rFonts w:ascii="Times New Roman" w:eastAsia="Times New Roman" w:hAnsi="Times New Roman" w:cs="Times New Roman"/>
          <w:sz w:val="24"/>
          <w:szCs w:val="24"/>
          <w:lang w:val="en-GB" w:eastAsia="en-GB"/>
        </w:rPr>
        <w:t>However,</w:t>
      </w:r>
      <w:r w:rsidRPr="00AC7E88">
        <w:rPr>
          <w:rFonts w:ascii="Times New Roman" w:eastAsia="Times New Roman" w:hAnsi="Times New Roman" w:cs="Times New Roman"/>
          <w:sz w:val="24"/>
          <w:szCs w:val="24"/>
          <w:lang w:val="en-GB" w:eastAsia="en-GB"/>
        </w:rPr>
        <w:t xml:space="preserve"> it is observable that a nominal escalation of this value from 2018 to 2019 has been attended by this company</w:t>
      </w:r>
      <w:r w:rsidR="00140A14" w:rsidRPr="008408E9">
        <w:rPr>
          <w:rFonts w:ascii="Times New Roman" w:eastAsia="Times New Roman" w:hAnsi="Times New Roman" w:cs="Times New Roman"/>
          <w:sz w:val="24"/>
          <w:szCs w:val="24"/>
          <w:lang w:val="en-GB" w:eastAsia="en-GB"/>
        </w:rPr>
        <w:t xml:space="preserve"> (Shell, 2021)</w:t>
      </w:r>
      <w:r w:rsidRPr="00AC7E88">
        <w:rPr>
          <w:rFonts w:ascii="Times New Roman" w:eastAsia="Times New Roman" w:hAnsi="Times New Roman" w:cs="Times New Roman"/>
          <w:sz w:val="24"/>
          <w:szCs w:val="24"/>
          <w:lang w:val="en-GB" w:eastAsia="en-GB"/>
        </w:rPr>
        <w:t>. In this scenario</w:t>
      </w:r>
      <w:r w:rsidR="001227ED" w:rsidRPr="008408E9">
        <w:rPr>
          <w:rFonts w:ascii="Times New Roman" w:eastAsia="Times New Roman" w:hAnsi="Times New Roman" w:cs="Times New Roman"/>
          <w:sz w:val="24"/>
          <w:szCs w:val="24"/>
          <w:lang w:val="en-GB" w:eastAsia="en-GB"/>
        </w:rPr>
        <w:t>,</w:t>
      </w:r>
      <w:r w:rsidRPr="00AC7E88">
        <w:rPr>
          <w:rFonts w:ascii="Times New Roman" w:eastAsia="Times New Roman" w:hAnsi="Times New Roman" w:cs="Times New Roman"/>
          <w:sz w:val="24"/>
          <w:szCs w:val="24"/>
          <w:lang w:val="en-GB" w:eastAsia="en-GB"/>
        </w:rPr>
        <w:t xml:space="preserve"> it can be determined that due to the market crisis in the UK the company has failed to generate optimum profit within this year</w:t>
      </w:r>
      <w:r w:rsidR="00481BB4">
        <w:rPr>
          <w:rFonts w:ascii="Times New Roman" w:eastAsia="Times New Roman" w:hAnsi="Times New Roman" w:cs="Times New Roman"/>
          <w:sz w:val="24"/>
          <w:szCs w:val="24"/>
          <w:lang w:val="en-GB" w:eastAsia="en-GB"/>
        </w:rPr>
        <w:t xml:space="preserve"> </w:t>
      </w:r>
      <w:r w:rsidR="00481BB4">
        <w:rPr>
          <w:rFonts w:ascii="Times New Roman" w:eastAsia="Times New Roman" w:hAnsi="Times New Roman" w:cs="Times New Roman"/>
          <w:b/>
          <w:i/>
          <w:sz w:val="24"/>
          <w:szCs w:val="24"/>
          <w:lang w:val="en-GB" w:eastAsia="en-GB"/>
        </w:rPr>
        <w:t>[Refer to Appendix 1]</w:t>
      </w:r>
      <w:r w:rsidRPr="00AC7E88">
        <w:rPr>
          <w:rFonts w:ascii="Times New Roman" w:eastAsia="Times New Roman" w:hAnsi="Times New Roman" w:cs="Times New Roman"/>
          <w:sz w:val="24"/>
          <w:szCs w:val="24"/>
          <w:lang w:val="en-GB" w:eastAsia="en-GB"/>
        </w:rPr>
        <w:t xml:space="preserve">. </w:t>
      </w:r>
      <w:r w:rsidR="001227ED" w:rsidRPr="008408E9">
        <w:rPr>
          <w:rFonts w:ascii="Times New Roman" w:eastAsia="Times New Roman" w:hAnsi="Times New Roman" w:cs="Times New Roman"/>
          <w:sz w:val="24"/>
          <w:szCs w:val="24"/>
          <w:lang w:val="en-GB" w:eastAsia="en-GB"/>
        </w:rPr>
        <w:t>Therefore,</w:t>
      </w:r>
      <w:r w:rsidRPr="00AC7E88">
        <w:rPr>
          <w:rFonts w:ascii="Times New Roman" w:eastAsia="Times New Roman" w:hAnsi="Times New Roman" w:cs="Times New Roman"/>
          <w:sz w:val="24"/>
          <w:szCs w:val="24"/>
          <w:lang w:val="en-GB" w:eastAsia="en-GB"/>
        </w:rPr>
        <w:t xml:space="preserve"> it can be indicated that this company is liable to external forces of the business environment.</w:t>
      </w:r>
    </w:p>
    <w:p w14:paraId="4E6BC246"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ROE has attained a critical appreciation from 2016 to 2020 based on the financial outputs of Shell. </w:t>
      </w:r>
      <w:r w:rsidR="00140A14" w:rsidRPr="008408E9">
        <w:rPr>
          <w:rFonts w:ascii="Times New Roman" w:eastAsia="Times New Roman" w:hAnsi="Times New Roman" w:cs="Times New Roman"/>
          <w:sz w:val="24"/>
          <w:szCs w:val="24"/>
          <w:lang w:val="en-GB" w:eastAsia="en-GB"/>
        </w:rPr>
        <w:t xml:space="preserve">In the opinion of </w:t>
      </w:r>
      <w:proofErr w:type="spellStart"/>
      <w:r w:rsidR="00140A14" w:rsidRPr="008408E9">
        <w:rPr>
          <w:rFonts w:ascii="Times New Roman" w:eastAsia="Times New Roman" w:hAnsi="Times New Roman" w:cs="Times New Roman"/>
          <w:sz w:val="24"/>
          <w:szCs w:val="24"/>
          <w:lang w:val="en-GB" w:eastAsia="en-GB"/>
        </w:rPr>
        <w:t>Sledgianowski</w:t>
      </w:r>
      <w:proofErr w:type="spellEnd"/>
      <w:r w:rsidR="00140A14" w:rsidRPr="008408E9">
        <w:rPr>
          <w:rFonts w:ascii="Times New Roman" w:eastAsia="Times New Roman" w:hAnsi="Times New Roman" w:cs="Times New Roman"/>
          <w:sz w:val="24"/>
          <w:szCs w:val="24"/>
          <w:lang w:val="en-GB" w:eastAsia="en-GB"/>
        </w:rPr>
        <w:t xml:space="preserve"> </w:t>
      </w:r>
      <w:r w:rsidR="00140A14" w:rsidRPr="008408E9">
        <w:rPr>
          <w:rFonts w:ascii="Times New Roman" w:eastAsia="Times New Roman" w:hAnsi="Times New Roman" w:cs="Times New Roman"/>
          <w:i/>
          <w:sz w:val="24"/>
          <w:szCs w:val="24"/>
          <w:lang w:val="en-GB" w:eastAsia="en-GB"/>
        </w:rPr>
        <w:t xml:space="preserve">et al. </w:t>
      </w:r>
      <w:r w:rsidR="00140A14" w:rsidRPr="008408E9">
        <w:rPr>
          <w:rFonts w:ascii="Times New Roman" w:eastAsia="Times New Roman" w:hAnsi="Times New Roman" w:cs="Times New Roman"/>
          <w:sz w:val="24"/>
          <w:szCs w:val="24"/>
          <w:lang w:val="en-GB" w:eastAsia="en-GB"/>
        </w:rPr>
        <w:t>(217), decreasing</w:t>
      </w:r>
      <w:r w:rsidRPr="00AC7E88">
        <w:rPr>
          <w:rFonts w:ascii="Times New Roman" w:eastAsia="Times New Roman" w:hAnsi="Times New Roman" w:cs="Times New Roman"/>
          <w:sz w:val="24"/>
          <w:szCs w:val="24"/>
          <w:lang w:val="en-GB" w:eastAsia="en-GB"/>
        </w:rPr>
        <w:t xml:space="preserve"> value of equity returns indicates that the company is having lower assets than its liabilities. This aspect has emerged due to the degrading economy of the UK environment. In this </w:t>
      </w:r>
      <w:r w:rsidR="001227ED" w:rsidRPr="008408E9">
        <w:rPr>
          <w:rFonts w:ascii="Times New Roman" w:eastAsia="Times New Roman" w:hAnsi="Times New Roman" w:cs="Times New Roman"/>
          <w:sz w:val="24"/>
          <w:szCs w:val="24"/>
          <w:lang w:val="en-GB" w:eastAsia="en-GB"/>
        </w:rPr>
        <w:t>scenario,</w:t>
      </w:r>
      <w:r w:rsidRPr="00AC7E88">
        <w:rPr>
          <w:rFonts w:ascii="Times New Roman" w:eastAsia="Times New Roman" w:hAnsi="Times New Roman" w:cs="Times New Roman"/>
          <w:sz w:val="24"/>
          <w:szCs w:val="24"/>
          <w:lang w:val="en-GB" w:eastAsia="en-GB"/>
        </w:rPr>
        <w:t xml:space="preserve"> it can be determined that the company is having a critical issue of managing its finances that has substantially escalated its liability range. On the </w:t>
      </w:r>
      <w:r w:rsidR="001227ED" w:rsidRPr="008408E9">
        <w:rPr>
          <w:rFonts w:ascii="Times New Roman" w:eastAsia="Times New Roman" w:hAnsi="Times New Roman" w:cs="Times New Roman"/>
          <w:sz w:val="24"/>
          <w:szCs w:val="24"/>
          <w:lang w:val="en-GB" w:eastAsia="en-GB"/>
        </w:rPr>
        <w:t>contrary,</w:t>
      </w:r>
      <w:r w:rsidRPr="00AC7E88">
        <w:rPr>
          <w:rFonts w:ascii="Times New Roman" w:eastAsia="Times New Roman" w:hAnsi="Times New Roman" w:cs="Times New Roman"/>
          <w:sz w:val="24"/>
          <w:szCs w:val="24"/>
          <w:lang w:val="en-GB" w:eastAsia="en-GB"/>
        </w:rPr>
        <w:t xml:space="preserve"> this value seems to be stable from the 2018 to 2019 range of initial outcome </w:t>
      </w:r>
      <w:r w:rsidR="001227ED" w:rsidRPr="008408E9">
        <w:rPr>
          <w:rFonts w:ascii="Times New Roman" w:eastAsia="Times New Roman" w:hAnsi="Times New Roman" w:cs="Times New Roman"/>
          <w:sz w:val="24"/>
          <w:szCs w:val="24"/>
          <w:lang w:val="en-GB" w:eastAsia="en-GB"/>
        </w:rPr>
        <w:t>while declining</w:t>
      </w:r>
      <w:r w:rsidRPr="00AC7E88">
        <w:rPr>
          <w:rFonts w:ascii="Times New Roman" w:eastAsia="Times New Roman" w:hAnsi="Times New Roman" w:cs="Times New Roman"/>
          <w:sz w:val="24"/>
          <w:szCs w:val="24"/>
          <w:lang w:val="en-GB" w:eastAsia="en-GB"/>
        </w:rPr>
        <w:t xml:space="preserve"> in 2020 rapidly. </w:t>
      </w:r>
      <w:r w:rsidR="00832954" w:rsidRPr="008408E9">
        <w:rPr>
          <w:rFonts w:ascii="Times New Roman" w:eastAsia="Times New Roman" w:hAnsi="Times New Roman" w:cs="Times New Roman"/>
          <w:sz w:val="24"/>
          <w:szCs w:val="24"/>
          <w:lang w:val="en-GB" w:eastAsia="en-GB"/>
        </w:rPr>
        <w:t>In the words of Kocsis (2019), r</w:t>
      </w:r>
      <w:r w:rsidRPr="00AC7E88">
        <w:rPr>
          <w:rFonts w:ascii="Times New Roman" w:eastAsia="Times New Roman" w:hAnsi="Times New Roman" w:cs="Times New Roman"/>
          <w:sz w:val="24"/>
          <w:szCs w:val="24"/>
          <w:lang w:val="en-GB" w:eastAsia="en-GB"/>
        </w:rPr>
        <w:t xml:space="preserve">apid declination of financial output based on crisis events indicates that the capability of an organisation to manage unforeseen risk is substantially low. </w:t>
      </w:r>
      <w:r w:rsidR="001227ED" w:rsidRPr="008408E9">
        <w:rPr>
          <w:rFonts w:ascii="Times New Roman" w:eastAsia="Times New Roman" w:hAnsi="Times New Roman" w:cs="Times New Roman"/>
          <w:sz w:val="24"/>
          <w:szCs w:val="24"/>
          <w:lang w:val="en-GB" w:eastAsia="en-GB"/>
        </w:rPr>
        <w:t>Hence,</w:t>
      </w:r>
      <w:r w:rsidRPr="00AC7E88">
        <w:rPr>
          <w:rFonts w:ascii="Times New Roman" w:eastAsia="Times New Roman" w:hAnsi="Times New Roman" w:cs="Times New Roman"/>
          <w:sz w:val="24"/>
          <w:szCs w:val="24"/>
          <w:lang w:val="en-GB" w:eastAsia="en-GB"/>
        </w:rPr>
        <w:t xml:space="preserve"> it can be highlighted that the company's financial decisions are based on anticipated risks rather than unforeseen market crises.</w:t>
      </w:r>
    </w:p>
    <w:p w14:paraId="1708E475"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lastRenderedPageBreak/>
        <w:t xml:space="preserve">The </w:t>
      </w:r>
      <w:r w:rsidR="001227ED" w:rsidRPr="008408E9">
        <w:rPr>
          <w:rFonts w:ascii="Times New Roman" w:eastAsia="Times New Roman" w:hAnsi="Times New Roman" w:cs="Times New Roman"/>
          <w:sz w:val="24"/>
          <w:szCs w:val="24"/>
          <w:lang w:val="en-GB" w:eastAsia="en-GB"/>
        </w:rPr>
        <w:t>above-explained</w:t>
      </w:r>
      <w:r w:rsidRPr="00AC7E88">
        <w:rPr>
          <w:rFonts w:ascii="Times New Roman" w:eastAsia="Times New Roman" w:hAnsi="Times New Roman" w:cs="Times New Roman"/>
          <w:sz w:val="24"/>
          <w:szCs w:val="24"/>
          <w:lang w:val="en-GB" w:eastAsia="en-GB"/>
        </w:rPr>
        <w:t xml:space="preserve"> scenario has also reduced the earning per share margin of Shell from 2016 to 2020. </w:t>
      </w:r>
      <w:r w:rsidR="00832954" w:rsidRPr="008408E9">
        <w:rPr>
          <w:rFonts w:ascii="Times New Roman" w:eastAsia="Times New Roman" w:hAnsi="Times New Roman" w:cs="Times New Roman"/>
          <w:sz w:val="24"/>
          <w:szCs w:val="24"/>
          <w:lang w:val="en-GB" w:eastAsia="en-GB"/>
        </w:rPr>
        <w:t>In the perspective of Carrera (2017), o</w:t>
      </w:r>
      <w:r w:rsidRPr="00AC7E88">
        <w:rPr>
          <w:rFonts w:ascii="Times New Roman" w:eastAsia="Times New Roman" w:hAnsi="Times New Roman" w:cs="Times New Roman"/>
          <w:sz w:val="24"/>
          <w:szCs w:val="24"/>
          <w:lang w:val="en-GB" w:eastAsia="en-GB"/>
        </w:rPr>
        <w:t xml:space="preserve">btaining a low hardening margin outcome indicates that a company is facing high profitability issues due to ineffective strategies of operations. In other </w:t>
      </w:r>
      <w:r w:rsidR="001227ED" w:rsidRPr="008408E9">
        <w:rPr>
          <w:rFonts w:ascii="Times New Roman" w:eastAsia="Times New Roman" w:hAnsi="Times New Roman" w:cs="Times New Roman"/>
          <w:sz w:val="24"/>
          <w:szCs w:val="24"/>
          <w:lang w:val="en-GB" w:eastAsia="en-GB"/>
        </w:rPr>
        <w:t>words,</w:t>
      </w:r>
      <w:r w:rsidRPr="00AC7E88">
        <w:rPr>
          <w:rFonts w:ascii="Times New Roman" w:eastAsia="Times New Roman" w:hAnsi="Times New Roman" w:cs="Times New Roman"/>
          <w:sz w:val="24"/>
          <w:szCs w:val="24"/>
          <w:lang w:val="en-GB" w:eastAsia="en-GB"/>
        </w:rPr>
        <w:t xml:space="preserve"> the company has a low range of cash flow to repay its market debts in the UK. In this </w:t>
      </w:r>
      <w:r w:rsidR="001227ED" w:rsidRPr="008408E9">
        <w:rPr>
          <w:rFonts w:ascii="Times New Roman" w:eastAsia="Times New Roman" w:hAnsi="Times New Roman" w:cs="Times New Roman"/>
          <w:sz w:val="24"/>
          <w:szCs w:val="24"/>
          <w:lang w:val="en-GB" w:eastAsia="en-GB"/>
        </w:rPr>
        <w:t>scenario,</w:t>
      </w:r>
      <w:r w:rsidRPr="00AC7E88">
        <w:rPr>
          <w:rFonts w:ascii="Times New Roman" w:eastAsia="Times New Roman" w:hAnsi="Times New Roman" w:cs="Times New Roman"/>
          <w:sz w:val="24"/>
          <w:szCs w:val="24"/>
          <w:lang w:val="en-GB" w:eastAsia="en-GB"/>
        </w:rPr>
        <w:t xml:space="preserve"> it can be determined that the company is facing high levels of market depth that has reduced its earning range. </w:t>
      </w:r>
      <w:r w:rsidR="001227ED" w:rsidRPr="008408E9">
        <w:rPr>
          <w:rFonts w:ascii="Times New Roman" w:eastAsia="Times New Roman" w:hAnsi="Times New Roman" w:cs="Times New Roman"/>
          <w:sz w:val="24"/>
          <w:szCs w:val="24"/>
          <w:lang w:val="en-GB" w:eastAsia="en-GB"/>
        </w:rPr>
        <w:t>However,</w:t>
      </w:r>
      <w:r w:rsidRPr="00AC7E88">
        <w:rPr>
          <w:rFonts w:ascii="Times New Roman" w:eastAsia="Times New Roman" w:hAnsi="Times New Roman" w:cs="Times New Roman"/>
          <w:sz w:val="24"/>
          <w:szCs w:val="24"/>
          <w:lang w:val="en-GB" w:eastAsia="en-GB"/>
        </w:rPr>
        <w:t xml:space="preserve"> the profit range of this company has viability escalated within these five years. This aspect denotes that the company has been delivering a low percentage of dividends to its shareholders resulting in the lack of funds</w:t>
      </w:r>
      <w:r w:rsidR="00832954" w:rsidRPr="008408E9">
        <w:rPr>
          <w:rFonts w:ascii="Times New Roman" w:eastAsia="Times New Roman" w:hAnsi="Times New Roman" w:cs="Times New Roman"/>
          <w:sz w:val="24"/>
          <w:szCs w:val="24"/>
          <w:lang w:val="en-GB" w:eastAsia="en-GB"/>
        </w:rPr>
        <w:t xml:space="preserve"> (Wells, 2018)</w:t>
      </w:r>
      <w:r w:rsidRPr="00AC7E88">
        <w:rPr>
          <w:rFonts w:ascii="Times New Roman" w:eastAsia="Times New Roman" w:hAnsi="Times New Roman" w:cs="Times New Roman"/>
          <w:sz w:val="24"/>
          <w:szCs w:val="24"/>
          <w:lang w:val="en-GB" w:eastAsia="en-GB"/>
        </w:rPr>
        <w:t xml:space="preserve">. </w:t>
      </w:r>
      <w:r w:rsidR="001227ED" w:rsidRPr="008408E9">
        <w:rPr>
          <w:rFonts w:ascii="Times New Roman" w:eastAsia="Times New Roman" w:hAnsi="Times New Roman" w:cs="Times New Roman"/>
          <w:sz w:val="24"/>
          <w:szCs w:val="24"/>
          <w:lang w:val="en-GB" w:eastAsia="en-GB"/>
        </w:rPr>
        <w:t>Therefore,</w:t>
      </w:r>
      <w:r w:rsidRPr="00AC7E88">
        <w:rPr>
          <w:rFonts w:ascii="Times New Roman" w:eastAsia="Times New Roman" w:hAnsi="Times New Roman" w:cs="Times New Roman"/>
          <w:sz w:val="24"/>
          <w:szCs w:val="24"/>
          <w:lang w:val="en-GB" w:eastAsia="en-GB"/>
        </w:rPr>
        <w:t xml:space="preserve"> it can be denoted that this company has a low level of dividend provision policies that has declared its market value due to low profit outcome that has been calculated above.</w:t>
      </w:r>
    </w:p>
    <w:p w14:paraId="4B310BA2" w14:textId="77777777" w:rsidR="00AC7E88" w:rsidRPr="008408E9" w:rsidRDefault="001227ED" w:rsidP="008408E9">
      <w:pPr>
        <w:pStyle w:val="Antrat3"/>
      </w:pPr>
      <w:bookmarkStart w:id="9" w:name="_Toc71388436"/>
      <w:r w:rsidRPr="008408E9">
        <w:t>Liquidity Ratios</w:t>
      </w:r>
      <w:bookmarkEnd w:id="9"/>
    </w:p>
    <w:p w14:paraId="3398295B"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Absolute liquidity range of this company has been reducing since 2016 to 2020. </w:t>
      </w:r>
      <w:r w:rsidR="00832954" w:rsidRPr="008408E9">
        <w:rPr>
          <w:rFonts w:ascii="Times New Roman" w:eastAsia="Times New Roman" w:hAnsi="Times New Roman" w:cs="Times New Roman"/>
          <w:sz w:val="24"/>
          <w:szCs w:val="24"/>
          <w:lang w:val="en-GB" w:eastAsia="en-GB"/>
        </w:rPr>
        <w:t xml:space="preserve">In the views of </w:t>
      </w:r>
      <w:proofErr w:type="spellStart"/>
      <w:r w:rsidR="00832954" w:rsidRPr="008408E9">
        <w:rPr>
          <w:rFonts w:ascii="Times New Roman" w:eastAsia="Times New Roman" w:hAnsi="Times New Roman" w:cs="Times New Roman"/>
          <w:sz w:val="24"/>
          <w:szCs w:val="24"/>
          <w:lang w:val="en-GB" w:eastAsia="en-GB"/>
        </w:rPr>
        <w:t>Rebele</w:t>
      </w:r>
      <w:proofErr w:type="spellEnd"/>
      <w:r w:rsidR="00832954" w:rsidRPr="008408E9">
        <w:rPr>
          <w:rFonts w:ascii="Times New Roman" w:eastAsia="Times New Roman" w:hAnsi="Times New Roman" w:cs="Times New Roman"/>
          <w:sz w:val="24"/>
          <w:szCs w:val="24"/>
          <w:lang w:val="en-GB" w:eastAsia="en-GB"/>
        </w:rPr>
        <w:t xml:space="preserve"> and Pierre (2019), </w:t>
      </w:r>
      <w:r w:rsidR="008B4B6E" w:rsidRPr="008408E9">
        <w:rPr>
          <w:rFonts w:ascii="Times New Roman" w:eastAsia="Times New Roman" w:hAnsi="Times New Roman" w:cs="Times New Roman"/>
          <w:sz w:val="24"/>
          <w:szCs w:val="24"/>
          <w:lang w:val="en-GB" w:eastAsia="en-GB"/>
        </w:rPr>
        <w:t>depreciation</w:t>
      </w:r>
      <w:r w:rsidRPr="00AC7E88">
        <w:rPr>
          <w:rFonts w:ascii="Times New Roman" w:eastAsia="Times New Roman" w:hAnsi="Times New Roman" w:cs="Times New Roman"/>
          <w:sz w:val="24"/>
          <w:szCs w:val="24"/>
          <w:lang w:val="en-GB" w:eastAsia="en-GB"/>
        </w:rPr>
        <w:t xml:space="preserve"> of an organisation</w:t>
      </w:r>
      <w:r w:rsidR="001227ED" w:rsidRPr="008408E9">
        <w:rPr>
          <w:rFonts w:ascii="Times New Roman" w:eastAsia="Times New Roman" w:hAnsi="Times New Roman" w:cs="Times New Roman"/>
          <w:sz w:val="24"/>
          <w:szCs w:val="24"/>
          <w:lang w:val="en-GB" w:eastAsia="en-GB"/>
        </w:rPr>
        <w:t>’</w:t>
      </w:r>
      <w:r w:rsidRPr="00AC7E88">
        <w:rPr>
          <w:rFonts w:ascii="Times New Roman" w:eastAsia="Times New Roman" w:hAnsi="Times New Roman" w:cs="Times New Roman"/>
          <w:sz w:val="24"/>
          <w:szCs w:val="24"/>
          <w:lang w:val="en-GB" w:eastAsia="en-GB"/>
        </w:rPr>
        <w:t xml:space="preserve">s asset values results in the escalation of its liquidity levels that depreciates its market potential. In this </w:t>
      </w:r>
      <w:r w:rsidR="00F458D1" w:rsidRPr="008408E9">
        <w:rPr>
          <w:rFonts w:ascii="Times New Roman" w:eastAsia="Times New Roman" w:hAnsi="Times New Roman" w:cs="Times New Roman"/>
          <w:sz w:val="24"/>
          <w:szCs w:val="24"/>
          <w:lang w:val="en-GB" w:eastAsia="en-GB"/>
        </w:rPr>
        <w:t>scenario,</w:t>
      </w:r>
      <w:r w:rsidRPr="00AC7E88">
        <w:rPr>
          <w:rFonts w:ascii="Times New Roman" w:eastAsia="Times New Roman" w:hAnsi="Times New Roman" w:cs="Times New Roman"/>
          <w:sz w:val="24"/>
          <w:szCs w:val="24"/>
          <w:lang w:val="en-GB" w:eastAsia="en-GB"/>
        </w:rPr>
        <w:t xml:space="preserve"> it can be determined that Shell is processing an ineffective range of Management decisions that has decreased its organisational value in the current market. On the </w:t>
      </w:r>
      <w:r w:rsidR="00F458D1" w:rsidRPr="008408E9">
        <w:rPr>
          <w:rFonts w:ascii="Times New Roman" w:eastAsia="Times New Roman" w:hAnsi="Times New Roman" w:cs="Times New Roman"/>
          <w:sz w:val="24"/>
          <w:szCs w:val="24"/>
          <w:lang w:val="en-GB" w:eastAsia="en-GB"/>
        </w:rPr>
        <w:t>contrary,</w:t>
      </w:r>
      <w:r w:rsidRPr="00AC7E88">
        <w:rPr>
          <w:rFonts w:ascii="Times New Roman" w:eastAsia="Times New Roman" w:hAnsi="Times New Roman" w:cs="Times New Roman"/>
          <w:sz w:val="24"/>
          <w:szCs w:val="24"/>
          <w:lang w:val="en-GB" w:eastAsia="en-GB"/>
        </w:rPr>
        <w:t xml:space="preserve"> it is noticeable that the liquidity range of the company has been nominally decreasing from 2018 to 2019. This aspect indicates that the company has been developing effective changes in its financial decisions to improve customer retention potential in the UK. The company has been investing in digital marketing campaigns in Formula 1 </w:t>
      </w:r>
      <w:r w:rsidR="00F458D1" w:rsidRPr="008408E9">
        <w:rPr>
          <w:rFonts w:ascii="Times New Roman" w:eastAsia="Times New Roman" w:hAnsi="Times New Roman" w:cs="Times New Roman"/>
          <w:sz w:val="24"/>
          <w:szCs w:val="24"/>
          <w:lang w:val="en-GB" w:eastAsia="en-GB"/>
        </w:rPr>
        <w:t>racetracks</w:t>
      </w:r>
      <w:r w:rsidRPr="00AC7E88">
        <w:rPr>
          <w:rFonts w:ascii="Times New Roman" w:eastAsia="Times New Roman" w:hAnsi="Times New Roman" w:cs="Times New Roman"/>
          <w:sz w:val="24"/>
          <w:szCs w:val="24"/>
          <w:lang w:val="en-GB" w:eastAsia="en-GB"/>
        </w:rPr>
        <w:t xml:space="preserve"> and other forms of sporting events live football and cricket</w:t>
      </w:r>
      <w:r w:rsidR="008B4B6E" w:rsidRPr="008408E9">
        <w:rPr>
          <w:rFonts w:ascii="Times New Roman" w:eastAsia="Times New Roman" w:hAnsi="Times New Roman" w:cs="Times New Roman"/>
          <w:sz w:val="24"/>
          <w:szCs w:val="24"/>
          <w:lang w:val="en-GB" w:eastAsia="en-GB"/>
        </w:rPr>
        <w:t xml:space="preserve"> (Shell, 2021)</w:t>
      </w:r>
      <w:r w:rsidRPr="00AC7E88">
        <w:rPr>
          <w:rFonts w:ascii="Times New Roman" w:eastAsia="Times New Roman" w:hAnsi="Times New Roman" w:cs="Times New Roman"/>
          <w:sz w:val="24"/>
          <w:szCs w:val="24"/>
          <w:lang w:val="en-GB" w:eastAsia="en-GB"/>
        </w:rPr>
        <w:t xml:space="preserve">. This strategy has provided a nominal advantage of limiting the liquidity range crash of this company. </w:t>
      </w:r>
      <w:r w:rsidR="00F458D1" w:rsidRPr="008408E9">
        <w:rPr>
          <w:rFonts w:ascii="Times New Roman" w:eastAsia="Times New Roman" w:hAnsi="Times New Roman" w:cs="Times New Roman"/>
          <w:sz w:val="24"/>
          <w:szCs w:val="24"/>
          <w:lang w:val="en-GB" w:eastAsia="en-GB"/>
        </w:rPr>
        <w:t>Hence,</w:t>
      </w:r>
      <w:r w:rsidRPr="00AC7E88">
        <w:rPr>
          <w:rFonts w:ascii="Times New Roman" w:eastAsia="Times New Roman" w:hAnsi="Times New Roman" w:cs="Times New Roman"/>
          <w:sz w:val="24"/>
          <w:szCs w:val="24"/>
          <w:lang w:val="en-GB" w:eastAsia="en-GB"/>
        </w:rPr>
        <w:t xml:space="preserve"> it can be indicated that this company has been trying to mitigate its financial crisis through effective marketing strategies that have become unsuccessful.</w:t>
      </w:r>
    </w:p>
    <w:p w14:paraId="6F776A49"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Casa ratios of Shell have critically declined from 2016 to 2018 as visible in the table above. </w:t>
      </w:r>
      <w:r w:rsidR="008B4B6E" w:rsidRPr="008408E9">
        <w:rPr>
          <w:rFonts w:ascii="Times New Roman" w:eastAsia="Times New Roman" w:hAnsi="Times New Roman" w:cs="Times New Roman"/>
          <w:sz w:val="24"/>
          <w:szCs w:val="24"/>
          <w:lang w:val="en-GB" w:eastAsia="en-GB"/>
        </w:rPr>
        <w:t>In the perception of Lobo (2017), substantial</w:t>
      </w:r>
      <w:r w:rsidRPr="00AC7E88">
        <w:rPr>
          <w:rFonts w:ascii="Times New Roman" w:eastAsia="Times New Roman" w:hAnsi="Times New Roman" w:cs="Times New Roman"/>
          <w:sz w:val="24"/>
          <w:szCs w:val="24"/>
          <w:lang w:val="en-GB" w:eastAsia="en-GB"/>
        </w:rPr>
        <w:t xml:space="preserve"> range of cash flow is necessary for improving cash ratios of a company to escalate its asset value. </w:t>
      </w:r>
      <w:r w:rsidR="00F458D1" w:rsidRPr="008408E9">
        <w:rPr>
          <w:rFonts w:ascii="Times New Roman" w:eastAsia="Times New Roman" w:hAnsi="Times New Roman" w:cs="Times New Roman"/>
          <w:sz w:val="24"/>
          <w:szCs w:val="24"/>
          <w:lang w:val="en-GB" w:eastAsia="en-GB"/>
        </w:rPr>
        <w:t>However,</w:t>
      </w:r>
      <w:r w:rsidRPr="00AC7E88">
        <w:rPr>
          <w:rFonts w:ascii="Times New Roman" w:eastAsia="Times New Roman" w:hAnsi="Times New Roman" w:cs="Times New Roman"/>
          <w:sz w:val="24"/>
          <w:szCs w:val="24"/>
          <w:lang w:val="en-GB" w:eastAsia="en-GB"/>
        </w:rPr>
        <w:t xml:space="preserve"> it can be indicated that the company has been enforcing ineffective strategies of operational leverage escalation that has resulted in the elevation of its cash ratio from 2018-2019. The strategy that has been discussed above provided nominal benefits then the anticipated range of the management leaders. </w:t>
      </w:r>
      <w:r w:rsidR="008B4B6E" w:rsidRPr="008408E9">
        <w:rPr>
          <w:rFonts w:ascii="Times New Roman" w:eastAsia="Times New Roman" w:hAnsi="Times New Roman" w:cs="Times New Roman"/>
          <w:sz w:val="24"/>
          <w:szCs w:val="24"/>
          <w:lang w:val="en-GB" w:eastAsia="en-GB"/>
        </w:rPr>
        <w:t xml:space="preserve">In the views of Chiu </w:t>
      </w:r>
      <w:r w:rsidR="008B4B6E" w:rsidRPr="008408E9">
        <w:rPr>
          <w:rFonts w:ascii="Times New Roman" w:eastAsia="Times New Roman" w:hAnsi="Times New Roman" w:cs="Times New Roman"/>
          <w:i/>
          <w:sz w:val="24"/>
          <w:szCs w:val="24"/>
          <w:lang w:val="en-GB" w:eastAsia="en-GB"/>
        </w:rPr>
        <w:t xml:space="preserve">et al. </w:t>
      </w:r>
      <w:r w:rsidR="008B4B6E" w:rsidRPr="008408E9">
        <w:rPr>
          <w:rFonts w:ascii="Times New Roman" w:eastAsia="Times New Roman" w:hAnsi="Times New Roman" w:cs="Times New Roman"/>
          <w:sz w:val="24"/>
          <w:szCs w:val="24"/>
          <w:lang w:val="en-GB" w:eastAsia="en-GB"/>
        </w:rPr>
        <w:t xml:space="preserve">(2019), </w:t>
      </w:r>
      <w:r w:rsidRPr="00AC7E88">
        <w:rPr>
          <w:rFonts w:ascii="Times New Roman" w:eastAsia="Times New Roman" w:hAnsi="Times New Roman" w:cs="Times New Roman"/>
          <w:sz w:val="24"/>
          <w:szCs w:val="24"/>
          <w:lang w:val="en-GB" w:eastAsia="en-GB"/>
        </w:rPr>
        <w:t xml:space="preserve">Ineffective management decisions indicate that a company is operated by </w:t>
      </w:r>
      <w:r w:rsidR="008B4B6E" w:rsidRPr="008408E9">
        <w:rPr>
          <w:rFonts w:ascii="Times New Roman" w:eastAsia="Times New Roman" w:hAnsi="Times New Roman" w:cs="Times New Roman"/>
          <w:sz w:val="24"/>
          <w:szCs w:val="24"/>
          <w:lang w:val="en-GB" w:eastAsia="en-GB"/>
        </w:rPr>
        <w:t>a</w:t>
      </w:r>
      <w:r w:rsidRPr="00AC7E88">
        <w:rPr>
          <w:rFonts w:ascii="Times New Roman" w:eastAsia="Times New Roman" w:hAnsi="Times New Roman" w:cs="Times New Roman"/>
          <w:sz w:val="24"/>
          <w:szCs w:val="24"/>
          <w:lang w:val="en-GB" w:eastAsia="en-GB"/>
        </w:rPr>
        <w:t>ssociates with nominal resource management skills. Therefore</w:t>
      </w:r>
      <w:r w:rsidR="00F458D1" w:rsidRPr="008408E9">
        <w:rPr>
          <w:rFonts w:ascii="Times New Roman" w:eastAsia="Times New Roman" w:hAnsi="Times New Roman" w:cs="Times New Roman"/>
          <w:sz w:val="24"/>
          <w:szCs w:val="24"/>
          <w:lang w:val="en-GB" w:eastAsia="en-GB"/>
        </w:rPr>
        <w:t>,</w:t>
      </w:r>
      <w:r w:rsidRPr="00AC7E88">
        <w:rPr>
          <w:rFonts w:ascii="Times New Roman" w:eastAsia="Times New Roman" w:hAnsi="Times New Roman" w:cs="Times New Roman"/>
          <w:sz w:val="24"/>
          <w:szCs w:val="24"/>
          <w:lang w:val="en-GB" w:eastAsia="en-GB"/>
        </w:rPr>
        <w:t xml:space="preserve"> it can be stated that this company is facing loss of liquidity outcomes due to the </w:t>
      </w:r>
      <w:r w:rsidR="00F458D1" w:rsidRPr="008408E9">
        <w:rPr>
          <w:rFonts w:ascii="Times New Roman" w:eastAsia="Times New Roman" w:hAnsi="Times New Roman" w:cs="Times New Roman"/>
          <w:sz w:val="24"/>
          <w:szCs w:val="24"/>
          <w:lang w:val="en-GB" w:eastAsia="en-GB"/>
        </w:rPr>
        <w:t>incapability</w:t>
      </w:r>
      <w:r w:rsidRPr="00AC7E88">
        <w:rPr>
          <w:rFonts w:ascii="Times New Roman" w:eastAsia="Times New Roman" w:hAnsi="Times New Roman" w:cs="Times New Roman"/>
          <w:sz w:val="24"/>
          <w:szCs w:val="24"/>
          <w:lang w:val="en-GB" w:eastAsia="en-GB"/>
        </w:rPr>
        <w:t xml:space="preserve"> of its management leaders.</w:t>
      </w:r>
    </w:p>
    <w:p w14:paraId="533577BE" w14:textId="77777777" w:rsidR="00AC7E88" w:rsidRPr="008408E9" w:rsidRDefault="00F458D1" w:rsidP="008408E9">
      <w:pPr>
        <w:pStyle w:val="Antrat3"/>
      </w:pPr>
      <w:bookmarkStart w:id="10" w:name="_Toc71388437"/>
      <w:r w:rsidRPr="008408E9">
        <w:lastRenderedPageBreak/>
        <w:t>Gearing Ratios</w:t>
      </w:r>
      <w:bookmarkEnd w:id="10"/>
    </w:p>
    <w:p w14:paraId="453F8C5D"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Debt to equity level of Shell has escalated with the minimum value of 0.01% from 2019 to 2020. </w:t>
      </w:r>
      <w:r w:rsidR="008B4B6E" w:rsidRPr="008408E9">
        <w:rPr>
          <w:rFonts w:ascii="Times New Roman" w:eastAsia="Times New Roman" w:hAnsi="Times New Roman" w:cs="Times New Roman"/>
          <w:sz w:val="24"/>
          <w:szCs w:val="24"/>
          <w:lang w:val="en-GB" w:eastAsia="en-GB"/>
        </w:rPr>
        <w:t xml:space="preserve">In the words of </w:t>
      </w:r>
      <w:proofErr w:type="spellStart"/>
      <w:r w:rsidR="008B4B6E" w:rsidRPr="008408E9">
        <w:rPr>
          <w:rFonts w:ascii="Times New Roman" w:eastAsia="Times New Roman" w:hAnsi="Times New Roman" w:cs="Times New Roman"/>
          <w:sz w:val="24"/>
          <w:szCs w:val="24"/>
          <w:lang w:val="en-GB" w:eastAsia="en-GB"/>
        </w:rPr>
        <w:t>Merigó</w:t>
      </w:r>
      <w:proofErr w:type="spellEnd"/>
      <w:r w:rsidR="008B4B6E" w:rsidRPr="008408E9">
        <w:rPr>
          <w:rFonts w:ascii="Times New Roman" w:eastAsia="Times New Roman" w:hAnsi="Times New Roman" w:cs="Times New Roman"/>
          <w:sz w:val="24"/>
          <w:szCs w:val="24"/>
          <w:lang w:val="en-GB" w:eastAsia="en-GB"/>
        </w:rPr>
        <w:t xml:space="preserve"> and Yang (2017), escalating</w:t>
      </w:r>
      <w:r w:rsidRPr="00AC7E88">
        <w:rPr>
          <w:rFonts w:ascii="Times New Roman" w:eastAsia="Times New Roman" w:hAnsi="Times New Roman" w:cs="Times New Roman"/>
          <w:sz w:val="24"/>
          <w:szCs w:val="24"/>
          <w:lang w:val="en-GB" w:eastAsia="en-GB"/>
        </w:rPr>
        <w:t xml:space="preserve"> debt to equity value of a company highlights its effective financial coverage capabilities. In other </w:t>
      </w:r>
      <w:r w:rsidR="00F458D1" w:rsidRPr="008408E9">
        <w:rPr>
          <w:rFonts w:ascii="Times New Roman" w:eastAsia="Times New Roman" w:hAnsi="Times New Roman" w:cs="Times New Roman"/>
          <w:sz w:val="24"/>
          <w:szCs w:val="24"/>
          <w:lang w:val="en-GB" w:eastAsia="en-GB"/>
        </w:rPr>
        <w:t>words,</w:t>
      </w:r>
      <w:r w:rsidRPr="00AC7E88">
        <w:rPr>
          <w:rFonts w:ascii="Times New Roman" w:eastAsia="Times New Roman" w:hAnsi="Times New Roman" w:cs="Times New Roman"/>
          <w:sz w:val="24"/>
          <w:szCs w:val="24"/>
          <w:lang w:val="en-GB" w:eastAsia="en-GB"/>
        </w:rPr>
        <w:t xml:space="preserve"> it can be indicated that the company has high market demand to mitigate its debt through external cash flow. </w:t>
      </w:r>
      <w:r w:rsidR="00F458D1" w:rsidRPr="008408E9">
        <w:rPr>
          <w:rFonts w:ascii="Times New Roman" w:eastAsia="Times New Roman" w:hAnsi="Times New Roman" w:cs="Times New Roman"/>
          <w:sz w:val="24"/>
          <w:szCs w:val="24"/>
          <w:lang w:val="en-GB" w:eastAsia="en-GB"/>
        </w:rPr>
        <w:t>However,</w:t>
      </w:r>
      <w:r w:rsidRPr="00AC7E88">
        <w:rPr>
          <w:rFonts w:ascii="Times New Roman" w:eastAsia="Times New Roman" w:hAnsi="Times New Roman" w:cs="Times New Roman"/>
          <w:sz w:val="24"/>
          <w:szCs w:val="24"/>
          <w:lang w:val="en-GB" w:eastAsia="en-GB"/>
        </w:rPr>
        <w:t xml:space="preserve"> this value seems to be stagnant for this company from 2016 to 2019. This aspect denotes that the company has been processing an equal amount of capital acquisition every year for mitigating its financial issues. </w:t>
      </w:r>
      <w:r w:rsidR="008B4B6E" w:rsidRPr="008408E9">
        <w:rPr>
          <w:rFonts w:ascii="Times New Roman" w:eastAsia="Times New Roman" w:hAnsi="Times New Roman" w:cs="Times New Roman"/>
          <w:sz w:val="24"/>
          <w:szCs w:val="24"/>
          <w:lang w:val="en-GB" w:eastAsia="en-GB"/>
        </w:rPr>
        <w:t xml:space="preserve">In the perception of </w:t>
      </w:r>
      <w:proofErr w:type="spellStart"/>
      <w:r w:rsidR="008B4B6E" w:rsidRPr="008408E9">
        <w:rPr>
          <w:rFonts w:ascii="Times New Roman" w:eastAsia="Times New Roman" w:hAnsi="Times New Roman" w:cs="Times New Roman"/>
          <w:sz w:val="24"/>
          <w:szCs w:val="24"/>
          <w:lang w:val="en-GB" w:eastAsia="en-GB"/>
        </w:rPr>
        <w:t>Apostolou</w:t>
      </w:r>
      <w:proofErr w:type="spellEnd"/>
      <w:r w:rsidR="008B4B6E" w:rsidRPr="008408E9">
        <w:rPr>
          <w:rFonts w:ascii="Times New Roman" w:eastAsia="Times New Roman" w:hAnsi="Times New Roman" w:cs="Times New Roman"/>
          <w:sz w:val="24"/>
          <w:szCs w:val="24"/>
          <w:lang w:val="en-GB" w:eastAsia="en-GB"/>
        </w:rPr>
        <w:t xml:space="preserve"> </w:t>
      </w:r>
      <w:r w:rsidR="008B4B6E" w:rsidRPr="008408E9">
        <w:rPr>
          <w:rFonts w:ascii="Times New Roman" w:eastAsia="Times New Roman" w:hAnsi="Times New Roman" w:cs="Times New Roman"/>
          <w:i/>
          <w:sz w:val="24"/>
          <w:szCs w:val="24"/>
          <w:lang w:val="en-GB" w:eastAsia="en-GB"/>
        </w:rPr>
        <w:t xml:space="preserve">et al. </w:t>
      </w:r>
      <w:r w:rsidR="008B4B6E" w:rsidRPr="008408E9">
        <w:rPr>
          <w:rFonts w:ascii="Times New Roman" w:eastAsia="Times New Roman" w:hAnsi="Times New Roman" w:cs="Times New Roman"/>
          <w:sz w:val="24"/>
          <w:szCs w:val="24"/>
          <w:lang w:val="en-GB" w:eastAsia="en-GB"/>
        </w:rPr>
        <w:t>(2018), a</w:t>
      </w:r>
      <w:r w:rsidRPr="00AC7E88">
        <w:rPr>
          <w:rFonts w:ascii="Times New Roman" w:eastAsia="Times New Roman" w:hAnsi="Times New Roman" w:cs="Times New Roman"/>
          <w:sz w:val="24"/>
          <w:szCs w:val="24"/>
          <w:lang w:val="en-GB" w:eastAsia="en-GB"/>
        </w:rPr>
        <w:t xml:space="preserve">cquiring funds from investors to resolve financial crises indicates a low amount of financial leverage obtained by an organisation. </w:t>
      </w:r>
      <w:r w:rsidR="00F458D1" w:rsidRPr="008408E9">
        <w:rPr>
          <w:rFonts w:ascii="Times New Roman" w:eastAsia="Times New Roman" w:hAnsi="Times New Roman" w:cs="Times New Roman"/>
          <w:sz w:val="24"/>
          <w:szCs w:val="24"/>
          <w:lang w:val="en-GB" w:eastAsia="en-GB"/>
        </w:rPr>
        <w:t>Hence,</w:t>
      </w:r>
      <w:r w:rsidRPr="00AC7E88">
        <w:rPr>
          <w:rFonts w:ascii="Times New Roman" w:eastAsia="Times New Roman" w:hAnsi="Times New Roman" w:cs="Times New Roman"/>
          <w:sz w:val="24"/>
          <w:szCs w:val="24"/>
          <w:lang w:val="en-GB" w:eastAsia="en-GB"/>
        </w:rPr>
        <w:t xml:space="preserve"> it can be noticed that this company has high financial reliability resulting in nominal escalation of a gearing output.</w:t>
      </w:r>
    </w:p>
    <w:p w14:paraId="31F8AB8B"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Interest coverage value of this company has escalated from 2019 to 2020. </w:t>
      </w:r>
      <w:r w:rsidR="006C79D2" w:rsidRPr="008408E9">
        <w:rPr>
          <w:rFonts w:ascii="Times New Roman" w:eastAsia="Times New Roman" w:hAnsi="Times New Roman" w:cs="Times New Roman"/>
          <w:sz w:val="24"/>
          <w:szCs w:val="24"/>
          <w:lang w:val="en-GB" w:eastAsia="en-GB"/>
        </w:rPr>
        <w:t xml:space="preserve">In the views of Campbell </w:t>
      </w:r>
      <w:r w:rsidR="006C79D2" w:rsidRPr="008408E9">
        <w:rPr>
          <w:rFonts w:ascii="Times New Roman" w:eastAsia="Times New Roman" w:hAnsi="Times New Roman" w:cs="Times New Roman"/>
          <w:i/>
          <w:sz w:val="24"/>
          <w:szCs w:val="24"/>
          <w:lang w:val="en-GB" w:eastAsia="en-GB"/>
        </w:rPr>
        <w:t xml:space="preserve">et al. </w:t>
      </w:r>
      <w:r w:rsidR="006C79D2" w:rsidRPr="008408E9">
        <w:rPr>
          <w:rFonts w:ascii="Times New Roman" w:eastAsia="Times New Roman" w:hAnsi="Times New Roman" w:cs="Times New Roman"/>
          <w:sz w:val="24"/>
          <w:szCs w:val="24"/>
          <w:lang w:val="en-GB" w:eastAsia="en-GB"/>
        </w:rPr>
        <w:t xml:space="preserve">(2019), </w:t>
      </w:r>
      <w:r w:rsidRPr="00AC7E88">
        <w:rPr>
          <w:rFonts w:ascii="Times New Roman" w:eastAsia="Times New Roman" w:hAnsi="Times New Roman" w:cs="Times New Roman"/>
          <w:sz w:val="24"/>
          <w:szCs w:val="24"/>
          <w:lang w:val="en-GB" w:eastAsia="en-GB"/>
        </w:rPr>
        <w:t xml:space="preserve">Elevation of interest coverage indicates that the provision of optimum cash flow is possible for a company within the future. On the </w:t>
      </w:r>
      <w:r w:rsidR="00F458D1" w:rsidRPr="008408E9">
        <w:rPr>
          <w:rFonts w:ascii="Times New Roman" w:eastAsia="Times New Roman" w:hAnsi="Times New Roman" w:cs="Times New Roman"/>
          <w:sz w:val="24"/>
          <w:szCs w:val="24"/>
          <w:lang w:val="en-GB" w:eastAsia="en-GB"/>
        </w:rPr>
        <w:t>contrary,</w:t>
      </w:r>
      <w:r w:rsidRPr="00AC7E88">
        <w:rPr>
          <w:rFonts w:ascii="Times New Roman" w:eastAsia="Times New Roman" w:hAnsi="Times New Roman" w:cs="Times New Roman"/>
          <w:sz w:val="24"/>
          <w:szCs w:val="24"/>
          <w:lang w:val="en-GB" w:eastAsia="en-GB"/>
        </w:rPr>
        <w:t xml:space="preserve"> it is noticeable that the coverage ratio has </w:t>
      </w:r>
      <w:proofErr w:type="gramStart"/>
      <w:r w:rsidRPr="00AC7E88">
        <w:rPr>
          <w:rFonts w:ascii="Times New Roman" w:eastAsia="Times New Roman" w:hAnsi="Times New Roman" w:cs="Times New Roman"/>
          <w:sz w:val="24"/>
          <w:szCs w:val="24"/>
          <w:lang w:val="en-GB" w:eastAsia="en-GB"/>
        </w:rPr>
        <w:t>actually declined</w:t>
      </w:r>
      <w:proofErr w:type="gramEnd"/>
      <w:r w:rsidRPr="00AC7E88">
        <w:rPr>
          <w:rFonts w:ascii="Times New Roman" w:eastAsia="Times New Roman" w:hAnsi="Times New Roman" w:cs="Times New Roman"/>
          <w:sz w:val="24"/>
          <w:szCs w:val="24"/>
          <w:lang w:val="en-GB" w:eastAsia="en-GB"/>
        </w:rPr>
        <w:t xml:space="preserve"> from 2016 to 2020. Critical declination is observable from 2016 to 2017 that can be blamed on the economic crisis of the UK. </w:t>
      </w:r>
      <w:r w:rsidRPr="00AC7E88">
        <w:rPr>
          <w:rFonts w:ascii="Times New Roman" w:eastAsia="Times New Roman" w:hAnsi="Times New Roman" w:cs="Times New Roman"/>
          <w:i/>
          <w:sz w:val="24"/>
          <w:szCs w:val="24"/>
          <w:lang w:val="en-GB" w:eastAsia="en-GB"/>
        </w:rPr>
        <w:t xml:space="preserve">Brexit </w:t>
      </w:r>
      <w:r w:rsidRPr="00AC7E88">
        <w:rPr>
          <w:rFonts w:ascii="Times New Roman" w:eastAsia="Times New Roman" w:hAnsi="Times New Roman" w:cs="Times New Roman"/>
          <w:sz w:val="24"/>
          <w:szCs w:val="24"/>
          <w:lang w:val="en-GB" w:eastAsia="en-GB"/>
        </w:rPr>
        <w:t>has cause substantial declination of profit margin in the oil and gas industry</w:t>
      </w:r>
      <w:r w:rsidR="006C79D2" w:rsidRPr="008408E9">
        <w:rPr>
          <w:rFonts w:ascii="Times New Roman" w:eastAsia="Times New Roman" w:hAnsi="Times New Roman" w:cs="Times New Roman"/>
          <w:sz w:val="24"/>
          <w:szCs w:val="24"/>
          <w:lang w:val="en-GB" w:eastAsia="en-GB"/>
        </w:rPr>
        <w:t xml:space="preserve"> (Ambrose, 2021)</w:t>
      </w:r>
      <w:r w:rsidRPr="00AC7E88">
        <w:rPr>
          <w:rFonts w:ascii="Times New Roman" w:eastAsia="Times New Roman" w:hAnsi="Times New Roman" w:cs="Times New Roman"/>
          <w:sz w:val="24"/>
          <w:szCs w:val="24"/>
          <w:lang w:val="en-GB" w:eastAsia="en-GB"/>
        </w:rPr>
        <w:t xml:space="preserve">. </w:t>
      </w:r>
      <w:r w:rsidR="00F458D1" w:rsidRPr="008408E9">
        <w:rPr>
          <w:rFonts w:ascii="Times New Roman" w:eastAsia="Times New Roman" w:hAnsi="Times New Roman" w:cs="Times New Roman"/>
          <w:sz w:val="24"/>
          <w:szCs w:val="24"/>
          <w:lang w:val="en-GB" w:eastAsia="en-GB"/>
        </w:rPr>
        <w:t>Nonetheless,</w:t>
      </w:r>
      <w:r w:rsidRPr="00AC7E88">
        <w:rPr>
          <w:rFonts w:ascii="Times New Roman" w:eastAsia="Times New Roman" w:hAnsi="Times New Roman" w:cs="Times New Roman"/>
          <w:sz w:val="24"/>
          <w:szCs w:val="24"/>
          <w:lang w:val="en-GB" w:eastAsia="en-GB"/>
        </w:rPr>
        <w:t xml:space="preserve"> ineffective crisis management is also responsible for the decline of Shell's interest coverage. It has been indicated earlier that the management leaders are operating on ineffective organisational decisions. </w:t>
      </w:r>
      <w:r w:rsidR="00F458D1" w:rsidRPr="008408E9">
        <w:rPr>
          <w:rFonts w:ascii="Times New Roman" w:eastAsia="Times New Roman" w:hAnsi="Times New Roman" w:cs="Times New Roman"/>
          <w:sz w:val="24"/>
          <w:szCs w:val="24"/>
          <w:lang w:val="en-GB" w:eastAsia="en-GB"/>
        </w:rPr>
        <w:t>Therefore,</w:t>
      </w:r>
      <w:r w:rsidRPr="00AC7E88">
        <w:rPr>
          <w:rFonts w:ascii="Times New Roman" w:eastAsia="Times New Roman" w:hAnsi="Times New Roman" w:cs="Times New Roman"/>
          <w:sz w:val="24"/>
          <w:szCs w:val="24"/>
          <w:lang w:val="en-GB" w:eastAsia="en-GB"/>
        </w:rPr>
        <w:t xml:space="preserve"> it can be highlighted that this company must improve its crisis management strategy to deliver competition in the market by gaining optimum gearing output.</w:t>
      </w:r>
    </w:p>
    <w:p w14:paraId="2BD9D295" w14:textId="77777777" w:rsidR="00AC7E88" w:rsidRPr="008408E9" w:rsidRDefault="00F458D1" w:rsidP="008408E9">
      <w:pPr>
        <w:pStyle w:val="Antrat3"/>
      </w:pPr>
      <w:bookmarkStart w:id="11" w:name="_Toc71388438"/>
      <w:r w:rsidRPr="008408E9">
        <w:t>Efficiency Ratio</w:t>
      </w:r>
      <w:bookmarkEnd w:id="11"/>
    </w:p>
    <w:p w14:paraId="5E7064DC" w14:textId="77777777" w:rsidR="00AC7E88" w:rsidRPr="00AC7E88"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Efficiency ratio of Shell has substantially escalated from 2016 to 2020. </w:t>
      </w:r>
      <w:r w:rsidR="00EC4CA3" w:rsidRPr="008408E9">
        <w:rPr>
          <w:rFonts w:ascii="Times New Roman" w:eastAsia="Times New Roman" w:hAnsi="Times New Roman" w:cs="Times New Roman"/>
          <w:sz w:val="24"/>
          <w:szCs w:val="24"/>
          <w:lang w:val="en-GB" w:eastAsia="en-GB"/>
        </w:rPr>
        <w:t xml:space="preserve">In the perception of </w:t>
      </w:r>
      <w:proofErr w:type="spellStart"/>
      <w:r w:rsidR="00EC4CA3" w:rsidRPr="008408E9">
        <w:rPr>
          <w:rFonts w:ascii="Times New Roman" w:eastAsia="Times New Roman" w:hAnsi="Times New Roman" w:cs="Times New Roman"/>
          <w:sz w:val="24"/>
          <w:szCs w:val="24"/>
          <w:lang w:val="en-GB" w:eastAsia="en-GB"/>
        </w:rPr>
        <w:t>Sledgianowski</w:t>
      </w:r>
      <w:proofErr w:type="spellEnd"/>
      <w:r w:rsidR="00EC4CA3" w:rsidRPr="008408E9">
        <w:rPr>
          <w:rFonts w:ascii="Times New Roman" w:eastAsia="Times New Roman" w:hAnsi="Times New Roman" w:cs="Times New Roman"/>
          <w:sz w:val="24"/>
          <w:szCs w:val="24"/>
          <w:lang w:val="en-GB" w:eastAsia="en-GB"/>
        </w:rPr>
        <w:t xml:space="preserve"> </w:t>
      </w:r>
      <w:r w:rsidR="00EC4CA3" w:rsidRPr="008408E9">
        <w:rPr>
          <w:rFonts w:ascii="Times New Roman" w:eastAsia="Times New Roman" w:hAnsi="Times New Roman" w:cs="Times New Roman"/>
          <w:i/>
          <w:sz w:val="24"/>
          <w:szCs w:val="24"/>
          <w:lang w:val="en-GB" w:eastAsia="en-GB"/>
        </w:rPr>
        <w:t xml:space="preserve">et al. </w:t>
      </w:r>
      <w:r w:rsidR="00EC4CA3" w:rsidRPr="008408E9">
        <w:rPr>
          <w:rFonts w:ascii="Times New Roman" w:eastAsia="Times New Roman" w:hAnsi="Times New Roman" w:cs="Times New Roman"/>
          <w:sz w:val="24"/>
          <w:szCs w:val="24"/>
          <w:lang w:val="en-GB" w:eastAsia="en-GB"/>
        </w:rPr>
        <w:t>(2017), escalating</w:t>
      </w:r>
      <w:r w:rsidRPr="00AC7E88">
        <w:rPr>
          <w:rFonts w:ascii="Times New Roman" w:eastAsia="Times New Roman" w:hAnsi="Times New Roman" w:cs="Times New Roman"/>
          <w:sz w:val="24"/>
          <w:szCs w:val="24"/>
          <w:lang w:val="en-GB" w:eastAsia="en-GB"/>
        </w:rPr>
        <w:t xml:space="preserve"> range of efficiency indicates that an effective inventory management system has been adopted by an organisation. On the </w:t>
      </w:r>
      <w:r w:rsidR="00F458D1" w:rsidRPr="008408E9">
        <w:rPr>
          <w:rFonts w:ascii="Times New Roman" w:eastAsia="Times New Roman" w:hAnsi="Times New Roman" w:cs="Times New Roman"/>
          <w:sz w:val="24"/>
          <w:szCs w:val="24"/>
          <w:lang w:val="en-GB" w:eastAsia="en-GB"/>
        </w:rPr>
        <w:t>contrary,</w:t>
      </w:r>
      <w:r w:rsidRPr="00AC7E88">
        <w:rPr>
          <w:rFonts w:ascii="Times New Roman" w:eastAsia="Times New Roman" w:hAnsi="Times New Roman" w:cs="Times New Roman"/>
          <w:sz w:val="24"/>
          <w:szCs w:val="24"/>
          <w:lang w:val="en-GB" w:eastAsia="en-GB"/>
        </w:rPr>
        <w:t xml:space="preserve"> a declination of efficiency is observed from 2018 to 2019 for this company. In this scenario, it can be highlighted that the similar marketing decision that has depreciated the profitability range of this company has resulted in the decline of its efficiency range. </w:t>
      </w:r>
      <w:r w:rsidR="001D2E91" w:rsidRPr="008408E9">
        <w:rPr>
          <w:rFonts w:ascii="Times New Roman" w:eastAsia="Times New Roman" w:hAnsi="Times New Roman" w:cs="Times New Roman"/>
          <w:sz w:val="24"/>
          <w:szCs w:val="24"/>
          <w:lang w:val="en-GB" w:eastAsia="en-GB"/>
        </w:rPr>
        <w:t>In the views of Kocsis (2019), i</w:t>
      </w:r>
      <w:r w:rsidRPr="00AC7E88">
        <w:rPr>
          <w:rFonts w:ascii="Times New Roman" w:eastAsia="Times New Roman" w:hAnsi="Times New Roman" w:cs="Times New Roman"/>
          <w:sz w:val="24"/>
          <w:szCs w:val="24"/>
          <w:lang w:val="en-GB" w:eastAsia="en-GB"/>
        </w:rPr>
        <w:t xml:space="preserve">neffective market decisions lead to the depreciation of customer acquisition potential for an organisation that operates as a fragment of the Oil and Gas industry. </w:t>
      </w:r>
      <w:r w:rsidR="00EC4CA3" w:rsidRPr="008408E9">
        <w:rPr>
          <w:rFonts w:ascii="Times New Roman" w:eastAsia="Times New Roman" w:hAnsi="Times New Roman" w:cs="Times New Roman"/>
          <w:sz w:val="24"/>
          <w:szCs w:val="24"/>
          <w:lang w:val="en-GB" w:eastAsia="en-GB"/>
        </w:rPr>
        <w:t>Hence,</w:t>
      </w:r>
      <w:r w:rsidRPr="00AC7E88">
        <w:rPr>
          <w:rFonts w:ascii="Times New Roman" w:eastAsia="Times New Roman" w:hAnsi="Times New Roman" w:cs="Times New Roman"/>
          <w:sz w:val="24"/>
          <w:szCs w:val="24"/>
          <w:lang w:val="en-GB" w:eastAsia="en-GB"/>
        </w:rPr>
        <w:t xml:space="preserve"> it can be indicated that this company must change its marketing strategy to improve its efficiency range in the UK.</w:t>
      </w:r>
    </w:p>
    <w:p w14:paraId="18DA37BF" w14:textId="77777777" w:rsidR="008F110F" w:rsidRPr="008408E9" w:rsidRDefault="00AC7E88" w:rsidP="008408E9">
      <w:pPr>
        <w:spacing w:after="0" w:line="360" w:lineRule="auto"/>
        <w:jc w:val="both"/>
        <w:rPr>
          <w:rFonts w:ascii="Times New Roman" w:eastAsia="Times New Roman" w:hAnsi="Times New Roman" w:cs="Times New Roman"/>
          <w:sz w:val="24"/>
          <w:szCs w:val="24"/>
          <w:lang w:val="en-GB" w:eastAsia="en-GB"/>
        </w:rPr>
      </w:pPr>
      <w:r w:rsidRPr="00AC7E88">
        <w:rPr>
          <w:rFonts w:ascii="Times New Roman" w:eastAsia="Times New Roman" w:hAnsi="Times New Roman" w:cs="Times New Roman"/>
          <w:sz w:val="24"/>
          <w:szCs w:val="24"/>
          <w:lang w:val="en-GB" w:eastAsia="en-GB"/>
        </w:rPr>
        <w:t xml:space="preserve">CCC output of Shell has escalated from 2016 to 2020 with a nominal declination in 2018 to 2019. </w:t>
      </w:r>
      <w:r w:rsidR="001D2E91" w:rsidRPr="008408E9">
        <w:rPr>
          <w:rFonts w:ascii="Times New Roman" w:eastAsia="Times New Roman" w:hAnsi="Times New Roman" w:cs="Times New Roman"/>
          <w:sz w:val="24"/>
          <w:szCs w:val="24"/>
          <w:lang w:val="en-GB" w:eastAsia="en-GB"/>
        </w:rPr>
        <w:t xml:space="preserve">In the opinion of </w:t>
      </w:r>
      <w:r w:rsidR="00672F7A" w:rsidRPr="008408E9">
        <w:rPr>
          <w:rFonts w:ascii="Times New Roman" w:eastAsia="Times New Roman" w:hAnsi="Times New Roman" w:cs="Times New Roman"/>
          <w:sz w:val="24"/>
          <w:szCs w:val="24"/>
          <w:lang w:val="en-GB" w:eastAsia="en-GB"/>
        </w:rPr>
        <w:t xml:space="preserve">Sampson </w:t>
      </w:r>
      <w:r w:rsidR="001D2E91" w:rsidRPr="008408E9">
        <w:rPr>
          <w:rFonts w:ascii="Times New Roman" w:eastAsia="Times New Roman" w:hAnsi="Times New Roman" w:cs="Times New Roman"/>
          <w:sz w:val="24"/>
          <w:szCs w:val="24"/>
          <w:lang w:val="en-GB" w:eastAsia="en-GB"/>
        </w:rPr>
        <w:t xml:space="preserve">(2017), </w:t>
      </w:r>
      <w:r w:rsidRPr="00AC7E88">
        <w:rPr>
          <w:rFonts w:ascii="Times New Roman" w:eastAsia="Times New Roman" w:hAnsi="Times New Roman" w:cs="Times New Roman"/>
          <w:sz w:val="24"/>
          <w:szCs w:val="24"/>
          <w:lang w:val="en-GB" w:eastAsia="en-GB"/>
        </w:rPr>
        <w:t xml:space="preserve">CCC indicates the capability of an organisation to </w:t>
      </w:r>
      <w:r w:rsidRPr="00AC7E88">
        <w:rPr>
          <w:rFonts w:ascii="Times New Roman" w:eastAsia="Times New Roman" w:hAnsi="Times New Roman" w:cs="Times New Roman"/>
          <w:sz w:val="24"/>
          <w:szCs w:val="24"/>
          <w:lang w:val="en-GB" w:eastAsia="en-GB"/>
        </w:rPr>
        <w:lastRenderedPageBreak/>
        <w:t xml:space="preserve">liquidate its current asset for paying its debts. However, higher the CCC value of an organisation lower is its market potential in a region. In this </w:t>
      </w:r>
      <w:r w:rsidRPr="008408E9">
        <w:rPr>
          <w:rFonts w:ascii="Times New Roman" w:eastAsia="Times New Roman" w:hAnsi="Times New Roman" w:cs="Times New Roman"/>
          <w:sz w:val="24"/>
          <w:szCs w:val="24"/>
          <w:lang w:val="en-GB" w:eastAsia="en-GB"/>
        </w:rPr>
        <w:t>scenario,</w:t>
      </w:r>
      <w:r w:rsidRPr="00AC7E88">
        <w:rPr>
          <w:rFonts w:ascii="Times New Roman" w:eastAsia="Times New Roman" w:hAnsi="Times New Roman" w:cs="Times New Roman"/>
          <w:sz w:val="24"/>
          <w:szCs w:val="24"/>
          <w:lang w:val="en-GB" w:eastAsia="en-GB"/>
        </w:rPr>
        <w:t xml:space="preserve"> it can be indicated that the company has low market potential in the UK. </w:t>
      </w:r>
      <w:r w:rsidR="00904365" w:rsidRPr="008408E9">
        <w:rPr>
          <w:rFonts w:ascii="Times New Roman" w:eastAsia="Times New Roman" w:hAnsi="Times New Roman" w:cs="Times New Roman"/>
          <w:sz w:val="24"/>
          <w:szCs w:val="24"/>
          <w:lang w:val="en-GB" w:eastAsia="en-GB"/>
        </w:rPr>
        <w:t xml:space="preserve">In the perception of </w:t>
      </w:r>
      <w:proofErr w:type="spellStart"/>
      <w:r w:rsidR="00904365" w:rsidRPr="008408E9">
        <w:rPr>
          <w:rFonts w:ascii="Times New Roman" w:eastAsia="Times New Roman" w:hAnsi="Times New Roman" w:cs="Times New Roman"/>
          <w:sz w:val="24"/>
          <w:szCs w:val="24"/>
          <w:lang w:val="en-GB" w:eastAsia="en-GB"/>
        </w:rPr>
        <w:t>Alsaba</w:t>
      </w:r>
      <w:proofErr w:type="spellEnd"/>
      <w:r w:rsidR="00904365" w:rsidRPr="008408E9">
        <w:rPr>
          <w:rFonts w:ascii="Times New Roman" w:eastAsia="Times New Roman" w:hAnsi="Times New Roman" w:cs="Times New Roman"/>
          <w:sz w:val="24"/>
          <w:szCs w:val="24"/>
          <w:lang w:val="en-GB" w:eastAsia="en-GB"/>
        </w:rPr>
        <w:t xml:space="preserve"> </w:t>
      </w:r>
      <w:r w:rsidR="00904365" w:rsidRPr="008408E9">
        <w:rPr>
          <w:rFonts w:ascii="Times New Roman" w:eastAsia="Times New Roman" w:hAnsi="Times New Roman" w:cs="Times New Roman"/>
          <w:i/>
          <w:sz w:val="24"/>
          <w:szCs w:val="24"/>
          <w:lang w:val="en-GB" w:eastAsia="en-GB"/>
        </w:rPr>
        <w:t xml:space="preserve">et al. </w:t>
      </w:r>
      <w:r w:rsidR="00904365" w:rsidRPr="008408E9">
        <w:rPr>
          <w:rFonts w:ascii="Times New Roman" w:eastAsia="Times New Roman" w:hAnsi="Times New Roman" w:cs="Times New Roman"/>
          <w:sz w:val="24"/>
          <w:szCs w:val="24"/>
          <w:lang w:val="en-GB" w:eastAsia="en-GB"/>
        </w:rPr>
        <w:t xml:space="preserve">(2020), </w:t>
      </w:r>
      <w:r w:rsidR="00143B26" w:rsidRPr="008408E9">
        <w:rPr>
          <w:rFonts w:ascii="Times New Roman" w:eastAsia="Times New Roman" w:hAnsi="Times New Roman" w:cs="Times New Roman"/>
          <w:sz w:val="24"/>
          <w:szCs w:val="24"/>
          <w:lang w:val="en-GB" w:eastAsia="en-GB"/>
        </w:rPr>
        <w:t xml:space="preserve">depreciation of CCC value degrades market share-acquisition potential of an organisation operating as a fragment of oil and gas industry. this aspect can be stated as to be brand value depreciating issue for this company that questions its sustainability range in the region. </w:t>
      </w:r>
      <w:r w:rsidRPr="008408E9">
        <w:rPr>
          <w:rFonts w:ascii="Times New Roman" w:eastAsia="Times New Roman" w:hAnsi="Times New Roman" w:cs="Times New Roman"/>
          <w:sz w:val="24"/>
          <w:szCs w:val="24"/>
          <w:lang w:val="en-GB" w:eastAsia="en-GB"/>
        </w:rPr>
        <w:t>Therefore,</w:t>
      </w:r>
      <w:r w:rsidRPr="00AC7E88">
        <w:rPr>
          <w:rFonts w:ascii="Times New Roman" w:eastAsia="Times New Roman" w:hAnsi="Times New Roman" w:cs="Times New Roman"/>
          <w:sz w:val="24"/>
          <w:szCs w:val="24"/>
          <w:lang w:val="en-GB" w:eastAsia="en-GB"/>
        </w:rPr>
        <w:t xml:space="preserve"> it can be highlighted that this company is in a financial crisis with the low efficiency profitability and liquidity range.</w:t>
      </w:r>
    </w:p>
    <w:p w14:paraId="06995C7A" w14:textId="77777777" w:rsidR="00907FF5" w:rsidRPr="008408E9" w:rsidRDefault="00C4729E" w:rsidP="008408E9">
      <w:pPr>
        <w:pStyle w:val="Antrat2"/>
      </w:pPr>
      <w:bookmarkStart w:id="12" w:name="_Toc71388439"/>
      <w:r w:rsidRPr="008408E9">
        <w:t xml:space="preserve">3. </w:t>
      </w:r>
      <w:r w:rsidR="00907FF5" w:rsidRPr="008408E9">
        <w:t>Comparison with Major Competitors</w:t>
      </w:r>
      <w:bookmarkEnd w:id="12"/>
    </w:p>
    <w:tbl>
      <w:tblPr>
        <w:tblW w:w="5990" w:type="dxa"/>
        <w:jc w:val="center"/>
        <w:tblLook w:val="04A0" w:firstRow="1" w:lastRow="0" w:firstColumn="1" w:lastColumn="0" w:noHBand="0" w:noVBand="1"/>
      </w:tblPr>
      <w:tblGrid>
        <w:gridCol w:w="1376"/>
        <w:gridCol w:w="996"/>
        <w:gridCol w:w="996"/>
        <w:gridCol w:w="996"/>
        <w:gridCol w:w="996"/>
        <w:gridCol w:w="996"/>
      </w:tblGrid>
      <w:tr w:rsidR="007F13E8" w:rsidRPr="008408E9" w14:paraId="33FB7B8A" w14:textId="77777777" w:rsidTr="007F13E8">
        <w:trPr>
          <w:trHeight w:val="930"/>
          <w:jc w:val="center"/>
        </w:trPr>
        <w:tc>
          <w:tcPr>
            <w:tcW w:w="119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47D6FBD"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Profitability Ratios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B34811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48488075"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074D814"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D924D5C"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0AE90F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7F13E8" w:rsidRPr="008408E9" w14:paraId="71330716"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51BF3EFD"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30E0524B"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8C1CDAE"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DFC5C29"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5686377"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0BCAC83"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42ABDB44" w14:textId="77777777" w:rsidTr="007F13E8">
        <w:trPr>
          <w:trHeight w:val="155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4DA3CD9A"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ROI</w:t>
            </w:r>
          </w:p>
        </w:tc>
        <w:tc>
          <w:tcPr>
            <w:tcW w:w="960" w:type="dxa"/>
            <w:tcBorders>
              <w:top w:val="nil"/>
              <w:left w:val="nil"/>
              <w:bottom w:val="single" w:sz="4" w:space="0" w:color="auto"/>
              <w:right w:val="single" w:sz="4" w:space="0" w:color="auto"/>
            </w:tcBorders>
            <w:shd w:val="clear" w:color="auto" w:fill="auto"/>
            <w:noWrap/>
            <w:vAlign w:val="bottom"/>
            <w:hideMark/>
          </w:tcPr>
          <w:p w14:paraId="20137B78"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£7.08</w:t>
            </w:r>
          </w:p>
        </w:tc>
        <w:tc>
          <w:tcPr>
            <w:tcW w:w="960" w:type="dxa"/>
            <w:tcBorders>
              <w:top w:val="nil"/>
              <w:left w:val="nil"/>
              <w:bottom w:val="single" w:sz="4" w:space="0" w:color="auto"/>
              <w:right w:val="single" w:sz="4" w:space="0" w:color="auto"/>
            </w:tcBorders>
            <w:shd w:val="clear" w:color="auto" w:fill="auto"/>
            <w:noWrap/>
            <w:vAlign w:val="bottom"/>
            <w:hideMark/>
          </w:tcPr>
          <w:p w14:paraId="26745B00"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£6.03</w:t>
            </w:r>
          </w:p>
        </w:tc>
        <w:tc>
          <w:tcPr>
            <w:tcW w:w="960" w:type="dxa"/>
            <w:tcBorders>
              <w:top w:val="nil"/>
              <w:left w:val="nil"/>
              <w:bottom w:val="single" w:sz="4" w:space="0" w:color="auto"/>
              <w:right w:val="single" w:sz="4" w:space="0" w:color="auto"/>
            </w:tcBorders>
            <w:shd w:val="clear" w:color="auto" w:fill="auto"/>
            <w:noWrap/>
            <w:vAlign w:val="bottom"/>
            <w:hideMark/>
          </w:tcPr>
          <w:p w14:paraId="58D3CF8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£11.72</w:t>
            </w:r>
          </w:p>
        </w:tc>
        <w:tc>
          <w:tcPr>
            <w:tcW w:w="960" w:type="dxa"/>
            <w:tcBorders>
              <w:top w:val="nil"/>
              <w:left w:val="nil"/>
              <w:bottom w:val="single" w:sz="4" w:space="0" w:color="auto"/>
              <w:right w:val="single" w:sz="4" w:space="0" w:color="auto"/>
            </w:tcBorders>
            <w:shd w:val="clear" w:color="auto" w:fill="auto"/>
            <w:noWrap/>
            <w:vAlign w:val="bottom"/>
            <w:hideMark/>
          </w:tcPr>
          <w:p w14:paraId="50CCBD7D"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£3.98</w:t>
            </w:r>
          </w:p>
        </w:tc>
        <w:tc>
          <w:tcPr>
            <w:tcW w:w="960" w:type="dxa"/>
            <w:tcBorders>
              <w:top w:val="nil"/>
              <w:left w:val="nil"/>
              <w:bottom w:val="single" w:sz="4" w:space="0" w:color="auto"/>
              <w:right w:val="single" w:sz="4" w:space="0" w:color="auto"/>
            </w:tcBorders>
            <w:shd w:val="clear" w:color="auto" w:fill="auto"/>
            <w:noWrap/>
            <w:vAlign w:val="bottom"/>
            <w:hideMark/>
          </w:tcPr>
          <w:p w14:paraId="598E49A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£0.07</w:t>
            </w:r>
          </w:p>
        </w:tc>
      </w:tr>
      <w:tr w:rsidR="007F13E8" w:rsidRPr="008408E9" w14:paraId="23BAAC26"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56078C81"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AA611AB"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000C109"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7FA501C"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8E013D7"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7661EDB"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146AD6A5" w14:textId="77777777" w:rsidTr="007F13E8">
        <w:trPr>
          <w:trHeight w:val="124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4B6AF98F"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ROE</w:t>
            </w:r>
          </w:p>
        </w:tc>
        <w:tc>
          <w:tcPr>
            <w:tcW w:w="960" w:type="dxa"/>
            <w:tcBorders>
              <w:top w:val="nil"/>
              <w:left w:val="nil"/>
              <w:bottom w:val="single" w:sz="4" w:space="0" w:color="auto"/>
              <w:right w:val="single" w:sz="4" w:space="0" w:color="auto"/>
            </w:tcBorders>
            <w:shd w:val="clear" w:color="auto" w:fill="auto"/>
            <w:noWrap/>
            <w:vAlign w:val="bottom"/>
            <w:hideMark/>
          </w:tcPr>
          <w:p w14:paraId="61F4AEED"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3.67%</w:t>
            </w:r>
          </w:p>
        </w:tc>
        <w:tc>
          <w:tcPr>
            <w:tcW w:w="960" w:type="dxa"/>
            <w:tcBorders>
              <w:top w:val="nil"/>
              <w:left w:val="nil"/>
              <w:bottom w:val="single" w:sz="4" w:space="0" w:color="auto"/>
              <w:right w:val="single" w:sz="4" w:space="0" w:color="auto"/>
            </w:tcBorders>
            <w:shd w:val="clear" w:color="auto" w:fill="auto"/>
            <w:noWrap/>
            <w:vAlign w:val="bottom"/>
            <w:hideMark/>
          </w:tcPr>
          <w:p w14:paraId="02E79AFC"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4.45%</w:t>
            </w:r>
          </w:p>
        </w:tc>
        <w:tc>
          <w:tcPr>
            <w:tcW w:w="960" w:type="dxa"/>
            <w:tcBorders>
              <w:top w:val="nil"/>
              <w:left w:val="nil"/>
              <w:bottom w:val="single" w:sz="4" w:space="0" w:color="auto"/>
              <w:right w:val="single" w:sz="4" w:space="0" w:color="auto"/>
            </w:tcBorders>
            <w:shd w:val="clear" w:color="auto" w:fill="auto"/>
            <w:noWrap/>
            <w:vAlign w:val="bottom"/>
            <w:hideMark/>
          </w:tcPr>
          <w:p w14:paraId="0A3163B5"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1.98%</w:t>
            </w:r>
          </w:p>
        </w:tc>
        <w:tc>
          <w:tcPr>
            <w:tcW w:w="960" w:type="dxa"/>
            <w:tcBorders>
              <w:top w:val="nil"/>
              <w:left w:val="nil"/>
              <w:bottom w:val="single" w:sz="4" w:space="0" w:color="auto"/>
              <w:right w:val="single" w:sz="4" w:space="0" w:color="auto"/>
            </w:tcBorders>
            <w:shd w:val="clear" w:color="auto" w:fill="auto"/>
            <w:noWrap/>
            <w:vAlign w:val="bottom"/>
            <w:hideMark/>
          </w:tcPr>
          <w:p w14:paraId="23CAC60A"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8.13%</w:t>
            </w:r>
          </w:p>
        </w:tc>
        <w:tc>
          <w:tcPr>
            <w:tcW w:w="960" w:type="dxa"/>
            <w:tcBorders>
              <w:top w:val="nil"/>
              <w:left w:val="nil"/>
              <w:bottom w:val="single" w:sz="4" w:space="0" w:color="auto"/>
              <w:right w:val="single" w:sz="4" w:space="0" w:color="auto"/>
            </w:tcBorders>
            <w:shd w:val="clear" w:color="auto" w:fill="auto"/>
            <w:noWrap/>
            <w:vAlign w:val="bottom"/>
            <w:hideMark/>
          </w:tcPr>
          <w:p w14:paraId="351C2958"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48.41%</w:t>
            </w:r>
          </w:p>
        </w:tc>
      </w:tr>
      <w:tr w:rsidR="007F13E8" w:rsidRPr="008408E9" w14:paraId="48F8B95F"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61B94694"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BD57AAA"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7CF9449"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178AE21"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DBCFA43"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5D9A0C0"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3DE26D2D" w14:textId="77777777" w:rsidTr="007F13E8">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8EC4044"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Earnings Per Share</w:t>
            </w:r>
          </w:p>
        </w:tc>
        <w:tc>
          <w:tcPr>
            <w:tcW w:w="960" w:type="dxa"/>
            <w:tcBorders>
              <w:top w:val="nil"/>
              <w:left w:val="nil"/>
              <w:bottom w:val="single" w:sz="4" w:space="0" w:color="auto"/>
              <w:right w:val="single" w:sz="4" w:space="0" w:color="auto"/>
            </w:tcBorders>
            <w:shd w:val="clear" w:color="auto" w:fill="auto"/>
            <w:noWrap/>
            <w:vAlign w:val="bottom"/>
            <w:hideMark/>
          </w:tcPr>
          <w:p w14:paraId="6A6A2081"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£3.93</w:t>
            </w:r>
          </w:p>
        </w:tc>
        <w:tc>
          <w:tcPr>
            <w:tcW w:w="960" w:type="dxa"/>
            <w:tcBorders>
              <w:top w:val="nil"/>
              <w:left w:val="nil"/>
              <w:bottom w:val="single" w:sz="4" w:space="0" w:color="auto"/>
              <w:right w:val="single" w:sz="4" w:space="0" w:color="auto"/>
            </w:tcBorders>
            <w:shd w:val="clear" w:color="auto" w:fill="auto"/>
            <w:noWrap/>
            <w:vAlign w:val="bottom"/>
            <w:hideMark/>
          </w:tcPr>
          <w:p w14:paraId="046DF0B9"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£4.62</w:t>
            </w:r>
          </w:p>
        </w:tc>
        <w:tc>
          <w:tcPr>
            <w:tcW w:w="960" w:type="dxa"/>
            <w:tcBorders>
              <w:top w:val="nil"/>
              <w:left w:val="nil"/>
              <w:bottom w:val="single" w:sz="4" w:space="0" w:color="auto"/>
              <w:right w:val="single" w:sz="4" w:space="0" w:color="auto"/>
            </w:tcBorders>
            <w:shd w:val="clear" w:color="auto" w:fill="auto"/>
            <w:noWrap/>
            <w:vAlign w:val="bottom"/>
            <w:hideMark/>
          </w:tcPr>
          <w:p w14:paraId="08B8A65A"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£5.24</w:t>
            </w:r>
          </w:p>
        </w:tc>
        <w:tc>
          <w:tcPr>
            <w:tcW w:w="960" w:type="dxa"/>
            <w:tcBorders>
              <w:top w:val="nil"/>
              <w:left w:val="nil"/>
              <w:bottom w:val="single" w:sz="4" w:space="0" w:color="auto"/>
              <w:right w:val="single" w:sz="4" w:space="0" w:color="auto"/>
            </w:tcBorders>
            <w:shd w:val="clear" w:color="auto" w:fill="auto"/>
            <w:noWrap/>
            <w:vAlign w:val="bottom"/>
            <w:hideMark/>
          </w:tcPr>
          <w:p w14:paraId="2ED28690"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£11.48</w:t>
            </w:r>
          </w:p>
        </w:tc>
        <w:tc>
          <w:tcPr>
            <w:tcW w:w="960" w:type="dxa"/>
            <w:tcBorders>
              <w:top w:val="nil"/>
              <w:left w:val="nil"/>
              <w:bottom w:val="single" w:sz="4" w:space="0" w:color="auto"/>
              <w:right w:val="single" w:sz="4" w:space="0" w:color="auto"/>
            </w:tcBorders>
            <w:shd w:val="clear" w:color="auto" w:fill="auto"/>
            <w:noWrap/>
            <w:vAlign w:val="bottom"/>
            <w:hideMark/>
          </w:tcPr>
          <w:p w14:paraId="5D81212C"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£2.13</w:t>
            </w:r>
          </w:p>
        </w:tc>
      </w:tr>
      <w:tr w:rsidR="007F13E8" w:rsidRPr="008408E9" w14:paraId="157625D1" w14:textId="77777777" w:rsidTr="007F13E8">
        <w:trPr>
          <w:trHeight w:val="310"/>
          <w:jc w:val="center"/>
        </w:trPr>
        <w:tc>
          <w:tcPr>
            <w:tcW w:w="1190" w:type="dxa"/>
            <w:tcBorders>
              <w:top w:val="nil"/>
              <w:left w:val="nil"/>
              <w:bottom w:val="nil"/>
              <w:right w:val="nil"/>
            </w:tcBorders>
            <w:shd w:val="clear" w:color="auto" w:fill="auto"/>
            <w:vAlign w:val="bottom"/>
            <w:hideMark/>
          </w:tcPr>
          <w:p w14:paraId="3283292C"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6CCF3DF2"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5885942"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AD52BFE"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1F058225"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315E9B3C"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r>
      <w:tr w:rsidR="007F13E8" w:rsidRPr="008408E9" w14:paraId="52A2E65C" w14:textId="77777777" w:rsidTr="007F13E8">
        <w:trPr>
          <w:trHeight w:val="620"/>
          <w:jc w:val="center"/>
        </w:trPr>
        <w:tc>
          <w:tcPr>
            <w:tcW w:w="119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0956E4E"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Liquidity Ratios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FB5AD0F"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7BCE2B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451ED74"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60F61B7"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7249CDE"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7F13E8" w:rsidRPr="008408E9" w14:paraId="2F237B34"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4E6C3F0C"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9BB9138"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BBECD5D"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1D92F39"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3F5474C"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3BCDAD1"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34C2E41A" w14:textId="77777777" w:rsidTr="007F13E8">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7F3A4B2F"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Absolute Liquidity Ratio</w:t>
            </w:r>
          </w:p>
        </w:tc>
        <w:tc>
          <w:tcPr>
            <w:tcW w:w="960" w:type="dxa"/>
            <w:tcBorders>
              <w:top w:val="nil"/>
              <w:left w:val="nil"/>
              <w:bottom w:val="single" w:sz="4" w:space="0" w:color="auto"/>
              <w:right w:val="single" w:sz="4" w:space="0" w:color="auto"/>
            </w:tcBorders>
            <w:shd w:val="clear" w:color="auto" w:fill="auto"/>
            <w:noWrap/>
            <w:vAlign w:val="bottom"/>
            <w:hideMark/>
          </w:tcPr>
          <w:p w14:paraId="7A634D58"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6.23538</w:t>
            </w:r>
          </w:p>
        </w:tc>
        <w:tc>
          <w:tcPr>
            <w:tcW w:w="960" w:type="dxa"/>
            <w:tcBorders>
              <w:top w:val="nil"/>
              <w:left w:val="nil"/>
              <w:bottom w:val="single" w:sz="4" w:space="0" w:color="auto"/>
              <w:right w:val="single" w:sz="4" w:space="0" w:color="auto"/>
            </w:tcBorders>
            <w:shd w:val="clear" w:color="auto" w:fill="auto"/>
            <w:noWrap/>
            <w:vAlign w:val="bottom"/>
            <w:hideMark/>
          </w:tcPr>
          <w:p w14:paraId="4E9B3229"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25.4103</w:t>
            </w:r>
          </w:p>
        </w:tc>
        <w:tc>
          <w:tcPr>
            <w:tcW w:w="960" w:type="dxa"/>
            <w:tcBorders>
              <w:top w:val="nil"/>
              <w:left w:val="nil"/>
              <w:bottom w:val="single" w:sz="4" w:space="0" w:color="auto"/>
              <w:right w:val="single" w:sz="4" w:space="0" w:color="auto"/>
            </w:tcBorders>
            <w:shd w:val="clear" w:color="auto" w:fill="auto"/>
            <w:noWrap/>
            <w:vAlign w:val="bottom"/>
            <w:hideMark/>
          </w:tcPr>
          <w:p w14:paraId="32E03F37"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36.0859</w:t>
            </w:r>
          </w:p>
        </w:tc>
        <w:tc>
          <w:tcPr>
            <w:tcW w:w="960" w:type="dxa"/>
            <w:tcBorders>
              <w:top w:val="nil"/>
              <w:left w:val="nil"/>
              <w:bottom w:val="single" w:sz="4" w:space="0" w:color="auto"/>
              <w:right w:val="single" w:sz="4" w:space="0" w:color="auto"/>
            </w:tcBorders>
            <w:shd w:val="clear" w:color="auto" w:fill="auto"/>
            <w:noWrap/>
            <w:vAlign w:val="bottom"/>
            <w:hideMark/>
          </w:tcPr>
          <w:p w14:paraId="5FE5DF2B"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16.4978</w:t>
            </w:r>
          </w:p>
        </w:tc>
        <w:tc>
          <w:tcPr>
            <w:tcW w:w="960" w:type="dxa"/>
            <w:tcBorders>
              <w:top w:val="nil"/>
              <w:left w:val="nil"/>
              <w:bottom w:val="single" w:sz="4" w:space="0" w:color="auto"/>
              <w:right w:val="single" w:sz="4" w:space="0" w:color="auto"/>
            </w:tcBorders>
            <w:shd w:val="clear" w:color="auto" w:fill="auto"/>
            <w:noWrap/>
            <w:vAlign w:val="bottom"/>
            <w:hideMark/>
          </w:tcPr>
          <w:p w14:paraId="10AF6BAF"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5.10766</w:t>
            </w:r>
          </w:p>
        </w:tc>
      </w:tr>
      <w:tr w:rsidR="007F13E8" w:rsidRPr="008408E9" w14:paraId="050AC1CB"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3B596E2"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86A22FC"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ACCF0F0"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3442DC3"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99C4E03"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C697718"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6BDA64AC" w14:textId="77777777" w:rsidTr="007F13E8">
        <w:trPr>
          <w:trHeight w:val="62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8B935B5"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Cash Ratios</w:t>
            </w:r>
          </w:p>
        </w:tc>
        <w:tc>
          <w:tcPr>
            <w:tcW w:w="960" w:type="dxa"/>
            <w:tcBorders>
              <w:top w:val="nil"/>
              <w:left w:val="nil"/>
              <w:bottom w:val="single" w:sz="4" w:space="0" w:color="auto"/>
              <w:right w:val="single" w:sz="4" w:space="0" w:color="auto"/>
            </w:tcBorders>
            <w:shd w:val="clear" w:color="auto" w:fill="auto"/>
            <w:noWrap/>
            <w:vAlign w:val="bottom"/>
            <w:hideMark/>
          </w:tcPr>
          <w:p w14:paraId="444E13A1"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0.81%</w:t>
            </w:r>
          </w:p>
        </w:tc>
        <w:tc>
          <w:tcPr>
            <w:tcW w:w="960" w:type="dxa"/>
            <w:tcBorders>
              <w:top w:val="nil"/>
              <w:left w:val="nil"/>
              <w:bottom w:val="single" w:sz="4" w:space="0" w:color="auto"/>
              <w:right w:val="single" w:sz="4" w:space="0" w:color="auto"/>
            </w:tcBorders>
            <w:shd w:val="clear" w:color="auto" w:fill="auto"/>
            <w:noWrap/>
            <w:vAlign w:val="bottom"/>
            <w:hideMark/>
          </w:tcPr>
          <w:p w14:paraId="0253EE25"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1.29%</w:t>
            </w:r>
          </w:p>
        </w:tc>
        <w:tc>
          <w:tcPr>
            <w:tcW w:w="960" w:type="dxa"/>
            <w:tcBorders>
              <w:top w:val="nil"/>
              <w:left w:val="nil"/>
              <w:bottom w:val="single" w:sz="4" w:space="0" w:color="auto"/>
              <w:right w:val="single" w:sz="4" w:space="0" w:color="auto"/>
            </w:tcBorders>
            <w:shd w:val="clear" w:color="auto" w:fill="auto"/>
            <w:noWrap/>
            <w:vAlign w:val="bottom"/>
            <w:hideMark/>
          </w:tcPr>
          <w:p w14:paraId="68E3AF12"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0.87%</w:t>
            </w:r>
          </w:p>
        </w:tc>
        <w:tc>
          <w:tcPr>
            <w:tcW w:w="960" w:type="dxa"/>
            <w:tcBorders>
              <w:top w:val="nil"/>
              <w:left w:val="nil"/>
              <w:bottom w:val="single" w:sz="4" w:space="0" w:color="auto"/>
              <w:right w:val="single" w:sz="4" w:space="0" w:color="auto"/>
            </w:tcBorders>
            <w:shd w:val="clear" w:color="auto" w:fill="auto"/>
            <w:noWrap/>
            <w:vAlign w:val="bottom"/>
            <w:hideMark/>
          </w:tcPr>
          <w:p w14:paraId="01C0372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0.90%</w:t>
            </w:r>
          </w:p>
        </w:tc>
        <w:tc>
          <w:tcPr>
            <w:tcW w:w="960" w:type="dxa"/>
            <w:tcBorders>
              <w:top w:val="nil"/>
              <w:left w:val="nil"/>
              <w:bottom w:val="single" w:sz="4" w:space="0" w:color="auto"/>
              <w:right w:val="single" w:sz="4" w:space="0" w:color="auto"/>
            </w:tcBorders>
            <w:shd w:val="clear" w:color="auto" w:fill="auto"/>
            <w:noWrap/>
            <w:vAlign w:val="bottom"/>
            <w:hideMark/>
          </w:tcPr>
          <w:p w14:paraId="460FEBEB"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0.47%</w:t>
            </w:r>
          </w:p>
        </w:tc>
      </w:tr>
      <w:tr w:rsidR="007F13E8" w:rsidRPr="008408E9" w14:paraId="1756B801" w14:textId="77777777" w:rsidTr="007F13E8">
        <w:trPr>
          <w:trHeight w:val="310"/>
          <w:jc w:val="center"/>
        </w:trPr>
        <w:tc>
          <w:tcPr>
            <w:tcW w:w="1190" w:type="dxa"/>
            <w:tcBorders>
              <w:top w:val="nil"/>
              <w:left w:val="nil"/>
              <w:bottom w:val="nil"/>
              <w:right w:val="nil"/>
            </w:tcBorders>
            <w:shd w:val="clear" w:color="auto" w:fill="auto"/>
            <w:vAlign w:val="bottom"/>
            <w:hideMark/>
          </w:tcPr>
          <w:p w14:paraId="34550436"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p>
        </w:tc>
        <w:tc>
          <w:tcPr>
            <w:tcW w:w="960" w:type="dxa"/>
            <w:tcBorders>
              <w:top w:val="nil"/>
              <w:left w:val="nil"/>
              <w:bottom w:val="nil"/>
              <w:right w:val="nil"/>
            </w:tcBorders>
            <w:shd w:val="clear" w:color="auto" w:fill="auto"/>
            <w:noWrap/>
            <w:vAlign w:val="bottom"/>
            <w:hideMark/>
          </w:tcPr>
          <w:p w14:paraId="3C8F4A7C"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602939BB"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2898AE1A"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045BD5E5"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c>
          <w:tcPr>
            <w:tcW w:w="960" w:type="dxa"/>
            <w:tcBorders>
              <w:top w:val="nil"/>
              <w:left w:val="nil"/>
              <w:bottom w:val="nil"/>
              <w:right w:val="nil"/>
            </w:tcBorders>
            <w:shd w:val="clear" w:color="auto" w:fill="auto"/>
            <w:noWrap/>
            <w:vAlign w:val="bottom"/>
            <w:hideMark/>
          </w:tcPr>
          <w:p w14:paraId="52295961" w14:textId="77777777" w:rsidR="007F13E8" w:rsidRPr="008408E9" w:rsidRDefault="007F13E8" w:rsidP="008408E9">
            <w:pPr>
              <w:spacing w:after="0" w:line="360" w:lineRule="auto"/>
              <w:rPr>
                <w:rFonts w:ascii="Times New Roman" w:eastAsia="Times New Roman" w:hAnsi="Times New Roman" w:cs="Times New Roman"/>
                <w:sz w:val="20"/>
                <w:szCs w:val="20"/>
                <w:lang w:val="en-GB" w:eastAsia="en-GB"/>
              </w:rPr>
            </w:pPr>
          </w:p>
        </w:tc>
      </w:tr>
      <w:tr w:rsidR="007F13E8" w:rsidRPr="008408E9" w14:paraId="7D1DD610" w14:textId="77777777" w:rsidTr="007F13E8">
        <w:trPr>
          <w:trHeight w:val="620"/>
          <w:jc w:val="center"/>
        </w:trPr>
        <w:tc>
          <w:tcPr>
            <w:tcW w:w="119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74DDC910"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Gearing Ratios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B776EAF"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FDE23CA"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80FCBBB"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1107AC7D"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E70EC15"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7F13E8" w:rsidRPr="008408E9" w14:paraId="1A27FC8A"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7CAA2E80"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7C6ED19"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58290A8"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CF435D4"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FC1D3B7"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59E3FB2E"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51444598" w14:textId="77777777" w:rsidTr="007F13E8">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B0FF208"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Debt to Equity Ratio</w:t>
            </w:r>
          </w:p>
        </w:tc>
        <w:tc>
          <w:tcPr>
            <w:tcW w:w="960" w:type="dxa"/>
            <w:tcBorders>
              <w:top w:val="nil"/>
              <w:left w:val="nil"/>
              <w:bottom w:val="single" w:sz="4" w:space="0" w:color="auto"/>
              <w:right w:val="single" w:sz="4" w:space="0" w:color="auto"/>
            </w:tcBorders>
            <w:shd w:val="clear" w:color="auto" w:fill="auto"/>
            <w:noWrap/>
            <w:vAlign w:val="bottom"/>
            <w:hideMark/>
          </w:tcPr>
          <w:p w14:paraId="7DC4E3B6"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0.16</w:t>
            </w:r>
          </w:p>
        </w:tc>
        <w:tc>
          <w:tcPr>
            <w:tcW w:w="960" w:type="dxa"/>
            <w:tcBorders>
              <w:top w:val="nil"/>
              <w:left w:val="nil"/>
              <w:bottom w:val="single" w:sz="4" w:space="0" w:color="auto"/>
              <w:right w:val="single" w:sz="4" w:space="0" w:color="auto"/>
            </w:tcBorders>
            <w:shd w:val="clear" w:color="auto" w:fill="auto"/>
            <w:noWrap/>
            <w:vAlign w:val="bottom"/>
            <w:hideMark/>
          </w:tcPr>
          <w:p w14:paraId="0560AFE9"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0.09</w:t>
            </w:r>
          </w:p>
        </w:tc>
        <w:tc>
          <w:tcPr>
            <w:tcW w:w="960" w:type="dxa"/>
            <w:tcBorders>
              <w:top w:val="nil"/>
              <w:left w:val="nil"/>
              <w:bottom w:val="single" w:sz="4" w:space="0" w:color="auto"/>
              <w:right w:val="single" w:sz="4" w:space="0" w:color="auto"/>
            </w:tcBorders>
            <w:shd w:val="clear" w:color="auto" w:fill="auto"/>
            <w:noWrap/>
            <w:vAlign w:val="bottom"/>
            <w:hideMark/>
          </w:tcPr>
          <w:p w14:paraId="69493B9C"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0.38</w:t>
            </w:r>
          </w:p>
        </w:tc>
        <w:tc>
          <w:tcPr>
            <w:tcW w:w="960" w:type="dxa"/>
            <w:tcBorders>
              <w:top w:val="nil"/>
              <w:left w:val="nil"/>
              <w:bottom w:val="single" w:sz="4" w:space="0" w:color="auto"/>
              <w:right w:val="single" w:sz="4" w:space="0" w:color="auto"/>
            </w:tcBorders>
            <w:shd w:val="clear" w:color="auto" w:fill="auto"/>
            <w:noWrap/>
            <w:vAlign w:val="bottom"/>
            <w:hideMark/>
          </w:tcPr>
          <w:p w14:paraId="3980B1D4"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0.19</w:t>
            </w:r>
          </w:p>
        </w:tc>
        <w:tc>
          <w:tcPr>
            <w:tcW w:w="960" w:type="dxa"/>
            <w:tcBorders>
              <w:top w:val="nil"/>
              <w:left w:val="nil"/>
              <w:bottom w:val="single" w:sz="4" w:space="0" w:color="auto"/>
              <w:right w:val="single" w:sz="4" w:space="0" w:color="auto"/>
            </w:tcBorders>
            <w:shd w:val="clear" w:color="auto" w:fill="auto"/>
            <w:noWrap/>
            <w:vAlign w:val="bottom"/>
            <w:hideMark/>
          </w:tcPr>
          <w:p w14:paraId="1932E9E9"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0.15</w:t>
            </w:r>
          </w:p>
        </w:tc>
      </w:tr>
      <w:tr w:rsidR="007F13E8" w:rsidRPr="008408E9" w14:paraId="3A584481"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432EA9AA"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02FC99A"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45619E5"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262C5743"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E1C5C91"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117D521"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5CBBCADA" w14:textId="77777777" w:rsidTr="007F13E8">
        <w:trPr>
          <w:trHeight w:val="93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6748E9E5"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Interest Coverage Ratio</w:t>
            </w:r>
          </w:p>
        </w:tc>
        <w:tc>
          <w:tcPr>
            <w:tcW w:w="960" w:type="dxa"/>
            <w:tcBorders>
              <w:top w:val="nil"/>
              <w:left w:val="nil"/>
              <w:bottom w:val="single" w:sz="4" w:space="0" w:color="auto"/>
              <w:right w:val="single" w:sz="4" w:space="0" w:color="auto"/>
            </w:tcBorders>
            <w:shd w:val="clear" w:color="auto" w:fill="auto"/>
            <w:noWrap/>
            <w:vAlign w:val="bottom"/>
            <w:hideMark/>
          </w:tcPr>
          <w:p w14:paraId="7341D8A5"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9.23</w:t>
            </w:r>
          </w:p>
        </w:tc>
        <w:tc>
          <w:tcPr>
            <w:tcW w:w="960" w:type="dxa"/>
            <w:tcBorders>
              <w:top w:val="nil"/>
              <w:left w:val="nil"/>
              <w:bottom w:val="single" w:sz="4" w:space="0" w:color="auto"/>
              <w:right w:val="single" w:sz="4" w:space="0" w:color="auto"/>
            </w:tcBorders>
            <w:shd w:val="clear" w:color="auto" w:fill="auto"/>
            <w:noWrap/>
            <w:vAlign w:val="bottom"/>
            <w:hideMark/>
          </w:tcPr>
          <w:p w14:paraId="402125B5"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7.88</w:t>
            </w:r>
          </w:p>
        </w:tc>
        <w:tc>
          <w:tcPr>
            <w:tcW w:w="960" w:type="dxa"/>
            <w:tcBorders>
              <w:top w:val="nil"/>
              <w:left w:val="nil"/>
              <w:bottom w:val="single" w:sz="4" w:space="0" w:color="auto"/>
              <w:right w:val="single" w:sz="4" w:space="0" w:color="auto"/>
            </w:tcBorders>
            <w:shd w:val="clear" w:color="auto" w:fill="auto"/>
            <w:noWrap/>
            <w:vAlign w:val="bottom"/>
            <w:hideMark/>
          </w:tcPr>
          <w:p w14:paraId="52B05CA8"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15.56</w:t>
            </w:r>
          </w:p>
        </w:tc>
        <w:tc>
          <w:tcPr>
            <w:tcW w:w="960" w:type="dxa"/>
            <w:tcBorders>
              <w:top w:val="nil"/>
              <w:left w:val="nil"/>
              <w:bottom w:val="single" w:sz="4" w:space="0" w:color="auto"/>
              <w:right w:val="single" w:sz="4" w:space="0" w:color="auto"/>
            </w:tcBorders>
            <w:shd w:val="clear" w:color="auto" w:fill="auto"/>
            <w:noWrap/>
            <w:vAlign w:val="bottom"/>
            <w:hideMark/>
          </w:tcPr>
          <w:p w14:paraId="52DF72F2"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5.40</w:t>
            </w:r>
          </w:p>
        </w:tc>
        <w:tc>
          <w:tcPr>
            <w:tcW w:w="960" w:type="dxa"/>
            <w:tcBorders>
              <w:top w:val="nil"/>
              <w:left w:val="nil"/>
              <w:bottom w:val="single" w:sz="4" w:space="0" w:color="auto"/>
              <w:right w:val="single" w:sz="4" w:space="0" w:color="auto"/>
            </w:tcBorders>
            <w:shd w:val="clear" w:color="auto" w:fill="auto"/>
            <w:noWrap/>
            <w:vAlign w:val="bottom"/>
            <w:hideMark/>
          </w:tcPr>
          <w:p w14:paraId="6149868D"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0.10</w:t>
            </w:r>
          </w:p>
        </w:tc>
      </w:tr>
      <w:tr w:rsidR="007F13E8" w:rsidRPr="008408E9" w14:paraId="331EA00A"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2B620229"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9F9A720"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2020</w:t>
            </w:r>
          </w:p>
        </w:tc>
        <w:tc>
          <w:tcPr>
            <w:tcW w:w="960" w:type="dxa"/>
            <w:tcBorders>
              <w:top w:val="nil"/>
              <w:left w:val="nil"/>
              <w:bottom w:val="single" w:sz="4" w:space="0" w:color="auto"/>
              <w:right w:val="single" w:sz="4" w:space="0" w:color="auto"/>
            </w:tcBorders>
            <w:shd w:val="clear" w:color="auto" w:fill="auto"/>
            <w:noWrap/>
            <w:vAlign w:val="bottom"/>
            <w:hideMark/>
          </w:tcPr>
          <w:p w14:paraId="298D545D"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2019</w:t>
            </w:r>
          </w:p>
        </w:tc>
        <w:tc>
          <w:tcPr>
            <w:tcW w:w="960" w:type="dxa"/>
            <w:tcBorders>
              <w:top w:val="nil"/>
              <w:left w:val="nil"/>
              <w:bottom w:val="single" w:sz="4" w:space="0" w:color="auto"/>
              <w:right w:val="single" w:sz="4" w:space="0" w:color="auto"/>
            </w:tcBorders>
            <w:shd w:val="clear" w:color="auto" w:fill="auto"/>
            <w:noWrap/>
            <w:vAlign w:val="bottom"/>
            <w:hideMark/>
          </w:tcPr>
          <w:p w14:paraId="2DEA302E"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2018</w:t>
            </w:r>
          </w:p>
        </w:tc>
        <w:tc>
          <w:tcPr>
            <w:tcW w:w="960" w:type="dxa"/>
            <w:tcBorders>
              <w:top w:val="nil"/>
              <w:left w:val="nil"/>
              <w:bottom w:val="single" w:sz="4" w:space="0" w:color="auto"/>
              <w:right w:val="single" w:sz="4" w:space="0" w:color="auto"/>
            </w:tcBorders>
            <w:shd w:val="clear" w:color="auto" w:fill="auto"/>
            <w:noWrap/>
            <w:vAlign w:val="bottom"/>
            <w:hideMark/>
          </w:tcPr>
          <w:p w14:paraId="0C4717A0"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2017</w:t>
            </w:r>
          </w:p>
        </w:tc>
        <w:tc>
          <w:tcPr>
            <w:tcW w:w="960" w:type="dxa"/>
            <w:tcBorders>
              <w:top w:val="nil"/>
              <w:left w:val="nil"/>
              <w:bottom w:val="single" w:sz="4" w:space="0" w:color="auto"/>
              <w:right w:val="single" w:sz="4" w:space="0" w:color="auto"/>
            </w:tcBorders>
            <w:shd w:val="clear" w:color="auto" w:fill="auto"/>
            <w:noWrap/>
            <w:vAlign w:val="bottom"/>
            <w:hideMark/>
          </w:tcPr>
          <w:p w14:paraId="1E621078"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2016</w:t>
            </w:r>
          </w:p>
        </w:tc>
      </w:tr>
      <w:tr w:rsidR="007F13E8" w:rsidRPr="008408E9" w14:paraId="62985E1F" w14:textId="77777777" w:rsidTr="007F13E8">
        <w:trPr>
          <w:trHeight w:val="62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8EE6E4F"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Efficiency Ratio</w:t>
            </w:r>
          </w:p>
        </w:tc>
        <w:tc>
          <w:tcPr>
            <w:tcW w:w="960" w:type="dxa"/>
            <w:tcBorders>
              <w:top w:val="nil"/>
              <w:left w:val="nil"/>
              <w:bottom w:val="single" w:sz="4" w:space="0" w:color="auto"/>
              <w:right w:val="single" w:sz="4" w:space="0" w:color="auto"/>
            </w:tcBorders>
            <w:shd w:val="clear" w:color="auto" w:fill="auto"/>
            <w:noWrap/>
            <w:vAlign w:val="bottom"/>
            <w:hideMark/>
          </w:tcPr>
          <w:p w14:paraId="2E0A9BE6"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13.42</w:t>
            </w:r>
          </w:p>
        </w:tc>
        <w:tc>
          <w:tcPr>
            <w:tcW w:w="960" w:type="dxa"/>
            <w:tcBorders>
              <w:top w:val="nil"/>
              <w:left w:val="nil"/>
              <w:bottom w:val="single" w:sz="4" w:space="0" w:color="auto"/>
              <w:right w:val="single" w:sz="4" w:space="0" w:color="auto"/>
            </w:tcBorders>
            <w:shd w:val="clear" w:color="auto" w:fill="auto"/>
            <w:noWrap/>
            <w:vAlign w:val="bottom"/>
            <w:hideMark/>
          </w:tcPr>
          <w:p w14:paraId="680BA02B"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60.91</w:t>
            </w:r>
          </w:p>
        </w:tc>
        <w:tc>
          <w:tcPr>
            <w:tcW w:w="960" w:type="dxa"/>
            <w:tcBorders>
              <w:top w:val="nil"/>
              <w:left w:val="nil"/>
              <w:bottom w:val="single" w:sz="4" w:space="0" w:color="auto"/>
              <w:right w:val="single" w:sz="4" w:space="0" w:color="auto"/>
            </w:tcBorders>
            <w:shd w:val="clear" w:color="auto" w:fill="auto"/>
            <w:noWrap/>
            <w:vAlign w:val="bottom"/>
            <w:hideMark/>
          </w:tcPr>
          <w:p w14:paraId="210C74C1"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65.25</w:t>
            </w:r>
          </w:p>
        </w:tc>
        <w:tc>
          <w:tcPr>
            <w:tcW w:w="960" w:type="dxa"/>
            <w:tcBorders>
              <w:top w:val="nil"/>
              <w:left w:val="nil"/>
              <w:bottom w:val="single" w:sz="4" w:space="0" w:color="auto"/>
              <w:right w:val="single" w:sz="4" w:space="0" w:color="auto"/>
            </w:tcBorders>
            <w:shd w:val="clear" w:color="auto" w:fill="auto"/>
            <w:noWrap/>
            <w:vAlign w:val="bottom"/>
            <w:hideMark/>
          </w:tcPr>
          <w:p w14:paraId="75E7CF80"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78.05</w:t>
            </w:r>
          </w:p>
        </w:tc>
        <w:tc>
          <w:tcPr>
            <w:tcW w:w="960" w:type="dxa"/>
            <w:tcBorders>
              <w:top w:val="nil"/>
              <w:left w:val="nil"/>
              <w:bottom w:val="single" w:sz="4" w:space="0" w:color="auto"/>
              <w:right w:val="single" w:sz="4" w:space="0" w:color="auto"/>
            </w:tcBorders>
            <w:shd w:val="clear" w:color="auto" w:fill="auto"/>
            <w:noWrap/>
            <w:vAlign w:val="bottom"/>
            <w:hideMark/>
          </w:tcPr>
          <w:p w14:paraId="591054F7"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45.35</w:t>
            </w:r>
          </w:p>
        </w:tc>
      </w:tr>
      <w:tr w:rsidR="007F13E8" w:rsidRPr="008408E9" w14:paraId="130193D0" w14:textId="77777777" w:rsidTr="007F13E8">
        <w:trPr>
          <w:trHeight w:val="31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0A5FB5AA"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4C8EB8A"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B00CA1F"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85701EB"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6CF17B8C"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71D8846"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 </w:t>
            </w:r>
          </w:p>
        </w:tc>
      </w:tr>
      <w:tr w:rsidR="007F13E8" w:rsidRPr="008408E9" w14:paraId="015DCB90" w14:textId="77777777" w:rsidTr="007F13E8">
        <w:trPr>
          <w:trHeight w:val="1240"/>
          <w:jc w:val="center"/>
        </w:trPr>
        <w:tc>
          <w:tcPr>
            <w:tcW w:w="1190" w:type="dxa"/>
            <w:tcBorders>
              <w:top w:val="nil"/>
              <w:left w:val="single" w:sz="4" w:space="0" w:color="auto"/>
              <w:bottom w:val="single" w:sz="4" w:space="0" w:color="auto"/>
              <w:right w:val="single" w:sz="4" w:space="0" w:color="auto"/>
            </w:tcBorders>
            <w:shd w:val="clear" w:color="auto" w:fill="auto"/>
            <w:vAlign w:val="bottom"/>
            <w:hideMark/>
          </w:tcPr>
          <w:p w14:paraId="3E9056BF" w14:textId="77777777" w:rsidR="007F13E8" w:rsidRPr="008408E9" w:rsidRDefault="007F13E8" w:rsidP="008408E9">
            <w:pPr>
              <w:spacing w:after="0" w:line="360" w:lineRule="auto"/>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CCC</w:t>
            </w:r>
          </w:p>
        </w:tc>
        <w:tc>
          <w:tcPr>
            <w:tcW w:w="960" w:type="dxa"/>
            <w:tcBorders>
              <w:top w:val="nil"/>
              <w:left w:val="nil"/>
              <w:bottom w:val="single" w:sz="4" w:space="0" w:color="auto"/>
              <w:right w:val="single" w:sz="4" w:space="0" w:color="auto"/>
            </w:tcBorders>
            <w:shd w:val="clear" w:color="auto" w:fill="auto"/>
            <w:noWrap/>
            <w:vAlign w:val="bottom"/>
            <w:hideMark/>
          </w:tcPr>
          <w:p w14:paraId="425CC277"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7B9D2A57"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8</w:t>
            </w:r>
          </w:p>
        </w:tc>
        <w:tc>
          <w:tcPr>
            <w:tcW w:w="960" w:type="dxa"/>
            <w:tcBorders>
              <w:top w:val="nil"/>
              <w:left w:val="nil"/>
              <w:bottom w:val="single" w:sz="4" w:space="0" w:color="auto"/>
              <w:right w:val="single" w:sz="4" w:space="0" w:color="auto"/>
            </w:tcBorders>
            <w:shd w:val="clear" w:color="auto" w:fill="auto"/>
            <w:noWrap/>
            <w:vAlign w:val="bottom"/>
            <w:hideMark/>
          </w:tcPr>
          <w:p w14:paraId="576E4703"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3CA71E39"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14</w:t>
            </w:r>
          </w:p>
        </w:tc>
        <w:tc>
          <w:tcPr>
            <w:tcW w:w="960" w:type="dxa"/>
            <w:tcBorders>
              <w:top w:val="nil"/>
              <w:left w:val="nil"/>
              <w:bottom w:val="single" w:sz="4" w:space="0" w:color="auto"/>
              <w:right w:val="single" w:sz="4" w:space="0" w:color="auto"/>
            </w:tcBorders>
            <w:shd w:val="clear" w:color="auto" w:fill="auto"/>
            <w:noWrap/>
            <w:vAlign w:val="bottom"/>
            <w:hideMark/>
          </w:tcPr>
          <w:p w14:paraId="723F4C44" w14:textId="77777777" w:rsidR="007F13E8" w:rsidRPr="008408E9" w:rsidRDefault="007F13E8" w:rsidP="008408E9">
            <w:pPr>
              <w:spacing w:after="0" w:line="360" w:lineRule="auto"/>
              <w:jc w:val="right"/>
              <w:rPr>
                <w:rFonts w:ascii="Times New Roman" w:eastAsia="Times New Roman" w:hAnsi="Times New Roman" w:cs="Times New Roman"/>
                <w:color w:val="000000"/>
                <w:sz w:val="24"/>
                <w:szCs w:val="24"/>
                <w:lang w:val="en-GB" w:eastAsia="en-GB"/>
              </w:rPr>
            </w:pPr>
            <w:r w:rsidRPr="008408E9">
              <w:rPr>
                <w:rFonts w:ascii="Times New Roman" w:eastAsia="Times New Roman" w:hAnsi="Times New Roman" w:cs="Times New Roman"/>
                <w:color w:val="000000"/>
                <w:sz w:val="24"/>
                <w:szCs w:val="24"/>
                <w:lang w:val="en-GB" w:eastAsia="en-GB"/>
              </w:rPr>
              <w:t>439</w:t>
            </w:r>
          </w:p>
        </w:tc>
      </w:tr>
    </w:tbl>
    <w:p w14:paraId="0656F45C" w14:textId="77777777" w:rsidR="007F13E8" w:rsidRPr="008408E9" w:rsidRDefault="0020658C" w:rsidP="008408E9">
      <w:pPr>
        <w:pStyle w:val="Antrat"/>
      </w:pPr>
      <w:r w:rsidRPr="008408E9">
        <w:t>Table 2: Output of BP’s Financial Position</w:t>
      </w:r>
    </w:p>
    <w:p w14:paraId="50E924DF" w14:textId="77777777" w:rsidR="0020658C" w:rsidRPr="008408E9" w:rsidRDefault="00782606" w:rsidP="008408E9">
      <w:pPr>
        <w:spacing w:line="360" w:lineRule="auto"/>
        <w:jc w:val="center"/>
        <w:rPr>
          <w:rFonts w:ascii="Times New Roman" w:hAnsi="Times New Roman" w:cs="Times New Roman"/>
          <w:sz w:val="24"/>
          <w:lang w:val="en-GB"/>
        </w:rPr>
      </w:pPr>
      <w:r w:rsidRPr="008408E9">
        <w:rPr>
          <w:rFonts w:ascii="Times New Roman" w:hAnsi="Times New Roman" w:cs="Times New Roman"/>
          <w:sz w:val="24"/>
          <w:lang w:val="en-GB"/>
        </w:rPr>
        <w:t>(Source: MS Excel)</w:t>
      </w:r>
    </w:p>
    <w:p w14:paraId="1B384DDF" w14:textId="77777777" w:rsidR="00AC7E88" w:rsidRPr="008408E9" w:rsidRDefault="00AC7E88" w:rsidP="008408E9">
      <w:pPr>
        <w:spacing w:line="360" w:lineRule="auto"/>
        <w:jc w:val="both"/>
        <w:rPr>
          <w:rFonts w:ascii="Times New Roman" w:hAnsi="Times New Roman" w:cs="Times New Roman"/>
          <w:sz w:val="24"/>
          <w:lang w:val="en-GB"/>
        </w:rPr>
      </w:pPr>
      <w:r w:rsidRPr="008408E9">
        <w:rPr>
          <w:rFonts w:ascii="Times New Roman" w:hAnsi="Times New Roman" w:cs="Times New Roman"/>
          <w:sz w:val="24"/>
          <w:lang w:val="en-GB"/>
        </w:rPr>
        <w:t xml:space="preserve">Financial analysis of BP as the key competitor of Shell has been executed in the above table based on the similar key performance indicators for conducting market position analysis. </w:t>
      </w:r>
      <w:r w:rsidR="00E61C98" w:rsidRPr="008408E9">
        <w:rPr>
          <w:rFonts w:ascii="Times New Roman" w:hAnsi="Times New Roman" w:cs="Times New Roman"/>
          <w:sz w:val="24"/>
          <w:lang w:val="en-GB"/>
        </w:rPr>
        <w:t xml:space="preserve">As denoted by Ambrose (2021), processing high margin of profit after economic crisis BP and Shell have emerged to be the key competitors with </w:t>
      </w:r>
      <w:r w:rsidR="000E10A9" w:rsidRPr="008408E9">
        <w:rPr>
          <w:rFonts w:ascii="Times New Roman" w:hAnsi="Times New Roman" w:cs="Times New Roman"/>
          <w:sz w:val="24"/>
          <w:lang w:val="en-GB"/>
        </w:rPr>
        <w:t xml:space="preserve">65% and 50% of escalation in their revenue </w:t>
      </w:r>
      <w:proofErr w:type="gramStart"/>
      <w:r w:rsidR="000E10A9" w:rsidRPr="008408E9">
        <w:rPr>
          <w:rFonts w:ascii="Times New Roman" w:hAnsi="Times New Roman" w:cs="Times New Roman"/>
          <w:sz w:val="24"/>
          <w:lang w:val="en-GB"/>
        </w:rPr>
        <w:t>margin</w:t>
      </w:r>
      <w:proofErr w:type="gramEnd"/>
      <w:r w:rsidR="000E10A9" w:rsidRPr="008408E9">
        <w:rPr>
          <w:rFonts w:ascii="Times New Roman" w:hAnsi="Times New Roman" w:cs="Times New Roman"/>
          <w:sz w:val="24"/>
          <w:lang w:val="en-GB"/>
        </w:rPr>
        <w:t xml:space="preserve"> respectively. </w:t>
      </w:r>
      <w:r w:rsidRPr="008408E9">
        <w:rPr>
          <w:rFonts w:ascii="Times New Roman" w:hAnsi="Times New Roman" w:cs="Times New Roman"/>
          <w:sz w:val="24"/>
          <w:lang w:val="en-GB"/>
        </w:rPr>
        <w:t xml:space="preserve">BP has acquired a feasible amount of ROI due to its high revenue output within the UK market. However, depreciation of this value has also occurred in this organisation from 2018 to 2019 due to the economic crisis of this country. As explained earlier this crisis has been mismanaged by this company resulting in the depreciation of its ROE value from 2016 to 2017. </w:t>
      </w:r>
      <w:r w:rsidR="00B379D6" w:rsidRPr="008408E9">
        <w:rPr>
          <w:rFonts w:ascii="Times New Roman" w:hAnsi="Times New Roman" w:cs="Times New Roman"/>
          <w:sz w:val="24"/>
          <w:lang w:val="en-GB"/>
        </w:rPr>
        <w:t xml:space="preserve">In the opinion of Choi </w:t>
      </w:r>
      <w:r w:rsidR="00B379D6" w:rsidRPr="008408E9">
        <w:rPr>
          <w:rFonts w:ascii="Times New Roman" w:hAnsi="Times New Roman" w:cs="Times New Roman"/>
          <w:i/>
          <w:sz w:val="24"/>
          <w:lang w:val="en-GB"/>
        </w:rPr>
        <w:t xml:space="preserve">et al. </w:t>
      </w:r>
      <w:r w:rsidR="00B379D6" w:rsidRPr="008408E9">
        <w:rPr>
          <w:rFonts w:ascii="Times New Roman" w:hAnsi="Times New Roman" w:cs="Times New Roman"/>
          <w:sz w:val="24"/>
          <w:lang w:val="en-GB"/>
        </w:rPr>
        <w:t>(2017), m</w:t>
      </w:r>
      <w:r w:rsidRPr="008408E9">
        <w:rPr>
          <w:rFonts w:ascii="Times New Roman" w:hAnsi="Times New Roman" w:cs="Times New Roman"/>
          <w:sz w:val="24"/>
          <w:lang w:val="en-GB"/>
        </w:rPr>
        <w:t xml:space="preserve">ismanagement of a financial crisis indicates that a company is operating with ineffective management leaders. In this scenario which can be denoted that both the competitors have been facing critical issues to manage monetary values within this external environmental crisis. These aspects can be determined as valid due to the declining earnings margin of the company that has been attained from 2015 to </w:t>
      </w:r>
      <w:r w:rsidRPr="008408E9">
        <w:rPr>
          <w:rFonts w:ascii="Times New Roman" w:hAnsi="Times New Roman" w:cs="Times New Roman"/>
          <w:sz w:val="24"/>
          <w:lang w:val="en-GB"/>
        </w:rPr>
        <w:lastRenderedPageBreak/>
        <w:t>2020</w:t>
      </w:r>
      <w:r w:rsidR="00481BB4">
        <w:rPr>
          <w:rFonts w:ascii="Times New Roman" w:hAnsi="Times New Roman" w:cs="Times New Roman"/>
          <w:sz w:val="24"/>
          <w:lang w:val="en-GB"/>
        </w:rPr>
        <w:t xml:space="preserve"> </w:t>
      </w:r>
      <w:r w:rsidR="00481BB4">
        <w:rPr>
          <w:rFonts w:ascii="Times New Roman" w:hAnsi="Times New Roman" w:cs="Times New Roman"/>
          <w:b/>
          <w:i/>
          <w:sz w:val="24"/>
          <w:lang w:val="en-GB"/>
        </w:rPr>
        <w:t>[Refer to Appendix 2]</w:t>
      </w:r>
      <w:r w:rsidRPr="008408E9">
        <w:rPr>
          <w:rFonts w:ascii="Times New Roman" w:hAnsi="Times New Roman" w:cs="Times New Roman"/>
          <w:sz w:val="24"/>
          <w:lang w:val="en-GB"/>
        </w:rPr>
        <w:t>. Hence, it can be depicted that BP has been unable to obtain competitive advantage over Shell in this country.</w:t>
      </w:r>
    </w:p>
    <w:p w14:paraId="5A1029D8" w14:textId="77777777" w:rsidR="00AC7E88" w:rsidRPr="008408E9" w:rsidRDefault="00AC7E88" w:rsidP="008408E9">
      <w:pPr>
        <w:spacing w:line="360" w:lineRule="auto"/>
        <w:jc w:val="both"/>
        <w:rPr>
          <w:rFonts w:ascii="Times New Roman" w:hAnsi="Times New Roman" w:cs="Times New Roman"/>
          <w:sz w:val="24"/>
          <w:lang w:val="en-GB"/>
        </w:rPr>
      </w:pPr>
      <w:r w:rsidRPr="008408E9">
        <w:rPr>
          <w:rFonts w:ascii="Times New Roman" w:hAnsi="Times New Roman" w:cs="Times New Roman"/>
          <w:sz w:val="24"/>
          <w:lang w:val="en-GB"/>
        </w:rPr>
        <w:t xml:space="preserve">Liquidity range of this company has also declined substantially from 2019 to 2020. </w:t>
      </w:r>
      <w:r w:rsidR="00B379D6" w:rsidRPr="008408E9">
        <w:rPr>
          <w:rFonts w:ascii="Times New Roman" w:hAnsi="Times New Roman" w:cs="Times New Roman"/>
          <w:sz w:val="24"/>
          <w:lang w:val="en-GB"/>
        </w:rPr>
        <w:t xml:space="preserve">In the opinion of </w:t>
      </w:r>
      <w:proofErr w:type="spellStart"/>
      <w:r w:rsidR="00B379D6" w:rsidRPr="008408E9">
        <w:rPr>
          <w:rFonts w:ascii="Times New Roman" w:hAnsi="Times New Roman" w:cs="Times New Roman"/>
          <w:sz w:val="24"/>
          <w:lang w:val="en-GB"/>
        </w:rPr>
        <w:t>Steblyanskaya</w:t>
      </w:r>
      <w:proofErr w:type="spellEnd"/>
      <w:r w:rsidR="00B379D6" w:rsidRPr="008408E9">
        <w:rPr>
          <w:rFonts w:ascii="Times New Roman" w:hAnsi="Times New Roman" w:cs="Times New Roman"/>
          <w:sz w:val="24"/>
          <w:lang w:val="en-GB"/>
        </w:rPr>
        <w:t xml:space="preserve"> </w:t>
      </w:r>
      <w:r w:rsidR="00B379D6" w:rsidRPr="008408E9">
        <w:rPr>
          <w:rFonts w:ascii="Times New Roman" w:hAnsi="Times New Roman" w:cs="Times New Roman"/>
          <w:i/>
          <w:sz w:val="24"/>
          <w:lang w:val="en-GB"/>
        </w:rPr>
        <w:t xml:space="preserve">et al. </w:t>
      </w:r>
      <w:r w:rsidR="00B379D6" w:rsidRPr="008408E9">
        <w:rPr>
          <w:rFonts w:ascii="Times New Roman" w:hAnsi="Times New Roman" w:cs="Times New Roman"/>
          <w:sz w:val="24"/>
          <w:lang w:val="en-GB"/>
        </w:rPr>
        <w:t>(2019), a</w:t>
      </w:r>
      <w:r w:rsidRPr="008408E9">
        <w:rPr>
          <w:rFonts w:ascii="Times New Roman" w:hAnsi="Times New Roman" w:cs="Times New Roman"/>
          <w:sz w:val="24"/>
          <w:lang w:val="en-GB"/>
        </w:rPr>
        <w:t>ttaining an escalated range of equity is the target of management leaders to develop the asset value of an organisation. On the contrary, escalation of liquidity range did occur in BP from 2016 to 2019 that declined circumstantially in 2020. The situation of pandemic is the prime reason for the decline of this liquidity range for the company. In this scenario, it can be detected that this company is facing critical issues in its resource management techniques due to external environmental crises</w:t>
      </w:r>
      <w:r w:rsidR="00656292" w:rsidRPr="008408E9">
        <w:rPr>
          <w:rFonts w:ascii="Times New Roman" w:hAnsi="Times New Roman" w:cs="Times New Roman"/>
          <w:sz w:val="24"/>
          <w:lang w:val="en-GB"/>
        </w:rPr>
        <w:t xml:space="preserve"> (Lu </w:t>
      </w:r>
      <w:r w:rsidR="00656292" w:rsidRPr="008408E9">
        <w:rPr>
          <w:rFonts w:ascii="Times New Roman" w:hAnsi="Times New Roman" w:cs="Times New Roman"/>
          <w:i/>
          <w:sz w:val="24"/>
          <w:lang w:val="en-GB"/>
        </w:rPr>
        <w:t xml:space="preserve">et al. </w:t>
      </w:r>
      <w:r w:rsidR="00656292" w:rsidRPr="008408E9">
        <w:rPr>
          <w:rFonts w:ascii="Times New Roman" w:hAnsi="Times New Roman" w:cs="Times New Roman"/>
          <w:sz w:val="24"/>
          <w:lang w:val="en-GB"/>
        </w:rPr>
        <w:t>2019)</w:t>
      </w:r>
      <w:r w:rsidRPr="008408E9">
        <w:rPr>
          <w:rFonts w:ascii="Times New Roman" w:hAnsi="Times New Roman" w:cs="Times New Roman"/>
          <w:sz w:val="24"/>
          <w:lang w:val="en-GB"/>
        </w:rPr>
        <w:t>. Therefore, it can be indicated that this company has failed to gain a competitive advantage over Shell due to the market crises that have been faced by both organisations of the oil and gas industry in the UK.</w:t>
      </w:r>
    </w:p>
    <w:p w14:paraId="39222866" w14:textId="77777777" w:rsidR="00AC7E88" w:rsidRPr="008408E9" w:rsidRDefault="00AC7E88" w:rsidP="008408E9">
      <w:pPr>
        <w:spacing w:line="360" w:lineRule="auto"/>
        <w:jc w:val="both"/>
        <w:rPr>
          <w:rFonts w:ascii="Times New Roman" w:hAnsi="Times New Roman" w:cs="Times New Roman"/>
          <w:sz w:val="24"/>
          <w:lang w:val="en-GB"/>
        </w:rPr>
      </w:pPr>
      <w:r w:rsidRPr="008408E9">
        <w:rPr>
          <w:rFonts w:ascii="Times New Roman" w:hAnsi="Times New Roman" w:cs="Times New Roman"/>
          <w:sz w:val="24"/>
          <w:lang w:val="en-GB"/>
        </w:rPr>
        <w:t xml:space="preserve">Gearing ratios for this company have attained a substantial decline from 2017 to 2020 based on its equity value. </w:t>
      </w:r>
      <w:r w:rsidR="00656292" w:rsidRPr="008408E9">
        <w:rPr>
          <w:rFonts w:ascii="Times New Roman" w:hAnsi="Times New Roman" w:cs="Times New Roman"/>
          <w:sz w:val="24"/>
          <w:lang w:val="en-GB"/>
        </w:rPr>
        <w:t xml:space="preserve">In the perception of </w:t>
      </w:r>
      <w:proofErr w:type="spellStart"/>
      <w:r w:rsidR="00656292" w:rsidRPr="008408E9">
        <w:rPr>
          <w:rFonts w:ascii="Times New Roman" w:hAnsi="Times New Roman" w:cs="Times New Roman"/>
          <w:sz w:val="24"/>
          <w:lang w:val="en-GB"/>
        </w:rPr>
        <w:t>Starkova</w:t>
      </w:r>
      <w:proofErr w:type="spellEnd"/>
      <w:r w:rsidR="00656292" w:rsidRPr="008408E9">
        <w:rPr>
          <w:rFonts w:ascii="Times New Roman" w:hAnsi="Times New Roman" w:cs="Times New Roman"/>
          <w:sz w:val="24"/>
          <w:lang w:val="en-GB"/>
        </w:rPr>
        <w:t xml:space="preserve"> (2017), declining</w:t>
      </w:r>
      <w:r w:rsidRPr="008408E9">
        <w:rPr>
          <w:rFonts w:ascii="Times New Roman" w:hAnsi="Times New Roman" w:cs="Times New Roman"/>
          <w:sz w:val="24"/>
          <w:lang w:val="en-GB"/>
        </w:rPr>
        <w:t xml:space="preserve"> equity value indicates critical downfall of a company's market value. This aspect highlights that BP is incapable of processing optimum financial management decisions. However, in comparison with Shell equity range of this organisation is substantially high for the last five years. In this scenario, it can be detected that BP has been processing effective financial leverage in comparison with its competitor of the UK market. </w:t>
      </w:r>
      <w:r w:rsidR="00656292" w:rsidRPr="008408E9">
        <w:rPr>
          <w:rFonts w:ascii="Times New Roman" w:hAnsi="Times New Roman" w:cs="Times New Roman"/>
          <w:sz w:val="24"/>
          <w:lang w:val="en-GB"/>
        </w:rPr>
        <w:t xml:space="preserve">In the opinion of Christopher </w:t>
      </w:r>
      <w:r w:rsidR="00656292" w:rsidRPr="008408E9">
        <w:rPr>
          <w:rFonts w:ascii="Times New Roman" w:hAnsi="Times New Roman" w:cs="Times New Roman"/>
          <w:i/>
          <w:sz w:val="24"/>
          <w:lang w:val="en-GB"/>
        </w:rPr>
        <w:t xml:space="preserve">et al. </w:t>
      </w:r>
      <w:r w:rsidR="00656292" w:rsidRPr="008408E9">
        <w:rPr>
          <w:rFonts w:ascii="Times New Roman" w:hAnsi="Times New Roman" w:cs="Times New Roman"/>
          <w:sz w:val="24"/>
          <w:lang w:val="en-GB"/>
        </w:rPr>
        <w:t>(2021), g</w:t>
      </w:r>
      <w:r w:rsidRPr="008408E9">
        <w:rPr>
          <w:rFonts w:ascii="Times New Roman" w:hAnsi="Times New Roman" w:cs="Times New Roman"/>
          <w:sz w:val="24"/>
          <w:lang w:val="en-GB"/>
        </w:rPr>
        <w:t>aining high quality levels attracts investors to provide funds in a company that escalates its profit margin effectively. This aspect generates a competitive benefit for the company to sustain in the market more reliably than that of the Shell. Interest coverage ratio of this company has also escalated substantially more than that of its competitor in this region</w:t>
      </w:r>
      <w:r w:rsidR="0029336E" w:rsidRPr="008408E9">
        <w:rPr>
          <w:rFonts w:ascii="Times New Roman" w:hAnsi="Times New Roman" w:cs="Times New Roman"/>
          <w:sz w:val="24"/>
          <w:lang w:val="en-GB"/>
        </w:rPr>
        <w:t xml:space="preserve"> (British Petroleum, 2020)</w:t>
      </w:r>
      <w:r w:rsidRPr="008408E9">
        <w:rPr>
          <w:rFonts w:ascii="Times New Roman" w:hAnsi="Times New Roman" w:cs="Times New Roman"/>
          <w:sz w:val="24"/>
          <w:lang w:val="en-GB"/>
        </w:rPr>
        <w:t>. Hence, it can be determined that BP has acquired an effective range of gearing outcome than its competitor.</w:t>
      </w:r>
    </w:p>
    <w:p w14:paraId="6E749E3A" w14:textId="4F2EC5A6" w:rsidR="00AC7E88" w:rsidRDefault="00AC7E88" w:rsidP="008408E9">
      <w:pPr>
        <w:spacing w:line="360" w:lineRule="auto"/>
        <w:jc w:val="both"/>
        <w:rPr>
          <w:rFonts w:ascii="Times New Roman" w:hAnsi="Times New Roman" w:cs="Times New Roman"/>
          <w:sz w:val="24"/>
          <w:lang w:val="en-GB"/>
        </w:rPr>
      </w:pPr>
      <w:r w:rsidRPr="008408E9">
        <w:rPr>
          <w:rFonts w:ascii="Times New Roman" w:hAnsi="Times New Roman" w:cs="Times New Roman"/>
          <w:sz w:val="24"/>
          <w:lang w:val="en-GB"/>
        </w:rPr>
        <w:t xml:space="preserve">Shell has acquired a higher range of efficiency in 2020 in comparison to BP has assimilated and efficiency range depreciation from 2019 to 2020. </w:t>
      </w:r>
      <w:r w:rsidR="00B662D3" w:rsidRPr="008408E9">
        <w:rPr>
          <w:rFonts w:ascii="Times New Roman" w:hAnsi="Times New Roman" w:cs="Times New Roman"/>
          <w:sz w:val="24"/>
          <w:lang w:val="en-GB"/>
        </w:rPr>
        <w:t xml:space="preserve">In the perception of </w:t>
      </w:r>
      <w:proofErr w:type="spellStart"/>
      <w:r w:rsidR="00B662D3" w:rsidRPr="008408E9">
        <w:rPr>
          <w:rFonts w:ascii="Times New Roman" w:hAnsi="Times New Roman" w:cs="Times New Roman"/>
          <w:sz w:val="24"/>
          <w:lang w:val="en-GB"/>
        </w:rPr>
        <w:t>Alsaba</w:t>
      </w:r>
      <w:proofErr w:type="spellEnd"/>
      <w:r w:rsidR="00B662D3" w:rsidRPr="008408E9">
        <w:rPr>
          <w:rFonts w:ascii="Times New Roman" w:hAnsi="Times New Roman" w:cs="Times New Roman"/>
          <w:sz w:val="24"/>
          <w:lang w:val="en-GB"/>
        </w:rPr>
        <w:t xml:space="preserve"> </w:t>
      </w:r>
      <w:r w:rsidR="00B662D3" w:rsidRPr="008408E9">
        <w:rPr>
          <w:rFonts w:ascii="Times New Roman" w:hAnsi="Times New Roman" w:cs="Times New Roman"/>
          <w:i/>
          <w:sz w:val="24"/>
          <w:lang w:val="en-GB"/>
        </w:rPr>
        <w:t xml:space="preserve">et al. </w:t>
      </w:r>
      <w:r w:rsidR="00B662D3" w:rsidRPr="008408E9">
        <w:rPr>
          <w:rFonts w:ascii="Times New Roman" w:hAnsi="Times New Roman" w:cs="Times New Roman"/>
          <w:sz w:val="24"/>
          <w:lang w:val="en-GB"/>
        </w:rPr>
        <w:t>(2020), d</w:t>
      </w:r>
      <w:r w:rsidRPr="008408E9">
        <w:rPr>
          <w:rFonts w:ascii="Times New Roman" w:hAnsi="Times New Roman" w:cs="Times New Roman"/>
          <w:sz w:val="24"/>
          <w:lang w:val="en-GB"/>
        </w:rPr>
        <w:t>epreciation of efficiency due to marketplaces indicates that a company has a lack of qualified workers to generate feasible decisions for managing resources. On the contrary, it can be noticed that BP has been able to achieve a lower value of CCC than that of Shell. As indicated earlier a lower value of CCC indicates an effective range of cash flow to be attained by an organisation operating as a fragment of Oil and Gas industry</w:t>
      </w:r>
      <w:r w:rsidR="00B662D3" w:rsidRPr="008408E9">
        <w:rPr>
          <w:rFonts w:ascii="Times New Roman" w:hAnsi="Times New Roman" w:cs="Times New Roman"/>
          <w:sz w:val="24"/>
          <w:lang w:val="en-GB"/>
        </w:rPr>
        <w:t xml:space="preserve"> (</w:t>
      </w:r>
      <w:proofErr w:type="spellStart"/>
      <w:r w:rsidR="00B662D3" w:rsidRPr="008408E9">
        <w:rPr>
          <w:rFonts w:ascii="Times New Roman" w:hAnsi="Times New Roman" w:cs="Times New Roman"/>
          <w:sz w:val="24"/>
          <w:lang w:val="en-GB"/>
        </w:rPr>
        <w:t>Ngobe</w:t>
      </w:r>
      <w:proofErr w:type="spellEnd"/>
      <w:r w:rsidR="00B662D3" w:rsidRPr="008408E9">
        <w:rPr>
          <w:rFonts w:ascii="Times New Roman" w:hAnsi="Times New Roman" w:cs="Times New Roman"/>
          <w:sz w:val="24"/>
          <w:lang w:val="en-GB"/>
        </w:rPr>
        <w:t>, 2020)</w:t>
      </w:r>
      <w:r w:rsidRPr="008408E9">
        <w:rPr>
          <w:rFonts w:ascii="Times New Roman" w:hAnsi="Times New Roman" w:cs="Times New Roman"/>
          <w:sz w:val="24"/>
          <w:lang w:val="en-GB"/>
        </w:rPr>
        <w:t xml:space="preserve">. This aspect </w:t>
      </w:r>
      <w:r w:rsidRPr="008408E9">
        <w:rPr>
          <w:rFonts w:ascii="Times New Roman" w:hAnsi="Times New Roman" w:cs="Times New Roman"/>
          <w:sz w:val="24"/>
          <w:lang w:val="en-GB"/>
        </w:rPr>
        <w:lastRenderedPageBreak/>
        <w:t>highlights that Shell has failed to attain optimum range of efficiency in the market in comparison with its key competitor of the UK. Therefore, it can be highlighted that Shell has failed to obtain a competitive benefit in the UK market to sustain for a longer period.</w:t>
      </w:r>
    </w:p>
    <w:p w14:paraId="4D8D7E33" w14:textId="77777777" w:rsidR="001A423B" w:rsidRDefault="001A423B" w:rsidP="001A423B">
      <w:pPr>
        <w:pStyle w:val="Antrat2"/>
      </w:pPr>
      <w:bookmarkStart w:id="13" w:name="_Toc71388440"/>
      <w:r>
        <w:t>4. Recommendations</w:t>
      </w:r>
      <w:bookmarkEnd w:id="13"/>
    </w:p>
    <w:p w14:paraId="482F3E5F" w14:textId="77777777"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data that has been provided along with respective calculations, the company has been found to perform exceptionally in terms of both profitability and efficiency of various operations. However, a significant decrease and such profitability and overall revenues has been shown in 2020 due to the financial impact presented by the pandemic, thereby signifying weak financial management capability of the company. Hence,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mitigate such issues, an appropriate risk management strategy is required to be developed to deal with unprecedented factors. Factors like cash flow fluctuation and debt review should be performed on a quarterly and half yearly basis. Moreover, owing to inconsistencies presented by such financial ratio-based calculations, more accurate methods should be obtained that consider such unprecedented factors within respective calculations. </w:t>
      </w:r>
    </w:p>
    <w:p w14:paraId="78429E57" w14:textId="77777777" w:rsidR="001A423B" w:rsidRDefault="001A423B" w:rsidP="001A423B">
      <w:pPr>
        <w:spacing w:line="360" w:lineRule="auto"/>
        <w:jc w:val="both"/>
        <w:rPr>
          <w:rFonts w:ascii="Times New Roman" w:eastAsia="Times New Roman" w:hAnsi="Times New Roman" w:cs="Times New Roman"/>
          <w:b/>
          <w:sz w:val="24"/>
          <w:szCs w:val="24"/>
        </w:rPr>
      </w:pPr>
    </w:p>
    <w:p w14:paraId="560D123C" w14:textId="7D59C760" w:rsidR="001A423B" w:rsidRDefault="001A423B" w:rsidP="001A423B">
      <w:pPr>
        <w:pStyle w:val="Antrat1"/>
      </w:pPr>
      <w:bookmarkStart w:id="14" w:name="_Toc71388441"/>
      <w:r>
        <w:t>Part c) Investment Appraisal techniques</w:t>
      </w:r>
      <w:bookmarkEnd w:id="14"/>
      <w:r>
        <w:t xml:space="preserve"> </w:t>
      </w:r>
    </w:p>
    <w:p w14:paraId="4E817B7C" w14:textId="77777777" w:rsidR="001A423B" w:rsidRDefault="001A423B" w:rsidP="001A423B">
      <w:pPr>
        <w:pStyle w:val="Antrat2"/>
      </w:pPr>
      <w:bookmarkStart w:id="15" w:name="_Toc71388442"/>
      <w:r>
        <w:t>1. Calculation and recommendation for the investment appraisal project</w:t>
      </w:r>
      <w:bookmarkEnd w:id="15"/>
    </w:p>
    <w:tbl>
      <w:tblPr>
        <w:tblW w:w="2880" w:type="dxa"/>
        <w:jc w:val="center"/>
        <w:tblLook w:val="04A0" w:firstRow="1" w:lastRow="0" w:firstColumn="1" w:lastColumn="0" w:noHBand="0" w:noVBand="1"/>
      </w:tblPr>
      <w:tblGrid>
        <w:gridCol w:w="1030"/>
        <w:gridCol w:w="989"/>
        <w:gridCol w:w="989"/>
      </w:tblGrid>
      <w:tr w:rsidR="00017D3C" w:rsidRPr="00017D3C" w14:paraId="5682FE21" w14:textId="77777777" w:rsidTr="005A5BDB">
        <w:trPr>
          <w:trHeight w:val="930"/>
          <w:jc w:val="center"/>
        </w:trPr>
        <w:tc>
          <w:tcPr>
            <w:tcW w:w="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0B2560E1" w14:textId="77777777" w:rsidR="005A5BDB" w:rsidRPr="00017D3C" w:rsidRDefault="005A5BDB" w:rsidP="005A5BDB">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xml:space="preserve">Payback Period (PBP) </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34026118" w14:textId="77777777" w:rsidR="005A5BDB" w:rsidRPr="00017D3C" w:rsidRDefault="005A5BDB" w:rsidP="005A5BDB">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Balance A</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5A53A8E3" w14:textId="77777777" w:rsidR="005A5BDB" w:rsidRPr="00017D3C" w:rsidRDefault="005A5BDB" w:rsidP="005A5BDB">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Balance B</w:t>
            </w:r>
          </w:p>
        </w:tc>
      </w:tr>
      <w:tr w:rsidR="00017D3C" w:rsidRPr="00017D3C" w14:paraId="686A1D96" w14:textId="77777777" w:rsidTr="005A5BDB">
        <w:trPr>
          <w:trHeight w:val="31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A5C26E1"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3C4C7F59"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-80</w:t>
            </w:r>
          </w:p>
        </w:tc>
        <w:tc>
          <w:tcPr>
            <w:tcW w:w="960" w:type="dxa"/>
            <w:tcBorders>
              <w:top w:val="nil"/>
              <w:left w:val="nil"/>
              <w:bottom w:val="single" w:sz="4" w:space="0" w:color="auto"/>
              <w:right w:val="single" w:sz="4" w:space="0" w:color="auto"/>
            </w:tcBorders>
            <w:shd w:val="clear" w:color="auto" w:fill="auto"/>
            <w:noWrap/>
            <w:vAlign w:val="bottom"/>
            <w:hideMark/>
          </w:tcPr>
          <w:p w14:paraId="5DBE4BAD"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-75</w:t>
            </w:r>
          </w:p>
        </w:tc>
      </w:tr>
      <w:tr w:rsidR="00017D3C" w:rsidRPr="00017D3C" w14:paraId="57992218" w14:textId="77777777" w:rsidTr="005A5BDB">
        <w:trPr>
          <w:trHeight w:val="31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9FDF95B"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2F53E72F"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-55</w:t>
            </w:r>
          </w:p>
        </w:tc>
        <w:tc>
          <w:tcPr>
            <w:tcW w:w="960" w:type="dxa"/>
            <w:tcBorders>
              <w:top w:val="nil"/>
              <w:left w:val="nil"/>
              <w:bottom w:val="single" w:sz="4" w:space="0" w:color="auto"/>
              <w:right w:val="single" w:sz="4" w:space="0" w:color="auto"/>
            </w:tcBorders>
            <w:shd w:val="clear" w:color="auto" w:fill="auto"/>
            <w:noWrap/>
            <w:vAlign w:val="bottom"/>
            <w:hideMark/>
          </w:tcPr>
          <w:p w14:paraId="40D8C8B8"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-25</w:t>
            </w:r>
          </w:p>
        </w:tc>
      </w:tr>
      <w:tr w:rsidR="00017D3C" w:rsidRPr="00017D3C" w14:paraId="3377319F" w14:textId="77777777" w:rsidTr="005A5BDB">
        <w:trPr>
          <w:trHeight w:val="31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28BDD819"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161807B5"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-30</w:t>
            </w:r>
          </w:p>
        </w:tc>
        <w:tc>
          <w:tcPr>
            <w:tcW w:w="960" w:type="dxa"/>
            <w:tcBorders>
              <w:top w:val="nil"/>
              <w:left w:val="nil"/>
              <w:bottom w:val="single" w:sz="4" w:space="0" w:color="auto"/>
              <w:right w:val="single" w:sz="4" w:space="0" w:color="auto"/>
            </w:tcBorders>
            <w:shd w:val="clear" w:color="auto" w:fill="auto"/>
            <w:noWrap/>
            <w:vAlign w:val="bottom"/>
            <w:hideMark/>
          </w:tcPr>
          <w:p w14:paraId="32EC6F50"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-5</w:t>
            </w:r>
          </w:p>
        </w:tc>
      </w:tr>
      <w:tr w:rsidR="00017D3C" w:rsidRPr="00017D3C" w14:paraId="19901C4C" w14:textId="77777777" w:rsidTr="005A5BDB">
        <w:trPr>
          <w:trHeight w:val="31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7EB76744"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5D0198FB"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-10</w:t>
            </w:r>
          </w:p>
        </w:tc>
        <w:tc>
          <w:tcPr>
            <w:tcW w:w="960" w:type="dxa"/>
            <w:tcBorders>
              <w:top w:val="nil"/>
              <w:left w:val="nil"/>
              <w:bottom w:val="single" w:sz="4" w:space="0" w:color="auto"/>
              <w:right w:val="single" w:sz="4" w:space="0" w:color="auto"/>
            </w:tcBorders>
            <w:shd w:val="clear" w:color="auto" w:fill="auto"/>
            <w:noWrap/>
            <w:vAlign w:val="bottom"/>
            <w:hideMark/>
          </w:tcPr>
          <w:p w14:paraId="2156CA00"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15</w:t>
            </w:r>
          </w:p>
        </w:tc>
      </w:tr>
      <w:tr w:rsidR="00017D3C" w:rsidRPr="00017D3C" w14:paraId="2F067BE1" w14:textId="77777777" w:rsidTr="005A5BDB">
        <w:trPr>
          <w:trHeight w:val="310"/>
          <w:jc w:val="center"/>
        </w:trPr>
        <w:tc>
          <w:tcPr>
            <w:tcW w:w="960" w:type="dxa"/>
            <w:tcBorders>
              <w:top w:val="nil"/>
              <w:left w:val="single" w:sz="4" w:space="0" w:color="auto"/>
              <w:bottom w:val="single" w:sz="4" w:space="0" w:color="auto"/>
              <w:right w:val="single" w:sz="4" w:space="0" w:color="auto"/>
            </w:tcBorders>
            <w:shd w:val="clear" w:color="auto" w:fill="auto"/>
            <w:noWrap/>
            <w:vAlign w:val="bottom"/>
            <w:hideMark/>
          </w:tcPr>
          <w:p w14:paraId="489A4F39"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62DE1FB6"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35</w:t>
            </w:r>
          </w:p>
        </w:tc>
        <w:tc>
          <w:tcPr>
            <w:tcW w:w="960" w:type="dxa"/>
            <w:tcBorders>
              <w:top w:val="nil"/>
              <w:left w:val="nil"/>
              <w:bottom w:val="single" w:sz="4" w:space="0" w:color="auto"/>
              <w:right w:val="single" w:sz="4" w:space="0" w:color="auto"/>
            </w:tcBorders>
            <w:shd w:val="clear" w:color="auto" w:fill="auto"/>
            <w:noWrap/>
            <w:vAlign w:val="bottom"/>
            <w:hideMark/>
          </w:tcPr>
          <w:p w14:paraId="7E73796E"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25</w:t>
            </w:r>
          </w:p>
        </w:tc>
      </w:tr>
      <w:tr w:rsidR="00017D3C" w:rsidRPr="00017D3C" w14:paraId="00CF862A" w14:textId="77777777" w:rsidTr="005A5BDB">
        <w:trPr>
          <w:trHeight w:val="620"/>
          <w:jc w:val="center"/>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26CB3796" w14:textId="77777777" w:rsidR="005A5BDB" w:rsidRPr="00017D3C" w:rsidRDefault="005A5BDB" w:rsidP="005A5BDB">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PBP (years)</w:t>
            </w:r>
          </w:p>
        </w:tc>
        <w:tc>
          <w:tcPr>
            <w:tcW w:w="960" w:type="dxa"/>
            <w:tcBorders>
              <w:top w:val="nil"/>
              <w:left w:val="nil"/>
              <w:bottom w:val="single" w:sz="4" w:space="0" w:color="auto"/>
              <w:right w:val="single" w:sz="4" w:space="0" w:color="auto"/>
            </w:tcBorders>
            <w:shd w:val="clear" w:color="auto" w:fill="auto"/>
            <w:noWrap/>
            <w:vAlign w:val="bottom"/>
            <w:hideMark/>
          </w:tcPr>
          <w:p w14:paraId="5D204EF5"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3.5</w:t>
            </w:r>
          </w:p>
        </w:tc>
        <w:tc>
          <w:tcPr>
            <w:tcW w:w="960" w:type="dxa"/>
            <w:tcBorders>
              <w:top w:val="nil"/>
              <w:left w:val="nil"/>
              <w:bottom w:val="single" w:sz="4" w:space="0" w:color="auto"/>
              <w:right w:val="single" w:sz="4" w:space="0" w:color="auto"/>
            </w:tcBorders>
            <w:shd w:val="clear" w:color="auto" w:fill="auto"/>
            <w:noWrap/>
            <w:vAlign w:val="bottom"/>
            <w:hideMark/>
          </w:tcPr>
          <w:p w14:paraId="3B81E233" w14:textId="77777777" w:rsidR="005A5BDB" w:rsidRPr="00017D3C" w:rsidRDefault="005A5BDB" w:rsidP="005A5BDB">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2.25</w:t>
            </w:r>
          </w:p>
        </w:tc>
      </w:tr>
    </w:tbl>
    <w:p w14:paraId="060D4748" w14:textId="1D13C60A" w:rsidR="005A5BDB" w:rsidRPr="00017D3C" w:rsidRDefault="005A5BDB" w:rsidP="003947D1">
      <w:pPr>
        <w:pStyle w:val="Antrat"/>
        <w:rPr>
          <w:rFonts w:eastAsia="Times New Roman"/>
          <w:color w:val="000000" w:themeColor="text1"/>
          <w:szCs w:val="24"/>
          <w:lang w:val="en-US"/>
        </w:rPr>
      </w:pPr>
      <w:r w:rsidRPr="00017D3C">
        <w:rPr>
          <w:rFonts w:eastAsia="Times New Roman"/>
          <w:color w:val="000000" w:themeColor="text1"/>
          <w:szCs w:val="24"/>
          <w:lang w:val="en-US"/>
        </w:rPr>
        <w:t>Table 3: PBP Outcomes</w:t>
      </w:r>
    </w:p>
    <w:p w14:paraId="2A017E97" w14:textId="3BF82E0A" w:rsidR="005A5BDB" w:rsidRPr="00017D3C" w:rsidRDefault="005A5BDB" w:rsidP="005A5BDB">
      <w:pPr>
        <w:spacing w:line="360" w:lineRule="auto"/>
        <w:jc w:val="center"/>
        <w:rPr>
          <w:rFonts w:ascii="Times New Roman" w:eastAsia="Times New Roman" w:hAnsi="Times New Roman" w:cs="Times New Roman"/>
          <w:color w:val="000000" w:themeColor="text1"/>
          <w:sz w:val="24"/>
          <w:szCs w:val="24"/>
        </w:rPr>
      </w:pPr>
      <w:r w:rsidRPr="00017D3C">
        <w:rPr>
          <w:rFonts w:ascii="Times New Roman" w:eastAsia="Times New Roman" w:hAnsi="Times New Roman" w:cs="Times New Roman"/>
          <w:color w:val="000000" w:themeColor="text1"/>
          <w:sz w:val="24"/>
          <w:szCs w:val="24"/>
        </w:rPr>
        <w:t>(Source: MS Excel)</w:t>
      </w:r>
    </w:p>
    <w:p w14:paraId="586B2F45" w14:textId="64C1F700"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As has been provided in the study, two definite projects have been assumed to be undertaken by the company, with such being presented in the form of predicted cash flows that would be generated by each respective project </w:t>
      </w:r>
      <w:proofErr w:type="gramStart"/>
      <w:r>
        <w:rPr>
          <w:rFonts w:ascii="Times New Roman" w:eastAsia="Times New Roman" w:hAnsi="Times New Roman" w:cs="Times New Roman"/>
          <w:sz w:val="24"/>
          <w:szCs w:val="24"/>
        </w:rPr>
        <w:t>in the course of</w:t>
      </w:r>
      <w:proofErr w:type="gramEnd"/>
      <w:r>
        <w:rPr>
          <w:rFonts w:ascii="Times New Roman" w:eastAsia="Times New Roman" w:hAnsi="Times New Roman" w:cs="Times New Roman"/>
          <w:sz w:val="24"/>
          <w:szCs w:val="24"/>
        </w:rPr>
        <w:t xml:space="preserve"> 5 years. Hence, </w:t>
      </w:r>
      <w:proofErr w:type="gramStart"/>
      <w:r>
        <w:rPr>
          <w:rFonts w:ascii="Times New Roman" w:eastAsia="Times New Roman" w:hAnsi="Times New Roman" w:cs="Times New Roman"/>
          <w:sz w:val="24"/>
          <w:szCs w:val="24"/>
        </w:rPr>
        <w:t>in order to</w:t>
      </w:r>
      <w:proofErr w:type="gramEnd"/>
      <w:r>
        <w:rPr>
          <w:rFonts w:ascii="Times New Roman" w:eastAsia="Times New Roman" w:hAnsi="Times New Roman" w:cs="Times New Roman"/>
          <w:sz w:val="24"/>
          <w:szCs w:val="24"/>
        </w:rPr>
        <w:t xml:space="preserve"> evaluate the most effective project among these two, certain calculations have been done based on the given data, including Payback Period, Accounting Rate of Return and Net Present Value (</w:t>
      </w:r>
      <w:r>
        <w:rPr>
          <w:rFonts w:ascii="Times New Roman" w:eastAsia="Times New Roman" w:hAnsi="Times New Roman" w:cs="Times New Roman"/>
          <w:color w:val="222222"/>
          <w:sz w:val="24"/>
          <w:szCs w:val="24"/>
          <w:highlight w:val="white"/>
        </w:rPr>
        <w:t>Babatunde, 2016</w:t>
      </w:r>
      <w:r>
        <w:rPr>
          <w:rFonts w:ascii="Times New Roman" w:eastAsia="Times New Roman" w:hAnsi="Times New Roman" w:cs="Times New Roman"/>
          <w:sz w:val="24"/>
          <w:szCs w:val="24"/>
        </w:rPr>
        <w:t>). Each such calculation serves to provide a definite outlook on certain financial aspects, using which the most suitable project is to be determined based on overall financial sustainability such project brings for the company. For instance, the calculations based on payback period provides with a certain insight regarding the amount of time required to recover the initial investment costs, thereby indicating a lower payback period to be a suitable business option. Such calculation based on payback period, although presenting certain implications based on the overall viability with respect to financial standing of a business, is used widely due to the high levels of simplicity such presents within relevant financial assumptions (</w:t>
      </w:r>
      <w:r>
        <w:rPr>
          <w:rFonts w:ascii="Times New Roman" w:eastAsia="Times New Roman" w:hAnsi="Times New Roman" w:cs="Times New Roman"/>
          <w:color w:val="222222"/>
          <w:sz w:val="24"/>
          <w:szCs w:val="24"/>
          <w:highlight w:val="white"/>
        </w:rPr>
        <w:t xml:space="preserve">Zhang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2021</w:t>
      </w:r>
      <w:r>
        <w:rPr>
          <w:rFonts w:ascii="Times New Roman" w:eastAsia="Times New Roman" w:hAnsi="Times New Roman" w:cs="Times New Roman"/>
          <w:sz w:val="24"/>
          <w:szCs w:val="24"/>
        </w:rPr>
        <w:t xml:space="preserve">). </w:t>
      </w:r>
    </w:p>
    <w:tbl>
      <w:tblPr>
        <w:tblW w:w="4150" w:type="dxa"/>
        <w:jc w:val="center"/>
        <w:tblLook w:val="04A0" w:firstRow="1" w:lastRow="0" w:firstColumn="1" w:lastColumn="0" w:noHBand="0" w:noVBand="1"/>
      </w:tblPr>
      <w:tblGrid>
        <w:gridCol w:w="1456"/>
        <w:gridCol w:w="960"/>
        <w:gridCol w:w="960"/>
        <w:gridCol w:w="960"/>
      </w:tblGrid>
      <w:tr w:rsidR="00017D3C" w:rsidRPr="00017D3C" w14:paraId="4A029CA6" w14:textId="77777777" w:rsidTr="00765021">
        <w:trPr>
          <w:trHeight w:val="310"/>
          <w:jc w:val="center"/>
        </w:trPr>
        <w:tc>
          <w:tcPr>
            <w:tcW w:w="127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DFD5254"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A4C3C4E"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29B2435F"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A</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36CF4E7B"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B</w:t>
            </w:r>
          </w:p>
        </w:tc>
      </w:tr>
      <w:tr w:rsidR="00017D3C" w:rsidRPr="00017D3C" w14:paraId="014AA457" w14:textId="77777777" w:rsidTr="00765021">
        <w:trPr>
          <w:trHeight w:val="930"/>
          <w:jc w:val="center"/>
        </w:trPr>
        <w:tc>
          <w:tcPr>
            <w:tcW w:w="1270" w:type="dxa"/>
            <w:tcBorders>
              <w:top w:val="nil"/>
              <w:left w:val="single" w:sz="4" w:space="0" w:color="auto"/>
              <w:bottom w:val="single" w:sz="4" w:space="0" w:color="auto"/>
              <w:right w:val="single" w:sz="4" w:space="0" w:color="auto"/>
            </w:tcBorders>
            <w:shd w:val="clear" w:color="auto" w:fill="auto"/>
            <w:vAlign w:val="bottom"/>
            <w:hideMark/>
          </w:tcPr>
          <w:p w14:paraId="61406F95"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xml:space="preserve">Total Cash Flow </w:t>
            </w:r>
          </w:p>
        </w:tc>
        <w:tc>
          <w:tcPr>
            <w:tcW w:w="960" w:type="dxa"/>
            <w:tcBorders>
              <w:top w:val="nil"/>
              <w:left w:val="nil"/>
              <w:bottom w:val="single" w:sz="4" w:space="0" w:color="auto"/>
              <w:right w:val="single" w:sz="4" w:space="0" w:color="auto"/>
            </w:tcBorders>
            <w:shd w:val="clear" w:color="auto" w:fill="auto"/>
            <w:noWrap/>
            <w:vAlign w:val="bottom"/>
            <w:hideMark/>
          </w:tcPr>
          <w:p w14:paraId="00059AD3"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72112F25"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35</w:t>
            </w:r>
          </w:p>
        </w:tc>
        <w:tc>
          <w:tcPr>
            <w:tcW w:w="960" w:type="dxa"/>
            <w:tcBorders>
              <w:top w:val="nil"/>
              <w:left w:val="nil"/>
              <w:bottom w:val="single" w:sz="4" w:space="0" w:color="auto"/>
              <w:right w:val="single" w:sz="4" w:space="0" w:color="auto"/>
            </w:tcBorders>
            <w:shd w:val="clear" w:color="auto" w:fill="auto"/>
            <w:noWrap/>
            <w:vAlign w:val="bottom"/>
            <w:hideMark/>
          </w:tcPr>
          <w:p w14:paraId="184A9BE0"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25</w:t>
            </w:r>
          </w:p>
        </w:tc>
      </w:tr>
      <w:tr w:rsidR="00017D3C" w:rsidRPr="00017D3C" w14:paraId="033F7B87" w14:textId="77777777" w:rsidTr="00765021">
        <w:trPr>
          <w:trHeight w:val="930"/>
          <w:jc w:val="center"/>
        </w:trPr>
        <w:tc>
          <w:tcPr>
            <w:tcW w:w="1270" w:type="dxa"/>
            <w:tcBorders>
              <w:top w:val="nil"/>
              <w:left w:val="single" w:sz="4" w:space="0" w:color="auto"/>
              <w:bottom w:val="single" w:sz="4" w:space="0" w:color="auto"/>
              <w:right w:val="single" w:sz="4" w:space="0" w:color="auto"/>
            </w:tcBorders>
            <w:shd w:val="clear" w:color="auto" w:fill="auto"/>
            <w:vAlign w:val="bottom"/>
            <w:hideMark/>
          </w:tcPr>
          <w:p w14:paraId="278F476B"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Average Cash Flow</w:t>
            </w:r>
          </w:p>
        </w:tc>
        <w:tc>
          <w:tcPr>
            <w:tcW w:w="960" w:type="dxa"/>
            <w:tcBorders>
              <w:top w:val="nil"/>
              <w:left w:val="nil"/>
              <w:bottom w:val="single" w:sz="4" w:space="0" w:color="auto"/>
              <w:right w:val="single" w:sz="4" w:space="0" w:color="auto"/>
            </w:tcBorders>
            <w:shd w:val="clear" w:color="auto" w:fill="auto"/>
            <w:noWrap/>
            <w:vAlign w:val="bottom"/>
            <w:hideMark/>
          </w:tcPr>
          <w:p w14:paraId="3EB394FC"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0A6766F9"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7</w:t>
            </w:r>
          </w:p>
        </w:tc>
        <w:tc>
          <w:tcPr>
            <w:tcW w:w="960" w:type="dxa"/>
            <w:tcBorders>
              <w:top w:val="nil"/>
              <w:left w:val="nil"/>
              <w:bottom w:val="single" w:sz="4" w:space="0" w:color="auto"/>
              <w:right w:val="single" w:sz="4" w:space="0" w:color="auto"/>
            </w:tcBorders>
            <w:shd w:val="clear" w:color="auto" w:fill="auto"/>
            <w:noWrap/>
            <w:vAlign w:val="bottom"/>
            <w:hideMark/>
          </w:tcPr>
          <w:p w14:paraId="3BE60AF7"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5</w:t>
            </w:r>
          </w:p>
        </w:tc>
      </w:tr>
      <w:tr w:rsidR="00017D3C" w:rsidRPr="00017D3C" w14:paraId="40EF26A8" w14:textId="77777777" w:rsidTr="00765021">
        <w:trPr>
          <w:trHeight w:val="310"/>
          <w:jc w:val="center"/>
        </w:trPr>
        <w:tc>
          <w:tcPr>
            <w:tcW w:w="1270" w:type="dxa"/>
            <w:tcBorders>
              <w:top w:val="nil"/>
              <w:left w:val="single" w:sz="4" w:space="0" w:color="auto"/>
              <w:bottom w:val="single" w:sz="4" w:space="0" w:color="auto"/>
              <w:right w:val="single" w:sz="4" w:space="0" w:color="auto"/>
            </w:tcBorders>
            <w:shd w:val="clear" w:color="auto" w:fill="auto"/>
            <w:noWrap/>
            <w:vAlign w:val="bottom"/>
            <w:hideMark/>
          </w:tcPr>
          <w:p w14:paraId="35729CB2"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Depreciation</w:t>
            </w:r>
          </w:p>
        </w:tc>
        <w:tc>
          <w:tcPr>
            <w:tcW w:w="960" w:type="dxa"/>
            <w:tcBorders>
              <w:top w:val="nil"/>
              <w:left w:val="nil"/>
              <w:bottom w:val="single" w:sz="4" w:space="0" w:color="auto"/>
              <w:right w:val="single" w:sz="4" w:space="0" w:color="auto"/>
            </w:tcBorders>
            <w:shd w:val="clear" w:color="auto" w:fill="auto"/>
            <w:noWrap/>
            <w:vAlign w:val="bottom"/>
            <w:hideMark/>
          </w:tcPr>
          <w:p w14:paraId="08F22A6B"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D51F581"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5C443D43"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5</w:t>
            </w:r>
          </w:p>
        </w:tc>
      </w:tr>
      <w:tr w:rsidR="00017D3C" w:rsidRPr="00017D3C" w14:paraId="536DCCC8" w14:textId="77777777" w:rsidTr="00765021">
        <w:trPr>
          <w:trHeight w:val="1550"/>
          <w:jc w:val="center"/>
        </w:trPr>
        <w:tc>
          <w:tcPr>
            <w:tcW w:w="1270" w:type="dxa"/>
            <w:tcBorders>
              <w:top w:val="nil"/>
              <w:left w:val="single" w:sz="4" w:space="0" w:color="auto"/>
              <w:bottom w:val="single" w:sz="4" w:space="0" w:color="auto"/>
              <w:right w:val="single" w:sz="4" w:space="0" w:color="auto"/>
            </w:tcBorders>
            <w:shd w:val="clear" w:color="auto" w:fill="auto"/>
            <w:vAlign w:val="bottom"/>
            <w:hideMark/>
          </w:tcPr>
          <w:p w14:paraId="31AAC36A"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xml:space="preserve">Accounting Rate of Return (ARR) </w:t>
            </w:r>
          </w:p>
        </w:tc>
        <w:tc>
          <w:tcPr>
            <w:tcW w:w="960" w:type="dxa"/>
            <w:tcBorders>
              <w:top w:val="nil"/>
              <w:left w:val="nil"/>
              <w:bottom w:val="single" w:sz="4" w:space="0" w:color="auto"/>
              <w:right w:val="single" w:sz="4" w:space="0" w:color="auto"/>
            </w:tcBorders>
            <w:shd w:val="clear" w:color="auto" w:fill="auto"/>
            <w:noWrap/>
            <w:vAlign w:val="bottom"/>
            <w:hideMark/>
          </w:tcPr>
          <w:p w14:paraId="7F177ED0" w14:textId="77777777" w:rsidR="00765021" w:rsidRPr="00017D3C" w:rsidRDefault="00765021" w:rsidP="00765021">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4368F270"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1.95%</w:t>
            </w:r>
          </w:p>
        </w:tc>
        <w:tc>
          <w:tcPr>
            <w:tcW w:w="960" w:type="dxa"/>
            <w:tcBorders>
              <w:top w:val="nil"/>
              <w:left w:val="nil"/>
              <w:bottom w:val="single" w:sz="4" w:space="0" w:color="auto"/>
              <w:right w:val="single" w:sz="4" w:space="0" w:color="auto"/>
            </w:tcBorders>
            <w:shd w:val="clear" w:color="auto" w:fill="auto"/>
            <w:noWrap/>
            <w:vAlign w:val="bottom"/>
            <w:hideMark/>
          </w:tcPr>
          <w:p w14:paraId="2C299CB6" w14:textId="77777777" w:rsidR="00765021" w:rsidRPr="00017D3C" w:rsidRDefault="00765021" w:rsidP="00765021">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1.95%</w:t>
            </w:r>
          </w:p>
        </w:tc>
      </w:tr>
    </w:tbl>
    <w:p w14:paraId="35E46373" w14:textId="2A50107E" w:rsidR="003947D1" w:rsidRPr="00017D3C" w:rsidRDefault="003947D1" w:rsidP="003947D1">
      <w:pPr>
        <w:spacing w:line="360" w:lineRule="auto"/>
        <w:jc w:val="center"/>
        <w:rPr>
          <w:rFonts w:ascii="Times New Roman" w:eastAsia="Times New Roman" w:hAnsi="Times New Roman" w:cs="Times New Roman"/>
          <w:b/>
          <w:color w:val="000000" w:themeColor="text1"/>
          <w:sz w:val="24"/>
          <w:szCs w:val="24"/>
        </w:rPr>
      </w:pPr>
      <w:r w:rsidRPr="00017D3C">
        <w:rPr>
          <w:rFonts w:ascii="Times New Roman" w:eastAsia="Times New Roman" w:hAnsi="Times New Roman" w:cs="Times New Roman"/>
          <w:b/>
          <w:color w:val="000000" w:themeColor="text1"/>
          <w:sz w:val="24"/>
          <w:szCs w:val="24"/>
        </w:rPr>
        <w:t>Table 4: ARR Outcomes</w:t>
      </w:r>
    </w:p>
    <w:p w14:paraId="002DAF11" w14:textId="6D430E9D" w:rsidR="003947D1" w:rsidRPr="00017D3C" w:rsidRDefault="003947D1" w:rsidP="003947D1">
      <w:pPr>
        <w:spacing w:line="360" w:lineRule="auto"/>
        <w:jc w:val="center"/>
        <w:rPr>
          <w:rFonts w:ascii="Times New Roman" w:eastAsia="Times New Roman" w:hAnsi="Times New Roman" w:cs="Times New Roman"/>
          <w:b/>
          <w:color w:val="000000" w:themeColor="text1"/>
          <w:sz w:val="24"/>
          <w:szCs w:val="24"/>
        </w:rPr>
      </w:pPr>
      <w:r w:rsidRPr="00017D3C">
        <w:rPr>
          <w:rFonts w:ascii="Times New Roman" w:eastAsia="Times New Roman" w:hAnsi="Times New Roman" w:cs="Times New Roman"/>
          <w:color w:val="000000" w:themeColor="text1"/>
          <w:sz w:val="24"/>
          <w:szCs w:val="24"/>
        </w:rPr>
        <w:t>(Source: MS Excel)</w:t>
      </w:r>
      <w:r w:rsidRPr="00017D3C">
        <w:rPr>
          <w:rFonts w:ascii="Times New Roman" w:eastAsia="Times New Roman" w:hAnsi="Times New Roman" w:cs="Times New Roman"/>
          <w:b/>
          <w:color w:val="000000" w:themeColor="text1"/>
          <w:sz w:val="24"/>
          <w:szCs w:val="24"/>
        </w:rPr>
        <w:t xml:space="preserve"> </w:t>
      </w:r>
    </w:p>
    <w:p w14:paraId="23014123" w14:textId="4AAE217F"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Accounting Rate of Return (ARR), on the other hand, is a formula used for determining a certain amount of assumed return that a particular investment will bring to the company. Such return is calculated based on a defined percentage rate while being calculated in comparison to the initial cost of respective investments. In this regard, the formula involves dividing the total revenue brought in by the investments or assets of the company by the value of said initial </w:t>
      </w:r>
      <w:r>
        <w:rPr>
          <w:rFonts w:ascii="Times New Roman" w:eastAsia="Times New Roman" w:hAnsi="Times New Roman" w:cs="Times New Roman"/>
          <w:sz w:val="24"/>
          <w:szCs w:val="24"/>
        </w:rPr>
        <w:lastRenderedPageBreak/>
        <w:t>investment (</w:t>
      </w:r>
      <w:r>
        <w:rPr>
          <w:rFonts w:ascii="Times New Roman" w:eastAsia="Times New Roman" w:hAnsi="Times New Roman" w:cs="Times New Roman"/>
          <w:color w:val="222222"/>
          <w:sz w:val="24"/>
          <w:szCs w:val="24"/>
          <w:highlight w:val="white"/>
        </w:rPr>
        <w:t xml:space="preserve">Christodoulou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Therefore, this essentially presents an estimated value of return to receive over the courses of an entire project or assets. ARR is primarily used to determine the metrics based on capital budgeting of a certain company and presenting a quick insight regarding the overall profitability that a certain investment operation is expected to bring. Hence, this calculation method is mostly used by businesses to evaluate and compare various projects and essentially determine the project that is likely to bring the highest levels of profitability for the company, as has been done in this case (</w:t>
      </w:r>
      <w:r>
        <w:rPr>
          <w:rFonts w:ascii="Times New Roman" w:eastAsia="Times New Roman" w:hAnsi="Times New Roman" w:cs="Times New Roman"/>
          <w:color w:val="222222"/>
          <w:sz w:val="24"/>
          <w:szCs w:val="24"/>
          <w:highlight w:val="white"/>
        </w:rPr>
        <w:t>Easton and Monahan, 2016</w:t>
      </w:r>
      <w:r>
        <w:rPr>
          <w:rFonts w:ascii="Times New Roman" w:eastAsia="Times New Roman" w:hAnsi="Times New Roman" w:cs="Times New Roman"/>
          <w:sz w:val="24"/>
          <w:szCs w:val="24"/>
        </w:rPr>
        <w:t>).</w:t>
      </w:r>
    </w:p>
    <w:tbl>
      <w:tblPr>
        <w:tblW w:w="3840" w:type="dxa"/>
        <w:jc w:val="center"/>
        <w:tblLook w:val="04A0" w:firstRow="1" w:lastRow="0" w:firstColumn="1" w:lastColumn="0" w:noHBand="0" w:noVBand="1"/>
      </w:tblPr>
      <w:tblGrid>
        <w:gridCol w:w="1083"/>
        <w:gridCol w:w="960"/>
        <w:gridCol w:w="960"/>
        <w:gridCol w:w="960"/>
      </w:tblGrid>
      <w:tr w:rsidR="00017D3C" w:rsidRPr="00017D3C" w14:paraId="7BE87E3A" w14:textId="77777777" w:rsidTr="007E5B09">
        <w:trPr>
          <w:trHeight w:val="620"/>
          <w:jc w:val="center"/>
        </w:trPr>
        <w:tc>
          <w:tcPr>
            <w:tcW w:w="960" w:type="dxa"/>
            <w:tcBorders>
              <w:top w:val="single" w:sz="4" w:space="0" w:color="auto"/>
              <w:left w:val="single" w:sz="4" w:space="0" w:color="auto"/>
              <w:bottom w:val="single" w:sz="4" w:space="0" w:color="auto"/>
              <w:right w:val="single" w:sz="4" w:space="0" w:color="auto"/>
            </w:tcBorders>
            <w:shd w:val="clear" w:color="auto" w:fill="auto"/>
            <w:vAlign w:val="bottom"/>
            <w:hideMark/>
          </w:tcPr>
          <w:p w14:paraId="4F7EC2FE"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Discount Rate</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4D0B6071"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single" w:sz="4" w:space="0" w:color="auto"/>
              <w:left w:val="nil"/>
              <w:bottom w:val="single" w:sz="4" w:space="0" w:color="auto"/>
              <w:right w:val="single" w:sz="4" w:space="0" w:color="auto"/>
            </w:tcBorders>
            <w:shd w:val="clear" w:color="auto" w:fill="auto"/>
            <w:vAlign w:val="bottom"/>
            <w:hideMark/>
          </w:tcPr>
          <w:p w14:paraId="487FA48B" w14:textId="77777777" w:rsidR="007E5B09" w:rsidRPr="00017D3C" w:rsidRDefault="007E5B09" w:rsidP="007E5B09">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5%</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63D84C00"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r>
      <w:tr w:rsidR="00017D3C" w:rsidRPr="00017D3C" w14:paraId="2C92D6FA" w14:textId="77777777" w:rsidTr="007E5B09">
        <w:trPr>
          <w:trHeight w:val="310"/>
          <w:jc w:val="center"/>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213F7C4C"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1B902197"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vAlign w:val="bottom"/>
            <w:hideMark/>
          </w:tcPr>
          <w:p w14:paraId="03655741"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A</w:t>
            </w:r>
          </w:p>
        </w:tc>
        <w:tc>
          <w:tcPr>
            <w:tcW w:w="960" w:type="dxa"/>
            <w:tcBorders>
              <w:top w:val="nil"/>
              <w:left w:val="nil"/>
              <w:bottom w:val="single" w:sz="4" w:space="0" w:color="auto"/>
              <w:right w:val="single" w:sz="4" w:space="0" w:color="auto"/>
            </w:tcBorders>
            <w:shd w:val="clear" w:color="auto" w:fill="auto"/>
            <w:noWrap/>
            <w:vAlign w:val="bottom"/>
            <w:hideMark/>
          </w:tcPr>
          <w:p w14:paraId="61D11155"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B</w:t>
            </w:r>
          </w:p>
        </w:tc>
      </w:tr>
      <w:tr w:rsidR="00017D3C" w:rsidRPr="00017D3C" w14:paraId="56AF884E" w14:textId="77777777" w:rsidTr="007E5B09">
        <w:trPr>
          <w:trHeight w:val="1240"/>
          <w:jc w:val="center"/>
        </w:trPr>
        <w:tc>
          <w:tcPr>
            <w:tcW w:w="960" w:type="dxa"/>
            <w:tcBorders>
              <w:top w:val="nil"/>
              <w:left w:val="single" w:sz="4" w:space="0" w:color="auto"/>
              <w:bottom w:val="single" w:sz="4" w:space="0" w:color="auto"/>
              <w:right w:val="single" w:sz="4" w:space="0" w:color="auto"/>
            </w:tcBorders>
            <w:shd w:val="clear" w:color="auto" w:fill="auto"/>
            <w:vAlign w:val="bottom"/>
            <w:hideMark/>
          </w:tcPr>
          <w:p w14:paraId="184DFA48"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xml:space="preserve">Net Present Value (NPV) </w:t>
            </w:r>
          </w:p>
        </w:tc>
        <w:tc>
          <w:tcPr>
            <w:tcW w:w="960" w:type="dxa"/>
            <w:tcBorders>
              <w:top w:val="nil"/>
              <w:left w:val="nil"/>
              <w:bottom w:val="single" w:sz="4" w:space="0" w:color="auto"/>
              <w:right w:val="single" w:sz="4" w:space="0" w:color="auto"/>
            </w:tcBorders>
            <w:shd w:val="clear" w:color="auto" w:fill="auto"/>
            <w:noWrap/>
            <w:vAlign w:val="bottom"/>
            <w:hideMark/>
          </w:tcPr>
          <w:p w14:paraId="02875E3F" w14:textId="77777777" w:rsidR="007E5B09" w:rsidRPr="00017D3C" w:rsidRDefault="007E5B09" w:rsidP="007E5B09">
            <w:pPr>
              <w:spacing w:after="0" w:line="360" w:lineRule="auto"/>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14:paraId="1E37524F" w14:textId="77777777" w:rsidR="007E5B09" w:rsidRPr="00017D3C" w:rsidRDefault="007E5B09" w:rsidP="007E5B09">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xml:space="preserve">$19.79 </w:t>
            </w:r>
          </w:p>
        </w:tc>
        <w:tc>
          <w:tcPr>
            <w:tcW w:w="960" w:type="dxa"/>
            <w:tcBorders>
              <w:top w:val="nil"/>
              <w:left w:val="nil"/>
              <w:bottom w:val="single" w:sz="4" w:space="0" w:color="auto"/>
              <w:right w:val="single" w:sz="4" w:space="0" w:color="auto"/>
            </w:tcBorders>
            <w:shd w:val="clear" w:color="auto" w:fill="auto"/>
            <w:noWrap/>
            <w:vAlign w:val="bottom"/>
            <w:hideMark/>
          </w:tcPr>
          <w:p w14:paraId="4B5D55C0" w14:textId="77777777" w:rsidR="007E5B09" w:rsidRPr="00017D3C" w:rsidRDefault="007E5B09" w:rsidP="007E5B09">
            <w:pPr>
              <w:spacing w:after="0" w:line="360" w:lineRule="auto"/>
              <w:jc w:val="right"/>
              <w:rPr>
                <w:rFonts w:ascii="Times New Roman" w:eastAsia="Times New Roman" w:hAnsi="Times New Roman" w:cs="Times New Roman"/>
                <w:color w:val="000000" w:themeColor="text1"/>
                <w:sz w:val="24"/>
                <w:szCs w:val="24"/>
                <w:lang w:val="en-GB" w:eastAsia="en-GB"/>
              </w:rPr>
            </w:pPr>
            <w:r w:rsidRPr="00017D3C">
              <w:rPr>
                <w:rFonts w:ascii="Times New Roman" w:eastAsia="Times New Roman" w:hAnsi="Times New Roman" w:cs="Times New Roman"/>
                <w:color w:val="000000" w:themeColor="text1"/>
                <w:sz w:val="24"/>
                <w:szCs w:val="24"/>
                <w:lang w:val="en-GB" w:eastAsia="en-GB"/>
              </w:rPr>
              <w:t xml:space="preserve">$15.49 </w:t>
            </w:r>
          </w:p>
        </w:tc>
      </w:tr>
    </w:tbl>
    <w:p w14:paraId="1547D084" w14:textId="4E97F178" w:rsidR="00765021" w:rsidRPr="00017D3C" w:rsidRDefault="00765021" w:rsidP="00765021">
      <w:pPr>
        <w:spacing w:line="360" w:lineRule="auto"/>
        <w:jc w:val="center"/>
        <w:rPr>
          <w:rFonts w:ascii="Times New Roman" w:eastAsia="Times New Roman" w:hAnsi="Times New Roman" w:cs="Times New Roman"/>
          <w:b/>
          <w:color w:val="000000" w:themeColor="text1"/>
          <w:sz w:val="24"/>
          <w:szCs w:val="24"/>
        </w:rPr>
      </w:pPr>
      <w:r w:rsidRPr="00017D3C">
        <w:rPr>
          <w:rFonts w:ascii="Times New Roman" w:eastAsia="Times New Roman" w:hAnsi="Times New Roman" w:cs="Times New Roman"/>
          <w:b/>
          <w:color w:val="000000" w:themeColor="text1"/>
          <w:sz w:val="24"/>
          <w:szCs w:val="24"/>
        </w:rPr>
        <w:t>Table 5: NPV Outcomes</w:t>
      </w:r>
    </w:p>
    <w:p w14:paraId="493F43F0" w14:textId="57C0270B" w:rsidR="00765021" w:rsidRPr="00017D3C" w:rsidRDefault="00765021" w:rsidP="00765021">
      <w:pPr>
        <w:spacing w:line="360" w:lineRule="auto"/>
        <w:jc w:val="center"/>
        <w:rPr>
          <w:rFonts w:ascii="Times New Roman" w:eastAsia="Times New Roman" w:hAnsi="Times New Roman" w:cs="Times New Roman"/>
          <w:b/>
          <w:color w:val="000000" w:themeColor="text1"/>
          <w:sz w:val="24"/>
          <w:szCs w:val="24"/>
        </w:rPr>
      </w:pPr>
      <w:r w:rsidRPr="00017D3C">
        <w:rPr>
          <w:rFonts w:ascii="Times New Roman" w:eastAsia="Times New Roman" w:hAnsi="Times New Roman" w:cs="Times New Roman"/>
          <w:color w:val="000000" w:themeColor="text1"/>
          <w:sz w:val="24"/>
          <w:szCs w:val="24"/>
        </w:rPr>
        <w:t>(Source: MS Excel)</w:t>
      </w:r>
      <w:r w:rsidRPr="00017D3C">
        <w:rPr>
          <w:rFonts w:ascii="Times New Roman" w:eastAsia="Times New Roman" w:hAnsi="Times New Roman" w:cs="Times New Roman"/>
          <w:b/>
          <w:color w:val="000000" w:themeColor="text1"/>
          <w:sz w:val="24"/>
          <w:szCs w:val="24"/>
        </w:rPr>
        <w:t xml:space="preserve"> </w:t>
      </w:r>
    </w:p>
    <w:p w14:paraId="022C91BE" w14:textId="30D21A1F"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similar aspect, calculations based on the Net Present Value serves to provide a definite outlook regarding the profitability that a certain investment is expected to bring over a certain period. However, unlike ARR, calculations done by NPV entirely depend upon evaluating the cash flow aspects of the company. In that respect, NPV provides an assumption based on the current value of a certain payment with respect to similar future payments over a definite course of time (</w:t>
      </w:r>
      <w:proofErr w:type="spellStart"/>
      <w:r>
        <w:rPr>
          <w:rFonts w:ascii="Times New Roman" w:eastAsia="Times New Roman" w:hAnsi="Times New Roman" w:cs="Times New Roman"/>
          <w:color w:val="222222"/>
          <w:sz w:val="24"/>
          <w:szCs w:val="24"/>
          <w:highlight w:val="white"/>
        </w:rPr>
        <w:t>Gaspars-Wieloch</w:t>
      </w:r>
      <w:proofErr w:type="spellEnd"/>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Hence, unlike the other two calculation methods, time value of money is heavily considered within NPV, while using a certain discount rate to base such calculations upon. Therefore, the effectiveness of a certain investment is determined by the difference between current value of cash flow and initial investment cost, with a higher positive value determining a higher investment return and consecutive profitability. Conversely, an investment project is likely to bring losses if NPV is calculated to be negative over the course of the given period (</w:t>
      </w:r>
      <w:proofErr w:type="spellStart"/>
      <w:r>
        <w:rPr>
          <w:rFonts w:ascii="Times New Roman" w:eastAsia="Times New Roman" w:hAnsi="Times New Roman" w:cs="Times New Roman"/>
          <w:color w:val="222222"/>
          <w:sz w:val="24"/>
          <w:szCs w:val="24"/>
          <w:highlight w:val="white"/>
        </w:rPr>
        <w:t>Shaffie</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Jaaman</w:t>
      </w:r>
      <w:proofErr w:type="spellEnd"/>
      <w:r>
        <w:rPr>
          <w:rFonts w:ascii="Times New Roman" w:eastAsia="Times New Roman" w:hAnsi="Times New Roman" w:cs="Times New Roman"/>
          <w:color w:val="222222"/>
          <w:sz w:val="24"/>
          <w:szCs w:val="24"/>
          <w:highlight w:val="white"/>
        </w:rPr>
        <w:t>, 2016</w:t>
      </w:r>
      <w:r>
        <w:rPr>
          <w:rFonts w:ascii="Times New Roman" w:eastAsia="Times New Roman" w:hAnsi="Times New Roman" w:cs="Times New Roman"/>
          <w:sz w:val="24"/>
          <w:szCs w:val="24"/>
        </w:rPr>
        <w:t>).</w:t>
      </w:r>
    </w:p>
    <w:p w14:paraId="0740D29C" w14:textId="22F94E2C" w:rsidR="00DD1223" w:rsidRDefault="00DD1223" w:rsidP="00DD1223">
      <w:pPr>
        <w:spacing w:line="360" w:lineRule="auto"/>
        <w:jc w:val="center"/>
        <w:rPr>
          <w:rFonts w:ascii="Times New Roman" w:eastAsia="Times New Roman" w:hAnsi="Times New Roman" w:cs="Times New Roman"/>
          <w:sz w:val="24"/>
          <w:szCs w:val="24"/>
        </w:rPr>
      </w:pPr>
      <w:r>
        <w:rPr>
          <w:noProof/>
          <w:lang w:val="en-GB" w:eastAsia="en-GB"/>
        </w:rPr>
        <w:lastRenderedPageBreak/>
        <w:drawing>
          <wp:inline distT="0" distB="0" distL="0" distR="0" wp14:anchorId="3F2A48C0" wp14:editId="5435C4E4">
            <wp:extent cx="3203575" cy="2174875"/>
            <wp:effectExtent l="0" t="0" r="15875" b="15875"/>
            <wp:docPr id="3" name="Chart 3">
              <a:extLst xmlns:a="http://schemas.openxmlformats.org/drawingml/2006/main">
                <a:ext uri="{FF2B5EF4-FFF2-40B4-BE49-F238E27FC236}">
                  <a16:creationId xmlns:a16="http://schemas.microsoft.com/office/drawing/2014/main" id="{00000000-0008-0000-00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138A8CD" w14:textId="1CB59E90" w:rsidR="00DD1223" w:rsidRDefault="00DD1223" w:rsidP="00DD1223">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Figure 1: Payback Period</w:t>
      </w:r>
    </w:p>
    <w:p w14:paraId="7E90B56D" w14:textId="09CEC8E6" w:rsidR="00DD1223" w:rsidRDefault="00DD1223" w:rsidP="00DD1223">
      <w:pPr>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MS Excel)</w:t>
      </w:r>
    </w:p>
    <w:p w14:paraId="7F0E5F8F" w14:textId="3879A0C7" w:rsidR="00DD1223" w:rsidRDefault="00DD1223" w:rsidP="00DD1223">
      <w:pPr>
        <w:jc w:val="center"/>
        <w:rPr>
          <w:rFonts w:ascii="Times New Roman" w:eastAsia="Times New Roman" w:hAnsi="Times New Roman" w:cs="Times New Roman"/>
          <w:bCs/>
          <w:sz w:val="24"/>
          <w:szCs w:val="24"/>
        </w:rPr>
      </w:pPr>
      <w:r>
        <w:rPr>
          <w:noProof/>
          <w:lang w:val="en-GB" w:eastAsia="en-GB"/>
        </w:rPr>
        <w:drawing>
          <wp:inline distT="0" distB="0" distL="0" distR="0" wp14:anchorId="0A0E2ACE" wp14:editId="5C8CD549">
            <wp:extent cx="3079750" cy="1851025"/>
            <wp:effectExtent l="0" t="0" r="6350" b="15875"/>
            <wp:docPr id="4" name="Chart 4">
              <a:extLst xmlns:a="http://schemas.openxmlformats.org/drawingml/2006/main">
                <a:ext uri="{FF2B5EF4-FFF2-40B4-BE49-F238E27FC236}">
                  <a16:creationId xmlns:a16="http://schemas.microsoft.com/office/drawing/2014/main" id="{00000000-0008-0000-0000-000003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5D3BC58A" w14:textId="4B76394A" w:rsidR="00DD1223" w:rsidRDefault="00DD1223" w:rsidP="00DD1223">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2: </w:t>
      </w:r>
      <w:r w:rsidRPr="00DD1223">
        <w:rPr>
          <w:rFonts w:ascii="Times New Roman" w:eastAsia="Times New Roman" w:hAnsi="Times New Roman" w:cs="Times New Roman"/>
          <w:b/>
          <w:bCs/>
          <w:sz w:val="24"/>
          <w:szCs w:val="24"/>
        </w:rPr>
        <w:t>Accounting Rate of Return</w:t>
      </w:r>
    </w:p>
    <w:p w14:paraId="591621D0" w14:textId="39806832" w:rsidR="00DD1223" w:rsidRDefault="00DD1223" w:rsidP="00DD1223">
      <w:pPr>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MS Excel)</w:t>
      </w:r>
    </w:p>
    <w:p w14:paraId="2D19BE20" w14:textId="77777777" w:rsidR="00DD1223" w:rsidRPr="00DD1223" w:rsidRDefault="00DD1223" w:rsidP="00DD1223">
      <w:pPr>
        <w:jc w:val="center"/>
        <w:rPr>
          <w:rFonts w:ascii="Times New Roman" w:eastAsia="Times New Roman" w:hAnsi="Times New Roman" w:cs="Times New Roman"/>
          <w:bCs/>
          <w:sz w:val="24"/>
          <w:szCs w:val="24"/>
        </w:rPr>
      </w:pPr>
    </w:p>
    <w:p w14:paraId="02DFD814" w14:textId="48F803A0"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per the given data in this study, it has been determined that the payback period for project A is somewhat higher as compared to that of the other project, being 3.5 and 2.25 </w:t>
      </w:r>
      <w:proofErr w:type="gramStart"/>
      <w:r>
        <w:rPr>
          <w:rFonts w:ascii="Times New Roman" w:eastAsia="Times New Roman" w:hAnsi="Times New Roman" w:cs="Times New Roman"/>
          <w:sz w:val="24"/>
          <w:szCs w:val="24"/>
        </w:rPr>
        <w:t>years</w:t>
      </w:r>
      <w:proofErr w:type="gramEnd"/>
      <w:r>
        <w:rPr>
          <w:rFonts w:ascii="Times New Roman" w:eastAsia="Times New Roman" w:hAnsi="Times New Roman" w:cs="Times New Roman"/>
          <w:sz w:val="24"/>
          <w:szCs w:val="24"/>
        </w:rPr>
        <w:t xml:space="preserve"> respectively. Hence, at this point, project B might seem to be more suitable since initial investment costs are quickly recovered, thereby allowing the total capital budget of the company to be utilized in other aspects for project development. However, in the case of NPV, a significant difference can be observed, being 19.79 dollars calculated for project A as compared to 15.49 dollars for project B. This presents the fact that the company would possibly gain much higher profits while having to wait for only 1 extra year to recover the entire initial investment costs. Additionally, the ARR for both projects have been determined to be the same, therefore the overall investment effectiveness being entirely determined via respective NPVs. </w:t>
      </w:r>
      <w:r>
        <w:rPr>
          <w:rFonts w:ascii="Times New Roman" w:eastAsia="Times New Roman" w:hAnsi="Times New Roman" w:cs="Times New Roman"/>
          <w:sz w:val="24"/>
          <w:szCs w:val="24"/>
        </w:rPr>
        <w:lastRenderedPageBreak/>
        <w:t>Therefore, it can be inferred that project A is going to be a better option to invest in, in terms of higher chances of gaining higher levels of profitability.</w:t>
      </w:r>
    </w:p>
    <w:p w14:paraId="6DAFF12E" w14:textId="5CFDE204" w:rsidR="00DD1223" w:rsidRDefault="00DD1223" w:rsidP="00DD1223">
      <w:pPr>
        <w:spacing w:line="360" w:lineRule="auto"/>
        <w:jc w:val="center"/>
        <w:rPr>
          <w:rFonts w:ascii="Times New Roman" w:eastAsia="Times New Roman" w:hAnsi="Times New Roman" w:cs="Times New Roman"/>
          <w:sz w:val="24"/>
          <w:szCs w:val="24"/>
        </w:rPr>
      </w:pPr>
      <w:r>
        <w:rPr>
          <w:noProof/>
          <w:lang w:val="en-GB" w:eastAsia="en-GB"/>
        </w:rPr>
        <w:drawing>
          <wp:inline distT="0" distB="0" distL="0" distR="0" wp14:anchorId="56B7CE9B" wp14:editId="31A7357F">
            <wp:extent cx="3213100" cy="2003425"/>
            <wp:effectExtent l="0" t="0" r="6350" b="15875"/>
            <wp:docPr id="6" name="Chart 6">
              <a:extLst xmlns:a="http://schemas.openxmlformats.org/drawingml/2006/main">
                <a:ext uri="{FF2B5EF4-FFF2-40B4-BE49-F238E27FC236}">
                  <a16:creationId xmlns:a16="http://schemas.microsoft.com/office/drawing/2014/main" id="{00000000-0008-0000-0000-000004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67EF99" w14:textId="555737C6" w:rsidR="00DD1223" w:rsidRDefault="00DD1223" w:rsidP="00DD1223">
      <w:pPr>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Figure 3: </w:t>
      </w:r>
      <w:r w:rsidRPr="00DD1223">
        <w:rPr>
          <w:rFonts w:ascii="Times New Roman" w:eastAsia="Times New Roman" w:hAnsi="Times New Roman" w:cs="Times New Roman"/>
          <w:b/>
          <w:bCs/>
          <w:sz w:val="24"/>
          <w:szCs w:val="24"/>
        </w:rPr>
        <w:t>Net Present Value</w:t>
      </w:r>
    </w:p>
    <w:p w14:paraId="775FBA1D" w14:textId="77777777" w:rsidR="00DD1223" w:rsidRDefault="00DD1223" w:rsidP="00DD1223">
      <w:pPr>
        <w:jc w:val="cente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(Source: MS Excel)</w:t>
      </w:r>
    </w:p>
    <w:p w14:paraId="12D4A8B6" w14:textId="77777777" w:rsidR="00DD1223" w:rsidRDefault="00DD1223" w:rsidP="00DD1223">
      <w:pPr>
        <w:spacing w:line="360" w:lineRule="auto"/>
        <w:jc w:val="center"/>
        <w:rPr>
          <w:rFonts w:ascii="Times New Roman" w:eastAsia="Times New Roman" w:hAnsi="Times New Roman" w:cs="Times New Roman"/>
          <w:sz w:val="24"/>
          <w:szCs w:val="24"/>
        </w:rPr>
      </w:pPr>
    </w:p>
    <w:p w14:paraId="607137A1" w14:textId="77777777" w:rsidR="001A423B" w:rsidRDefault="001A423B" w:rsidP="001A423B">
      <w:pPr>
        <w:pStyle w:val="Antrat2"/>
      </w:pPr>
      <w:bookmarkStart w:id="16" w:name="_Toc71388443"/>
      <w:r>
        <w:t>2. Critical discussion of the investment appraisal projects</w:t>
      </w:r>
      <w:bookmarkEnd w:id="16"/>
    </w:p>
    <w:p w14:paraId="72700D72" w14:textId="77777777"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Financial calculations done with the help of these presented elements, although serving to provide a definite insight regarding the financial aspects of various investments, comes with several different flaws with respect to each element. This results in inaccurate assumptions based on various future financial prospects of a given project, while also presenting the issue of overestimating the long-term value of a certain investment based on profitability aspects. However, as has been mentioned above, businesses still utilize such calculation methods due to the huge level of simplicity such provides with regards to related financial calculations. In case of Payback Period, businesses primarily enjoy the relative ease of usage facilitated by such simplicity, as compared to that of more accurate calculations (</w:t>
      </w:r>
      <w:proofErr w:type="spellStart"/>
      <w:r>
        <w:rPr>
          <w:rFonts w:ascii="Times New Roman" w:eastAsia="Times New Roman" w:hAnsi="Times New Roman" w:cs="Times New Roman"/>
          <w:color w:val="222222"/>
          <w:sz w:val="24"/>
          <w:szCs w:val="24"/>
          <w:highlight w:val="white"/>
        </w:rPr>
        <w:t>Zis</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xml:space="preserve">). Such simplicity is presented </w:t>
      </w:r>
      <w:proofErr w:type="gramStart"/>
      <w:r>
        <w:rPr>
          <w:rFonts w:ascii="Times New Roman" w:eastAsia="Times New Roman" w:hAnsi="Times New Roman" w:cs="Times New Roman"/>
          <w:sz w:val="24"/>
          <w:szCs w:val="24"/>
        </w:rPr>
        <w:t>due to the fact that</w:t>
      </w:r>
      <w:proofErr w:type="gramEnd"/>
      <w:r>
        <w:rPr>
          <w:rFonts w:ascii="Times New Roman" w:eastAsia="Times New Roman" w:hAnsi="Times New Roman" w:cs="Times New Roman"/>
          <w:sz w:val="24"/>
          <w:szCs w:val="24"/>
        </w:rPr>
        <w:t xml:space="preserve"> while calculating the payback period of a particular investment, few inputs are required in terms of both data and parameters, thereby easing assessment of capital budgets. Furthermore, PBP allows respective managerial departments to make </w:t>
      </w:r>
      <w:proofErr w:type="gramStart"/>
      <w:r>
        <w:rPr>
          <w:rFonts w:ascii="Times New Roman" w:eastAsia="Times New Roman" w:hAnsi="Times New Roman" w:cs="Times New Roman"/>
          <w:sz w:val="24"/>
          <w:szCs w:val="24"/>
        </w:rPr>
        <w:t>fairly quick</w:t>
      </w:r>
      <w:proofErr w:type="gramEnd"/>
      <w:r>
        <w:rPr>
          <w:rFonts w:ascii="Times New Roman" w:eastAsia="Times New Roman" w:hAnsi="Times New Roman" w:cs="Times New Roman"/>
          <w:sz w:val="24"/>
          <w:szCs w:val="24"/>
        </w:rPr>
        <w:t xml:space="preserve"> decisions with regards to various financial operations of the business. Additionally, this method also allows a quick evaluation of certain implicative situations presented by various uncertainty factors, primarily including rapid changes within the current market. </w:t>
      </w:r>
    </w:p>
    <w:p w14:paraId="4FC0D18A" w14:textId="77777777"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However, the primary disadvantage with using such a method is disregarding the time aspect with regards to related cash flows. Time value of money refers to the fact that the cash that is invested earlier has a higher value than if such is invested at a later point of time. This is primarily due to fact the money that is being invested earlier is likely to bring higher amounts of return as compared to investments that are made later. As PBP eliminates consideration of this factor, the true value of cash is essentially ignored and therefore, leading businesses companies to lose out on more profitable opportunities. Similar benefits and drawbacks are presented with respect to ARR as well, with the primary benefits being the same based on simplicity and ease of use aspects. Additionally, this method involves using one of the primary aspects required for investment appraisal, being net income. Moreover, since this method involves calculating an expected return on respective investments, stakeholder satisfaction also becomes an important factor that gets influenced. This is because a higher expectation of such returns means a higher stakeholder satisfaction and thereby, gaining support from such stakeholders within respective investment operations (</w:t>
      </w:r>
      <w:r>
        <w:rPr>
          <w:rFonts w:ascii="Times New Roman" w:eastAsia="Times New Roman" w:hAnsi="Times New Roman" w:cs="Times New Roman"/>
          <w:color w:val="222222"/>
          <w:sz w:val="24"/>
          <w:szCs w:val="24"/>
          <w:highlight w:val="white"/>
        </w:rPr>
        <w:t xml:space="preserve">Koenig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xml:space="preserve">). </w:t>
      </w:r>
    </w:p>
    <w:p w14:paraId="3333702D" w14:textId="77777777" w:rsidR="001A423B" w:rsidRDefault="001A423B" w:rsidP="001A423B">
      <w:pPr>
        <w:spacing w:line="360" w:lineRule="auto"/>
        <w:jc w:val="both"/>
        <w:rPr>
          <w:rFonts w:ascii="Times New Roman" w:eastAsia="Times New Roman" w:hAnsi="Times New Roman" w:cs="Times New Roman"/>
          <w:sz w:val="24"/>
          <w:szCs w:val="24"/>
        </w:rPr>
      </w:pPr>
      <w:proofErr w:type="gramStart"/>
      <w:r>
        <w:rPr>
          <w:rFonts w:ascii="Times New Roman" w:eastAsia="Times New Roman" w:hAnsi="Times New Roman" w:cs="Times New Roman"/>
          <w:sz w:val="24"/>
          <w:szCs w:val="24"/>
        </w:rPr>
        <w:t>In regards to</w:t>
      </w:r>
      <w:proofErr w:type="gramEnd"/>
      <w:r>
        <w:rPr>
          <w:rFonts w:ascii="Times New Roman" w:eastAsia="Times New Roman" w:hAnsi="Times New Roman" w:cs="Times New Roman"/>
          <w:sz w:val="24"/>
          <w:szCs w:val="24"/>
        </w:rPr>
        <w:t xml:space="preserve"> disadvantages, however, it is presented in huge similarities with calculations done through ROI, since this financial ratio makes use of similar parameters to calculate the return on investments. Such issues are primarily presented while comparing two specific companies based on various financial parameters, including such profitability aspects as the main basis. On a similar basis to that of PBP, calculations done via the ARR method also tend to disregard the time value of money, thereby implicating assessments based on future and current values of investments and related cash flows. In the case of NPV, however, compared to the above two parameters, a considerable degree of advantages is available for respective businesses. As NPV </w:t>
      </w:r>
      <w:proofErr w:type="gramStart"/>
      <w:r>
        <w:rPr>
          <w:rFonts w:ascii="Times New Roman" w:eastAsia="Times New Roman" w:hAnsi="Times New Roman" w:cs="Times New Roman"/>
          <w:sz w:val="24"/>
          <w:szCs w:val="24"/>
        </w:rPr>
        <w:t>gives prime consideration to</w:t>
      </w:r>
      <w:proofErr w:type="gramEnd"/>
      <w:r>
        <w:rPr>
          <w:rFonts w:ascii="Times New Roman" w:eastAsia="Times New Roman" w:hAnsi="Times New Roman" w:cs="Times New Roman"/>
          <w:sz w:val="24"/>
          <w:szCs w:val="24"/>
        </w:rPr>
        <w:t xml:space="preserve"> the time value of money, a definite calculation can be done based on the value creation of a certain investment while applying a given discount rate (</w:t>
      </w:r>
      <w:proofErr w:type="spellStart"/>
      <w:r>
        <w:rPr>
          <w:rFonts w:ascii="Times New Roman" w:eastAsia="Times New Roman" w:hAnsi="Times New Roman" w:cs="Times New Roman"/>
          <w:color w:val="222222"/>
          <w:sz w:val="24"/>
          <w:szCs w:val="24"/>
          <w:highlight w:val="white"/>
        </w:rPr>
        <w:t>Knoke</w:t>
      </w:r>
      <w:proofErr w:type="spellEnd"/>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2020</w:t>
      </w:r>
      <w:r>
        <w:rPr>
          <w:rFonts w:ascii="Times New Roman" w:eastAsia="Times New Roman" w:hAnsi="Times New Roman" w:cs="Times New Roman"/>
          <w:sz w:val="24"/>
          <w:szCs w:val="24"/>
        </w:rPr>
        <w:t>). Moreover, NPV also gives primary consideration to the size of investment being made, including marginal investments and even several billion-dollar projects. Similar advantages are provided in terms of simplicity and ease of calculation as well, with such calculations being done upon cash flow rather than net income. Furthermore, NPV also provides a suitable calculation method even for multiple projects having a considerable amount of excess capital, thereby allowing addition of all such projects to have an idea regarding the total value creation of all investments.</w:t>
      </w:r>
    </w:p>
    <w:p w14:paraId="57634E68" w14:textId="77777777" w:rsidR="001A423B" w:rsidRDefault="001A423B" w:rsidP="001A423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However, certain drawbacks are also presented in case of NPV as well, including a definite discount rate required to be predetermined before performing related calculations. </w:t>
      </w:r>
      <w:r>
        <w:rPr>
          <w:rFonts w:ascii="Times New Roman" w:eastAsia="Times New Roman" w:hAnsi="Times New Roman" w:cs="Times New Roman"/>
          <w:sz w:val="24"/>
          <w:szCs w:val="24"/>
        </w:rPr>
        <w:lastRenderedPageBreak/>
        <w:t xml:space="preserve">Additionally, such a discount rate </w:t>
      </w:r>
      <w:proofErr w:type="gramStart"/>
      <w:r>
        <w:rPr>
          <w:rFonts w:ascii="Times New Roman" w:eastAsia="Times New Roman" w:hAnsi="Times New Roman" w:cs="Times New Roman"/>
          <w:sz w:val="24"/>
          <w:szCs w:val="24"/>
        </w:rPr>
        <w:t>is considered to be</w:t>
      </w:r>
      <w:proofErr w:type="gramEnd"/>
      <w:r>
        <w:rPr>
          <w:rFonts w:ascii="Times New Roman" w:eastAsia="Times New Roman" w:hAnsi="Times New Roman" w:cs="Times New Roman"/>
          <w:sz w:val="24"/>
          <w:szCs w:val="24"/>
        </w:rPr>
        <w:t xml:space="preserve"> constant throughout the course of the project upon which the investment is being made (</w:t>
      </w:r>
      <w:r>
        <w:rPr>
          <w:rFonts w:ascii="Times New Roman" w:eastAsia="Times New Roman" w:hAnsi="Times New Roman" w:cs="Times New Roman"/>
          <w:color w:val="222222"/>
          <w:sz w:val="24"/>
          <w:szCs w:val="24"/>
          <w:highlight w:val="white"/>
        </w:rPr>
        <w:t xml:space="preserve">André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2016</w:t>
      </w:r>
      <w:r>
        <w:rPr>
          <w:rFonts w:ascii="Times New Roman" w:eastAsia="Times New Roman" w:hAnsi="Times New Roman" w:cs="Times New Roman"/>
          <w:sz w:val="24"/>
          <w:szCs w:val="24"/>
        </w:rPr>
        <w:t>). Therefore, any changes within such rates, including interest rates, are completely ignored. Such changes also include capitalization rates and changes in benchmark and opportunity costs with respect to various investors. Hence, disregarding such changes brings considerable inaccuracies in value determination of respective investments. However, besides such inconsistencies presented within such calculations, every such method gives zero consideration to various other factors besides financial factors. In that respect, such non-financial factors primarily include meeting industry standards and respective market trends, effective employee management, maintaining good business practice and appropriate risk management strategies. Hence, such environmental factors with respect to both internal and external aspects place a heavy influence in the investment decisions being made (</w:t>
      </w:r>
      <w:r>
        <w:rPr>
          <w:rFonts w:ascii="Times New Roman" w:eastAsia="Times New Roman" w:hAnsi="Times New Roman" w:cs="Times New Roman"/>
          <w:color w:val="222222"/>
          <w:sz w:val="24"/>
          <w:szCs w:val="24"/>
          <w:highlight w:val="white"/>
        </w:rPr>
        <w:t xml:space="preserve">Hashmi </w:t>
      </w:r>
      <w:r>
        <w:rPr>
          <w:rFonts w:ascii="Times New Roman" w:eastAsia="Times New Roman" w:hAnsi="Times New Roman" w:cs="Times New Roman"/>
          <w:i/>
          <w:color w:val="222222"/>
          <w:sz w:val="24"/>
          <w:szCs w:val="24"/>
          <w:highlight w:val="white"/>
        </w:rPr>
        <w:t xml:space="preserve">et al. </w:t>
      </w:r>
      <w:r>
        <w:rPr>
          <w:rFonts w:ascii="Times New Roman" w:eastAsia="Times New Roman" w:hAnsi="Times New Roman" w:cs="Times New Roman"/>
          <w:color w:val="222222"/>
          <w:sz w:val="24"/>
          <w:szCs w:val="24"/>
          <w:highlight w:val="white"/>
        </w:rPr>
        <w:t>2017</w:t>
      </w:r>
      <w:r>
        <w:rPr>
          <w:rFonts w:ascii="Times New Roman" w:eastAsia="Times New Roman" w:hAnsi="Times New Roman" w:cs="Times New Roman"/>
          <w:sz w:val="24"/>
          <w:szCs w:val="24"/>
        </w:rPr>
        <w:t xml:space="preserve">). For instance, considering investing in certain business operational areas may complicate safety standards for the workers within the </w:t>
      </w:r>
      <w:proofErr w:type="gramStart"/>
      <w:r>
        <w:rPr>
          <w:rFonts w:ascii="Times New Roman" w:eastAsia="Times New Roman" w:hAnsi="Times New Roman" w:cs="Times New Roman"/>
          <w:sz w:val="24"/>
          <w:szCs w:val="24"/>
        </w:rPr>
        <w:t>particular business</w:t>
      </w:r>
      <w:proofErr w:type="gramEnd"/>
      <w:r>
        <w:rPr>
          <w:rFonts w:ascii="Times New Roman" w:eastAsia="Times New Roman" w:hAnsi="Times New Roman" w:cs="Times New Roman"/>
          <w:sz w:val="24"/>
          <w:szCs w:val="24"/>
        </w:rPr>
        <w:t xml:space="preserve"> area. Therefore, this would cause high levels of employee dissatisfaction and even unprecedented accidents, leading to lowering of workforce morale and performance. Consecutively, such low performance would ultimately cause the productivity and profitability of the company to plummet, thereby considerably failing to bring in the expected returns with respect to the investments made.</w:t>
      </w:r>
    </w:p>
    <w:p w14:paraId="17C3C061" w14:textId="77777777" w:rsidR="001A423B" w:rsidRDefault="001A423B" w:rsidP="001A423B">
      <w:pPr>
        <w:spacing w:line="360" w:lineRule="auto"/>
        <w:jc w:val="both"/>
        <w:rPr>
          <w:rFonts w:ascii="Times New Roman" w:eastAsia="Times New Roman" w:hAnsi="Times New Roman" w:cs="Times New Roman"/>
          <w:b/>
          <w:sz w:val="24"/>
          <w:szCs w:val="24"/>
        </w:rPr>
      </w:pPr>
    </w:p>
    <w:p w14:paraId="4BB7FF7C" w14:textId="77777777" w:rsidR="001A423B" w:rsidRDefault="001A423B" w:rsidP="001A423B">
      <w:pPr>
        <w:pStyle w:val="Antrat1"/>
      </w:pPr>
      <w:bookmarkStart w:id="17" w:name="_Toc71388444"/>
      <w:r>
        <w:t>Conclusion</w:t>
      </w:r>
      <w:bookmarkEnd w:id="17"/>
    </w:p>
    <w:p w14:paraId="0D5867AE" w14:textId="3CB4171A" w:rsidR="00481BB4" w:rsidRDefault="001A423B" w:rsidP="00A230C1">
      <w:pPr>
        <w:spacing w:line="360" w:lineRule="auto"/>
        <w:jc w:val="both"/>
        <w:rPr>
          <w:rFonts w:ascii="Times New Roman" w:hAnsi="Times New Roman" w:cs="Times New Roman"/>
          <w:sz w:val="24"/>
          <w:lang w:val="en-GB"/>
        </w:rPr>
      </w:pPr>
      <w:r>
        <w:rPr>
          <w:rFonts w:ascii="Times New Roman" w:eastAsia="Times New Roman" w:hAnsi="Times New Roman" w:cs="Times New Roman"/>
          <w:sz w:val="24"/>
          <w:szCs w:val="24"/>
        </w:rPr>
        <w:t xml:space="preserve">Being one of the most prominent corporations within the global oil and gas industry, SHELL’s financial aspects that have been considered in this study serves to confirm such global market position. A considerable effectiveness has been displayed in terms of such financial aspects, as has been presented via the key financial ratios for the past 5 years. </w:t>
      </w:r>
      <w:proofErr w:type="gramStart"/>
      <w:r>
        <w:rPr>
          <w:rFonts w:ascii="Times New Roman" w:eastAsia="Times New Roman" w:hAnsi="Times New Roman" w:cs="Times New Roman"/>
          <w:sz w:val="24"/>
          <w:szCs w:val="24"/>
        </w:rPr>
        <w:t>In regards to</w:t>
      </w:r>
      <w:proofErr w:type="gramEnd"/>
      <w:r>
        <w:rPr>
          <w:rFonts w:ascii="Times New Roman" w:eastAsia="Times New Roman" w:hAnsi="Times New Roman" w:cs="Times New Roman"/>
          <w:sz w:val="24"/>
          <w:szCs w:val="24"/>
        </w:rPr>
        <w:t xml:space="preserve"> the critical evaluation done on the basis of such presented data; various related financial calculations further serve to confirm such high financial performance. In addition, upon comparison with major competitors of the company, it has been found that SHELL manages to maintain a considerable competitive edge and consecutive market position on a global perspective. Furthermore, the investment appraisal techniques serve to provide an insight regarding the benefits and drawbacks of utilizing such techniques within such appraisal, while presenting certain non-financial aspects that are required to be considered in investment appraisals.</w:t>
      </w:r>
      <w:r w:rsidR="00481BB4">
        <w:rPr>
          <w:rFonts w:ascii="Times New Roman" w:hAnsi="Times New Roman" w:cs="Times New Roman"/>
          <w:sz w:val="24"/>
          <w:lang w:val="en-GB"/>
        </w:rPr>
        <w:br w:type="page"/>
      </w:r>
    </w:p>
    <w:p w14:paraId="138E3330" w14:textId="77777777" w:rsidR="00481BB4" w:rsidRPr="00646A43" w:rsidRDefault="00481BB4" w:rsidP="00481BB4">
      <w:pPr>
        <w:pStyle w:val="Antrat1"/>
      </w:pPr>
      <w:bookmarkStart w:id="18" w:name="_Toc71388445"/>
      <w:r w:rsidRPr="00646A43">
        <w:lastRenderedPageBreak/>
        <w:t>Reference List</w:t>
      </w:r>
      <w:bookmarkEnd w:id="18"/>
    </w:p>
    <w:p w14:paraId="769C4923" w14:textId="77777777" w:rsidR="001A423B" w:rsidRDefault="001A423B" w:rsidP="00481BB4">
      <w:pPr>
        <w:spacing w:line="360" w:lineRule="auto"/>
        <w:jc w:val="both"/>
        <w:rPr>
          <w:rFonts w:ascii="Times New Roman" w:hAnsi="Times New Roman" w:cs="Times New Roman"/>
          <w:sz w:val="24"/>
          <w:szCs w:val="24"/>
        </w:rPr>
      </w:pPr>
      <w:proofErr w:type="spellStart"/>
      <w:r w:rsidRPr="00CE1089">
        <w:rPr>
          <w:rFonts w:ascii="Times New Roman" w:hAnsi="Times New Roman" w:cs="Times New Roman"/>
          <w:sz w:val="24"/>
          <w:szCs w:val="24"/>
        </w:rPr>
        <w:t>Alsaba</w:t>
      </w:r>
      <w:proofErr w:type="spellEnd"/>
      <w:r w:rsidRPr="00CE1089">
        <w:rPr>
          <w:rFonts w:ascii="Times New Roman" w:hAnsi="Times New Roman" w:cs="Times New Roman"/>
          <w:sz w:val="24"/>
          <w:szCs w:val="24"/>
        </w:rPr>
        <w:t xml:space="preserve">, M.T., </w:t>
      </w:r>
      <w:proofErr w:type="spellStart"/>
      <w:r w:rsidRPr="00CE1089">
        <w:rPr>
          <w:rFonts w:ascii="Times New Roman" w:hAnsi="Times New Roman" w:cs="Times New Roman"/>
          <w:sz w:val="24"/>
          <w:szCs w:val="24"/>
        </w:rPr>
        <w:t>Dushaishi</w:t>
      </w:r>
      <w:proofErr w:type="spellEnd"/>
      <w:r w:rsidRPr="00CE1089">
        <w:rPr>
          <w:rFonts w:ascii="Times New Roman" w:hAnsi="Times New Roman" w:cs="Times New Roman"/>
          <w:sz w:val="24"/>
          <w:szCs w:val="24"/>
        </w:rPr>
        <w:t>, M.F. and Abbas, A.K., 2020. A comprehensive review of nanoparticles applications in the oil and gas industry. </w:t>
      </w:r>
      <w:r w:rsidRPr="00CE1089">
        <w:rPr>
          <w:rFonts w:ascii="Times New Roman" w:hAnsi="Times New Roman" w:cs="Times New Roman"/>
          <w:i/>
          <w:iCs/>
          <w:sz w:val="24"/>
          <w:szCs w:val="24"/>
        </w:rPr>
        <w:t>Journal of Petroleum Exploration and Production Technology</w:t>
      </w:r>
      <w:r w:rsidRPr="00CE1089">
        <w:rPr>
          <w:rFonts w:ascii="Times New Roman" w:hAnsi="Times New Roman" w:cs="Times New Roman"/>
          <w:sz w:val="24"/>
          <w:szCs w:val="24"/>
        </w:rPr>
        <w:t>, </w:t>
      </w:r>
      <w:r w:rsidRPr="00CE1089">
        <w:rPr>
          <w:rFonts w:ascii="Times New Roman" w:hAnsi="Times New Roman" w:cs="Times New Roman"/>
          <w:i/>
          <w:iCs/>
          <w:sz w:val="24"/>
          <w:szCs w:val="24"/>
        </w:rPr>
        <w:t>10</w:t>
      </w:r>
      <w:r w:rsidRPr="00CE1089">
        <w:rPr>
          <w:rFonts w:ascii="Times New Roman" w:hAnsi="Times New Roman" w:cs="Times New Roman"/>
          <w:sz w:val="24"/>
          <w:szCs w:val="24"/>
        </w:rPr>
        <w:t>(4), pp.1389-1399.</w:t>
      </w:r>
    </w:p>
    <w:p w14:paraId="64AEB395" w14:textId="77777777" w:rsidR="001A423B" w:rsidRDefault="001A423B" w:rsidP="00481B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Ambrose, J., 2021. </w:t>
      </w:r>
      <w:r w:rsidRPr="00EA11DD">
        <w:rPr>
          <w:rFonts w:ascii="Times New Roman" w:hAnsi="Times New Roman" w:cs="Times New Roman"/>
          <w:sz w:val="24"/>
          <w:szCs w:val="24"/>
        </w:rPr>
        <w:t>Shell and BP bounce back into profit even as oil’s glory days fade</w:t>
      </w:r>
      <w:r>
        <w:rPr>
          <w:rFonts w:ascii="Times New Roman" w:hAnsi="Times New Roman" w:cs="Times New Roman"/>
          <w:sz w:val="24"/>
          <w:szCs w:val="24"/>
        </w:rPr>
        <w:t xml:space="preserve">. </w:t>
      </w:r>
      <w:r>
        <w:rPr>
          <w:rFonts w:ascii="Times New Roman" w:hAnsi="Times New Roman" w:cs="Times New Roman"/>
          <w:i/>
          <w:sz w:val="24"/>
          <w:szCs w:val="24"/>
        </w:rPr>
        <w:t>The Guardian.</w:t>
      </w:r>
      <w:r w:rsidRPr="00EA11DD">
        <w:rPr>
          <w:rFonts w:ascii="Times New Roman" w:hAnsi="Times New Roman" w:cs="Times New Roman"/>
          <w:sz w:val="24"/>
          <w:szCs w:val="24"/>
        </w:rPr>
        <w:t xml:space="preserve"> </w:t>
      </w:r>
      <w:r w:rsidRPr="00A90E0A">
        <w:rPr>
          <w:rFonts w:ascii="Times New Roman" w:hAnsi="Times New Roman" w:cs="Times New Roman"/>
          <w:sz w:val="24"/>
          <w:szCs w:val="24"/>
        </w:rPr>
        <w:t xml:space="preserve">Available at: </w:t>
      </w:r>
      <w:r w:rsidRPr="00D8378A">
        <w:rPr>
          <w:rFonts w:ascii="Times New Roman" w:hAnsi="Times New Roman" w:cs="Times New Roman"/>
          <w:sz w:val="24"/>
          <w:szCs w:val="24"/>
        </w:rPr>
        <w:t>https://www.theguardian.com/business/2021/apr/24/shell-bp-back-into-profit-oils-glory-days-fade</w:t>
      </w:r>
      <w:r w:rsidRPr="00A90E0A">
        <w:rPr>
          <w:rFonts w:ascii="Times New Roman" w:hAnsi="Times New Roman" w:cs="Times New Roman"/>
          <w:sz w:val="24"/>
          <w:szCs w:val="24"/>
        </w:rPr>
        <w:t xml:space="preserve"> [Accessed on 10 April 2021]</w:t>
      </w:r>
    </w:p>
    <w:p w14:paraId="1D2C3C50"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Andersson, J., 2020. Ghost in a Shell: The Scenario Tool and the World Making of Royal Dutch Shell. </w:t>
      </w:r>
      <w:r w:rsidRPr="00FF59DC">
        <w:rPr>
          <w:rFonts w:ascii="Times New Roman" w:hAnsi="Times New Roman" w:cs="Times New Roman"/>
          <w:i/>
          <w:iCs/>
          <w:color w:val="222222"/>
          <w:sz w:val="24"/>
          <w:szCs w:val="24"/>
          <w:shd w:val="clear" w:color="auto" w:fill="FFFFFF"/>
        </w:rPr>
        <w:t>Business History Review</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94</w:t>
      </w:r>
      <w:r w:rsidRPr="00FF59DC">
        <w:rPr>
          <w:rFonts w:ascii="Times New Roman" w:hAnsi="Times New Roman" w:cs="Times New Roman"/>
          <w:color w:val="222222"/>
          <w:sz w:val="24"/>
          <w:szCs w:val="24"/>
          <w:shd w:val="clear" w:color="auto" w:fill="FFFFFF"/>
        </w:rPr>
        <w:t>(4), pp.729-751.</w:t>
      </w:r>
    </w:p>
    <w:p w14:paraId="45129317"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 xml:space="preserve">André, C., Boulet, D., Rey-Valette, H. and </w:t>
      </w:r>
      <w:proofErr w:type="spellStart"/>
      <w:r w:rsidRPr="00FF59DC">
        <w:rPr>
          <w:rFonts w:ascii="Times New Roman" w:hAnsi="Times New Roman" w:cs="Times New Roman"/>
          <w:color w:val="222222"/>
          <w:sz w:val="24"/>
          <w:szCs w:val="24"/>
          <w:shd w:val="clear" w:color="auto" w:fill="FFFFFF"/>
        </w:rPr>
        <w:t>Rulleau</w:t>
      </w:r>
      <w:proofErr w:type="spellEnd"/>
      <w:r w:rsidRPr="00FF59DC">
        <w:rPr>
          <w:rFonts w:ascii="Times New Roman" w:hAnsi="Times New Roman" w:cs="Times New Roman"/>
          <w:color w:val="222222"/>
          <w:sz w:val="24"/>
          <w:szCs w:val="24"/>
          <w:shd w:val="clear" w:color="auto" w:fill="FFFFFF"/>
        </w:rPr>
        <w:t xml:space="preserve">, B., 2016. Protection by hard </w:t>
      </w:r>
      <w:proofErr w:type="spellStart"/>
      <w:r w:rsidRPr="00FF59DC">
        <w:rPr>
          <w:rFonts w:ascii="Times New Roman" w:hAnsi="Times New Roman" w:cs="Times New Roman"/>
          <w:color w:val="222222"/>
          <w:sz w:val="24"/>
          <w:szCs w:val="24"/>
          <w:shd w:val="clear" w:color="auto" w:fill="FFFFFF"/>
        </w:rPr>
        <w:t>defence</w:t>
      </w:r>
      <w:proofErr w:type="spellEnd"/>
      <w:r w:rsidRPr="00FF59DC">
        <w:rPr>
          <w:rFonts w:ascii="Times New Roman" w:hAnsi="Times New Roman" w:cs="Times New Roman"/>
          <w:color w:val="222222"/>
          <w:sz w:val="24"/>
          <w:szCs w:val="24"/>
          <w:shd w:val="clear" w:color="auto" w:fill="FFFFFF"/>
        </w:rPr>
        <w:t xml:space="preserve"> structures or relocation of assets exposed to coastal risks: contributions and drawbacks of cost-benefit analysis for long-term adaptation choices to climate change. </w:t>
      </w:r>
      <w:r w:rsidRPr="00FF59DC">
        <w:rPr>
          <w:rFonts w:ascii="Times New Roman" w:hAnsi="Times New Roman" w:cs="Times New Roman"/>
          <w:i/>
          <w:iCs/>
          <w:color w:val="222222"/>
          <w:sz w:val="24"/>
          <w:szCs w:val="24"/>
          <w:shd w:val="clear" w:color="auto" w:fill="FFFFFF"/>
        </w:rPr>
        <w:t>Ocean &amp; coastal management</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134</w:t>
      </w:r>
      <w:r w:rsidRPr="00FF59DC">
        <w:rPr>
          <w:rFonts w:ascii="Times New Roman" w:hAnsi="Times New Roman" w:cs="Times New Roman"/>
          <w:color w:val="222222"/>
          <w:sz w:val="24"/>
          <w:szCs w:val="24"/>
          <w:shd w:val="clear" w:color="auto" w:fill="FFFFFF"/>
        </w:rPr>
        <w:t>, pp.173-182.</w:t>
      </w:r>
    </w:p>
    <w:p w14:paraId="74A1C4E0" w14:textId="77777777" w:rsidR="001A423B" w:rsidRDefault="001A423B" w:rsidP="00481BB4">
      <w:pPr>
        <w:spacing w:line="360" w:lineRule="auto"/>
        <w:jc w:val="both"/>
        <w:rPr>
          <w:rFonts w:ascii="Times New Roman" w:hAnsi="Times New Roman" w:cs="Times New Roman"/>
          <w:sz w:val="24"/>
          <w:szCs w:val="24"/>
        </w:rPr>
      </w:pPr>
      <w:proofErr w:type="spellStart"/>
      <w:r w:rsidRPr="00057622">
        <w:rPr>
          <w:rFonts w:ascii="Times New Roman" w:hAnsi="Times New Roman" w:cs="Times New Roman"/>
          <w:sz w:val="24"/>
          <w:szCs w:val="24"/>
        </w:rPr>
        <w:t>Apostolou</w:t>
      </w:r>
      <w:proofErr w:type="spellEnd"/>
      <w:r w:rsidRPr="00057622">
        <w:rPr>
          <w:rFonts w:ascii="Times New Roman" w:hAnsi="Times New Roman" w:cs="Times New Roman"/>
          <w:sz w:val="24"/>
          <w:szCs w:val="24"/>
        </w:rPr>
        <w:t xml:space="preserve">, B., </w:t>
      </w:r>
      <w:proofErr w:type="spellStart"/>
      <w:r w:rsidRPr="00057622">
        <w:rPr>
          <w:rFonts w:ascii="Times New Roman" w:hAnsi="Times New Roman" w:cs="Times New Roman"/>
          <w:sz w:val="24"/>
          <w:szCs w:val="24"/>
        </w:rPr>
        <w:t>Dorminey</w:t>
      </w:r>
      <w:proofErr w:type="spellEnd"/>
      <w:r w:rsidRPr="00057622">
        <w:rPr>
          <w:rFonts w:ascii="Times New Roman" w:hAnsi="Times New Roman" w:cs="Times New Roman"/>
          <w:sz w:val="24"/>
          <w:szCs w:val="24"/>
        </w:rPr>
        <w:t xml:space="preserve">, J.W., Hassell, J.M. and </w:t>
      </w:r>
      <w:proofErr w:type="spellStart"/>
      <w:r w:rsidRPr="00057622">
        <w:rPr>
          <w:rFonts w:ascii="Times New Roman" w:hAnsi="Times New Roman" w:cs="Times New Roman"/>
          <w:sz w:val="24"/>
          <w:szCs w:val="24"/>
        </w:rPr>
        <w:t>Rebele</w:t>
      </w:r>
      <w:proofErr w:type="spellEnd"/>
      <w:r w:rsidRPr="00057622">
        <w:rPr>
          <w:rFonts w:ascii="Times New Roman" w:hAnsi="Times New Roman" w:cs="Times New Roman"/>
          <w:sz w:val="24"/>
          <w:szCs w:val="24"/>
        </w:rPr>
        <w:t>, J.E., 2018. Accounting education literature review (2017). </w:t>
      </w:r>
      <w:r w:rsidRPr="00057622">
        <w:rPr>
          <w:rFonts w:ascii="Times New Roman" w:hAnsi="Times New Roman" w:cs="Times New Roman"/>
          <w:i/>
          <w:iCs/>
          <w:sz w:val="24"/>
          <w:szCs w:val="24"/>
        </w:rPr>
        <w:t>Journal of accounting education</w:t>
      </w:r>
      <w:r w:rsidRPr="00057622">
        <w:rPr>
          <w:rFonts w:ascii="Times New Roman" w:hAnsi="Times New Roman" w:cs="Times New Roman"/>
          <w:sz w:val="24"/>
          <w:szCs w:val="24"/>
        </w:rPr>
        <w:t>, </w:t>
      </w:r>
      <w:r w:rsidRPr="00057622">
        <w:rPr>
          <w:rFonts w:ascii="Times New Roman" w:hAnsi="Times New Roman" w:cs="Times New Roman"/>
          <w:i/>
          <w:iCs/>
          <w:sz w:val="24"/>
          <w:szCs w:val="24"/>
        </w:rPr>
        <w:t>43</w:t>
      </w:r>
      <w:r w:rsidRPr="00057622">
        <w:rPr>
          <w:rFonts w:ascii="Times New Roman" w:hAnsi="Times New Roman" w:cs="Times New Roman"/>
          <w:sz w:val="24"/>
          <w:szCs w:val="24"/>
        </w:rPr>
        <w:t>, pp.1-23.</w:t>
      </w:r>
    </w:p>
    <w:p w14:paraId="7D0AB850"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Babatunde, S.P., 2016. Linear Programming and Investment Appraisal: A Review of Literature. </w:t>
      </w:r>
      <w:r w:rsidRPr="00FF59DC">
        <w:rPr>
          <w:rFonts w:ascii="Times New Roman" w:hAnsi="Times New Roman" w:cs="Times New Roman"/>
          <w:i/>
          <w:iCs/>
          <w:color w:val="222222"/>
          <w:sz w:val="24"/>
          <w:szCs w:val="24"/>
          <w:shd w:val="clear" w:color="auto" w:fill="FFFFFF"/>
        </w:rPr>
        <w:t>American Journal of Management Science and Engineering</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1</w:t>
      </w:r>
      <w:r w:rsidRPr="00FF59DC">
        <w:rPr>
          <w:rFonts w:ascii="Times New Roman" w:hAnsi="Times New Roman" w:cs="Times New Roman"/>
          <w:color w:val="222222"/>
          <w:sz w:val="24"/>
          <w:szCs w:val="24"/>
          <w:shd w:val="clear" w:color="auto" w:fill="FFFFFF"/>
        </w:rPr>
        <w:t>(2), pp.61-66.</w:t>
      </w:r>
    </w:p>
    <w:p w14:paraId="1F4DC77B" w14:textId="77777777" w:rsidR="001A423B" w:rsidRPr="00DA18AB" w:rsidRDefault="001A423B" w:rsidP="00481B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British Petroleum, 2020. Annual report 2020. </w:t>
      </w:r>
      <w:r w:rsidRPr="00A90E0A">
        <w:rPr>
          <w:rFonts w:ascii="Times New Roman" w:hAnsi="Times New Roman" w:cs="Times New Roman"/>
          <w:sz w:val="24"/>
          <w:szCs w:val="24"/>
        </w:rPr>
        <w:t>British Petroleum</w:t>
      </w:r>
      <w:r>
        <w:rPr>
          <w:rFonts w:ascii="Times New Roman" w:hAnsi="Times New Roman" w:cs="Times New Roman"/>
          <w:sz w:val="24"/>
          <w:szCs w:val="24"/>
        </w:rPr>
        <w:t>.</w:t>
      </w:r>
      <w:r w:rsidRPr="00A90E0A">
        <w:rPr>
          <w:rFonts w:ascii="Times New Roman" w:hAnsi="Times New Roman" w:cs="Times New Roman"/>
          <w:sz w:val="24"/>
          <w:szCs w:val="24"/>
        </w:rPr>
        <w:t xml:space="preserve"> </w:t>
      </w:r>
      <w:r w:rsidRPr="00DA18AB">
        <w:rPr>
          <w:rFonts w:ascii="Times New Roman" w:hAnsi="Times New Roman" w:cs="Times New Roman"/>
          <w:sz w:val="24"/>
          <w:szCs w:val="24"/>
        </w:rPr>
        <w:t xml:space="preserve">Available at: </w:t>
      </w:r>
      <w:r w:rsidRPr="00C47E0A">
        <w:rPr>
          <w:rFonts w:ascii="Times New Roman" w:hAnsi="Times New Roman" w:cs="Times New Roman"/>
          <w:sz w:val="24"/>
          <w:szCs w:val="24"/>
        </w:rPr>
        <w:t>https://www.bp.com/content/dam/bp/business-sites/en/global/corporate/pdfs/investors/bp-annual-report-and-form-20f-2020.pdf</w:t>
      </w:r>
      <w:r w:rsidRPr="00DA18AB">
        <w:rPr>
          <w:rFonts w:ascii="Times New Roman" w:hAnsi="Times New Roman" w:cs="Times New Roman"/>
          <w:sz w:val="24"/>
          <w:szCs w:val="24"/>
        </w:rPr>
        <w:t xml:space="preserve"> [Accessed on 10 April 2021]</w:t>
      </w:r>
    </w:p>
    <w:p w14:paraId="05EA7B40" w14:textId="77777777" w:rsidR="001A423B" w:rsidRDefault="001A423B" w:rsidP="00481BB4">
      <w:pPr>
        <w:spacing w:line="360" w:lineRule="auto"/>
        <w:jc w:val="both"/>
        <w:rPr>
          <w:rFonts w:ascii="Times New Roman" w:hAnsi="Times New Roman" w:cs="Times New Roman"/>
          <w:sz w:val="24"/>
          <w:szCs w:val="24"/>
        </w:rPr>
      </w:pPr>
      <w:r w:rsidRPr="00057622">
        <w:rPr>
          <w:rFonts w:ascii="Times New Roman" w:hAnsi="Times New Roman" w:cs="Times New Roman"/>
          <w:sz w:val="24"/>
          <w:szCs w:val="24"/>
        </w:rPr>
        <w:t>Campbell, J.L., Mauler, L.M. and Pierce, S.R., 2019. A review of derivatives research in accounting and suggestions for future work. </w:t>
      </w:r>
      <w:r w:rsidRPr="00057622">
        <w:rPr>
          <w:rFonts w:ascii="Times New Roman" w:hAnsi="Times New Roman" w:cs="Times New Roman"/>
          <w:i/>
          <w:iCs/>
          <w:sz w:val="24"/>
          <w:szCs w:val="24"/>
        </w:rPr>
        <w:t>Journal of Accounting Literature</w:t>
      </w:r>
      <w:r w:rsidRPr="00057622">
        <w:rPr>
          <w:rFonts w:ascii="Times New Roman" w:hAnsi="Times New Roman" w:cs="Times New Roman"/>
          <w:sz w:val="24"/>
          <w:szCs w:val="24"/>
        </w:rPr>
        <w:t>, </w:t>
      </w:r>
      <w:r w:rsidRPr="00057622">
        <w:rPr>
          <w:rFonts w:ascii="Times New Roman" w:hAnsi="Times New Roman" w:cs="Times New Roman"/>
          <w:i/>
          <w:iCs/>
          <w:sz w:val="24"/>
          <w:szCs w:val="24"/>
        </w:rPr>
        <w:t>42</w:t>
      </w:r>
      <w:r w:rsidRPr="00057622">
        <w:rPr>
          <w:rFonts w:ascii="Times New Roman" w:hAnsi="Times New Roman" w:cs="Times New Roman"/>
          <w:sz w:val="24"/>
          <w:szCs w:val="24"/>
        </w:rPr>
        <w:t>, pp.44-60.</w:t>
      </w:r>
    </w:p>
    <w:p w14:paraId="0F86F742" w14:textId="77777777" w:rsidR="001A423B" w:rsidRDefault="001A423B" w:rsidP="00481BB4">
      <w:pPr>
        <w:spacing w:line="360" w:lineRule="auto"/>
        <w:jc w:val="both"/>
        <w:rPr>
          <w:rFonts w:ascii="Times New Roman" w:hAnsi="Times New Roman" w:cs="Times New Roman"/>
          <w:sz w:val="24"/>
          <w:szCs w:val="24"/>
        </w:rPr>
      </w:pPr>
      <w:r w:rsidRPr="00057622">
        <w:rPr>
          <w:rFonts w:ascii="Times New Roman" w:hAnsi="Times New Roman" w:cs="Times New Roman"/>
          <w:sz w:val="24"/>
          <w:szCs w:val="24"/>
        </w:rPr>
        <w:t xml:space="preserve">Carrera, N., 2017. What Do We Know about Accounting in Family </w:t>
      </w:r>
      <w:proofErr w:type="gramStart"/>
      <w:r w:rsidRPr="00057622">
        <w:rPr>
          <w:rFonts w:ascii="Times New Roman" w:hAnsi="Times New Roman" w:cs="Times New Roman"/>
          <w:sz w:val="24"/>
          <w:szCs w:val="24"/>
        </w:rPr>
        <w:t>Firms?.</w:t>
      </w:r>
      <w:proofErr w:type="gramEnd"/>
      <w:r w:rsidRPr="00057622">
        <w:rPr>
          <w:rFonts w:ascii="Times New Roman" w:hAnsi="Times New Roman" w:cs="Times New Roman"/>
          <w:sz w:val="24"/>
          <w:szCs w:val="24"/>
        </w:rPr>
        <w:t> </w:t>
      </w:r>
      <w:r w:rsidRPr="00057622">
        <w:rPr>
          <w:rFonts w:ascii="Times New Roman" w:hAnsi="Times New Roman" w:cs="Times New Roman"/>
          <w:i/>
          <w:iCs/>
          <w:sz w:val="24"/>
          <w:szCs w:val="24"/>
        </w:rPr>
        <w:t>Journal of Evolutionary Studies in Business</w:t>
      </w:r>
      <w:r w:rsidRPr="00057622">
        <w:rPr>
          <w:rFonts w:ascii="Times New Roman" w:hAnsi="Times New Roman" w:cs="Times New Roman"/>
          <w:sz w:val="24"/>
          <w:szCs w:val="24"/>
        </w:rPr>
        <w:t>, </w:t>
      </w:r>
      <w:r w:rsidRPr="00057622">
        <w:rPr>
          <w:rFonts w:ascii="Times New Roman" w:hAnsi="Times New Roman" w:cs="Times New Roman"/>
          <w:i/>
          <w:iCs/>
          <w:sz w:val="24"/>
          <w:szCs w:val="24"/>
        </w:rPr>
        <w:t>2</w:t>
      </w:r>
      <w:r w:rsidRPr="00057622">
        <w:rPr>
          <w:rFonts w:ascii="Times New Roman" w:hAnsi="Times New Roman" w:cs="Times New Roman"/>
          <w:sz w:val="24"/>
          <w:szCs w:val="24"/>
        </w:rPr>
        <w:t>(2), pp.97-159.</w:t>
      </w:r>
    </w:p>
    <w:p w14:paraId="47C84A82" w14:textId="77777777" w:rsidR="001A423B" w:rsidRDefault="001A423B" w:rsidP="00481BB4">
      <w:pPr>
        <w:spacing w:line="360" w:lineRule="auto"/>
        <w:jc w:val="both"/>
        <w:rPr>
          <w:rFonts w:ascii="Times New Roman" w:hAnsi="Times New Roman" w:cs="Times New Roman"/>
          <w:sz w:val="24"/>
          <w:szCs w:val="24"/>
        </w:rPr>
      </w:pPr>
      <w:r w:rsidRPr="00057622">
        <w:rPr>
          <w:rFonts w:ascii="Times New Roman" w:hAnsi="Times New Roman" w:cs="Times New Roman"/>
          <w:sz w:val="24"/>
          <w:szCs w:val="24"/>
        </w:rPr>
        <w:t xml:space="preserve">Chiu, V., Liu, Q., </w:t>
      </w:r>
      <w:proofErr w:type="spellStart"/>
      <w:r w:rsidRPr="00057622">
        <w:rPr>
          <w:rFonts w:ascii="Times New Roman" w:hAnsi="Times New Roman" w:cs="Times New Roman"/>
          <w:sz w:val="24"/>
          <w:szCs w:val="24"/>
        </w:rPr>
        <w:t>Muehlmann</w:t>
      </w:r>
      <w:proofErr w:type="spellEnd"/>
      <w:r w:rsidRPr="00057622">
        <w:rPr>
          <w:rFonts w:ascii="Times New Roman" w:hAnsi="Times New Roman" w:cs="Times New Roman"/>
          <w:sz w:val="24"/>
          <w:szCs w:val="24"/>
        </w:rPr>
        <w:t>, B. and Baldwin, A.A., 2019. A bibliometric analysis of accounting information systems journals and their emerging technologies contributions. </w:t>
      </w:r>
      <w:r w:rsidRPr="00057622">
        <w:rPr>
          <w:rFonts w:ascii="Times New Roman" w:hAnsi="Times New Roman" w:cs="Times New Roman"/>
          <w:i/>
          <w:iCs/>
          <w:sz w:val="24"/>
          <w:szCs w:val="24"/>
        </w:rPr>
        <w:t>International Journal of Accounting Information Systems</w:t>
      </w:r>
      <w:r w:rsidRPr="00057622">
        <w:rPr>
          <w:rFonts w:ascii="Times New Roman" w:hAnsi="Times New Roman" w:cs="Times New Roman"/>
          <w:sz w:val="24"/>
          <w:szCs w:val="24"/>
        </w:rPr>
        <w:t>, </w:t>
      </w:r>
      <w:r w:rsidRPr="00057622">
        <w:rPr>
          <w:rFonts w:ascii="Times New Roman" w:hAnsi="Times New Roman" w:cs="Times New Roman"/>
          <w:i/>
          <w:iCs/>
          <w:sz w:val="24"/>
          <w:szCs w:val="24"/>
        </w:rPr>
        <w:t>32</w:t>
      </w:r>
      <w:r w:rsidRPr="00057622">
        <w:rPr>
          <w:rFonts w:ascii="Times New Roman" w:hAnsi="Times New Roman" w:cs="Times New Roman"/>
          <w:sz w:val="24"/>
          <w:szCs w:val="24"/>
        </w:rPr>
        <w:t>, pp.24-43.</w:t>
      </w:r>
    </w:p>
    <w:p w14:paraId="69DF4B85" w14:textId="77777777" w:rsidR="001A423B" w:rsidRDefault="001A423B" w:rsidP="00481BB4">
      <w:pPr>
        <w:spacing w:line="360" w:lineRule="auto"/>
        <w:jc w:val="both"/>
        <w:rPr>
          <w:rFonts w:ascii="Times New Roman" w:hAnsi="Times New Roman" w:cs="Times New Roman"/>
          <w:sz w:val="24"/>
          <w:szCs w:val="24"/>
        </w:rPr>
      </w:pPr>
      <w:r w:rsidRPr="00673930">
        <w:rPr>
          <w:rFonts w:ascii="Times New Roman" w:hAnsi="Times New Roman" w:cs="Times New Roman"/>
          <w:sz w:val="24"/>
          <w:szCs w:val="24"/>
        </w:rPr>
        <w:lastRenderedPageBreak/>
        <w:t>Choi, Y., Lee, C. and Song, J., 2017. Review of renewable energy technologies utilized in the oil and gas industry. </w:t>
      </w:r>
      <w:r w:rsidRPr="00673930">
        <w:rPr>
          <w:rFonts w:ascii="Times New Roman" w:hAnsi="Times New Roman" w:cs="Times New Roman"/>
          <w:i/>
          <w:iCs/>
          <w:sz w:val="24"/>
          <w:szCs w:val="24"/>
        </w:rPr>
        <w:t>International Journal of Renewable Energy Research</w:t>
      </w:r>
      <w:r w:rsidRPr="00673930">
        <w:rPr>
          <w:rFonts w:ascii="Times New Roman" w:hAnsi="Times New Roman" w:cs="Times New Roman"/>
          <w:sz w:val="24"/>
          <w:szCs w:val="24"/>
        </w:rPr>
        <w:t>, </w:t>
      </w:r>
      <w:r w:rsidRPr="00673930">
        <w:rPr>
          <w:rFonts w:ascii="Times New Roman" w:hAnsi="Times New Roman" w:cs="Times New Roman"/>
          <w:i/>
          <w:iCs/>
          <w:sz w:val="24"/>
          <w:szCs w:val="24"/>
        </w:rPr>
        <w:t>7</w:t>
      </w:r>
      <w:r w:rsidRPr="00673930">
        <w:rPr>
          <w:rFonts w:ascii="Times New Roman" w:hAnsi="Times New Roman" w:cs="Times New Roman"/>
          <w:sz w:val="24"/>
          <w:szCs w:val="24"/>
        </w:rPr>
        <w:t>(2), pp.592-598.</w:t>
      </w:r>
    </w:p>
    <w:p w14:paraId="3661158B"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 xml:space="preserve">Christodoulou, D., </w:t>
      </w:r>
      <w:proofErr w:type="spellStart"/>
      <w:r w:rsidRPr="00FF59DC">
        <w:rPr>
          <w:rFonts w:ascii="Times New Roman" w:hAnsi="Times New Roman" w:cs="Times New Roman"/>
          <w:color w:val="222222"/>
          <w:sz w:val="24"/>
          <w:szCs w:val="24"/>
          <w:shd w:val="clear" w:color="auto" w:fill="FFFFFF"/>
        </w:rPr>
        <w:t>Clubb</w:t>
      </w:r>
      <w:proofErr w:type="spellEnd"/>
      <w:r w:rsidRPr="00FF59DC">
        <w:rPr>
          <w:rFonts w:ascii="Times New Roman" w:hAnsi="Times New Roman" w:cs="Times New Roman"/>
          <w:color w:val="222222"/>
          <w:sz w:val="24"/>
          <w:szCs w:val="24"/>
          <w:shd w:val="clear" w:color="auto" w:fill="FFFFFF"/>
        </w:rPr>
        <w:t xml:space="preserve">, C. and </w:t>
      </w:r>
      <w:proofErr w:type="spellStart"/>
      <w:r w:rsidRPr="00FF59DC">
        <w:rPr>
          <w:rFonts w:ascii="Times New Roman" w:hAnsi="Times New Roman" w:cs="Times New Roman"/>
          <w:color w:val="222222"/>
          <w:sz w:val="24"/>
          <w:szCs w:val="24"/>
          <w:shd w:val="clear" w:color="auto" w:fill="FFFFFF"/>
        </w:rPr>
        <w:t>Mcleay</w:t>
      </w:r>
      <w:proofErr w:type="spellEnd"/>
      <w:r w:rsidRPr="00FF59DC">
        <w:rPr>
          <w:rFonts w:ascii="Times New Roman" w:hAnsi="Times New Roman" w:cs="Times New Roman"/>
          <w:color w:val="222222"/>
          <w:sz w:val="24"/>
          <w:szCs w:val="24"/>
          <w:shd w:val="clear" w:color="auto" w:fill="FFFFFF"/>
        </w:rPr>
        <w:t>, S., 2016. A structural accounting framework for estimating the expected rate of return on equity. </w:t>
      </w:r>
      <w:r w:rsidRPr="00FF59DC">
        <w:rPr>
          <w:rFonts w:ascii="Times New Roman" w:hAnsi="Times New Roman" w:cs="Times New Roman"/>
          <w:i/>
          <w:iCs/>
          <w:color w:val="222222"/>
          <w:sz w:val="24"/>
          <w:szCs w:val="24"/>
          <w:shd w:val="clear" w:color="auto" w:fill="FFFFFF"/>
        </w:rPr>
        <w:t>Abacus</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52</w:t>
      </w:r>
      <w:r w:rsidRPr="00FF59DC">
        <w:rPr>
          <w:rFonts w:ascii="Times New Roman" w:hAnsi="Times New Roman" w:cs="Times New Roman"/>
          <w:color w:val="222222"/>
          <w:sz w:val="24"/>
          <w:szCs w:val="24"/>
          <w:shd w:val="clear" w:color="auto" w:fill="FFFFFF"/>
        </w:rPr>
        <w:t>(1), pp.176-210.</w:t>
      </w:r>
    </w:p>
    <w:p w14:paraId="4584425F" w14:textId="77777777" w:rsidR="001A423B" w:rsidRDefault="001A423B" w:rsidP="00481BB4">
      <w:pPr>
        <w:spacing w:line="360" w:lineRule="auto"/>
        <w:jc w:val="both"/>
        <w:rPr>
          <w:rFonts w:ascii="Times New Roman" w:hAnsi="Times New Roman" w:cs="Times New Roman"/>
          <w:sz w:val="24"/>
          <w:szCs w:val="24"/>
        </w:rPr>
      </w:pPr>
      <w:r w:rsidRPr="00CE1089">
        <w:rPr>
          <w:rFonts w:ascii="Times New Roman" w:hAnsi="Times New Roman" w:cs="Times New Roman"/>
          <w:sz w:val="24"/>
          <w:szCs w:val="24"/>
        </w:rPr>
        <w:t xml:space="preserve">Christopher, C., da Silva, Í.G., Pangilinan, K.D., Chen, Q., </w:t>
      </w:r>
      <w:proofErr w:type="spellStart"/>
      <w:r w:rsidRPr="00CE1089">
        <w:rPr>
          <w:rFonts w:ascii="Times New Roman" w:hAnsi="Times New Roman" w:cs="Times New Roman"/>
          <w:sz w:val="24"/>
          <w:szCs w:val="24"/>
        </w:rPr>
        <w:t>Caldona</w:t>
      </w:r>
      <w:proofErr w:type="spellEnd"/>
      <w:r w:rsidRPr="00CE1089">
        <w:rPr>
          <w:rFonts w:ascii="Times New Roman" w:hAnsi="Times New Roman" w:cs="Times New Roman"/>
          <w:sz w:val="24"/>
          <w:szCs w:val="24"/>
        </w:rPr>
        <w:t xml:space="preserve">, E.B. and </w:t>
      </w:r>
      <w:proofErr w:type="spellStart"/>
      <w:r w:rsidRPr="00CE1089">
        <w:rPr>
          <w:rFonts w:ascii="Times New Roman" w:hAnsi="Times New Roman" w:cs="Times New Roman"/>
          <w:sz w:val="24"/>
          <w:szCs w:val="24"/>
        </w:rPr>
        <w:t>Advincula</w:t>
      </w:r>
      <w:proofErr w:type="spellEnd"/>
      <w:r w:rsidRPr="00CE1089">
        <w:rPr>
          <w:rFonts w:ascii="Times New Roman" w:hAnsi="Times New Roman" w:cs="Times New Roman"/>
          <w:sz w:val="24"/>
          <w:szCs w:val="24"/>
        </w:rPr>
        <w:t>, R.C., 2021. High performance polymers for oil and gas applications. </w:t>
      </w:r>
      <w:r w:rsidRPr="00CE1089">
        <w:rPr>
          <w:rFonts w:ascii="Times New Roman" w:hAnsi="Times New Roman" w:cs="Times New Roman"/>
          <w:i/>
          <w:iCs/>
          <w:sz w:val="24"/>
          <w:szCs w:val="24"/>
        </w:rPr>
        <w:t>Reactive and Functional Polymers</w:t>
      </w:r>
      <w:r w:rsidRPr="00CE1089">
        <w:rPr>
          <w:rFonts w:ascii="Times New Roman" w:hAnsi="Times New Roman" w:cs="Times New Roman"/>
          <w:sz w:val="24"/>
          <w:szCs w:val="24"/>
        </w:rPr>
        <w:t>, p.104878.</w:t>
      </w:r>
    </w:p>
    <w:p w14:paraId="7DF31E49"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Easton, P.D. and Monahan, S.J., 2016. Review of recent research on improving earnings forecasts and evaluating accounting‐based estimates of the expected rate of return on equity capital. </w:t>
      </w:r>
      <w:r w:rsidRPr="00FF59DC">
        <w:rPr>
          <w:rFonts w:ascii="Times New Roman" w:hAnsi="Times New Roman" w:cs="Times New Roman"/>
          <w:i/>
          <w:iCs/>
          <w:color w:val="222222"/>
          <w:sz w:val="24"/>
          <w:szCs w:val="24"/>
          <w:shd w:val="clear" w:color="auto" w:fill="FFFFFF"/>
        </w:rPr>
        <w:t>Abacus</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52</w:t>
      </w:r>
      <w:r w:rsidRPr="00FF59DC">
        <w:rPr>
          <w:rFonts w:ascii="Times New Roman" w:hAnsi="Times New Roman" w:cs="Times New Roman"/>
          <w:color w:val="222222"/>
          <w:sz w:val="24"/>
          <w:szCs w:val="24"/>
          <w:shd w:val="clear" w:color="auto" w:fill="FFFFFF"/>
        </w:rPr>
        <w:t>(1), pp.35-58.</w:t>
      </w:r>
    </w:p>
    <w:p w14:paraId="72DDC64F" w14:textId="77777777" w:rsidR="001A423B" w:rsidRPr="00FF59DC" w:rsidRDefault="001A423B" w:rsidP="001A423B">
      <w:pPr>
        <w:spacing w:after="240" w:line="360" w:lineRule="auto"/>
        <w:jc w:val="both"/>
        <w:rPr>
          <w:rFonts w:ascii="Times New Roman" w:hAnsi="Times New Roman" w:cs="Times New Roman"/>
          <w:sz w:val="24"/>
          <w:szCs w:val="24"/>
        </w:rPr>
      </w:pPr>
      <w:proofErr w:type="spellStart"/>
      <w:r w:rsidRPr="00FF59DC">
        <w:rPr>
          <w:rFonts w:ascii="Times New Roman" w:hAnsi="Times New Roman" w:cs="Times New Roman"/>
          <w:color w:val="222222"/>
          <w:sz w:val="24"/>
          <w:szCs w:val="24"/>
          <w:shd w:val="clear" w:color="auto" w:fill="FFFFFF"/>
        </w:rPr>
        <w:t>Gaspars-Wieloch</w:t>
      </w:r>
      <w:proofErr w:type="spellEnd"/>
      <w:r w:rsidRPr="00FF59DC">
        <w:rPr>
          <w:rFonts w:ascii="Times New Roman" w:hAnsi="Times New Roman" w:cs="Times New Roman"/>
          <w:color w:val="222222"/>
          <w:sz w:val="24"/>
          <w:szCs w:val="24"/>
          <w:shd w:val="clear" w:color="auto" w:fill="FFFFFF"/>
        </w:rPr>
        <w:t>, H., 2019. Project net present value estimation under uncertainty. </w:t>
      </w:r>
      <w:r w:rsidRPr="00FF59DC">
        <w:rPr>
          <w:rFonts w:ascii="Times New Roman" w:hAnsi="Times New Roman" w:cs="Times New Roman"/>
          <w:i/>
          <w:iCs/>
          <w:color w:val="222222"/>
          <w:sz w:val="24"/>
          <w:szCs w:val="24"/>
          <w:shd w:val="clear" w:color="auto" w:fill="FFFFFF"/>
        </w:rPr>
        <w:t>Central European Journal of Operations Research</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27</w:t>
      </w:r>
      <w:r w:rsidRPr="00FF59DC">
        <w:rPr>
          <w:rFonts w:ascii="Times New Roman" w:hAnsi="Times New Roman" w:cs="Times New Roman"/>
          <w:color w:val="222222"/>
          <w:sz w:val="24"/>
          <w:szCs w:val="24"/>
          <w:shd w:val="clear" w:color="auto" w:fill="FFFFFF"/>
        </w:rPr>
        <w:t>(1), pp.179-197.</w:t>
      </w:r>
    </w:p>
    <w:p w14:paraId="410DC534"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Hashmi, S.H., Hussain, M., Ilyas, R.M.A. and Khan, M.A., 2017. Sensitivity analysis for the determinants of investment appraisal. </w:t>
      </w:r>
      <w:r w:rsidRPr="00FF59DC">
        <w:rPr>
          <w:rFonts w:ascii="Times New Roman" w:hAnsi="Times New Roman" w:cs="Times New Roman"/>
          <w:i/>
          <w:iCs/>
          <w:color w:val="222222"/>
          <w:sz w:val="24"/>
          <w:szCs w:val="24"/>
          <w:shd w:val="clear" w:color="auto" w:fill="FFFFFF"/>
        </w:rPr>
        <w:t xml:space="preserve">The Audit </w:t>
      </w:r>
      <w:proofErr w:type="spellStart"/>
      <w:r w:rsidRPr="00FF59DC">
        <w:rPr>
          <w:rFonts w:ascii="Times New Roman" w:hAnsi="Times New Roman" w:cs="Times New Roman"/>
          <w:i/>
          <w:iCs/>
          <w:color w:val="222222"/>
          <w:sz w:val="24"/>
          <w:szCs w:val="24"/>
          <w:shd w:val="clear" w:color="auto" w:fill="FFFFFF"/>
        </w:rPr>
        <w:t>Financiar</w:t>
      </w:r>
      <w:proofErr w:type="spellEnd"/>
      <w:r w:rsidRPr="00FF59DC">
        <w:rPr>
          <w:rFonts w:ascii="Times New Roman" w:hAnsi="Times New Roman" w:cs="Times New Roman"/>
          <w:i/>
          <w:iCs/>
          <w:color w:val="222222"/>
          <w:sz w:val="24"/>
          <w:szCs w:val="24"/>
          <w:shd w:val="clear" w:color="auto" w:fill="FFFFFF"/>
        </w:rPr>
        <w:t xml:space="preserve"> journal</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15</w:t>
      </w:r>
      <w:r w:rsidRPr="00FF59DC">
        <w:rPr>
          <w:rFonts w:ascii="Times New Roman" w:hAnsi="Times New Roman" w:cs="Times New Roman"/>
          <w:color w:val="222222"/>
          <w:sz w:val="24"/>
          <w:szCs w:val="24"/>
          <w:shd w:val="clear" w:color="auto" w:fill="FFFFFF"/>
        </w:rPr>
        <w:t>(148), pp.686-686.</w:t>
      </w:r>
    </w:p>
    <w:p w14:paraId="48532326"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Kalam, K.K., 2021. The Effects of Mergers &amp; Acquisitions on Financial Performance: Case Study of Acquisition of BG Group by Royal Dutch Shell. </w:t>
      </w:r>
      <w:r w:rsidRPr="00FF59DC">
        <w:rPr>
          <w:rFonts w:ascii="Times New Roman" w:hAnsi="Times New Roman" w:cs="Times New Roman"/>
          <w:i/>
          <w:iCs/>
          <w:color w:val="222222"/>
          <w:sz w:val="24"/>
          <w:szCs w:val="24"/>
          <w:shd w:val="clear" w:color="auto" w:fill="FFFFFF"/>
        </w:rPr>
        <w:t>Open Access Library Journal</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8</w:t>
      </w:r>
      <w:r w:rsidRPr="00FF59DC">
        <w:rPr>
          <w:rFonts w:ascii="Times New Roman" w:hAnsi="Times New Roman" w:cs="Times New Roman"/>
          <w:color w:val="222222"/>
          <w:sz w:val="24"/>
          <w:szCs w:val="24"/>
          <w:shd w:val="clear" w:color="auto" w:fill="FFFFFF"/>
        </w:rPr>
        <w:t>(3), pp.1-21.</w:t>
      </w:r>
    </w:p>
    <w:p w14:paraId="387838AE" w14:textId="77777777" w:rsidR="001A423B" w:rsidRPr="00FF59DC" w:rsidRDefault="001A423B" w:rsidP="001A423B">
      <w:pPr>
        <w:spacing w:after="240" w:line="360" w:lineRule="auto"/>
        <w:jc w:val="both"/>
        <w:rPr>
          <w:rFonts w:ascii="Times New Roman" w:hAnsi="Times New Roman" w:cs="Times New Roman"/>
          <w:sz w:val="24"/>
          <w:szCs w:val="24"/>
        </w:rPr>
      </w:pPr>
      <w:proofErr w:type="spellStart"/>
      <w:r w:rsidRPr="00FF59DC">
        <w:rPr>
          <w:rFonts w:ascii="Times New Roman" w:hAnsi="Times New Roman" w:cs="Times New Roman"/>
          <w:color w:val="222222"/>
          <w:sz w:val="24"/>
          <w:szCs w:val="24"/>
          <w:shd w:val="clear" w:color="auto" w:fill="FFFFFF"/>
        </w:rPr>
        <w:t>Knoke</w:t>
      </w:r>
      <w:proofErr w:type="spellEnd"/>
      <w:r w:rsidRPr="00FF59DC">
        <w:rPr>
          <w:rFonts w:ascii="Times New Roman" w:hAnsi="Times New Roman" w:cs="Times New Roman"/>
          <w:color w:val="222222"/>
          <w:sz w:val="24"/>
          <w:szCs w:val="24"/>
          <w:shd w:val="clear" w:color="auto" w:fill="FFFFFF"/>
        </w:rPr>
        <w:t>, T., Gosling, E. and Paul, C., 2020. Use and misuse of the net present value in environmental studies. </w:t>
      </w:r>
      <w:r w:rsidRPr="00FF59DC">
        <w:rPr>
          <w:rFonts w:ascii="Times New Roman" w:hAnsi="Times New Roman" w:cs="Times New Roman"/>
          <w:i/>
          <w:iCs/>
          <w:color w:val="222222"/>
          <w:sz w:val="24"/>
          <w:szCs w:val="24"/>
          <w:shd w:val="clear" w:color="auto" w:fill="FFFFFF"/>
        </w:rPr>
        <w:t>Ecological Economics</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174</w:t>
      </w:r>
      <w:r w:rsidRPr="00FF59DC">
        <w:rPr>
          <w:rFonts w:ascii="Times New Roman" w:hAnsi="Times New Roman" w:cs="Times New Roman"/>
          <w:color w:val="222222"/>
          <w:sz w:val="24"/>
          <w:szCs w:val="24"/>
          <w:shd w:val="clear" w:color="auto" w:fill="FFFFFF"/>
        </w:rPr>
        <w:t>, p.106664.</w:t>
      </w:r>
    </w:p>
    <w:p w14:paraId="772336CF" w14:textId="77777777" w:rsidR="001A423B" w:rsidRDefault="001A423B" w:rsidP="00481BB4">
      <w:pPr>
        <w:spacing w:line="360" w:lineRule="auto"/>
        <w:jc w:val="both"/>
        <w:rPr>
          <w:rFonts w:ascii="Times New Roman" w:hAnsi="Times New Roman" w:cs="Times New Roman"/>
          <w:sz w:val="24"/>
          <w:szCs w:val="24"/>
        </w:rPr>
      </w:pPr>
      <w:r w:rsidRPr="00057622">
        <w:rPr>
          <w:rFonts w:ascii="Times New Roman" w:hAnsi="Times New Roman" w:cs="Times New Roman"/>
          <w:sz w:val="24"/>
          <w:szCs w:val="24"/>
        </w:rPr>
        <w:t>Kocsis, D., 2019. A conceptual foundation of design and implementation research in accounting information systems. </w:t>
      </w:r>
      <w:r w:rsidRPr="00057622">
        <w:rPr>
          <w:rFonts w:ascii="Times New Roman" w:hAnsi="Times New Roman" w:cs="Times New Roman"/>
          <w:i/>
          <w:iCs/>
          <w:sz w:val="24"/>
          <w:szCs w:val="24"/>
        </w:rPr>
        <w:t>International Journal of Accounting Information Systems</w:t>
      </w:r>
      <w:r w:rsidRPr="00057622">
        <w:rPr>
          <w:rFonts w:ascii="Times New Roman" w:hAnsi="Times New Roman" w:cs="Times New Roman"/>
          <w:sz w:val="24"/>
          <w:szCs w:val="24"/>
        </w:rPr>
        <w:t>, </w:t>
      </w:r>
      <w:r w:rsidRPr="00057622">
        <w:rPr>
          <w:rFonts w:ascii="Times New Roman" w:hAnsi="Times New Roman" w:cs="Times New Roman"/>
          <w:i/>
          <w:iCs/>
          <w:sz w:val="24"/>
          <w:szCs w:val="24"/>
        </w:rPr>
        <w:t>34</w:t>
      </w:r>
      <w:r w:rsidRPr="00057622">
        <w:rPr>
          <w:rFonts w:ascii="Times New Roman" w:hAnsi="Times New Roman" w:cs="Times New Roman"/>
          <w:sz w:val="24"/>
          <w:szCs w:val="24"/>
        </w:rPr>
        <w:t>, p.100420.</w:t>
      </w:r>
    </w:p>
    <w:p w14:paraId="1CFAADF8"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 xml:space="preserve">Koenig, L., Zhang, Q., Austin, M.S., </w:t>
      </w:r>
      <w:proofErr w:type="spellStart"/>
      <w:r w:rsidRPr="00FF59DC">
        <w:rPr>
          <w:rFonts w:ascii="Times New Roman" w:hAnsi="Times New Roman" w:cs="Times New Roman"/>
          <w:color w:val="222222"/>
          <w:sz w:val="24"/>
          <w:szCs w:val="24"/>
          <w:shd w:val="clear" w:color="auto" w:fill="FFFFFF"/>
        </w:rPr>
        <w:t>Demiralp</w:t>
      </w:r>
      <w:proofErr w:type="spellEnd"/>
      <w:r w:rsidRPr="00FF59DC">
        <w:rPr>
          <w:rFonts w:ascii="Times New Roman" w:hAnsi="Times New Roman" w:cs="Times New Roman"/>
          <w:color w:val="222222"/>
          <w:sz w:val="24"/>
          <w:szCs w:val="24"/>
          <w:shd w:val="clear" w:color="auto" w:fill="FFFFFF"/>
        </w:rPr>
        <w:t xml:space="preserve">, B., </w:t>
      </w:r>
      <w:proofErr w:type="spellStart"/>
      <w:r w:rsidRPr="00FF59DC">
        <w:rPr>
          <w:rFonts w:ascii="Times New Roman" w:hAnsi="Times New Roman" w:cs="Times New Roman"/>
          <w:color w:val="222222"/>
          <w:sz w:val="24"/>
          <w:szCs w:val="24"/>
          <w:shd w:val="clear" w:color="auto" w:fill="FFFFFF"/>
        </w:rPr>
        <w:t>Fehring</w:t>
      </w:r>
      <w:proofErr w:type="spellEnd"/>
      <w:r w:rsidRPr="00FF59DC">
        <w:rPr>
          <w:rFonts w:ascii="Times New Roman" w:hAnsi="Times New Roman" w:cs="Times New Roman"/>
          <w:color w:val="222222"/>
          <w:sz w:val="24"/>
          <w:szCs w:val="24"/>
          <w:shd w:val="clear" w:color="auto" w:fill="FFFFFF"/>
        </w:rPr>
        <w:t xml:space="preserve">, T.K., Feng, C., Mather, R.C., Nguyen, J.T., </w:t>
      </w:r>
      <w:proofErr w:type="spellStart"/>
      <w:r w:rsidRPr="00FF59DC">
        <w:rPr>
          <w:rFonts w:ascii="Times New Roman" w:hAnsi="Times New Roman" w:cs="Times New Roman"/>
          <w:color w:val="222222"/>
          <w:sz w:val="24"/>
          <w:szCs w:val="24"/>
          <w:shd w:val="clear" w:color="auto" w:fill="FFFFFF"/>
        </w:rPr>
        <w:t>Saavoss</w:t>
      </w:r>
      <w:proofErr w:type="spellEnd"/>
      <w:r w:rsidRPr="00FF59DC">
        <w:rPr>
          <w:rFonts w:ascii="Times New Roman" w:hAnsi="Times New Roman" w:cs="Times New Roman"/>
          <w:color w:val="222222"/>
          <w:sz w:val="24"/>
          <w:szCs w:val="24"/>
          <w:shd w:val="clear" w:color="auto" w:fill="FFFFFF"/>
        </w:rPr>
        <w:t>, A., Springer, B.D. and Yates, A.J., 2016. Estimating the societal benefits of THA after accounting for work status and productivity: a Markov model approach. </w:t>
      </w:r>
      <w:r w:rsidRPr="00FF59DC">
        <w:rPr>
          <w:rFonts w:ascii="Times New Roman" w:hAnsi="Times New Roman" w:cs="Times New Roman"/>
          <w:i/>
          <w:iCs/>
          <w:color w:val="222222"/>
          <w:sz w:val="24"/>
          <w:szCs w:val="24"/>
          <w:shd w:val="clear" w:color="auto" w:fill="FFFFFF"/>
        </w:rPr>
        <w:t xml:space="preserve">Clinical </w:t>
      </w:r>
      <w:proofErr w:type="spellStart"/>
      <w:r w:rsidRPr="00FF59DC">
        <w:rPr>
          <w:rFonts w:ascii="Times New Roman" w:hAnsi="Times New Roman" w:cs="Times New Roman"/>
          <w:i/>
          <w:iCs/>
          <w:color w:val="222222"/>
          <w:sz w:val="24"/>
          <w:szCs w:val="24"/>
          <w:shd w:val="clear" w:color="auto" w:fill="FFFFFF"/>
        </w:rPr>
        <w:t>Orthopaedics</w:t>
      </w:r>
      <w:proofErr w:type="spellEnd"/>
      <w:r w:rsidRPr="00FF59DC">
        <w:rPr>
          <w:rFonts w:ascii="Times New Roman" w:hAnsi="Times New Roman" w:cs="Times New Roman"/>
          <w:i/>
          <w:iCs/>
          <w:color w:val="222222"/>
          <w:sz w:val="24"/>
          <w:szCs w:val="24"/>
          <w:shd w:val="clear" w:color="auto" w:fill="FFFFFF"/>
        </w:rPr>
        <w:t xml:space="preserve"> and Related Research®</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474</w:t>
      </w:r>
      <w:r w:rsidRPr="00FF59DC">
        <w:rPr>
          <w:rFonts w:ascii="Times New Roman" w:hAnsi="Times New Roman" w:cs="Times New Roman"/>
          <w:color w:val="222222"/>
          <w:sz w:val="24"/>
          <w:szCs w:val="24"/>
          <w:shd w:val="clear" w:color="auto" w:fill="FFFFFF"/>
        </w:rPr>
        <w:t>(12), pp.2645-2654.</w:t>
      </w:r>
    </w:p>
    <w:p w14:paraId="57F0C5DB" w14:textId="77777777" w:rsidR="001A423B" w:rsidRDefault="001A423B" w:rsidP="00481BB4">
      <w:pPr>
        <w:spacing w:line="360" w:lineRule="auto"/>
        <w:jc w:val="both"/>
        <w:rPr>
          <w:rFonts w:ascii="Times New Roman" w:hAnsi="Times New Roman" w:cs="Times New Roman"/>
          <w:sz w:val="24"/>
          <w:szCs w:val="24"/>
        </w:rPr>
      </w:pPr>
      <w:r w:rsidRPr="00057622">
        <w:rPr>
          <w:rFonts w:ascii="Times New Roman" w:hAnsi="Times New Roman" w:cs="Times New Roman"/>
          <w:sz w:val="24"/>
          <w:szCs w:val="24"/>
        </w:rPr>
        <w:t>Lobo, G.J., 2017. Accounting research in banking: A review. </w:t>
      </w:r>
      <w:r w:rsidRPr="00057622">
        <w:rPr>
          <w:rFonts w:ascii="Times New Roman" w:hAnsi="Times New Roman" w:cs="Times New Roman"/>
          <w:i/>
          <w:iCs/>
          <w:sz w:val="24"/>
          <w:szCs w:val="24"/>
        </w:rPr>
        <w:t>Journal of Accounting Research</w:t>
      </w:r>
      <w:r w:rsidRPr="00057622">
        <w:rPr>
          <w:rFonts w:ascii="Times New Roman" w:hAnsi="Times New Roman" w:cs="Times New Roman"/>
          <w:sz w:val="24"/>
          <w:szCs w:val="24"/>
        </w:rPr>
        <w:t>, </w:t>
      </w:r>
      <w:r w:rsidRPr="00057622">
        <w:rPr>
          <w:rFonts w:ascii="Times New Roman" w:hAnsi="Times New Roman" w:cs="Times New Roman"/>
          <w:i/>
          <w:iCs/>
          <w:sz w:val="24"/>
          <w:szCs w:val="24"/>
        </w:rPr>
        <w:t>10</w:t>
      </w:r>
      <w:r w:rsidRPr="00057622">
        <w:rPr>
          <w:rFonts w:ascii="Times New Roman" w:hAnsi="Times New Roman" w:cs="Times New Roman"/>
          <w:sz w:val="24"/>
          <w:szCs w:val="24"/>
        </w:rPr>
        <w:t>(1), pp.1-7.</w:t>
      </w:r>
    </w:p>
    <w:p w14:paraId="4AE33654" w14:textId="77777777" w:rsidR="001A423B" w:rsidRDefault="001A423B" w:rsidP="00481BB4">
      <w:pPr>
        <w:spacing w:line="360" w:lineRule="auto"/>
        <w:jc w:val="both"/>
        <w:rPr>
          <w:rFonts w:ascii="Times New Roman" w:hAnsi="Times New Roman" w:cs="Times New Roman"/>
          <w:sz w:val="24"/>
          <w:szCs w:val="24"/>
        </w:rPr>
      </w:pPr>
      <w:r w:rsidRPr="00CE1089">
        <w:rPr>
          <w:rFonts w:ascii="Times New Roman" w:hAnsi="Times New Roman" w:cs="Times New Roman"/>
          <w:sz w:val="24"/>
          <w:szCs w:val="24"/>
        </w:rPr>
        <w:lastRenderedPageBreak/>
        <w:t xml:space="preserve">Lu, H., Huang, K., </w:t>
      </w:r>
      <w:proofErr w:type="spellStart"/>
      <w:r w:rsidRPr="00CE1089">
        <w:rPr>
          <w:rFonts w:ascii="Times New Roman" w:hAnsi="Times New Roman" w:cs="Times New Roman"/>
          <w:sz w:val="24"/>
          <w:szCs w:val="24"/>
        </w:rPr>
        <w:t>Azimi</w:t>
      </w:r>
      <w:proofErr w:type="spellEnd"/>
      <w:r w:rsidRPr="00CE1089">
        <w:rPr>
          <w:rFonts w:ascii="Times New Roman" w:hAnsi="Times New Roman" w:cs="Times New Roman"/>
          <w:sz w:val="24"/>
          <w:szCs w:val="24"/>
        </w:rPr>
        <w:t>, M. and Guo, L., 2019. Blockchain technology in the oil and gas industry: A review of applications, opportunities, challenges, and risks. </w:t>
      </w:r>
      <w:proofErr w:type="spellStart"/>
      <w:r w:rsidRPr="00CE1089">
        <w:rPr>
          <w:rFonts w:ascii="Times New Roman" w:hAnsi="Times New Roman" w:cs="Times New Roman"/>
          <w:i/>
          <w:iCs/>
          <w:sz w:val="24"/>
          <w:szCs w:val="24"/>
        </w:rPr>
        <w:t>Ieee</w:t>
      </w:r>
      <w:proofErr w:type="spellEnd"/>
      <w:r w:rsidRPr="00CE1089">
        <w:rPr>
          <w:rFonts w:ascii="Times New Roman" w:hAnsi="Times New Roman" w:cs="Times New Roman"/>
          <w:i/>
          <w:iCs/>
          <w:sz w:val="24"/>
          <w:szCs w:val="24"/>
        </w:rPr>
        <w:t xml:space="preserve"> Access</w:t>
      </w:r>
      <w:r w:rsidRPr="00CE1089">
        <w:rPr>
          <w:rFonts w:ascii="Times New Roman" w:hAnsi="Times New Roman" w:cs="Times New Roman"/>
          <w:sz w:val="24"/>
          <w:szCs w:val="24"/>
        </w:rPr>
        <w:t>, </w:t>
      </w:r>
      <w:r w:rsidRPr="00CE1089">
        <w:rPr>
          <w:rFonts w:ascii="Times New Roman" w:hAnsi="Times New Roman" w:cs="Times New Roman"/>
          <w:i/>
          <w:iCs/>
          <w:sz w:val="24"/>
          <w:szCs w:val="24"/>
        </w:rPr>
        <w:t>7</w:t>
      </w:r>
      <w:r w:rsidRPr="00CE1089">
        <w:rPr>
          <w:rFonts w:ascii="Times New Roman" w:hAnsi="Times New Roman" w:cs="Times New Roman"/>
          <w:sz w:val="24"/>
          <w:szCs w:val="24"/>
        </w:rPr>
        <w:t>, pp.41426-41444.</w:t>
      </w:r>
    </w:p>
    <w:p w14:paraId="09A81135" w14:textId="77777777" w:rsidR="001A423B" w:rsidRDefault="001A423B" w:rsidP="00481BB4">
      <w:pPr>
        <w:spacing w:line="360" w:lineRule="auto"/>
        <w:jc w:val="both"/>
        <w:rPr>
          <w:rFonts w:ascii="Times New Roman" w:hAnsi="Times New Roman" w:cs="Times New Roman"/>
          <w:sz w:val="24"/>
          <w:szCs w:val="24"/>
        </w:rPr>
      </w:pPr>
      <w:proofErr w:type="spellStart"/>
      <w:r w:rsidRPr="00057622">
        <w:rPr>
          <w:rFonts w:ascii="Times New Roman" w:hAnsi="Times New Roman" w:cs="Times New Roman"/>
          <w:sz w:val="24"/>
          <w:szCs w:val="24"/>
        </w:rPr>
        <w:t>Merigó</w:t>
      </w:r>
      <w:proofErr w:type="spellEnd"/>
      <w:r w:rsidRPr="00057622">
        <w:rPr>
          <w:rFonts w:ascii="Times New Roman" w:hAnsi="Times New Roman" w:cs="Times New Roman"/>
          <w:sz w:val="24"/>
          <w:szCs w:val="24"/>
        </w:rPr>
        <w:t>, J.M. and Yang, J.B., 2017. Accounting research: A bibliometric analysis. </w:t>
      </w:r>
      <w:r w:rsidRPr="00057622">
        <w:rPr>
          <w:rFonts w:ascii="Times New Roman" w:hAnsi="Times New Roman" w:cs="Times New Roman"/>
          <w:i/>
          <w:iCs/>
          <w:sz w:val="24"/>
          <w:szCs w:val="24"/>
        </w:rPr>
        <w:t>Accounting Review</w:t>
      </w:r>
      <w:r w:rsidRPr="00057622">
        <w:rPr>
          <w:rFonts w:ascii="Times New Roman" w:hAnsi="Times New Roman" w:cs="Times New Roman"/>
          <w:sz w:val="24"/>
          <w:szCs w:val="24"/>
        </w:rPr>
        <w:t>, </w:t>
      </w:r>
      <w:r w:rsidRPr="00057622">
        <w:rPr>
          <w:rFonts w:ascii="Times New Roman" w:hAnsi="Times New Roman" w:cs="Times New Roman"/>
          <w:i/>
          <w:iCs/>
          <w:sz w:val="24"/>
          <w:szCs w:val="24"/>
        </w:rPr>
        <w:t>27</w:t>
      </w:r>
      <w:r w:rsidRPr="00057622">
        <w:rPr>
          <w:rFonts w:ascii="Times New Roman" w:hAnsi="Times New Roman" w:cs="Times New Roman"/>
          <w:sz w:val="24"/>
          <w:szCs w:val="24"/>
        </w:rPr>
        <w:t>(1), pp.71-100.</w:t>
      </w:r>
    </w:p>
    <w:p w14:paraId="0FA8C5D2" w14:textId="77777777" w:rsidR="001A423B" w:rsidRDefault="001A423B" w:rsidP="00481BB4">
      <w:pPr>
        <w:spacing w:line="360" w:lineRule="auto"/>
        <w:jc w:val="both"/>
        <w:rPr>
          <w:rFonts w:ascii="Times New Roman" w:hAnsi="Times New Roman" w:cs="Times New Roman"/>
          <w:sz w:val="24"/>
          <w:szCs w:val="24"/>
        </w:rPr>
      </w:pPr>
      <w:proofErr w:type="spellStart"/>
      <w:r w:rsidRPr="00CE1089">
        <w:rPr>
          <w:rFonts w:ascii="Times New Roman" w:hAnsi="Times New Roman" w:cs="Times New Roman"/>
          <w:sz w:val="24"/>
          <w:szCs w:val="24"/>
        </w:rPr>
        <w:t>Ngobe</w:t>
      </w:r>
      <w:proofErr w:type="spellEnd"/>
      <w:r w:rsidRPr="00CE1089">
        <w:rPr>
          <w:rFonts w:ascii="Times New Roman" w:hAnsi="Times New Roman" w:cs="Times New Roman"/>
          <w:sz w:val="24"/>
          <w:szCs w:val="24"/>
        </w:rPr>
        <w:t>, E.K., 2020. Information technology: A sustainable competitive advantage trend in Nigerian oil and gas industry. </w:t>
      </w:r>
      <w:r w:rsidRPr="00CE1089">
        <w:rPr>
          <w:rFonts w:ascii="Times New Roman" w:hAnsi="Times New Roman" w:cs="Times New Roman"/>
          <w:i/>
          <w:iCs/>
          <w:sz w:val="24"/>
          <w:szCs w:val="24"/>
        </w:rPr>
        <w:t>International Journal of Business &amp; Law Research</w:t>
      </w:r>
      <w:r w:rsidRPr="00CE1089">
        <w:rPr>
          <w:rFonts w:ascii="Times New Roman" w:hAnsi="Times New Roman" w:cs="Times New Roman"/>
          <w:sz w:val="24"/>
          <w:szCs w:val="24"/>
        </w:rPr>
        <w:t>, </w:t>
      </w:r>
      <w:r w:rsidRPr="00CE1089">
        <w:rPr>
          <w:rFonts w:ascii="Times New Roman" w:hAnsi="Times New Roman" w:cs="Times New Roman"/>
          <w:i/>
          <w:iCs/>
          <w:sz w:val="24"/>
          <w:szCs w:val="24"/>
        </w:rPr>
        <w:t>8</w:t>
      </w:r>
      <w:r w:rsidRPr="00CE1089">
        <w:rPr>
          <w:rFonts w:ascii="Times New Roman" w:hAnsi="Times New Roman" w:cs="Times New Roman"/>
          <w:sz w:val="24"/>
          <w:szCs w:val="24"/>
        </w:rPr>
        <w:t>(3), pp.100-108.</w:t>
      </w:r>
    </w:p>
    <w:p w14:paraId="58B9B92B" w14:textId="77777777" w:rsidR="001A423B" w:rsidRDefault="001A423B" w:rsidP="00481BB4">
      <w:pPr>
        <w:spacing w:line="360" w:lineRule="auto"/>
        <w:jc w:val="both"/>
        <w:rPr>
          <w:rFonts w:ascii="Times New Roman" w:hAnsi="Times New Roman" w:cs="Times New Roman"/>
          <w:sz w:val="24"/>
          <w:szCs w:val="24"/>
        </w:rPr>
      </w:pPr>
      <w:proofErr w:type="spellStart"/>
      <w:r w:rsidRPr="00057622">
        <w:rPr>
          <w:rFonts w:ascii="Times New Roman" w:hAnsi="Times New Roman" w:cs="Times New Roman"/>
          <w:sz w:val="24"/>
          <w:szCs w:val="24"/>
        </w:rPr>
        <w:t>Rebele</w:t>
      </w:r>
      <w:proofErr w:type="spellEnd"/>
      <w:r w:rsidRPr="00057622">
        <w:rPr>
          <w:rFonts w:ascii="Times New Roman" w:hAnsi="Times New Roman" w:cs="Times New Roman"/>
          <w:sz w:val="24"/>
          <w:szCs w:val="24"/>
        </w:rPr>
        <w:t>, J.E. and Pierre, E.K.S., 2019. A commentary on learning objectives for accounting education programs: The importance of soft skills and technical knowledge. </w:t>
      </w:r>
      <w:r w:rsidRPr="00057622">
        <w:rPr>
          <w:rFonts w:ascii="Times New Roman" w:hAnsi="Times New Roman" w:cs="Times New Roman"/>
          <w:i/>
          <w:iCs/>
          <w:sz w:val="24"/>
          <w:szCs w:val="24"/>
        </w:rPr>
        <w:t>Journal of Accounting Education</w:t>
      </w:r>
      <w:r w:rsidRPr="00057622">
        <w:rPr>
          <w:rFonts w:ascii="Times New Roman" w:hAnsi="Times New Roman" w:cs="Times New Roman"/>
          <w:sz w:val="24"/>
          <w:szCs w:val="24"/>
        </w:rPr>
        <w:t>, </w:t>
      </w:r>
      <w:r w:rsidRPr="00057622">
        <w:rPr>
          <w:rFonts w:ascii="Times New Roman" w:hAnsi="Times New Roman" w:cs="Times New Roman"/>
          <w:i/>
          <w:iCs/>
          <w:sz w:val="24"/>
          <w:szCs w:val="24"/>
        </w:rPr>
        <w:t>48</w:t>
      </w:r>
      <w:r w:rsidRPr="00057622">
        <w:rPr>
          <w:rFonts w:ascii="Times New Roman" w:hAnsi="Times New Roman" w:cs="Times New Roman"/>
          <w:sz w:val="24"/>
          <w:szCs w:val="24"/>
        </w:rPr>
        <w:t>, pp.71-79.</w:t>
      </w:r>
    </w:p>
    <w:p w14:paraId="68018315" w14:textId="77777777" w:rsidR="001A423B" w:rsidRDefault="001A423B" w:rsidP="00481BB4">
      <w:pPr>
        <w:spacing w:line="360" w:lineRule="auto"/>
        <w:jc w:val="both"/>
        <w:rPr>
          <w:rFonts w:ascii="Times New Roman" w:hAnsi="Times New Roman" w:cs="Times New Roman"/>
          <w:sz w:val="24"/>
          <w:szCs w:val="24"/>
        </w:rPr>
      </w:pPr>
      <w:r w:rsidRPr="00CE1089">
        <w:rPr>
          <w:rFonts w:ascii="Times New Roman" w:hAnsi="Times New Roman" w:cs="Times New Roman"/>
          <w:sz w:val="24"/>
          <w:szCs w:val="24"/>
        </w:rPr>
        <w:t>Sampson, T., 2017. Brexit: the economics of international disintegration. </w:t>
      </w:r>
      <w:r w:rsidRPr="00CE1089">
        <w:rPr>
          <w:rFonts w:ascii="Times New Roman" w:hAnsi="Times New Roman" w:cs="Times New Roman"/>
          <w:i/>
          <w:iCs/>
          <w:sz w:val="24"/>
          <w:szCs w:val="24"/>
        </w:rPr>
        <w:t>Journal of Economic perspectives</w:t>
      </w:r>
      <w:r w:rsidRPr="00CE1089">
        <w:rPr>
          <w:rFonts w:ascii="Times New Roman" w:hAnsi="Times New Roman" w:cs="Times New Roman"/>
          <w:sz w:val="24"/>
          <w:szCs w:val="24"/>
        </w:rPr>
        <w:t>, </w:t>
      </w:r>
      <w:r w:rsidRPr="00CE1089">
        <w:rPr>
          <w:rFonts w:ascii="Times New Roman" w:hAnsi="Times New Roman" w:cs="Times New Roman"/>
          <w:i/>
          <w:iCs/>
          <w:sz w:val="24"/>
          <w:szCs w:val="24"/>
        </w:rPr>
        <w:t>31</w:t>
      </w:r>
      <w:r w:rsidRPr="00CE1089">
        <w:rPr>
          <w:rFonts w:ascii="Times New Roman" w:hAnsi="Times New Roman" w:cs="Times New Roman"/>
          <w:sz w:val="24"/>
          <w:szCs w:val="24"/>
        </w:rPr>
        <w:t>(4), pp.163-84.</w:t>
      </w:r>
    </w:p>
    <w:p w14:paraId="1D0E9C04" w14:textId="77777777" w:rsidR="001A423B" w:rsidRPr="00FF59DC" w:rsidRDefault="001A423B" w:rsidP="001A423B">
      <w:pPr>
        <w:spacing w:after="240" w:line="360" w:lineRule="auto"/>
        <w:jc w:val="both"/>
        <w:rPr>
          <w:rFonts w:ascii="Times New Roman" w:hAnsi="Times New Roman" w:cs="Times New Roman"/>
          <w:sz w:val="24"/>
          <w:szCs w:val="24"/>
        </w:rPr>
      </w:pPr>
      <w:proofErr w:type="spellStart"/>
      <w:r w:rsidRPr="00FF59DC">
        <w:rPr>
          <w:rFonts w:ascii="Times New Roman" w:hAnsi="Times New Roman" w:cs="Times New Roman"/>
          <w:color w:val="222222"/>
          <w:sz w:val="24"/>
          <w:szCs w:val="24"/>
          <w:shd w:val="clear" w:color="auto" w:fill="FFFFFF"/>
        </w:rPr>
        <w:t>Shaffie</w:t>
      </w:r>
      <w:proofErr w:type="spellEnd"/>
      <w:r w:rsidRPr="00FF59DC">
        <w:rPr>
          <w:rFonts w:ascii="Times New Roman" w:hAnsi="Times New Roman" w:cs="Times New Roman"/>
          <w:color w:val="222222"/>
          <w:sz w:val="24"/>
          <w:szCs w:val="24"/>
          <w:shd w:val="clear" w:color="auto" w:fill="FFFFFF"/>
        </w:rPr>
        <w:t xml:space="preserve">, S.S. and </w:t>
      </w:r>
      <w:proofErr w:type="spellStart"/>
      <w:r w:rsidRPr="00FF59DC">
        <w:rPr>
          <w:rFonts w:ascii="Times New Roman" w:hAnsi="Times New Roman" w:cs="Times New Roman"/>
          <w:color w:val="222222"/>
          <w:sz w:val="24"/>
          <w:szCs w:val="24"/>
          <w:shd w:val="clear" w:color="auto" w:fill="FFFFFF"/>
        </w:rPr>
        <w:t>Jaaman</w:t>
      </w:r>
      <w:proofErr w:type="spellEnd"/>
      <w:r w:rsidRPr="00FF59DC">
        <w:rPr>
          <w:rFonts w:ascii="Times New Roman" w:hAnsi="Times New Roman" w:cs="Times New Roman"/>
          <w:color w:val="222222"/>
          <w:sz w:val="24"/>
          <w:szCs w:val="24"/>
          <w:shd w:val="clear" w:color="auto" w:fill="FFFFFF"/>
        </w:rPr>
        <w:t>, S.H., 2016. Monte Carlo on net present value for capital investment in Malaysia. </w:t>
      </w:r>
      <w:r w:rsidRPr="00FF59DC">
        <w:rPr>
          <w:rFonts w:ascii="Times New Roman" w:hAnsi="Times New Roman" w:cs="Times New Roman"/>
          <w:i/>
          <w:iCs/>
          <w:color w:val="222222"/>
          <w:sz w:val="24"/>
          <w:szCs w:val="24"/>
          <w:shd w:val="clear" w:color="auto" w:fill="FFFFFF"/>
        </w:rPr>
        <w:t>Procedia-Social and Behavioral Sciences</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219</w:t>
      </w:r>
      <w:r w:rsidRPr="00FF59DC">
        <w:rPr>
          <w:rFonts w:ascii="Times New Roman" w:hAnsi="Times New Roman" w:cs="Times New Roman"/>
          <w:color w:val="222222"/>
          <w:sz w:val="24"/>
          <w:szCs w:val="24"/>
          <w:shd w:val="clear" w:color="auto" w:fill="FFFFFF"/>
        </w:rPr>
        <w:t>, pp.688-693.</w:t>
      </w:r>
    </w:p>
    <w:p w14:paraId="548401B2"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sz w:val="24"/>
          <w:szCs w:val="24"/>
        </w:rPr>
        <w:t xml:space="preserve">Shell, 2019. Our Business Model explained. </w:t>
      </w:r>
      <w:r w:rsidRPr="00FF59DC">
        <w:rPr>
          <w:rFonts w:ascii="Times New Roman" w:hAnsi="Times New Roman" w:cs="Times New Roman"/>
          <w:i/>
          <w:iCs/>
          <w:sz w:val="24"/>
          <w:szCs w:val="24"/>
        </w:rPr>
        <w:t>Shell Annual Report 2019</w:t>
      </w:r>
      <w:r w:rsidRPr="00FF59DC">
        <w:rPr>
          <w:rFonts w:ascii="Times New Roman" w:hAnsi="Times New Roman" w:cs="Times New Roman"/>
          <w:sz w:val="24"/>
          <w:szCs w:val="24"/>
        </w:rPr>
        <w:t xml:space="preserve">. Available at: https://reports.shell.com/annual-report/2019/strategic-report/strategy-business-and-market-overview/our-business-model-explained.php [Accessed </w:t>
      </w:r>
      <w:proofErr w:type="gramStart"/>
      <w:r w:rsidRPr="00FF59DC">
        <w:rPr>
          <w:rFonts w:ascii="Times New Roman" w:hAnsi="Times New Roman" w:cs="Times New Roman"/>
          <w:sz w:val="24"/>
          <w:szCs w:val="24"/>
        </w:rPr>
        <w:t>on:</w:t>
      </w:r>
      <w:proofErr w:type="gramEnd"/>
      <w:r w:rsidRPr="00FF59DC">
        <w:rPr>
          <w:rFonts w:ascii="Times New Roman" w:hAnsi="Times New Roman" w:cs="Times New Roman"/>
          <w:sz w:val="24"/>
          <w:szCs w:val="24"/>
        </w:rPr>
        <w:t xml:space="preserve"> 1</w:t>
      </w:r>
      <w:r w:rsidRPr="00FF59DC">
        <w:rPr>
          <w:rFonts w:ascii="Times New Roman" w:hAnsi="Times New Roman" w:cs="Times New Roman"/>
          <w:sz w:val="24"/>
          <w:szCs w:val="24"/>
          <w:vertAlign w:val="superscript"/>
        </w:rPr>
        <w:t>st</w:t>
      </w:r>
      <w:r w:rsidRPr="00FF59DC">
        <w:rPr>
          <w:rFonts w:ascii="Times New Roman" w:hAnsi="Times New Roman" w:cs="Times New Roman"/>
          <w:sz w:val="24"/>
          <w:szCs w:val="24"/>
        </w:rPr>
        <w:t xml:space="preserve"> May, 2021]</w:t>
      </w:r>
    </w:p>
    <w:p w14:paraId="6741E500" w14:textId="77777777" w:rsidR="001A423B" w:rsidRDefault="001A423B" w:rsidP="00481BB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Shell, 2021. Annual report 2020. </w:t>
      </w:r>
      <w:r>
        <w:rPr>
          <w:rFonts w:ascii="Times New Roman" w:hAnsi="Times New Roman" w:cs="Times New Roman"/>
          <w:i/>
          <w:sz w:val="24"/>
          <w:szCs w:val="24"/>
        </w:rPr>
        <w:t xml:space="preserve">Shell. </w:t>
      </w:r>
      <w:r>
        <w:rPr>
          <w:rFonts w:ascii="Times New Roman" w:hAnsi="Times New Roman" w:cs="Times New Roman"/>
          <w:sz w:val="24"/>
          <w:szCs w:val="24"/>
        </w:rPr>
        <w:t xml:space="preserve">Available at: </w:t>
      </w:r>
      <w:r w:rsidRPr="00C47E0A">
        <w:rPr>
          <w:rFonts w:ascii="Times New Roman" w:hAnsi="Times New Roman" w:cs="Times New Roman"/>
          <w:sz w:val="24"/>
          <w:szCs w:val="24"/>
        </w:rPr>
        <w:t>https://reports.shell.com/annual-report/2020/servicepages/downloads/files/shell-annual-report-2020.pdf</w:t>
      </w:r>
      <w:r>
        <w:rPr>
          <w:rFonts w:ascii="Times New Roman" w:hAnsi="Times New Roman" w:cs="Times New Roman"/>
          <w:sz w:val="24"/>
          <w:szCs w:val="24"/>
        </w:rPr>
        <w:t xml:space="preserve"> [Accessed on 10 April 2021]</w:t>
      </w:r>
    </w:p>
    <w:p w14:paraId="65FB1AF2" w14:textId="77777777" w:rsidR="001A423B" w:rsidRDefault="001A423B" w:rsidP="00481BB4">
      <w:pPr>
        <w:spacing w:line="360" w:lineRule="auto"/>
        <w:jc w:val="both"/>
        <w:rPr>
          <w:rFonts w:ascii="Times New Roman" w:hAnsi="Times New Roman" w:cs="Times New Roman"/>
          <w:sz w:val="24"/>
          <w:szCs w:val="24"/>
        </w:rPr>
      </w:pPr>
      <w:proofErr w:type="spellStart"/>
      <w:r w:rsidRPr="00057622">
        <w:rPr>
          <w:rFonts w:ascii="Times New Roman" w:hAnsi="Times New Roman" w:cs="Times New Roman"/>
          <w:sz w:val="24"/>
          <w:szCs w:val="24"/>
        </w:rPr>
        <w:t>Sledgianowski</w:t>
      </w:r>
      <w:proofErr w:type="spellEnd"/>
      <w:r w:rsidRPr="00057622">
        <w:rPr>
          <w:rFonts w:ascii="Times New Roman" w:hAnsi="Times New Roman" w:cs="Times New Roman"/>
          <w:sz w:val="24"/>
          <w:szCs w:val="24"/>
        </w:rPr>
        <w:t xml:space="preserve">, D., Gomaa, M. and Tan, C., 2017. Toward integration of Big Data, </w:t>
      </w:r>
      <w:proofErr w:type="gramStart"/>
      <w:r w:rsidRPr="00057622">
        <w:rPr>
          <w:rFonts w:ascii="Times New Roman" w:hAnsi="Times New Roman" w:cs="Times New Roman"/>
          <w:sz w:val="24"/>
          <w:szCs w:val="24"/>
        </w:rPr>
        <w:t>technology</w:t>
      </w:r>
      <w:proofErr w:type="gramEnd"/>
      <w:r w:rsidRPr="00057622">
        <w:rPr>
          <w:rFonts w:ascii="Times New Roman" w:hAnsi="Times New Roman" w:cs="Times New Roman"/>
          <w:sz w:val="24"/>
          <w:szCs w:val="24"/>
        </w:rPr>
        <w:t xml:space="preserve"> and information systems competencies into the accounting curriculum. </w:t>
      </w:r>
      <w:r w:rsidRPr="00057622">
        <w:rPr>
          <w:rFonts w:ascii="Times New Roman" w:hAnsi="Times New Roman" w:cs="Times New Roman"/>
          <w:i/>
          <w:iCs/>
          <w:sz w:val="24"/>
          <w:szCs w:val="24"/>
        </w:rPr>
        <w:t>Journal of Accounting Education</w:t>
      </w:r>
      <w:r w:rsidRPr="00057622">
        <w:rPr>
          <w:rFonts w:ascii="Times New Roman" w:hAnsi="Times New Roman" w:cs="Times New Roman"/>
          <w:sz w:val="24"/>
          <w:szCs w:val="24"/>
        </w:rPr>
        <w:t>, </w:t>
      </w:r>
      <w:r w:rsidRPr="00057622">
        <w:rPr>
          <w:rFonts w:ascii="Times New Roman" w:hAnsi="Times New Roman" w:cs="Times New Roman"/>
          <w:i/>
          <w:iCs/>
          <w:sz w:val="24"/>
          <w:szCs w:val="24"/>
        </w:rPr>
        <w:t>38</w:t>
      </w:r>
      <w:r w:rsidRPr="00057622">
        <w:rPr>
          <w:rFonts w:ascii="Times New Roman" w:hAnsi="Times New Roman" w:cs="Times New Roman"/>
          <w:sz w:val="24"/>
          <w:szCs w:val="24"/>
        </w:rPr>
        <w:t>, pp.81-93.</w:t>
      </w:r>
    </w:p>
    <w:p w14:paraId="6D45AFF8" w14:textId="77777777" w:rsidR="001A423B" w:rsidRDefault="001A423B" w:rsidP="00481BB4">
      <w:pPr>
        <w:spacing w:line="360" w:lineRule="auto"/>
        <w:jc w:val="both"/>
        <w:rPr>
          <w:rFonts w:ascii="Times New Roman" w:hAnsi="Times New Roman" w:cs="Times New Roman"/>
          <w:sz w:val="24"/>
          <w:szCs w:val="24"/>
        </w:rPr>
      </w:pPr>
      <w:proofErr w:type="spellStart"/>
      <w:r w:rsidRPr="00CE1089">
        <w:rPr>
          <w:rFonts w:ascii="Times New Roman" w:hAnsi="Times New Roman" w:cs="Times New Roman"/>
          <w:sz w:val="24"/>
          <w:szCs w:val="24"/>
        </w:rPr>
        <w:t>Starkova</w:t>
      </w:r>
      <w:proofErr w:type="spellEnd"/>
      <w:r w:rsidRPr="00CE1089">
        <w:rPr>
          <w:rFonts w:ascii="Times New Roman" w:hAnsi="Times New Roman" w:cs="Times New Roman"/>
          <w:sz w:val="24"/>
          <w:szCs w:val="24"/>
        </w:rPr>
        <w:t xml:space="preserve">, N.O., 2017. Assessment of potential of development of </w:t>
      </w:r>
      <w:r>
        <w:rPr>
          <w:rFonts w:ascii="Times New Roman" w:hAnsi="Times New Roman" w:cs="Times New Roman"/>
          <w:sz w:val="24"/>
          <w:szCs w:val="24"/>
        </w:rPr>
        <w:t>UK</w:t>
      </w:r>
      <w:r w:rsidRPr="00CE1089">
        <w:rPr>
          <w:rFonts w:ascii="Times New Roman" w:hAnsi="Times New Roman" w:cs="Times New Roman"/>
          <w:sz w:val="24"/>
          <w:szCs w:val="24"/>
        </w:rPr>
        <w:t xml:space="preserve"> oil-and-gas sector. </w:t>
      </w:r>
      <w:r w:rsidRPr="00CE1089">
        <w:rPr>
          <w:rFonts w:ascii="Times New Roman" w:hAnsi="Times New Roman" w:cs="Times New Roman"/>
          <w:i/>
          <w:iCs/>
          <w:sz w:val="24"/>
          <w:szCs w:val="24"/>
        </w:rPr>
        <w:t>Journal of Humanities and Social Sciences</w:t>
      </w:r>
      <w:r w:rsidRPr="00CE1089">
        <w:rPr>
          <w:rFonts w:ascii="Times New Roman" w:hAnsi="Times New Roman" w:cs="Times New Roman"/>
          <w:sz w:val="24"/>
          <w:szCs w:val="24"/>
        </w:rPr>
        <w:t>, pp.1-2.</w:t>
      </w:r>
    </w:p>
    <w:p w14:paraId="257CB92D" w14:textId="77777777" w:rsidR="001A423B" w:rsidRDefault="001A423B" w:rsidP="00481BB4">
      <w:pPr>
        <w:spacing w:line="360" w:lineRule="auto"/>
        <w:jc w:val="both"/>
        <w:rPr>
          <w:rFonts w:ascii="Times New Roman" w:hAnsi="Times New Roman" w:cs="Times New Roman"/>
          <w:sz w:val="24"/>
          <w:szCs w:val="24"/>
        </w:rPr>
      </w:pPr>
      <w:proofErr w:type="spellStart"/>
      <w:r w:rsidRPr="00673930">
        <w:rPr>
          <w:rFonts w:ascii="Times New Roman" w:hAnsi="Times New Roman" w:cs="Times New Roman"/>
          <w:sz w:val="24"/>
          <w:szCs w:val="24"/>
        </w:rPr>
        <w:t>Steblyanskaya</w:t>
      </w:r>
      <w:proofErr w:type="spellEnd"/>
      <w:r w:rsidRPr="00673930">
        <w:rPr>
          <w:rFonts w:ascii="Times New Roman" w:hAnsi="Times New Roman" w:cs="Times New Roman"/>
          <w:sz w:val="24"/>
          <w:szCs w:val="24"/>
        </w:rPr>
        <w:t xml:space="preserve">, A.N., Wang, Z. and </w:t>
      </w:r>
      <w:proofErr w:type="spellStart"/>
      <w:r w:rsidRPr="00673930">
        <w:rPr>
          <w:rFonts w:ascii="Times New Roman" w:hAnsi="Times New Roman" w:cs="Times New Roman"/>
          <w:sz w:val="24"/>
          <w:szCs w:val="24"/>
        </w:rPr>
        <w:t>Bragina</w:t>
      </w:r>
      <w:proofErr w:type="spellEnd"/>
      <w:r w:rsidRPr="00673930">
        <w:rPr>
          <w:rFonts w:ascii="Times New Roman" w:hAnsi="Times New Roman" w:cs="Times New Roman"/>
          <w:sz w:val="24"/>
          <w:szCs w:val="24"/>
        </w:rPr>
        <w:t xml:space="preserve">, Z.V., 2019. Financial sustainable growth theory </w:t>
      </w:r>
      <w:proofErr w:type="gramStart"/>
      <w:r w:rsidRPr="00673930">
        <w:rPr>
          <w:rFonts w:ascii="Times New Roman" w:hAnsi="Times New Roman" w:cs="Times New Roman"/>
          <w:sz w:val="24"/>
          <w:szCs w:val="24"/>
        </w:rPr>
        <w:t>as a result of</w:t>
      </w:r>
      <w:proofErr w:type="gramEnd"/>
      <w:r w:rsidRPr="00673930">
        <w:rPr>
          <w:rFonts w:ascii="Times New Roman" w:hAnsi="Times New Roman" w:cs="Times New Roman"/>
          <w:sz w:val="24"/>
          <w:szCs w:val="24"/>
        </w:rPr>
        <w:t xml:space="preserve"> interaction with energy, environmental and social processes (Evidence from oil and gas industry). </w:t>
      </w:r>
      <w:r w:rsidRPr="00673930">
        <w:rPr>
          <w:rFonts w:ascii="Times New Roman" w:hAnsi="Times New Roman" w:cs="Times New Roman"/>
          <w:i/>
          <w:iCs/>
          <w:sz w:val="24"/>
          <w:szCs w:val="24"/>
        </w:rPr>
        <w:t>Finance: Theory and practice</w:t>
      </w:r>
      <w:r w:rsidRPr="00673930">
        <w:rPr>
          <w:rFonts w:ascii="Times New Roman" w:hAnsi="Times New Roman" w:cs="Times New Roman"/>
          <w:sz w:val="24"/>
          <w:szCs w:val="24"/>
        </w:rPr>
        <w:t>, </w:t>
      </w:r>
      <w:r w:rsidRPr="00673930">
        <w:rPr>
          <w:rFonts w:ascii="Times New Roman" w:hAnsi="Times New Roman" w:cs="Times New Roman"/>
          <w:i/>
          <w:iCs/>
          <w:sz w:val="24"/>
          <w:szCs w:val="24"/>
        </w:rPr>
        <w:t>23</w:t>
      </w:r>
      <w:r w:rsidRPr="00673930">
        <w:rPr>
          <w:rFonts w:ascii="Times New Roman" w:hAnsi="Times New Roman" w:cs="Times New Roman"/>
          <w:sz w:val="24"/>
          <w:szCs w:val="24"/>
        </w:rPr>
        <w:t>(2), pp.134-152.</w:t>
      </w:r>
    </w:p>
    <w:p w14:paraId="3CD8C565"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lastRenderedPageBreak/>
        <w:t xml:space="preserve">van </w:t>
      </w:r>
      <w:proofErr w:type="spellStart"/>
      <w:r w:rsidRPr="00FF59DC">
        <w:rPr>
          <w:rFonts w:ascii="Times New Roman" w:hAnsi="Times New Roman" w:cs="Times New Roman"/>
          <w:color w:val="222222"/>
          <w:sz w:val="24"/>
          <w:szCs w:val="24"/>
          <w:shd w:val="clear" w:color="auto" w:fill="FFFFFF"/>
        </w:rPr>
        <w:t>Beurden</w:t>
      </w:r>
      <w:proofErr w:type="spellEnd"/>
      <w:r w:rsidRPr="00FF59DC">
        <w:rPr>
          <w:rFonts w:ascii="Times New Roman" w:hAnsi="Times New Roman" w:cs="Times New Roman"/>
          <w:color w:val="222222"/>
          <w:sz w:val="24"/>
          <w:szCs w:val="24"/>
          <w:shd w:val="clear" w:color="auto" w:fill="FFFFFF"/>
        </w:rPr>
        <w:t>, B., 2017. Royal Dutch Shell in a Changing World: Navigating Uncertainty. In </w:t>
      </w:r>
      <w:r w:rsidRPr="00FF59DC">
        <w:rPr>
          <w:rFonts w:ascii="Times New Roman" w:hAnsi="Times New Roman" w:cs="Times New Roman"/>
          <w:i/>
          <w:iCs/>
          <w:color w:val="222222"/>
          <w:sz w:val="24"/>
          <w:szCs w:val="24"/>
          <w:shd w:val="clear" w:color="auto" w:fill="FFFFFF"/>
        </w:rPr>
        <w:t>Evolving Business Models</w:t>
      </w:r>
      <w:r w:rsidRPr="00FF59DC">
        <w:rPr>
          <w:rFonts w:ascii="Times New Roman" w:hAnsi="Times New Roman" w:cs="Times New Roman"/>
          <w:color w:val="222222"/>
          <w:sz w:val="24"/>
          <w:szCs w:val="24"/>
          <w:shd w:val="clear" w:color="auto" w:fill="FFFFFF"/>
        </w:rPr>
        <w:t> (pp. 195-207). Springer, Cham.</w:t>
      </w:r>
    </w:p>
    <w:p w14:paraId="6319898F" w14:textId="77777777" w:rsidR="001A423B" w:rsidRDefault="001A423B" w:rsidP="00481BB4">
      <w:pPr>
        <w:spacing w:line="360" w:lineRule="auto"/>
        <w:jc w:val="both"/>
        <w:rPr>
          <w:rFonts w:ascii="Times New Roman" w:hAnsi="Times New Roman" w:cs="Times New Roman"/>
          <w:sz w:val="24"/>
          <w:szCs w:val="24"/>
        </w:rPr>
      </w:pPr>
      <w:r w:rsidRPr="00057622">
        <w:rPr>
          <w:rFonts w:ascii="Times New Roman" w:hAnsi="Times New Roman" w:cs="Times New Roman"/>
          <w:sz w:val="24"/>
          <w:szCs w:val="24"/>
        </w:rPr>
        <w:t xml:space="preserve">Wells, P.K., 2018. How well do our introductory accounting text books reflect current accounting </w:t>
      </w:r>
      <w:proofErr w:type="gramStart"/>
      <w:r w:rsidRPr="00057622">
        <w:rPr>
          <w:rFonts w:ascii="Times New Roman" w:hAnsi="Times New Roman" w:cs="Times New Roman"/>
          <w:sz w:val="24"/>
          <w:szCs w:val="24"/>
        </w:rPr>
        <w:t>practice?.</w:t>
      </w:r>
      <w:proofErr w:type="gramEnd"/>
      <w:r w:rsidRPr="00057622">
        <w:rPr>
          <w:rFonts w:ascii="Times New Roman" w:hAnsi="Times New Roman" w:cs="Times New Roman"/>
          <w:sz w:val="24"/>
          <w:szCs w:val="24"/>
        </w:rPr>
        <w:t> </w:t>
      </w:r>
      <w:r w:rsidRPr="00057622">
        <w:rPr>
          <w:rFonts w:ascii="Times New Roman" w:hAnsi="Times New Roman" w:cs="Times New Roman"/>
          <w:i/>
          <w:iCs/>
          <w:sz w:val="24"/>
          <w:szCs w:val="24"/>
        </w:rPr>
        <w:t>Journal of Accounting Education</w:t>
      </w:r>
      <w:r w:rsidRPr="00057622">
        <w:rPr>
          <w:rFonts w:ascii="Times New Roman" w:hAnsi="Times New Roman" w:cs="Times New Roman"/>
          <w:sz w:val="24"/>
          <w:szCs w:val="24"/>
        </w:rPr>
        <w:t>, </w:t>
      </w:r>
      <w:r w:rsidRPr="00057622">
        <w:rPr>
          <w:rFonts w:ascii="Times New Roman" w:hAnsi="Times New Roman" w:cs="Times New Roman"/>
          <w:i/>
          <w:iCs/>
          <w:sz w:val="24"/>
          <w:szCs w:val="24"/>
        </w:rPr>
        <w:t>42</w:t>
      </w:r>
      <w:r w:rsidRPr="00057622">
        <w:rPr>
          <w:rFonts w:ascii="Times New Roman" w:hAnsi="Times New Roman" w:cs="Times New Roman"/>
          <w:sz w:val="24"/>
          <w:szCs w:val="24"/>
        </w:rPr>
        <w:t>, pp.40-48.</w:t>
      </w:r>
    </w:p>
    <w:p w14:paraId="65BF12EE" w14:textId="77777777" w:rsidR="001A423B" w:rsidRPr="00FF59DC" w:rsidRDefault="001A423B" w:rsidP="001A423B">
      <w:pPr>
        <w:spacing w:after="240" w:line="360" w:lineRule="auto"/>
        <w:jc w:val="both"/>
        <w:rPr>
          <w:rFonts w:ascii="Times New Roman" w:hAnsi="Times New Roman" w:cs="Times New Roman"/>
          <w:sz w:val="24"/>
          <w:szCs w:val="24"/>
        </w:rPr>
      </w:pPr>
      <w:r w:rsidRPr="00FF59DC">
        <w:rPr>
          <w:rFonts w:ascii="Times New Roman" w:hAnsi="Times New Roman" w:cs="Times New Roman"/>
          <w:color w:val="222222"/>
          <w:sz w:val="24"/>
          <w:szCs w:val="24"/>
          <w:shd w:val="clear" w:color="auto" w:fill="FFFFFF"/>
        </w:rPr>
        <w:t xml:space="preserve">Zhang, C., Hu, M., </w:t>
      </w:r>
      <w:proofErr w:type="spellStart"/>
      <w:r w:rsidRPr="00FF59DC">
        <w:rPr>
          <w:rFonts w:ascii="Times New Roman" w:hAnsi="Times New Roman" w:cs="Times New Roman"/>
          <w:color w:val="222222"/>
          <w:sz w:val="24"/>
          <w:szCs w:val="24"/>
          <w:shd w:val="clear" w:color="auto" w:fill="FFFFFF"/>
        </w:rPr>
        <w:t>Laclau</w:t>
      </w:r>
      <w:proofErr w:type="spellEnd"/>
      <w:r w:rsidRPr="00FF59DC">
        <w:rPr>
          <w:rFonts w:ascii="Times New Roman" w:hAnsi="Times New Roman" w:cs="Times New Roman"/>
          <w:color w:val="222222"/>
          <w:sz w:val="24"/>
          <w:szCs w:val="24"/>
          <w:shd w:val="clear" w:color="auto" w:fill="FFFFFF"/>
        </w:rPr>
        <w:t xml:space="preserve">, B., </w:t>
      </w:r>
      <w:proofErr w:type="spellStart"/>
      <w:r w:rsidRPr="00FF59DC">
        <w:rPr>
          <w:rFonts w:ascii="Times New Roman" w:hAnsi="Times New Roman" w:cs="Times New Roman"/>
          <w:color w:val="222222"/>
          <w:sz w:val="24"/>
          <w:szCs w:val="24"/>
          <w:shd w:val="clear" w:color="auto" w:fill="FFFFFF"/>
        </w:rPr>
        <w:t>Garnesson</w:t>
      </w:r>
      <w:proofErr w:type="spellEnd"/>
      <w:r w:rsidRPr="00FF59DC">
        <w:rPr>
          <w:rFonts w:ascii="Times New Roman" w:hAnsi="Times New Roman" w:cs="Times New Roman"/>
          <w:color w:val="222222"/>
          <w:sz w:val="24"/>
          <w:szCs w:val="24"/>
          <w:shd w:val="clear" w:color="auto" w:fill="FFFFFF"/>
        </w:rPr>
        <w:t xml:space="preserve">, T., Yang, X. and </w:t>
      </w:r>
      <w:proofErr w:type="spellStart"/>
      <w:r w:rsidRPr="00FF59DC">
        <w:rPr>
          <w:rFonts w:ascii="Times New Roman" w:hAnsi="Times New Roman" w:cs="Times New Roman"/>
          <w:color w:val="222222"/>
          <w:sz w:val="24"/>
          <w:szCs w:val="24"/>
          <w:shd w:val="clear" w:color="auto" w:fill="FFFFFF"/>
        </w:rPr>
        <w:t>Tukker</w:t>
      </w:r>
      <w:proofErr w:type="spellEnd"/>
      <w:r w:rsidRPr="00FF59DC">
        <w:rPr>
          <w:rFonts w:ascii="Times New Roman" w:hAnsi="Times New Roman" w:cs="Times New Roman"/>
          <w:color w:val="222222"/>
          <w:sz w:val="24"/>
          <w:szCs w:val="24"/>
          <w:shd w:val="clear" w:color="auto" w:fill="FFFFFF"/>
        </w:rPr>
        <w:t>, A., 2021. Energy-carbon-investment payback analysis of prefabricated envelope-cladding system for building energy renovation: Cases in Spain, the Netherlands, and Sweden. </w:t>
      </w:r>
      <w:r w:rsidRPr="00FF59DC">
        <w:rPr>
          <w:rFonts w:ascii="Times New Roman" w:hAnsi="Times New Roman" w:cs="Times New Roman"/>
          <w:i/>
          <w:iCs/>
          <w:color w:val="222222"/>
          <w:sz w:val="24"/>
          <w:szCs w:val="24"/>
          <w:shd w:val="clear" w:color="auto" w:fill="FFFFFF"/>
        </w:rPr>
        <w:t>Renewable and Sustainable Energy Reviews</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145</w:t>
      </w:r>
      <w:r w:rsidRPr="00FF59DC">
        <w:rPr>
          <w:rFonts w:ascii="Times New Roman" w:hAnsi="Times New Roman" w:cs="Times New Roman"/>
          <w:color w:val="222222"/>
          <w:sz w:val="24"/>
          <w:szCs w:val="24"/>
          <w:shd w:val="clear" w:color="auto" w:fill="FFFFFF"/>
        </w:rPr>
        <w:t>, p.111077.</w:t>
      </w:r>
    </w:p>
    <w:p w14:paraId="6E462873" w14:textId="77777777" w:rsidR="001A423B" w:rsidRPr="00FF59DC" w:rsidRDefault="001A423B" w:rsidP="001A423B">
      <w:pPr>
        <w:spacing w:after="240" w:line="360" w:lineRule="auto"/>
        <w:jc w:val="both"/>
        <w:rPr>
          <w:rFonts w:ascii="Times New Roman" w:hAnsi="Times New Roman" w:cs="Times New Roman"/>
          <w:sz w:val="24"/>
          <w:szCs w:val="24"/>
        </w:rPr>
      </w:pPr>
      <w:proofErr w:type="spellStart"/>
      <w:r w:rsidRPr="00FF59DC">
        <w:rPr>
          <w:rFonts w:ascii="Times New Roman" w:hAnsi="Times New Roman" w:cs="Times New Roman"/>
          <w:color w:val="222222"/>
          <w:sz w:val="24"/>
          <w:szCs w:val="24"/>
          <w:shd w:val="clear" w:color="auto" w:fill="FFFFFF"/>
        </w:rPr>
        <w:t>Zis</w:t>
      </w:r>
      <w:proofErr w:type="spellEnd"/>
      <w:r w:rsidRPr="00FF59DC">
        <w:rPr>
          <w:rFonts w:ascii="Times New Roman" w:hAnsi="Times New Roman" w:cs="Times New Roman"/>
          <w:color w:val="222222"/>
          <w:sz w:val="24"/>
          <w:szCs w:val="24"/>
          <w:shd w:val="clear" w:color="auto" w:fill="FFFFFF"/>
        </w:rPr>
        <w:t xml:space="preserve">, T., </w:t>
      </w:r>
      <w:proofErr w:type="spellStart"/>
      <w:r w:rsidRPr="00FF59DC">
        <w:rPr>
          <w:rFonts w:ascii="Times New Roman" w:hAnsi="Times New Roman" w:cs="Times New Roman"/>
          <w:color w:val="222222"/>
          <w:sz w:val="24"/>
          <w:szCs w:val="24"/>
          <w:shd w:val="clear" w:color="auto" w:fill="FFFFFF"/>
        </w:rPr>
        <w:t>Angeloudis</w:t>
      </w:r>
      <w:proofErr w:type="spellEnd"/>
      <w:r w:rsidRPr="00FF59DC">
        <w:rPr>
          <w:rFonts w:ascii="Times New Roman" w:hAnsi="Times New Roman" w:cs="Times New Roman"/>
          <w:color w:val="222222"/>
          <w:sz w:val="24"/>
          <w:szCs w:val="24"/>
          <w:shd w:val="clear" w:color="auto" w:fill="FFFFFF"/>
        </w:rPr>
        <w:t xml:space="preserve">, P., Bell, M.G. and </w:t>
      </w:r>
      <w:proofErr w:type="spellStart"/>
      <w:r w:rsidRPr="00FF59DC">
        <w:rPr>
          <w:rFonts w:ascii="Times New Roman" w:hAnsi="Times New Roman" w:cs="Times New Roman"/>
          <w:color w:val="222222"/>
          <w:sz w:val="24"/>
          <w:szCs w:val="24"/>
          <w:shd w:val="clear" w:color="auto" w:fill="FFFFFF"/>
        </w:rPr>
        <w:t>Psaraftis</w:t>
      </w:r>
      <w:proofErr w:type="spellEnd"/>
      <w:r w:rsidRPr="00FF59DC">
        <w:rPr>
          <w:rFonts w:ascii="Times New Roman" w:hAnsi="Times New Roman" w:cs="Times New Roman"/>
          <w:color w:val="222222"/>
          <w:sz w:val="24"/>
          <w:szCs w:val="24"/>
          <w:shd w:val="clear" w:color="auto" w:fill="FFFFFF"/>
        </w:rPr>
        <w:t>, H.N., 2016. Payback period for emissions abatement alternatives: role of regulation and fuel prices. </w:t>
      </w:r>
      <w:r w:rsidRPr="00FF59DC">
        <w:rPr>
          <w:rFonts w:ascii="Times New Roman" w:hAnsi="Times New Roman" w:cs="Times New Roman"/>
          <w:i/>
          <w:iCs/>
          <w:color w:val="222222"/>
          <w:sz w:val="24"/>
          <w:szCs w:val="24"/>
          <w:shd w:val="clear" w:color="auto" w:fill="FFFFFF"/>
        </w:rPr>
        <w:t>Transportation Research Record</w:t>
      </w:r>
      <w:r w:rsidRPr="00FF59DC">
        <w:rPr>
          <w:rFonts w:ascii="Times New Roman" w:hAnsi="Times New Roman" w:cs="Times New Roman"/>
          <w:color w:val="222222"/>
          <w:sz w:val="24"/>
          <w:szCs w:val="24"/>
          <w:shd w:val="clear" w:color="auto" w:fill="FFFFFF"/>
        </w:rPr>
        <w:t>, </w:t>
      </w:r>
      <w:r w:rsidRPr="00FF59DC">
        <w:rPr>
          <w:rFonts w:ascii="Times New Roman" w:hAnsi="Times New Roman" w:cs="Times New Roman"/>
          <w:i/>
          <w:iCs/>
          <w:color w:val="222222"/>
          <w:sz w:val="24"/>
          <w:szCs w:val="24"/>
          <w:shd w:val="clear" w:color="auto" w:fill="FFFFFF"/>
        </w:rPr>
        <w:t>2549</w:t>
      </w:r>
      <w:r w:rsidRPr="00FF59DC">
        <w:rPr>
          <w:rFonts w:ascii="Times New Roman" w:hAnsi="Times New Roman" w:cs="Times New Roman"/>
          <w:color w:val="222222"/>
          <w:sz w:val="24"/>
          <w:szCs w:val="24"/>
          <w:shd w:val="clear" w:color="auto" w:fill="FFFFFF"/>
        </w:rPr>
        <w:t>(1), pp.37-44.</w:t>
      </w:r>
    </w:p>
    <w:p w14:paraId="5265FB81" w14:textId="55B911DF" w:rsidR="001A423B" w:rsidRDefault="001A423B">
      <w:pPr>
        <w:rPr>
          <w:rFonts w:ascii="Times New Roman" w:hAnsi="Times New Roman" w:cs="Times New Roman"/>
          <w:sz w:val="24"/>
          <w:szCs w:val="24"/>
        </w:rPr>
      </w:pPr>
      <w:r>
        <w:rPr>
          <w:rFonts w:ascii="Times New Roman" w:hAnsi="Times New Roman" w:cs="Times New Roman"/>
          <w:sz w:val="24"/>
          <w:szCs w:val="24"/>
        </w:rPr>
        <w:br w:type="page"/>
      </w:r>
    </w:p>
    <w:p w14:paraId="74DA823B" w14:textId="77777777" w:rsidR="00481BB4" w:rsidRPr="00646A43" w:rsidRDefault="00481BB4" w:rsidP="00481BB4">
      <w:pPr>
        <w:pStyle w:val="Antrat1"/>
      </w:pPr>
      <w:bookmarkStart w:id="19" w:name="_Toc71388446"/>
      <w:r w:rsidRPr="00646A43">
        <w:lastRenderedPageBreak/>
        <w:t>Appendices</w:t>
      </w:r>
      <w:bookmarkEnd w:id="19"/>
    </w:p>
    <w:p w14:paraId="7DC2FA68" w14:textId="77777777" w:rsidR="00481BB4" w:rsidRPr="00646A43" w:rsidRDefault="00481BB4" w:rsidP="00481BB4">
      <w:pPr>
        <w:pStyle w:val="Antrat2"/>
      </w:pPr>
      <w:bookmarkStart w:id="20" w:name="_Toc71388447"/>
      <w:r w:rsidRPr="00646A43">
        <w:t xml:space="preserve">Appendix </w:t>
      </w:r>
      <w:r>
        <w:t>1</w:t>
      </w:r>
      <w:r w:rsidRPr="00646A43">
        <w:t>: Shell’s Balance Sheet</w:t>
      </w:r>
      <w:bookmarkEnd w:id="20"/>
    </w:p>
    <w:p w14:paraId="3C0D540E" w14:textId="77777777" w:rsidR="00481BB4" w:rsidRDefault="00481BB4" w:rsidP="00481BB4">
      <w:pPr>
        <w:spacing w:line="360" w:lineRule="auto"/>
        <w:jc w:val="both"/>
        <w:rPr>
          <w:rFonts w:ascii="Times New Roman" w:hAnsi="Times New Roman" w:cs="Times New Roman"/>
          <w:sz w:val="24"/>
          <w:szCs w:val="24"/>
        </w:rPr>
      </w:pPr>
      <w:r>
        <w:rPr>
          <w:noProof/>
          <w:lang w:val="en-GB" w:eastAsia="en-GB"/>
        </w:rPr>
        <w:drawing>
          <wp:inline distT="0" distB="0" distL="0" distR="0" wp14:anchorId="23085E93" wp14:editId="132105BF">
            <wp:extent cx="5591175" cy="653415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91175" cy="6534150"/>
                    </a:xfrm>
                    <a:prstGeom prst="rect">
                      <a:avLst/>
                    </a:prstGeom>
                  </pic:spPr>
                </pic:pic>
              </a:graphicData>
            </a:graphic>
          </wp:inline>
        </w:drawing>
      </w:r>
    </w:p>
    <w:p w14:paraId="665E62B1" w14:textId="77777777" w:rsidR="00481BB4" w:rsidRDefault="00481BB4" w:rsidP="00481BB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6803B7">
        <w:rPr>
          <w:rFonts w:ascii="Times New Roman" w:hAnsi="Times New Roman" w:cs="Times New Roman"/>
          <w:sz w:val="24"/>
          <w:szCs w:val="24"/>
        </w:rPr>
        <w:t>https://reports.shell.com/annual-report/2020/servicepages/downloads/files/shell-annual-report-2020.pdf</w:t>
      </w:r>
      <w:r>
        <w:rPr>
          <w:rFonts w:ascii="Times New Roman" w:hAnsi="Times New Roman" w:cs="Times New Roman"/>
          <w:sz w:val="24"/>
          <w:szCs w:val="24"/>
        </w:rPr>
        <w:t>)</w:t>
      </w:r>
    </w:p>
    <w:p w14:paraId="4DFD16B0" w14:textId="77777777" w:rsidR="00481BB4" w:rsidRDefault="00481BB4" w:rsidP="00481BB4">
      <w:pPr>
        <w:rPr>
          <w:rFonts w:ascii="Times New Roman" w:hAnsi="Times New Roman" w:cs="Times New Roman"/>
          <w:sz w:val="24"/>
          <w:szCs w:val="24"/>
        </w:rPr>
      </w:pPr>
      <w:r>
        <w:rPr>
          <w:rFonts w:ascii="Times New Roman" w:hAnsi="Times New Roman" w:cs="Times New Roman"/>
          <w:sz w:val="24"/>
          <w:szCs w:val="24"/>
        </w:rPr>
        <w:br w:type="page"/>
      </w:r>
    </w:p>
    <w:p w14:paraId="015C377B" w14:textId="77777777" w:rsidR="00481BB4" w:rsidRPr="00646A43" w:rsidRDefault="00481BB4" w:rsidP="00481BB4">
      <w:pPr>
        <w:pStyle w:val="Antrat2"/>
      </w:pPr>
      <w:bookmarkStart w:id="21" w:name="_Toc71388448"/>
      <w:r w:rsidRPr="00646A43">
        <w:lastRenderedPageBreak/>
        <w:t>Appendix 2: BP’s Balance Sheet</w:t>
      </w:r>
      <w:bookmarkEnd w:id="21"/>
    </w:p>
    <w:p w14:paraId="49C91F7B" w14:textId="77777777" w:rsidR="00481BB4" w:rsidRDefault="00481BB4" w:rsidP="00481BB4">
      <w:pPr>
        <w:spacing w:line="360" w:lineRule="auto"/>
        <w:jc w:val="both"/>
        <w:rPr>
          <w:rFonts w:ascii="Times New Roman" w:hAnsi="Times New Roman" w:cs="Times New Roman"/>
          <w:sz w:val="24"/>
          <w:szCs w:val="24"/>
        </w:rPr>
      </w:pPr>
      <w:r>
        <w:rPr>
          <w:noProof/>
          <w:lang w:val="en-GB" w:eastAsia="en-GB"/>
        </w:rPr>
        <w:drawing>
          <wp:inline distT="0" distB="0" distL="0" distR="0" wp14:anchorId="74E629C7" wp14:editId="3CDDBCBE">
            <wp:extent cx="5731510" cy="50228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5022850"/>
                    </a:xfrm>
                    <a:prstGeom prst="rect">
                      <a:avLst/>
                    </a:prstGeom>
                  </pic:spPr>
                </pic:pic>
              </a:graphicData>
            </a:graphic>
          </wp:inline>
        </w:drawing>
      </w:r>
    </w:p>
    <w:p w14:paraId="43C99B8F" w14:textId="77777777" w:rsidR="00481BB4" w:rsidRDefault="00481BB4" w:rsidP="00481BB4">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Pr="006803B7">
        <w:rPr>
          <w:rFonts w:ascii="Times New Roman" w:hAnsi="Times New Roman" w:cs="Times New Roman"/>
          <w:sz w:val="24"/>
          <w:szCs w:val="24"/>
        </w:rPr>
        <w:t>https://www.bp.com/content/dam/bp/business-sites/en/global/corporate/pdfs/investors/bp-annual-report-and-form-20f-2020.pdf</w:t>
      </w:r>
      <w:r>
        <w:rPr>
          <w:rFonts w:ascii="Times New Roman" w:hAnsi="Times New Roman" w:cs="Times New Roman"/>
          <w:sz w:val="24"/>
          <w:szCs w:val="24"/>
        </w:rPr>
        <w:t>)</w:t>
      </w:r>
    </w:p>
    <w:p w14:paraId="28619524" w14:textId="77777777" w:rsidR="00481BB4" w:rsidRDefault="00481BB4" w:rsidP="00481BB4">
      <w:pPr>
        <w:spacing w:line="360" w:lineRule="auto"/>
        <w:jc w:val="both"/>
        <w:rPr>
          <w:rFonts w:ascii="Times New Roman" w:hAnsi="Times New Roman" w:cs="Times New Roman"/>
          <w:sz w:val="24"/>
          <w:szCs w:val="24"/>
        </w:rPr>
      </w:pPr>
    </w:p>
    <w:p w14:paraId="42A357E6" w14:textId="77777777" w:rsidR="00481BB4" w:rsidRPr="00A90E0A" w:rsidRDefault="00481BB4" w:rsidP="00481BB4">
      <w:pPr>
        <w:spacing w:line="360" w:lineRule="auto"/>
        <w:jc w:val="both"/>
        <w:rPr>
          <w:rFonts w:ascii="Times New Roman" w:hAnsi="Times New Roman" w:cs="Times New Roman"/>
          <w:sz w:val="24"/>
          <w:szCs w:val="24"/>
        </w:rPr>
      </w:pPr>
    </w:p>
    <w:p w14:paraId="0F6FF9E2" w14:textId="0D792B74" w:rsidR="00481BB4" w:rsidRDefault="00A15FE2" w:rsidP="00A15FE2">
      <w:pPr>
        <w:tabs>
          <w:tab w:val="left" w:pos="7056"/>
        </w:tabs>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b/>
      </w:r>
      <w:r w:rsidRPr="00A15FE2">
        <w:rPr>
          <w:rFonts w:ascii="Times New Roman" w:hAnsi="Times New Roman" w:cs="Times New Roman"/>
          <w:noProof/>
          <w:sz w:val="24"/>
          <w:szCs w:val="24"/>
        </w:rPr>
        <w:drawing>
          <wp:inline distT="0" distB="0" distL="0" distR="0" wp14:anchorId="7C84C459" wp14:editId="5008012E">
            <wp:extent cx="5731510" cy="7205980"/>
            <wp:effectExtent l="0" t="0" r="2540" b="0"/>
            <wp:docPr id="8" name="Paveikslėlis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7205980"/>
                    </a:xfrm>
                    <a:prstGeom prst="rect">
                      <a:avLst/>
                    </a:prstGeom>
                  </pic:spPr>
                </pic:pic>
              </a:graphicData>
            </a:graphic>
          </wp:inline>
        </w:drawing>
      </w:r>
    </w:p>
    <w:p w14:paraId="55D21915" w14:textId="77777777" w:rsidR="00481BB4" w:rsidRPr="001E604F" w:rsidRDefault="00481BB4" w:rsidP="00481BB4">
      <w:pPr>
        <w:spacing w:line="360" w:lineRule="auto"/>
        <w:jc w:val="both"/>
        <w:rPr>
          <w:rFonts w:ascii="Times New Roman" w:hAnsi="Times New Roman" w:cs="Times New Roman"/>
          <w:sz w:val="24"/>
          <w:szCs w:val="24"/>
        </w:rPr>
      </w:pPr>
    </w:p>
    <w:p w14:paraId="78192D7E" w14:textId="77777777" w:rsidR="00481BB4" w:rsidRPr="00481BB4" w:rsidRDefault="00481BB4" w:rsidP="008408E9">
      <w:pPr>
        <w:spacing w:line="360" w:lineRule="auto"/>
        <w:jc w:val="both"/>
        <w:rPr>
          <w:rFonts w:ascii="Times New Roman" w:hAnsi="Times New Roman" w:cs="Times New Roman"/>
          <w:sz w:val="24"/>
        </w:rPr>
      </w:pPr>
    </w:p>
    <w:p w14:paraId="78F32611" w14:textId="77777777" w:rsidR="003834C7" w:rsidRPr="008408E9" w:rsidRDefault="003834C7" w:rsidP="008408E9">
      <w:pPr>
        <w:spacing w:line="360" w:lineRule="auto"/>
        <w:jc w:val="both"/>
        <w:rPr>
          <w:rFonts w:ascii="Times New Roman" w:hAnsi="Times New Roman" w:cs="Times New Roman"/>
          <w:sz w:val="24"/>
          <w:lang w:val="en-GB"/>
        </w:rPr>
      </w:pPr>
    </w:p>
    <w:sectPr w:rsidR="003834C7" w:rsidRPr="008408E9" w:rsidSect="009135E7">
      <w:footerReference w:type="default" r:id="rId13"/>
      <w:pgSz w:w="11906" w:h="16838" w:code="9"/>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84D0ED" w14:textId="77777777" w:rsidR="00B015D2" w:rsidRDefault="00B015D2" w:rsidP="009135E7">
      <w:pPr>
        <w:spacing w:after="0" w:line="240" w:lineRule="auto"/>
      </w:pPr>
      <w:r>
        <w:separator/>
      </w:r>
    </w:p>
  </w:endnote>
  <w:endnote w:type="continuationSeparator" w:id="0">
    <w:p w14:paraId="6F9C4D92" w14:textId="77777777" w:rsidR="00B015D2" w:rsidRDefault="00B015D2" w:rsidP="009135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lang w:val="en-GB"/>
      </w:rPr>
      <w:id w:val="-22714536"/>
      <w:docPartObj>
        <w:docPartGallery w:val="Page Numbers (Bottom of Page)"/>
        <w:docPartUnique/>
      </w:docPartObj>
    </w:sdtPr>
    <w:sdtEndPr>
      <w:rPr>
        <w:noProof/>
      </w:rPr>
    </w:sdtEndPr>
    <w:sdtContent>
      <w:p w14:paraId="3DCC74F8" w14:textId="0143862C" w:rsidR="00144390" w:rsidRPr="009135E7" w:rsidRDefault="00144390" w:rsidP="009135E7">
        <w:pPr>
          <w:pStyle w:val="Porat"/>
          <w:spacing w:line="360" w:lineRule="auto"/>
          <w:jc w:val="right"/>
          <w:rPr>
            <w:rFonts w:ascii="Times New Roman" w:hAnsi="Times New Roman" w:cs="Times New Roman"/>
            <w:sz w:val="20"/>
            <w:lang w:val="en-GB"/>
          </w:rPr>
        </w:pPr>
        <w:r w:rsidRPr="009135E7">
          <w:rPr>
            <w:rFonts w:ascii="Times New Roman" w:hAnsi="Times New Roman" w:cs="Times New Roman"/>
            <w:sz w:val="20"/>
            <w:lang w:val="en-GB"/>
          </w:rPr>
          <w:fldChar w:fldCharType="begin"/>
        </w:r>
        <w:r w:rsidRPr="009135E7">
          <w:rPr>
            <w:rFonts w:ascii="Times New Roman" w:hAnsi="Times New Roman" w:cs="Times New Roman"/>
            <w:sz w:val="20"/>
            <w:lang w:val="en-GB"/>
          </w:rPr>
          <w:instrText xml:space="preserve"> PAGE   \* MERGEFORMAT </w:instrText>
        </w:r>
        <w:r w:rsidRPr="009135E7">
          <w:rPr>
            <w:rFonts w:ascii="Times New Roman" w:hAnsi="Times New Roman" w:cs="Times New Roman"/>
            <w:sz w:val="20"/>
            <w:lang w:val="en-GB"/>
          </w:rPr>
          <w:fldChar w:fldCharType="separate"/>
        </w:r>
        <w:r w:rsidR="00FE70B2">
          <w:rPr>
            <w:rFonts w:ascii="Times New Roman" w:hAnsi="Times New Roman" w:cs="Times New Roman"/>
            <w:noProof/>
            <w:sz w:val="20"/>
            <w:lang w:val="en-GB"/>
          </w:rPr>
          <w:t>13</w:t>
        </w:r>
        <w:r w:rsidRPr="009135E7">
          <w:rPr>
            <w:rFonts w:ascii="Times New Roman" w:hAnsi="Times New Roman" w:cs="Times New Roman"/>
            <w:noProof/>
            <w:sz w:val="20"/>
            <w:lang w:val="en-GB"/>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FA3BE0" w14:textId="77777777" w:rsidR="00B015D2" w:rsidRDefault="00B015D2" w:rsidP="009135E7">
      <w:pPr>
        <w:spacing w:after="0" w:line="240" w:lineRule="auto"/>
      </w:pPr>
      <w:r>
        <w:separator/>
      </w:r>
    </w:p>
  </w:footnote>
  <w:footnote w:type="continuationSeparator" w:id="0">
    <w:p w14:paraId="253406A0" w14:textId="77777777" w:rsidR="00B015D2" w:rsidRDefault="00B015D2" w:rsidP="009135E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1B4"/>
    <w:rsid w:val="00017D3C"/>
    <w:rsid w:val="00036352"/>
    <w:rsid w:val="0004221F"/>
    <w:rsid w:val="000D0CA5"/>
    <w:rsid w:val="000E10A9"/>
    <w:rsid w:val="000F30AE"/>
    <w:rsid w:val="000F71D8"/>
    <w:rsid w:val="001227ED"/>
    <w:rsid w:val="00140A14"/>
    <w:rsid w:val="00143B26"/>
    <w:rsid w:val="00144390"/>
    <w:rsid w:val="001A423B"/>
    <w:rsid w:val="001D2E91"/>
    <w:rsid w:val="0020658C"/>
    <w:rsid w:val="00220B25"/>
    <w:rsid w:val="002758B7"/>
    <w:rsid w:val="0029336E"/>
    <w:rsid w:val="00302B56"/>
    <w:rsid w:val="00370D8F"/>
    <w:rsid w:val="003834C7"/>
    <w:rsid w:val="003947D1"/>
    <w:rsid w:val="0040052F"/>
    <w:rsid w:val="00481BB4"/>
    <w:rsid w:val="004A79C0"/>
    <w:rsid w:val="00561E73"/>
    <w:rsid w:val="005A5BDB"/>
    <w:rsid w:val="005C58AB"/>
    <w:rsid w:val="006006D8"/>
    <w:rsid w:val="00656292"/>
    <w:rsid w:val="00672F7A"/>
    <w:rsid w:val="0067460B"/>
    <w:rsid w:val="006C79D2"/>
    <w:rsid w:val="007013FC"/>
    <w:rsid w:val="00761B1B"/>
    <w:rsid w:val="00765021"/>
    <w:rsid w:val="00782606"/>
    <w:rsid w:val="007E5B09"/>
    <w:rsid w:val="007F13E8"/>
    <w:rsid w:val="00806AC5"/>
    <w:rsid w:val="00832954"/>
    <w:rsid w:val="008408E9"/>
    <w:rsid w:val="008B4B6E"/>
    <w:rsid w:val="008F110F"/>
    <w:rsid w:val="00904365"/>
    <w:rsid w:val="00907FF5"/>
    <w:rsid w:val="009135E7"/>
    <w:rsid w:val="0097339F"/>
    <w:rsid w:val="009B77B2"/>
    <w:rsid w:val="00A15FE2"/>
    <w:rsid w:val="00A230C1"/>
    <w:rsid w:val="00AC7E88"/>
    <w:rsid w:val="00B015D2"/>
    <w:rsid w:val="00B379D6"/>
    <w:rsid w:val="00B662D3"/>
    <w:rsid w:val="00BD3A6A"/>
    <w:rsid w:val="00C04937"/>
    <w:rsid w:val="00C4729E"/>
    <w:rsid w:val="00C9154E"/>
    <w:rsid w:val="00D721B4"/>
    <w:rsid w:val="00DD1223"/>
    <w:rsid w:val="00E61C98"/>
    <w:rsid w:val="00EC4CA3"/>
    <w:rsid w:val="00EC4EE3"/>
    <w:rsid w:val="00EF0D75"/>
    <w:rsid w:val="00F458D1"/>
    <w:rsid w:val="00FB4C8B"/>
    <w:rsid w:val="00FE70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476893"/>
  <w15:chartTrackingRefBased/>
  <w15:docId w15:val="{7C0457E4-712B-4E49-915C-BD7F3D6D56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prastasis">
    <w:name w:val="Normal"/>
    <w:qFormat/>
    <w:rsid w:val="00765021"/>
  </w:style>
  <w:style w:type="paragraph" w:styleId="Antrat1">
    <w:name w:val="heading 1"/>
    <w:basedOn w:val="prastasis"/>
    <w:next w:val="prastasis"/>
    <w:link w:val="Antrat1Diagrama"/>
    <w:uiPriority w:val="9"/>
    <w:qFormat/>
    <w:rsid w:val="00C9154E"/>
    <w:pPr>
      <w:spacing w:line="360" w:lineRule="auto"/>
      <w:jc w:val="both"/>
      <w:outlineLvl w:val="0"/>
    </w:pPr>
    <w:rPr>
      <w:rFonts w:ascii="Times New Roman" w:hAnsi="Times New Roman" w:cs="Times New Roman"/>
      <w:b/>
      <w:sz w:val="28"/>
      <w:lang w:val="en-GB"/>
    </w:rPr>
  </w:style>
  <w:style w:type="paragraph" w:styleId="Antrat2">
    <w:name w:val="heading 2"/>
    <w:basedOn w:val="prastasis"/>
    <w:next w:val="prastasis"/>
    <w:link w:val="Antrat2Diagrama"/>
    <w:uiPriority w:val="9"/>
    <w:unhideWhenUsed/>
    <w:qFormat/>
    <w:rsid w:val="00C9154E"/>
    <w:pPr>
      <w:spacing w:line="360" w:lineRule="auto"/>
      <w:jc w:val="both"/>
      <w:outlineLvl w:val="1"/>
    </w:pPr>
    <w:rPr>
      <w:rFonts w:ascii="Times New Roman" w:hAnsi="Times New Roman" w:cs="Times New Roman"/>
      <w:b/>
      <w:sz w:val="24"/>
      <w:lang w:val="en-GB"/>
    </w:rPr>
  </w:style>
  <w:style w:type="paragraph" w:styleId="Antrat3">
    <w:name w:val="heading 3"/>
    <w:basedOn w:val="prastasis"/>
    <w:next w:val="prastasis"/>
    <w:link w:val="Antrat3Diagrama"/>
    <w:uiPriority w:val="9"/>
    <w:unhideWhenUsed/>
    <w:qFormat/>
    <w:rsid w:val="00F458D1"/>
    <w:pPr>
      <w:keepNext/>
      <w:spacing w:after="0" w:line="360" w:lineRule="auto"/>
      <w:jc w:val="both"/>
      <w:outlineLvl w:val="2"/>
    </w:pPr>
    <w:rPr>
      <w:rFonts w:ascii="Times New Roman" w:eastAsia="Times New Roman" w:hAnsi="Times New Roman" w:cs="Times New Roman"/>
      <w:i/>
      <w:sz w:val="24"/>
      <w:szCs w:val="24"/>
      <w:lang w:val="en-GB" w:eastAsia="en-GB"/>
    </w:rPr>
  </w:style>
  <w:style w:type="character" w:default="1" w:styleId="Numatytasispastraiposriftas">
    <w:name w:val="Default Paragraph Font"/>
    <w:uiPriority w:val="1"/>
    <w:semiHidden/>
    <w:unhideWhenUsed/>
  </w:style>
  <w:style w:type="table" w:default="1" w:styleId="prastojilentel">
    <w:name w:val="Normal Table"/>
    <w:uiPriority w:val="99"/>
    <w:semiHidden/>
    <w:unhideWhenUsed/>
    <w:tblPr>
      <w:tblInd w:w="0" w:type="dxa"/>
      <w:tblCellMar>
        <w:top w:w="0" w:type="dxa"/>
        <w:left w:w="108" w:type="dxa"/>
        <w:bottom w:w="0" w:type="dxa"/>
        <w:right w:w="108" w:type="dxa"/>
      </w:tblCellMar>
    </w:tblPr>
  </w:style>
  <w:style w:type="numbering" w:default="1" w:styleId="Sraonra">
    <w:name w:val="No List"/>
    <w:uiPriority w:val="99"/>
    <w:semiHidden/>
    <w:unhideWhenUsed/>
  </w:style>
  <w:style w:type="paragraph" w:styleId="Pavadinimas">
    <w:name w:val="Title"/>
    <w:basedOn w:val="prastasis"/>
    <w:next w:val="prastasis"/>
    <w:link w:val="PavadinimasDiagrama"/>
    <w:uiPriority w:val="10"/>
    <w:qFormat/>
    <w:rsid w:val="004A79C0"/>
    <w:pPr>
      <w:spacing w:line="360" w:lineRule="auto"/>
      <w:jc w:val="center"/>
    </w:pPr>
    <w:rPr>
      <w:rFonts w:ascii="Times New Roman" w:hAnsi="Times New Roman" w:cs="Times New Roman"/>
      <w:b/>
      <w:sz w:val="32"/>
      <w:lang w:val="en-GB"/>
    </w:rPr>
  </w:style>
  <w:style w:type="character" w:customStyle="1" w:styleId="PavadinimasDiagrama">
    <w:name w:val="Pavadinimas Diagrama"/>
    <w:basedOn w:val="Numatytasispastraiposriftas"/>
    <w:link w:val="Pavadinimas"/>
    <w:uiPriority w:val="10"/>
    <w:rsid w:val="004A79C0"/>
    <w:rPr>
      <w:rFonts w:ascii="Times New Roman" w:hAnsi="Times New Roman" w:cs="Times New Roman"/>
      <w:b/>
      <w:sz w:val="32"/>
      <w:lang w:val="en-GB"/>
    </w:rPr>
  </w:style>
  <w:style w:type="paragraph" w:styleId="Antrat">
    <w:name w:val="caption"/>
    <w:basedOn w:val="prastasis"/>
    <w:next w:val="prastasis"/>
    <w:uiPriority w:val="35"/>
    <w:unhideWhenUsed/>
    <w:qFormat/>
    <w:rsid w:val="00EC4EE3"/>
    <w:pPr>
      <w:spacing w:line="360" w:lineRule="auto"/>
      <w:jc w:val="center"/>
    </w:pPr>
    <w:rPr>
      <w:rFonts w:ascii="Times New Roman" w:hAnsi="Times New Roman" w:cs="Times New Roman"/>
      <w:b/>
      <w:sz w:val="24"/>
      <w:lang w:val="en-GB"/>
    </w:rPr>
  </w:style>
  <w:style w:type="character" w:customStyle="1" w:styleId="Antrat1Diagrama">
    <w:name w:val="Antraštė 1 Diagrama"/>
    <w:basedOn w:val="Numatytasispastraiposriftas"/>
    <w:link w:val="Antrat1"/>
    <w:uiPriority w:val="9"/>
    <w:rsid w:val="00C9154E"/>
    <w:rPr>
      <w:rFonts w:ascii="Times New Roman" w:hAnsi="Times New Roman" w:cs="Times New Roman"/>
      <w:b/>
      <w:sz w:val="28"/>
      <w:lang w:val="en-GB"/>
    </w:rPr>
  </w:style>
  <w:style w:type="character" w:customStyle="1" w:styleId="Antrat2Diagrama">
    <w:name w:val="Antraštė 2 Diagrama"/>
    <w:basedOn w:val="Numatytasispastraiposriftas"/>
    <w:link w:val="Antrat2"/>
    <w:uiPriority w:val="9"/>
    <w:rsid w:val="00C9154E"/>
    <w:rPr>
      <w:rFonts w:ascii="Times New Roman" w:hAnsi="Times New Roman" w:cs="Times New Roman"/>
      <w:b/>
      <w:sz w:val="24"/>
      <w:lang w:val="en-GB"/>
    </w:rPr>
  </w:style>
  <w:style w:type="character" w:customStyle="1" w:styleId="Antrat3Diagrama">
    <w:name w:val="Antraštė 3 Diagrama"/>
    <w:basedOn w:val="Numatytasispastraiposriftas"/>
    <w:link w:val="Antrat3"/>
    <w:uiPriority w:val="9"/>
    <w:rsid w:val="00F458D1"/>
    <w:rPr>
      <w:rFonts w:ascii="Times New Roman" w:eastAsia="Times New Roman" w:hAnsi="Times New Roman" w:cs="Times New Roman"/>
      <w:i/>
      <w:sz w:val="24"/>
      <w:szCs w:val="24"/>
      <w:lang w:val="en-GB" w:eastAsia="en-GB"/>
    </w:rPr>
  </w:style>
  <w:style w:type="paragraph" w:styleId="Turinioantrat">
    <w:name w:val="TOC Heading"/>
    <w:basedOn w:val="Antrat1"/>
    <w:next w:val="prastasis"/>
    <w:uiPriority w:val="39"/>
    <w:unhideWhenUsed/>
    <w:qFormat/>
    <w:rsid w:val="000D0CA5"/>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urinys1">
    <w:name w:val="toc 1"/>
    <w:basedOn w:val="prastasis"/>
    <w:next w:val="prastasis"/>
    <w:autoRedefine/>
    <w:uiPriority w:val="39"/>
    <w:unhideWhenUsed/>
    <w:rsid w:val="000D0CA5"/>
    <w:pPr>
      <w:spacing w:after="100"/>
    </w:pPr>
  </w:style>
  <w:style w:type="paragraph" w:styleId="Turinys2">
    <w:name w:val="toc 2"/>
    <w:basedOn w:val="prastasis"/>
    <w:next w:val="prastasis"/>
    <w:autoRedefine/>
    <w:uiPriority w:val="39"/>
    <w:unhideWhenUsed/>
    <w:rsid w:val="000D0CA5"/>
    <w:pPr>
      <w:spacing w:after="100"/>
      <w:ind w:left="220"/>
    </w:pPr>
  </w:style>
  <w:style w:type="paragraph" w:styleId="Turinys3">
    <w:name w:val="toc 3"/>
    <w:basedOn w:val="prastasis"/>
    <w:next w:val="prastasis"/>
    <w:autoRedefine/>
    <w:uiPriority w:val="39"/>
    <w:unhideWhenUsed/>
    <w:rsid w:val="000D0CA5"/>
    <w:pPr>
      <w:spacing w:after="100"/>
      <w:ind w:left="440"/>
    </w:pPr>
  </w:style>
  <w:style w:type="character" w:styleId="Hipersaitas">
    <w:name w:val="Hyperlink"/>
    <w:basedOn w:val="Numatytasispastraiposriftas"/>
    <w:uiPriority w:val="99"/>
    <w:unhideWhenUsed/>
    <w:rsid w:val="000D0CA5"/>
    <w:rPr>
      <w:color w:val="0000FF" w:themeColor="hyperlink"/>
      <w:u w:val="single"/>
    </w:rPr>
  </w:style>
  <w:style w:type="paragraph" w:styleId="Antrats">
    <w:name w:val="header"/>
    <w:basedOn w:val="prastasis"/>
    <w:link w:val="AntratsDiagrama"/>
    <w:uiPriority w:val="99"/>
    <w:unhideWhenUsed/>
    <w:rsid w:val="009135E7"/>
    <w:pPr>
      <w:tabs>
        <w:tab w:val="center" w:pos="4680"/>
        <w:tab w:val="right" w:pos="9360"/>
      </w:tabs>
      <w:spacing w:after="0" w:line="240" w:lineRule="auto"/>
    </w:pPr>
  </w:style>
  <w:style w:type="character" w:customStyle="1" w:styleId="AntratsDiagrama">
    <w:name w:val="Antraštės Diagrama"/>
    <w:basedOn w:val="Numatytasispastraiposriftas"/>
    <w:link w:val="Antrats"/>
    <w:uiPriority w:val="99"/>
    <w:rsid w:val="009135E7"/>
  </w:style>
  <w:style w:type="paragraph" w:styleId="Porat">
    <w:name w:val="footer"/>
    <w:basedOn w:val="prastasis"/>
    <w:link w:val="PoratDiagrama"/>
    <w:uiPriority w:val="99"/>
    <w:unhideWhenUsed/>
    <w:rsid w:val="009135E7"/>
    <w:pPr>
      <w:tabs>
        <w:tab w:val="center" w:pos="4680"/>
        <w:tab w:val="right" w:pos="9360"/>
      </w:tabs>
      <w:spacing w:after="0" w:line="240" w:lineRule="auto"/>
    </w:pPr>
  </w:style>
  <w:style w:type="character" w:customStyle="1" w:styleId="PoratDiagrama">
    <w:name w:val="Poraštė Diagrama"/>
    <w:basedOn w:val="Numatytasispastraiposriftas"/>
    <w:link w:val="Porat"/>
    <w:uiPriority w:val="99"/>
    <w:rsid w:val="009135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265120">
      <w:bodyDiv w:val="1"/>
      <w:marLeft w:val="0"/>
      <w:marRight w:val="0"/>
      <w:marTop w:val="0"/>
      <w:marBottom w:val="0"/>
      <w:divBdr>
        <w:top w:val="none" w:sz="0" w:space="0" w:color="auto"/>
        <w:left w:val="none" w:sz="0" w:space="0" w:color="auto"/>
        <w:bottom w:val="none" w:sz="0" w:space="0" w:color="auto"/>
        <w:right w:val="none" w:sz="0" w:space="0" w:color="auto"/>
      </w:divBdr>
    </w:div>
    <w:div w:id="771125616">
      <w:bodyDiv w:val="1"/>
      <w:marLeft w:val="0"/>
      <w:marRight w:val="0"/>
      <w:marTop w:val="0"/>
      <w:marBottom w:val="0"/>
      <w:divBdr>
        <w:top w:val="none" w:sz="0" w:space="0" w:color="auto"/>
        <w:left w:val="none" w:sz="0" w:space="0" w:color="auto"/>
        <w:bottom w:val="none" w:sz="0" w:space="0" w:color="auto"/>
        <w:right w:val="none" w:sz="0" w:space="0" w:color="auto"/>
      </w:divBdr>
    </w:div>
    <w:div w:id="921185166">
      <w:bodyDiv w:val="1"/>
      <w:marLeft w:val="0"/>
      <w:marRight w:val="0"/>
      <w:marTop w:val="0"/>
      <w:marBottom w:val="0"/>
      <w:divBdr>
        <w:top w:val="none" w:sz="0" w:space="0" w:color="auto"/>
        <w:left w:val="none" w:sz="0" w:space="0" w:color="auto"/>
        <w:bottom w:val="none" w:sz="0" w:space="0" w:color="auto"/>
        <w:right w:val="none" w:sz="0" w:space="0" w:color="auto"/>
      </w:divBdr>
    </w:div>
    <w:div w:id="927614842">
      <w:bodyDiv w:val="1"/>
      <w:marLeft w:val="0"/>
      <w:marRight w:val="0"/>
      <w:marTop w:val="0"/>
      <w:marBottom w:val="0"/>
      <w:divBdr>
        <w:top w:val="none" w:sz="0" w:space="0" w:color="auto"/>
        <w:left w:val="none" w:sz="0" w:space="0" w:color="auto"/>
        <w:bottom w:val="none" w:sz="0" w:space="0" w:color="auto"/>
        <w:right w:val="none" w:sz="0" w:space="0" w:color="auto"/>
      </w:divBdr>
    </w:div>
    <w:div w:id="15854136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3.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TASK\May\8\task%202\UKS14505.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TASK\May\8\task%202\UKS14505.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TASK\May\8\task%202\UKS14505.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lt-L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1" i="0" u="none" strike="noStrike" kern="1200" baseline="0">
              <a:solidFill>
                <a:sysClr val="windowText" lastClr="000000"/>
              </a:solidFill>
              <a:effectLst/>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Sheet1!$A$20</c:f>
              <c:strCache>
                <c:ptCount val="1"/>
                <c:pt idx="0">
                  <c:v>PBP (years)</c:v>
                </c:pt>
              </c:strCache>
            </c:strRef>
          </c:tx>
          <c:spPr>
            <a:gradFill>
              <a:gsLst>
                <a:gs pos="0">
                  <a:schemeClr val="accent6"/>
                </a:gs>
                <a:gs pos="100000">
                  <a:schemeClr val="accent6">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Sheet1!$B$14:$C$14</c:f>
              <c:strCache>
                <c:ptCount val="2"/>
                <c:pt idx="0">
                  <c:v>Balance A</c:v>
                </c:pt>
                <c:pt idx="1">
                  <c:v>Balance B</c:v>
                </c:pt>
              </c:strCache>
            </c:strRef>
          </c:cat>
          <c:val>
            <c:numRef>
              <c:f>Sheet1!$B$20:$C$20</c:f>
              <c:numCache>
                <c:formatCode>General</c:formatCode>
                <c:ptCount val="2"/>
                <c:pt idx="0">
                  <c:v>3.5</c:v>
                </c:pt>
                <c:pt idx="1">
                  <c:v>2.25</c:v>
                </c:pt>
              </c:numCache>
            </c:numRef>
          </c:val>
          <c:extLst>
            <c:ext xmlns:c16="http://schemas.microsoft.com/office/drawing/2014/chart" uri="{C3380CC4-5D6E-409C-BE32-E72D297353CC}">
              <c16:uniqueId val="{00000000-68F7-4BE1-86FB-30C883D9BF55}"/>
            </c:ext>
          </c:extLst>
        </c:ser>
        <c:dLbls>
          <c:dLblPos val="inEnd"/>
          <c:showLegendKey val="0"/>
          <c:showVal val="1"/>
          <c:showCatName val="0"/>
          <c:showSerName val="0"/>
          <c:showPercent val="0"/>
          <c:showBubbleSize val="0"/>
        </c:dLbls>
        <c:gapWidth val="41"/>
        <c:axId val="228794512"/>
        <c:axId val="228794928"/>
      </c:barChart>
      <c:catAx>
        <c:axId val="228794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effectLst/>
                <a:latin typeface="Times New Roman" panose="02020603050405020304" pitchFamily="18" charset="0"/>
                <a:ea typeface="+mn-ea"/>
                <a:cs typeface="Times New Roman" panose="02020603050405020304" pitchFamily="18" charset="0"/>
              </a:defRPr>
            </a:pPr>
            <a:endParaRPr lang="en-US"/>
          </a:p>
        </c:txPr>
        <c:crossAx val="228794928"/>
        <c:crosses val="autoZero"/>
        <c:auto val="1"/>
        <c:lblAlgn val="ctr"/>
        <c:lblOffset val="100"/>
        <c:noMultiLvlLbl val="0"/>
      </c:catAx>
      <c:valAx>
        <c:axId val="228794928"/>
        <c:scaling>
          <c:orientation val="minMax"/>
        </c:scaling>
        <c:delete val="1"/>
        <c:axPos val="l"/>
        <c:numFmt formatCode="General" sourceLinked="1"/>
        <c:majorTickMark val="none"/>
        <c:minorTickMark val="none"/>
        <c:tickLblPos val="nextTo"/>
        <c:crossAx val="228794512"/>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lt-L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spc="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bar"/>
        <c:grouping val="clustered"/>
        <c:varyColors val="0"/>
        <c:ser>
          <c:idx val="0"/>
          <c:order val="0"/>
          <c:tx>
            <c:strRef>
              <c:f>Sheet1!$A$27</c:f>
              <c:strCache>
                <c:ptCount val="1"/>
                <c:pt idx="0">
                  <c:v>Accounting Rate of Return (ARR) </c:v>
                </c:pt>
              </c:strCache>
            </c:strRef>
          </c:tx>
          <c:spPr>
            <a:solidFill>
              <a:schemeClr val="accent6"/>
            </a:solidFill>
            <a:ln>
              <a:noFill/>
            </a:ln>
            <a:effectLst/>
          </c:spPr>
          <c:invertIfNegative val="0"/>
          <c:cat>
            <c:strRef>
              <c:f>Sheet1!$C$23:$D$23</c:f>
              <c:strCache>
                <c:ptCount val="2"/>
                <c:pt idx="0">
                  <c:v>A</c:v>
                </c:pt>
                <c:pt idx="1">
                  <c:v>B</c:v>
                </c:pt>
              </c:strCache>
            </c:strRef>
          </c:cat>
          <c:val>
            <c:numRef>
              <c:f>Sheet1!$C$27:$D$27</c:f>
              <c:numCache>
                <c:formatCode>0.00%</c:formatCode>
                <c:ptCount val="2"/>
                <c:pt idx="0">
                  <c:v>1.95E-2</c:v>
                </c:pt>
                <c:pt idx="1">
                  <c:v>1.95E-2</c:v>
                </c:pt>
              </c:numCache>
            </c:numRef>
          </c:val>
          <c:extLst>
            <c:ext xmlns:c16="http://schemas.microsoft.com/office/drawing/2014/chart" uri="{C3380CC4-5D6E-409C-BE32-E72D297353CC}">
              <c16:uniqueId val="{00000000-0490-4CB4-A1E3-AC4EA5337DE2}"/>
            </c:ext>
          </c:extLst>
        </c:ser>
        <c:dLbls>
          <c:showLegendKey val="0"/>
          <c:showVal val="0"/>
          <c:showCatName val="0"/>
          <c:showSerName val="0"/>
          <c:showPercent val="0"/>
          <c:showBubbleSize val="0"/>
        </c:dLbls>
        <c:gapWidth val="182"/>
        <c:axId val="346456976"/>
        <c:axId val="346456560"/>
      </c:barChart>
      <c:catAx>
        <c:axId val="346456976"/>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46456560"/>
        <c:crosses val="autoZero"/>
        <c:auto val="1"/>
        <c:lblAlgn val="ctr"/>
        <c:lblOffset val="100"/>
        <c:noMultiLvlLbl val="0"/>
      </c:catAx>
      <c:valAx>
        <c:axId val="34645656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Times New Roman" panose="02020603050405020304" pitchFamily="18" charset="0"/>
                <a:ea typeface="+mn-ea"/>
                <a:cs typeface="Times New Roman" panose="02020603050405020304" pitchFamily="18" charset="0"/>
              </a:defRPr>
            </a:pPr>
            <a:endParaRPr lang="en-US"/>
          </a:p>
        </c:txPr>
        <c:crossAx val="346456976"/>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b="1">
          <a:solidFill>
            <a:sysClr val="windowText" lastClr="000000"/>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lt-LT"/>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bg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lineChart>
        <c:grouping val="standard"/>
        <c:varyColors val="0"/>
        <c:ser>
          <c:idx val="0"/>
          <c:order val="0"/>
          <c:tx>
            <c:strRef>
              <c:f>Sheet1!$A$31</c:f>
              <c:strCache>
                <c:ptCount val="1"/>
                <c:pt idx="0">
                  <c:v>Net Present Value (NPV) </c:v>
                </c:pt>
              </c:strCache>
            </c:strRef>
          </c:tx>
          <c:spPr>
            <a:ln w="25400" cap="rnd">
              <a:solidFill>
                <a:schemeClr val="lt1"/>
              </a:solidFill>
              <a:round/>
            </a:ln>
            <a:effectLst>
              <a:outerShdw dist="25400" dir="2700000" algn="tl" rotWithShape="0">
                <a:schemeClr val="accent6"/>
              </a:outerShdw>
            </a:effectLst>
          </c:spPr>
          <c:marker>
            <c:symbol val="none"/>
          </c:marker>
          <c:dLbls>
            <c:spPr>
              <a:solidFill>
                <a:schemeClr val="accent6"/>
              </a:solidFill>
              <a:ln>
                <a:noFill/>
              </a:ln>
              <a:effectLst/>
            </c:spPr>
            <c:txPr>
              <a:bodyPr rot="0" spcFirstLastPara="1" vertOverflow="ellipsis" vert="horz" wrap="square" anchor="ctr" anchorCtr="1"/>
              <a:lstStyle/>
              <a:p>
                <a:pPr>
                  <a:defRPr sz="900" b="1" i="0" u="none" strike="noStrike" kern="1200" baseline="0">
                    <a:solidFill>
                      <a:schemeClr val="bg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Sheet1!$C$30:$D$30</c:f>
              <c:strCache>
                <c:ptCount val="2"/>
                <c:pt idx="0">
                  <c:v>A</c:v>
                </c:pt>
                <c:pt idx="1">
                  <c:v>B</c:v>
                </c:pt>
              </c:strCache>
            </c:strRef>
          </c:cat>
          <c:val>
            <c:numRef>
              <c:f>Sheet1!$C$31:$D$31</c:f>
              <c:numCache>
                <c:formatCode>"$"#,##0.00_);[Red]\("$"#,##0.00\)</c:formatCode>
                <c:ptCount val="2"/>
                <c:pt idx="0">
                  <c:v>19.79392772118025</c:v>
                </c:pt>
                <c:pt idx="1">
                  <c:v>15.488965625482814</c:v>
                </c:pt>
              </c:numCache>
            </c:numRef>
          </c:val>
          <c:smooth val="0"/>
          <c:extLst>
            <c:ext xmlns:c16="http://schemas.microsoft.com/office/drawing/2014/chart" uri="{C3380CC4-5D6E-409C-BE32-E72D297353CC}">
              <c16:uniqueId val="{00000000-9AC2-4D62-9DE3-2CA01B32F2F9}"/>
            </c:ext>
          </c:extLst>
        </c:ser>
        <c:dLbls>
          <c:dLblPos val="ctr"/>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46458640"/>
        <c:axId val="346459056"/>
      </c:lineChart>
      <c:catAx>
        <c:axId val="346458640"/>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spc="30" baseline="0">
                <a:solidFill>
                  <a:schemeClr val="bg1"/>
                </a:solidFill>
                <a:latin typeface="Times New Roman" panose="02020603050405020304" pitchFamily="18" charset="0"/>
                <a:ea typeface="+mn-ea"/>
                <a:cs typeface="Times New Roman" panose="02020603050405020304" pitchFamily="18" charset="0"/>
              </a:defRPr>
            </a:pPr>
            <a:endParaRPr lang="en-US"/>
          </a:p>
        </c:txPr>
        <c:crossAx val="346459056"/>
        <c:crosses val="autoZero"/>
        <c:auto val="1"/>
        <c:lblAlgn val="ctr"/>
        <c:lblOffset val="100"/>
        <c:noMultiLvlLbl val="0"/>
      </c:catAx>
      <c:valAx>
        <c:axId val="346459056"/>
        <c:scaling>
          <c:orientation val="minMax"/>
        </c:scaling>
        <c:delete val="1"/>
        <c:axPos val="l"/>
        <c:numFmt formatCode="&quot;$&quot;#,##0.00_);[Red]\(&quot;$&quot;#,##0.00\)" sourceLinked="1"/>
        <c:majorTickMark val="none"/>
        <c:minorTickMark val="none"/>
        <c:tickLblPos val="nextTo"/>
        <c:crossAx val="346458640"/>
        <c:crosses val="autoZero"/>
        <c:crossBetween val="between"/>
      </c:valAx>
      <c:spPr>
        <a:noFill/>
        <a:ln>
          <a:noFill/>
        </a:ln>
        <a:effectLst/>
      </c:spPr>
    </c:plotArea>
    <c:plotVisOnly val="1"/>
    <c:dispBlanksAs val="gap"/>
    <c:showDLblsOverMax val="0"/>
  </c:chart>
  <c:spPr>
    <a:solidFill>
      <a:schemeClr val="accent6"/>
    </a:solidFill>
    <a:ln w="9525" cap="flat" cmpd="sng" algn="ctr">
      <a:solidFill>
        <a:schemeClr val="lt1">
          <a:lumMod val="85000"/>
        </a:schemeClr>
      </a:solidFill>
      <a:round/>
    </a:ln>
    <a:effectLst/>
  </c:spPr>
  <c:txPr>
    <a:bodyPr/>
    <a:lstStyle/>
    <a:p>
      <a:pPr>
        <a:defRPr b="1">
          <a:solidFill>
            <a:schemeClr val="bg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3">
  <a:schemeClr val="accent6"/>
  <a:schemeClr val="accent5"/>
  <a:schemeClr val="accent4"/>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8">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spc="3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lt1">
            <a:lumMod val="85000"/>
          </a:schemeClr>
        </a:solidFill>
        <a:round/>
      </a:ln>
    </cs:spPr>
    <cs:defRPr sz="1000" kern="1200"/>
  </cs:chartArea>
  <cs:dataLabel>
    <cs:lnRef idx="0"/>
    <cs:fillRef idx="0">
      <cs:styleClr val="0"/>
    </cs:fillRef>
    <cs:effectRef idx="0"/>
    <cs:fontRef idx="minor">
      <a:schemeClr val="lt1"/>
    </cs:fontRef>
    <cs:spPr>
      <a:solidFill>
        <a:schemeClr val="phClr"/>
      </a:solidFill>
    </cs:spPr>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25400"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cs:spPr>
  </cs:dataPointMarker>
  <cs:dataPointMarkerLayout symbol="circle" size="14"/>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FE5DFC46-496A-402B-BC7F-B929ADE22F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6171</Words>
  <Characters>35181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Lina Birmante (2010698)</cp:lastModifiedBy>
  <cp:revision>2</cp:revision>
  <dcterms:created xsi:type="dcterms:W3CDTF">2021-05-10T21:03:00Z</dcterms:created>
  <dcterms:modified xsi:type="dcterms:W3CDTF">2021-05-10T21:03:00Z</dcterms:modified>
</cp:coreProperties>
</file>