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4C5EF838" w:rsidP="0E74AA13" w:rsidRDefault="4C5EF838" w14:paraId="45181615" w14:textId="08ED25C4">
      <w:pPr>
        <w:pStyle w:val="Heading1"/>
        <w:rPr>
          <w:b w:val="1"/>
          <w:bCs w:val="1"/>
          <w:i w:val="1"/>
          <w:iCs w:val="1"/>
          <w:u w:val="single"/>
        </w:rPr>
      </w:pPr>
      <w:r w:rsidR="4C5EF838">
        <w:rPr/>
        <w:t>Genesis and the human creation myth</w:t>
      </w:r>
    </w:p>
    <w:p w:rsidR="0E74AA13" w:rsidP="0E74AA13" w:rsidRDefault="0E74AA13" w14:paraId="2507839F" w14:textId="5253CFA2">
      <w:pPr>
        <w:pStyle w:val="Normal"/>
        <w:rPr/>
      </w:pPr>
    </w:p>
    <w:p w:rsidR="7E9AF067" w:rsidP="479D847E" w:rsidRDefault="7E9AF067" w14:paraId="71332530" w14:textId="366FF6BF">
      <w:pPr>
        <w:pStyle w:val="Normal"/>
        <w:rPr/>
      </w:pPr>
      <w:r w:rsidR="7E9AF067">
        <w:rPr/>
        <w:t xml:space="preserve">The myth of creation in the Book of Genesis and the story of Adam and Eve </w:t>
      </w:r>
      <w:r w:rsidR="1FBC305B">
        <w:rPr/>
        <w:t>could be argued to be one of the most known stories from the Old Testament. Alongside stories such as Noah and the Ark</w:t>
      </w:r>
      <w:r w:rsidR="4069BDC2">
        <w:rPr/>
        <w:t>, and that of Moses and the ten commandments, the creation of the Earth and</w:t>
      </w:r>
      <w:r w:rsidR="0AE1A492">
        <w:rPr/>
        <w:t xml:space="preserve"> </w:t>
      </w:r>
      <w:bookmarkStart w:name="_Int_18LWCeaw" w:id="1798811253"/>
      <w:r w:rsidR="0AE1A492">
        <w:rPr/>
        <w:t>the human race</w:t>
      </w:r>
      <w:bookmarkEnd w:id="1798811253"/>
      <w:r w:rsidR="0AE1A492">
        <w:rPr/>
        <w:t xml:space="preserve"> </w:t>
      </w:r>
      <w:r w:rsidR="16296B52">
        <w:rPr/>
        <w:t>serves as an answer to awkward questions</w:t>
      </w:r>
      <w:r w:rsidR="431FF35F">
        <w:rPr/>
        <w:t xml:space="preserve"> and as warnings for curious children. </w:t>
      </w:r>
      <w:r w:rsidR="7DCEB94C">
        <w:rPr/>
        <w:t>For many, it is a story based in truth</w:t>
      </w:r>
      <w:r w:rsidR="4215ABDE">
        <w:rPr/>
        <w:t xml:space="preserve">, with 46.2% of </w:t>
      </w:r>
      <w:r w:rsidR="1F9F18CC">
        <w:rPr/>
        <w:t>the</w:t>
      </w:r>
      <w:r w:rsidR="4215ABDE">
        <w:rPr/>
        <w:t xml:space="preserve"> </w:t>
      </w:r>
      <w:r w:rsidR="4215ABDE">
        <w:rPr/>
        <w:t>population</w:t>
      </w:r>
      <w:r w:rsidR="7146322A">
        <w:rPr/>
        <w:t xml:space="preserve"> of England and Wales</w:t>
      </w:r>
      <w:r w:rsidR="4215ABDE">
        <w:rPr/>
        <w:t xml:space="preserve"> in 2021 </w:t>
      </w:r>
      <w:r w:rsidR="4215ABDE">
        <w:rPr/>
        <w:t>identifying</w:t>
      </w:r>
      <w:r w:rsidR="4215ABDE">
        <w:rPr/>
        <w:t xml:space="preserve"> themselves as Christian, 6.5% as Muslim, and 0.5% as Jewish</w:t>
      </w:r>
      <w:r w:rsidRPr="479D847E">
        <w:rPr>
          <w:rStyle w:val="FootnoteReference"/>
        </w:rPr>
        <w:footnoteReference w:id="17498"/>
      </w:r>
      <w:r w:rsidR="4215ABDE">
        <w:rPr/>
        <w:t xml:space="preserve">. </w:t>
      </w:r>
      <w:r w:rsidR="7E391CA0">
        <w:rPr/>
        <w:t xml:space="preserve">Abrahamic religion </w:t>
      </w:r>
      <w:r w:rsidR="2B2FA4AE">
        <w:rPr/>
        <w:t>encompasses a large amount of the world's modern population with numbers that continue to increase</w:t>
      </w:r>
      <w:r w:rsidRPr="479D847E">
        <w:rPr>
          <w:rStyle w:val="FootnoteReference"/>
        </w:rPr>
        <w:footnoteReference w:id="16208"/>
      </w:r>
      <w:r w:rsidR="60EDF1B8">
        <w:rPr/>
        <w:t xml:space="preserve">. Though the </w:t>
      </w:r>
      <w:r w:rsidR="304708E4">
        <w:rPr/>
        <w:t>modern-day</w:t>
      </w:r>
      <w:r w:rsidR="60EDF1B8">
        <w:rPr/>
        <w:t xml:space="preserve"> numbers show </w:t>
      </w:r>
      <w:r w:rsidR="160011E1">
        <w:rPr/>
        <w:t xml:space="preserve">monotheistic religions making up </w:t>
      </w:r>
      <w:r w:rsidR="6CA81326">
        <w:rPr/>
        <w:t xml:space="preserve">a sizeable </w:t>
      </w:r>
      <w:r w:rsidR="6CA81326">
        <w:rPr/>
        <w:t>portion</w:t>
      </w:r>
      <w:r w:rsidR="160011E1">
        <w:rPr/>
        <w:t xml:space="preserve"> of religious beliefs, the same </w:t>
      </w:r>
      <w:r w:rsidR="0E7B4233">
        <w:rPr/>
        <w:t>cannot</w:t>
      </w:r>
      <w:r w:rsidR="160011E1">
        <w:rPr/>
        <w:t xml:space="preserve"> be said for </w:t>
      </w:r>
      <w:r w:rsidR="0FFA5EC2">
        <w:rPr/>
        <w:t>more ancient times</w:t>
      </w:r>
      <w:r w:rsidR="3B330463">
        <w:rPr/>
        <w:t>, especially in the Ancient Near East and surrounding the Mediterranean. A monotheistic religion would stick out in comparison to</w:t>
      </w:r>
      <w:r w:rsidR="3963D4E5">
        <w:rPr/>
        <w:t xml:space="preserve"> polytheistic religions such as the beliefs of </w:t>
      </w:r>
      <w:r w:rsidR="3B330463">
        <w:rPr/>
        <w:t xml:space="preserve">Graeco-Roman, </w:t>
      </w:r>
      <w:r w:rsidR="24FF4224">
        <w:rPr/>
        <w:t>Mesopotamian</w:t>
      </w:r>
      <w:r w:rsidR="3B330463">
        <w:rPr/>
        <w:t xml:space="preserve">, and </w:t>
      </w:r>
      <w:r w:rsidR="01258618">
        <w:rPr/>
        <w:t xml:space="preserve">Hittite peoples.</w:t>
      </w:r>
      <w:r w:rsidR="0FB0BDF4">
        <w:rPr/>
        <w:t xml:space="preserve"> Historically, those practicing Judaism and later Christianity suffered under the hand of several foreign invasions</w:t>
      </w:r>
      <w:r w:rsidR="5A89FFAF">
        <w:rPr/>
        <w:t xml:space="preserve">, with the likes of </w:t>
      </w:r>
      <w:r w:rsidR="5DC1A071">
        <w:rPr/>
        <w:t xml:space="preserve">Alexander the Great in the 4</w:t>
      </w:r>
      <w:r w:rsidRPr="0E74AA13" w:rsidR="5DC1A071">
        <w:rPr>
          <w:vertAlign w:val="superscript"/>
        </w:rPr>
        <w:t xml:space="preserve">th</w:t>
      </w:r>
      <w:r w:rsidR="5DC1A071">
        <w:rPr/>
        <w:t xml:space="preserve"> Century BC and his conquest of the Ancient Near East</w:t>
      </w:r>
      <w:r w:rsidR="6ADB5FC3">
        <w:rPr/>
        <w:t xml:space="preserve">,</w:t>
      </w:r>
      <w:r w:rsidR="5DC1A071">
        <w:rPr/>
        <w:t xml:space="preserve"> followed by the rise of the Roman Empir</w:t>
      </w:r>
      <w:r w:rsidR="737CA1EF">
        <w:rPr/>
        <w:t xml:space="preserve">e. </w:t>
      </w:r>
    </w:p>
    <w:p w:rsidR="737CA1EF" w:rsidP="0E74AA13" w:rsidRDefault="737CA1EF" w14:paraId="248CA54A" w14:textId="17AD050A">
      <w:pPr>
        <w:pStyle w:val="Normal"/>
        <w:rPr/>
      </w:pPr>
      <w:r w:rsidR="737CA1EF">
        <w:rPr/>
        <w:t>Under the Romans the Christians suffered great persecution</w:t>
      </w:r>
      <w:r w:rsidR="402F72F0">
        <w:rPr/>
        <w:t xml:space="preserve">. According to the Gospel of Matthew (2.16), Herod the Great, a Roman placed in charge of Judea, </w:t>
      </w:r>
      <w:r w:rsidR="60DD0057">
        <w:rPr/>
        <w:t>ordered the killing of all young boys under two</w:t>
      </w:r>
      <w:r w:rsidR="22381B26">
        <w:rPr/>
        <w:t xml:space="preserve"> in Bethlehem</w:t>
      </w:r>
      <w:r w:rsidR="60DD0057">
        <w:rPr/>
        <w:t>, feeling threatened by the birth of Jesus</w:t>
      </w:r>
      <w:r w:rsidRPr="0E74AA13">
        <w:rPr>
          <w:rStyle w:val="FootnoteReference"/>
        </w:rPr>
        <w:footnoteReference w:id="29139"/>
      </w:r>
      <w:r w:rsidR="60DD0057">
        <w:rPr/>
        <w:t>. Tacitus describes persecutio</w:t>
      </w:r>
      <w:r w:rsidR="383BCC52">
        <w:rPr/>
        <w:t xml:space="preserve">n of Christians </w:t>
      </w:r>
      <w:r w:rsidR="41633318">
        <w:rPr/>
        <w:t>under the rule of Emperor Nero, attributing their suffering to a result of the fire of Rome, implying a punishment for their contribution</w:t>
      </w:r>
      <w:r w:rsidRPr="0E74AA13">
        <w:rPr>
          <w:rStyle w:val="FootnoteReference"/>
        </w:rPr>
        <w:footnoteReference w:id="30047"/>
      </w:r>
      <w:r w:rsidR="41633318">
        <w:rPr/>
        <w:t xml:space="preserve">. </w:t>
      </w:r>
      <w:r w:rsidR="639335F4">
        <w:rPr/>
        <w:t xml:space="preserve">Christian writers instead write of being punished for their faith, rather than for a specific set of actions. </w:t>
      </w:r>
      <w:r w:rsidR="5D2C9F90">
        <w:rPr/>
        <w:t xml:space="preserve">In Alexandria in Egypt, Jews, though some Hellenised, experienced exclusion for their religious ideas, </w:t>
      </w:r>
      <w:r w:rsidR="1E87BA5F">
        <w:rPr/>
        <w:t xml:space="preserve">and in later times were even beaten to death. </w:t>
      </w:r>
      <w:r w:rsidR="26A3527A">
        <w:rPr/>
        <w:t>The treatment of the Jewish people under the rule of people of other faiths can be seen reflected throughout the Bible.</w:t>
      </w:r>
      <w:r w:rsidR="14F4F556">
        <w:rPr/>
        <w:t xml:space="preserve"> In Revelation </w:t>
      </w:r>
      <w:r w:rsidR="5C327466">
        <w:rPr/>
        <w:t>18.2</w:t>
      </w:r>
      <w:r w:rsidR="14F4F556">
        <w:rPr/>
        <w:t xml:space="preserve">, an Angel </w:t>
      </w:r>
      <w:r w:rsidR="7CE001CD">
        <w:rPr/>
        <w:t>rejoices</w:t>
      </w:r>
      <w:r w:rsidR="6EE20570">
        <w:rPr/>
        <w:t xml:space="preserve"> for the fall of Babylon</w:t>
      </w:r>
      <w:r w:rsidRPr="0E74AA13">
        <w:rPr>
          <w:rStyle w:val="FootnoteReference"/>
        </w:rPr>
        <w:footnoteReference w:id="27602"/>
      </w:r>
      <w:r w:rsidR="06A467B7">
        <w:rPr/>
        <w:t>.</w:t>
      </w:r>
      <w:r w:rsidR="26A3527A">
        <w:rPr/>
        <w:t xml:space="preserve"> </w:t>
      </w:r>
      <w:r w:rsidR="26A3527A">
        <w:rPr/>
        <w:t>Resentment towards those who treated them unfairly can often be found, for example in Leviticus 18.3, whe</w:t>
      </w:r>
      <w:r w:rsidR="00906295">
        <w:rPr/>
        <w:t>re God commands his people to not follow</w:t>
      </w:r>
      <w:r w:rsidR="0230A231">
        <w:rPr/>
        <w:t xml:space="preserve"> specifically</w:t>
      </w:r>
      <w:r w:rsidR="00906295">
        <w:rPr/>
        <w:t xml:space="preserve"> the practices of Egyptians and Canaanites, instead giving his own list of regulations</w:t>
      </w:r>
      <w:r w:rsidRPr="0E74AA13">
        <w:rPr>
          <w:rStyle w:val="FootnoteReference"/>
        </w:rPr>
        <w:footnoteReference w:id="14613"/>
      </w:r>
      <w:r w:rsidR="00906295">
        <w:rPr/>
        <w:t xml:space="preserve">. </w:t>
      </w:r>
      <w:r w:rsidR="7E79EDFC">
        <w:rPr/>
        <w:t>This passage of Leviticus 18 has been subject to some controversy around the translation of some parts, such as 19.22.</w:t>
      </w:r>
    </w:p>
    <w:p w:rsidR="0E74AA13" w:rsidP="0E74AA13" w:rsidRDefault="0E74AA13" w14:paraId="5D3A8F1A" w14:textId="6CF7AFF1">
      <w:pPr>
        <w:pStyle w:val="Normal"/>
        <w:rPr/>
      </w:pPr>
    </w:p>
    <w:p w:rsidR="43620CAF" w:rsidP="479D847E" w:rsidRDefault="43620CAF" w14:paraId="36D44A3C" w14:textId="4FC739F3">
      <w:pPr>
        <w:pStyle w:val="Normal"/>
        <w:rPr/>
      </w:pPr>
      <w:r w:rsidR="43620CAF">
        <w:rPr/>
        <w:t xml:space="preserve">A topic of great debate </w:t>
      </w:r>
      <w:r w:rsidR="7A42D5BA">
        <w:rPr/>
        <w:t>regarding</w:t>
      </w:r>
      <w:r w:rsidR="7A42D5BA">
        <w:rPr/>
        <w:t xml:space="preserve"> </w:t>
      </w:r>
      <w:r w:rsidR="2F54F5E3">
        <w:rPr/>
        <w:t xml:space="preserve">all passages within the Bible </w:t>
      </w:r>
      <w:r w:rsidR="35375A25">
        <w:rPr/>
        <w:t>circulates around differing translations of the text. Written originally in Hebrew and Aramaic</w:t>
      </w:r>
      <w:r w:rsidRPr="479D847E">
        <w:rPr>
          <w:rStyle w:val="FootnoteReference"/>
        </w:rPr>
        <w:footnoteReference w:id="12774"/>
      </w:r>
      <w:r w:rsidR="35375A25">
        <w:rPr/>
        <w:t xml:space="preserve">, </w:t>
      </w:r>
      <w:r w:rsidR="6A497A4D">
        <w:rPr/>
        <w:t>in the modern day the Bible does not lack in translations into various languages. One of the earliest translations from the original is into Greek</w:t>
      </w:r>
      <w:r w:rsidR="4C522283">
        <w:rPr/>
        <w:t xml:space="preserve"> for the use of Hellenised Jews</w:t>
      </w:r>
      <w:r w:rsidRPr="479D847E">
        <w:rPr>
          <w:rStyle w:val="FootnoteReference"/>
        </w:rPr>
        <w:footnoteReference w:id="15814"/>
      </w:r>
      <w:r w:rsidR="4C522283">
        <w:rPr/>
        <w:t xml:space="preserve"> across the Ancient Near East and Mediterranean, such as those in Alexandria. </w:t>
      </w:r>
      <w:r w:rsidR="6CFFAFEA">
        <w:rPr/>
        <w:t xml:space="preserve">Whilst some words may change entirely, such as </w:t>
      </w:r>
      <w:r w:rsidR="2498847B">
        <w:rPr/>
        <w:t>hā</w:t>
      </w:r>
      <w:r w:rsidR="2498847B">
        <w:rPr/>
        <w:t>·’</w:t>
      </w:r>
      <w:r w:rsidR="2498847B">
        <w:rPr/>
        <w:t>ā·ḏām</w:t>
      </w:r>
      <w:r w:rsidR="2498847B">
        <w:rPr/>
        <w:t>, “earth creature</w:t>
      </w:r>
      <w:r w:rsidR="0A9F6AF1">
        <w:rPr/>
        <w:t>,”</w:t>
      </w:r>
      <w:r w:rsidRPr="479D847E">
        <w:rPr>
          <w:rStyle w:val="FootnoteReference"/>
        </w:rPr>
        <w:footnoteReference w:id="18082"/>
      </w:r>
      <w:r w:rsidR="2498847B">
        <w:rPr/>
        <w:t xml:space="preserve"> resulting in Adam,</w:t>
      </w:r>
      <w:r w:rsidR="1950BDBB">
        <w:rPr/>
        <w:t xml:space="preserve"> some may chang</w:t>
      </w:r>
      <w:r w:rsidR="274EBA18">
        <w:rPr/>
        <w:t xml:space="preserve">e </w:t>
      </w:r>
      <w:r w:rsidR="1950BDBB">
        <w:rPr/>
        <w:t xml:space="preserve">slightly, such as </w:t>
      </w:r>
      <w:r w:rsidR="1950BDBB">
        <w:rPr/>
        <w:t>Sheol</w:t>
      </w:r>
      <w:r w:rsidR="1950BDBB">
        <w:rPr/>
        <w:t xml:space="preserve"> to Hades, </w:t>
      </w:r>
      <w:r w:rsidR="55F7A692">
        <w:rPr/>
        <w:t xml:space="preserve">but </w:t>
      </w:r>
      <w:r w:rsidR="1950BDBB">
        <w:rPr/>
        <w:t>changes can be as small as sentence structure or simply changes in grammar</w:t>
      </w:r>
      <w:r w:rsidR="7D91C694">
        <w:rPr/>
        <w:t xml:space="preserve">. These changes can still carry weight, with the addition or subtraction of one letter or addition of one word potentially creating a ripple effect throughout the passage. </w:t>
      </w:r>
      <w:r w:rsidR="2657671E">
        <w:rPr/>
        <w:t>In Genesis 3.5, for example, the New Revised Standard</w:t>
      </w:r>
      <w:r w:rsidR="48B9F63C">
        <w:rPr/>
        <w:t xml:space="preserve"> (NRS)</w:t>
      </w:r>
      <w:r w:rsidRPr="479D847E">
        <w:rPr>
          <w:rStyle w:val="FootnoteReference"/>
        </w:rPr>
        <w:footnoteReference w:id="11127"/>
      </w:r>
      <w:r w:rsidR="2657671E">
        <w:rPr/>
        <w:t xml:space="preserve"> has the serpent telling the woman that </w:t>
      </w:r>
      <w:r w:rsidR="13A7D614">
        <w:rPr/>
        <w:t>“you will be like God</w:t>
      </w:r>
      <w:r w:rsidR="32A621F5">
        <w:rPr/>
        <w:t>,”</w:t>
      </w:r>
      <w:r w:rsidR="13A7D614">
        <w:rPr/>
        <w:t xml:space="preserve"> </w:t>
      </w:r>
      <w:r w:rsidR="13A7D614">
        <w:rPr/>
        <w:t>whereas</w:t>
      </w:r>
      <w:r w:rsidR="13A7D614">
        <w:rPr/>
        <w:t xml:space="preserve"> in the King James </w:t>
      </w:r>
      <w:r w:rsidR="7FD40FCD">
        <w:rPr/>
        <w:t>V</w:t>
      </w:r>
      <w:r w:rsidR="13A7D614">
        <w:rPr/>
        <w:t>ersion</w:t>
      </w:r>
      <w:r w:rsidR="613C02B4">
        <w:rPr/>
        <w:t xml:space="preserve"> (KJV)</w:t>
      </w:r>
      <w:r w:rsidRPr="479D847E">
        <w:rPr>
          <w:rStyle w:val="FootnoteReference"/>
        </w:rPr>
        <w:footnoteReference w:id="20347"/>
      </w:r>
      <w:r w:rsidR="13A7D614">
        <w:rPr/>
        <w:t>, it instead says “ye shall be as gods</w:t>
      </w:r>
      <w:r w:rsidR="4DCE4495">
        <w:rPr/>
        <w:t>.”</w:t>
      </w:r>
      <w:r w:rsidR="13A7D614">
        <w:rPr/>
        <w:t xml:space="preserve"> This </w:t>
      </w:r>
      <w:r w:rsidR="7B77C3C2">
        <w:rPr/>
        <w:t>slight change</w:t>
      </w:r>
      <w:r w:rsidR="13A7D614">
        <w:rPr/>
        <w:t xml:space="preserve"> can result in the passage being interpreted differently</w:t>
      </w:r>
      <w:r w:rsidR="7B244F92">
        <w:rPr/>
        <w:t xml:space="preserve">. </w:t>
      </w:r>
      <w:r w:rsidR="2B7D10F0">
        <w:rPr/>
        <w:t xml:space="preserve">In the NRS, the serpent can be seen to imply that the woman will become </w:t>
      </w:r>
      <w:bookmarkStart w:name="_Int_qESO1bH1" w:id="303261922"/>
      <w:r w:rsidR="2B7D10F0">
        <w:rPr/>
        <w:t>similar to</w:t>
      </w:r>
      <w:bookmarkEnd w:id="303261922"/>
      <w:r w:rsidR="2B7D10F0">
        <w:rPr/>
        <w:t xml:space="preserve"> God from the knowledge gained from the t</w:t>
      </w:r>
      <w:r w:rsidR="165E0BB1">
        <w:rPr/>
        <w:t xml:space="preserve">ree, </w:t>
      </w:r>
      <w:r w:rsidR="165E0BB1">
        <w:rPr/>
        <w:t>whereas</w:t>
      </w:r>
      <w:r w:rsidR="165E0BB1">
        <w:rPr/>
        <w:t xml:space="preserve"> in the KJV it instead implies a rise to the same level as God, with the plural </w:t>
      </w:r>
      <w:r w:rsidR="165E0BB1">
        <w:rPr/>
        <w:t>indicating</w:t>
      </w:r>
      <w:r w:rsidR="165E0BB1">
        <w:rPr/>
        <w:t xml:space="preserve"> a presence of more than one entity describable as “god</w:t>
      </w:r>
      <w:r w:rsidR="15125A38">
        <w:rPr/>
        <w:t>.”</w:t>
      </w:r>
      <w:r w:rsidR="13B60F2E">
        <w:rPr/>
        <w:t xml:space="preserve"> </w:t>
      </w:r>
      <w:r w:rsidR="6EE8775D">
        <w:rPr/>
        <w:t xml:space="preserve"> Another example is of Genesis 2.23. In the NRS, </w:t>
      </w:r>
      <w:r w:rsidR="3CFB557C">
        <w:rPr/>
        <w:t>the man describes the woman with “This at last is bone of my bones.” In the Good News Translation (GNT)</w:t>
      </w:r>
      <w:r w:rsidRPr="479D847E">
        <w:rPr>
          <w:rStyle w:val="FootnoteReference"/>
        </w:rPr>
        <w:footnoteReference w:id="32577"/>
      </w:r>
      <w:r w:rsidR="3CFB557C">
        <w:rPr/>
        <w:t xml:space="preserve">, the man instead </w:t>
      </w:r>
      <w:r w:rsidR="61C28584">
        <w:rPr/>
        <w:t>says,</w:t>
      </w:r>
      <w:r w:rsidR="3CFB557C">
        <w:rPr/>
        <w:t xml:space="preserve"> “At last, here is one of my own kind, bone taken from my bone</w:t>
      </w:r>
      <w:r w:rsidR="5E9B5059">
        <w:rPr/>
        <w:t>.” The addition of ‘my own kind’</w:t>
      </w:r>
      <w:r w:rsidR="6B1D7F0E">
        <w:rPr/>
        <w:t xml:space="preserve"> in the GNT</w:t>
      </w:r>
      <w:r w:rsidR="5E9B5059">
        <w:rPr/>
        <w:t xml:space="preserve"> </w:t>
      </w:r>
      <w:r w:rsidR="2B4CF858">
        <w:rPr/>
        <w:t xml:space="preserve">puts a particular emphasis on the </w:t>
      </w:r>
      <w:r w:rsidR="2B4CF858">
        <w:rPr/>
        <w:t>previous</w:t>
      </w:r>
      <w:r w:rsidR="2B4CF858">
        <w:rPr/>
        <w:t xml:space="preserve"> part of the passage, in which God creates animals as companions for the human</w:t>
      </w:r>
      <w:r w:rsidR="24E661F4">
        <w:rPr/>
        <w:t xml:space="preserve"> with little success</w:t>
      </w:r>
      <w:r w:rsidR="3A645648">
        <w:rPr/>
        <w:t xml:space="preserve">, an emphasis </w:t>
      </w:r>
      <w:bookmarkStart w:name="_Int_Hpnw1fAw" w:id="1612086537"/>
      <w:r w:rsidR="3A645648">
        <w:rPr/>
        <w:t>not present</w:t>
      </w:r>
      <w:bookmarkEnd w:id="1612086537"/>
      <w:r w:rsidR="3A645648">
        <w:rPr/>
        <w:t xml:space="preserve"> within the NRS. </w:t>
      </w:r>
    </w:p>
    <w:p w:rsidR="0E74AA13" w:rsidP="0E74AA13" w:rsidRDefault="0E74AA13" w14:paraId="6866A12E" w14:textId="036C440B">
      <w:pPr>
        <w:pStyle w:val="Normal"/>
        <w:rPr/>
      </w:pPr>
    </w:p>
    <w:p w:rsidR="17B9B509" w:rsidP="479D847E" w:rsidRDefault="17B9B509" w14:paraId="48D0F797" w14:textId="59315B5F">
      <w:pPr>
        <w:pStyle w:val="Normal"/>
        <w:rPr/>
      </w:pPr>
      <w:r w:rsidR="17B9B509">
        <w:rPr/>
        <w:t xml:space="preserve">Another topic creating debate around the Bible stories stems from similarities to other Ancient Near East religions. Influence from Egyptian, </w:t>
      </w:r>
      <w:r w:rsidR="25B7B166">
        <w:rPr/>
        <w:t>Mesopotamian</w:t>
      </w:r>
      <w:r w:rsidR="17B9B509">
        <w:rPr/>
        <w:t xml:space="preserve">, </w:t>
      </w:r>
      <w:r w:rsidR="17B9B509">
        <w:rPr/>
        <w:t>H</w:t>
      </w:r>
      <w:r w:rsidR="11531EA5">
        <w:rPr/>
        <w:t>orito</w:t>
      </w:r>
      <w:r w:rsidR="11531EA5">
        <w:rPr/>
        <w:t>-Hittite, and West Semitic</w:t>
      </w:r>
      <w:r w:rsidRPr="479D847E">
        <w:rPr>
          <w:rStyle w:val="FootnoteReference"/>
        </w:rPr>
        <w:footnoteReference w:id="25241"/>
      </w:r>
      <w:r w:rsidR="11531EA5">
        <w:rPr/>
        <w:t xml:space="preserve"> can be seen</w:t>
      </w:r>
      <w:r w:rsidR="79C25D3E">
        <w:rPr/>
        <w:t xml:space="preserve">, as well as parallels with other beliefs, such as the Graeco-Roman. </w:t>
      </w:r>
      <w:r w:rsidR="735BC6DA">
        <w:rPr/>
        <w:t xml:space="preserve">A common and reoccurring theme present within the Bible is the creation of humans from the Earth. </w:t>
      </w:r>
      <w:r w:rsidR="69AF402B">
        <w:rPr/>
        <w:t>Graeco-Roman religion also shows humans as being “fashioned” from water and earth</w:t>
      </w:r>
      <w:r w:rsidRPr="479D847E">
        <w:rPr>
          <w:rStyle w:val="FootnoteReference"/>
        </w:rPr>
        <w:footnoteReference w:id="11701"/>
      </w:r>
      <w:r w:rsidR="579FDD35">
        <w:rPr/>
        <w:t xml:space="preserve">, and later from stones. Another reoccurring theme </w:t>
      </w:r>
      <w:r w:rsidR="5457B29E">
        <w:rPr/>
        <w:t xml:space="preserve">present in ANE religions but not </w:t>
      </w:r>
      <w:r w:rsidR="5457B29E">
        <w:rPr/>
        <w:t>immediately</w:t>
      </w:r>
      <w:r w:rsidR="5457B29E">
        <w:rPr/>
        <w:t xml:space="preserve"> present within the Bible is the usage of separation. For the likes of Greek and Mesopotamian myths, </w:t>
      </w:r>
      <w:r w:rsidR="72CC0C2C">
        <w:rPr/>
        <w:t xml:space="preserve">the world is created through the separation of the earth and the heavens, with </w:t>
      </w:r>
      <w:r w:rsidR="5B398203">
        <w:rPr/>
        <w:t>Atlas being punished to hold the heavens up in Greek myth</w:t>
      </w:r>
      <w:r w:rsidRPr="479D847E">
        <w:rPr>
          <w:rStyle w:val="FootnoteReference"/>
        </w:rPr>
        <w:footnoteReference w:id="4090"/>
      </w:r>
      <w:r w:rsidR="5B398203">
        <w:rPr/>
        <w:t>, and Tiamat being separated into the earth and heavens in the Enuma Elish</w:t>
      </w:r>
      <w:r w:rsidRPr="479D847E">
        <w:rPr>
          <w:rStyle w:val="FootnoteReference"/>
        </w:rPr>
        <w:footnoteReference w:id="24265"/>
      </w:r>
      <w:r w:rsidR="5B398203">
        <w:rPr/>
        <w:t>.</w:t>
      </w:r>
      <w:r w:rsidR="79ADDB91">
        <w:rPr/>
        <w:t xml:space="preserve"> Within the NRS translation of the Bible, a separation occurs in that of </w:t>
      </w:r>
      <w:r w:rsidR="13F4D295">
        <w:rPr/>
        <w:t xml:space="preserve">the story of Adam and Eve. Whilst it can be debated what part of Adam is removed </w:t>
      </w:r>
      <w:bookmarkStart w:name="_Int_XYksL97E" w:id="660559532"/>
      <w:r w:rsidR="13F4D295">
        <w:rPr/>
        <w:t>in order to</w:t>
      </w:r>
      <w:bookmarkEnd w:id="660559532"/>
      <w:r w:rsidR="13F4D295">
        <w:rPr/>
        <w:t xml:space="preserve"> create Eve, a part of him is removed and fashioned into Eve. </w:t>
      </w:r>
    </w:p>
    <w:p w:rsidR="17B9B509" w:rsidP="479D847E" w:rsidRDefault="17B9B509" w14:paraId="2B8BE783" w14:textId="40AA126A">
      <w:pPr>
        <w:pStyle w:val="Normal"/>
        <w:rPr/>
      </w:pPr>
      <w:r w:rsidR="13F4D295">
        <w:rPr/>
        <w:t xml:space="preserve">In </w:t>
      </w:r>
      <w:r w:rsidR="6A3C1B73">
        <w:rPr/>
        <w:t xml:space="preserve">Bal’s reading of Genesis</w:t>
      </w:r>
      <w:r w:rsidRPr="0E74AA13">
        <w:rPr>
          <w:rStyle w:val="FootnoteReference"/>
        </w:rPr>
        <w:footnoteReference w:id="32137"/>
      </w:r>
      <w:r w:rsidR="6A3C1B73">
        <w:rPr/>
        <w:t xml:space="preserve">, signifi</w:t>
      </w:r>
      <w:r w:rsidR="79AA31CF">
        <w:rPr/>
        <w:t xml:space="preserve">cance is placed upon this separation when </w:t>
      </w:r>
      <w:r w:rsidR="79AA31CF">
        <w:rPr/>
        <w:t xml:space="preserve">regarding</w:t>
      </w:r>
      <w:r w:rsidR="79AA31CF">
        <w:rPr/>
        <w:t xml:space="preserve"> the usage of </w:t>
      </w:r>
      <w:r w:rsidR="79AA31CF">
        <w:rPr/>
        <w:t>hā</w:t>
      </w:r>
      <w:r w:rsidR="79AA31CF">
        <w:rPr/>
        <w:t>·’</w:t>
      </w:r>
      <w:r w:rsidR="79AA31CF">
        <w:rPr/>
        <w:t>ā·ḏām</w:t>
      </w:r>
      <w:r w:rsidR="79AA31CF">
        <w:rPr/>
        <w:t xml:space="preserve"> as the </w:t>
      </w:r>
      <w:r w:rsidR="7174F565">
        <w:rPr/>
        <w:t>name used by the narrator</w:t>
      </w:r>
      <w:r w:rsidR="79AA31CF">
        <w:rPr/>
        <w:t xml:space="preserve"> for the first being created by God.</w:t>
      </w:r>
      <w:r w:rsidR="68999891">
        <w:rPr/>
        <w:t xml:space="preserve"> Being translated as “earth creature” can imply </w:t>
      </w:r>
      <w:r w:rsidR="6376F908">
        <w:rPr/>
        <w:t>a genderless being created, rather than the usual assumption of a man present in most translations</w:t>
      </w:r>
      <w:r w:rsidRPr="0E74AA13">
        <w:rPr>
          <w:rStyle w:val="FootnoteReference"/>
        </w:rPr>
        <w:footnoteReference w:id="29868"/>
      </w:r>
      <w:r w:rsidR="6376F908">
        <w:rPr/>
        <w:t xml:space="preserve">. </w:t>
      </w:r>
      <w:r w:rsidR="3DE90F15">
        <w:rPr/>
        <w:t xml:space="preserve">The change from </w:t>
      </w:r>
      <w:r w:rsidR="3DE90F15">
        <w:rPr/>
        <w:t>hā</w:t>
      </w:r>
      <w:r w:rsidR="3DE90F15">
        <w:rPr/>
        <w:t>·’</w:t>
      </w:r>
      <w:r w:rsidR="3DE90F15">
        <w:rPr/>
        <w:t>ā·ḏām</w:t>
      </w:r>
      <w:r w:rsidR="3DE90F15">
        <w:rPr/>
        <w:t xml:space="preserve"> </w:t>
      </w:r>
      <w:bookmarkStart w:name="_Int_IHdnGaPb" w:id="295379475"/>
      <w:r w:rsidR="444FA579">
        <w:rPr/>
        <w:t>to ”</w:t>
      </w:r>
      <w:bookmarkEnd w:id="295379475"/>
      <w:r w:rsidR="7B07BA6E">
        <w:rPr/>
        <w:t>'</w:t>
      </w:r>
      <w:r w:rsidR="7B07BA6E">
        <w:rPr/>
        <w:t>iššâ</w:t>
      </w:r>
      <w:r w:rsidR="21EF9F6E">
        <w:rPr/>
        <w:t>“, woman,</w:t>
      </w:r>
      <w:r w:rsidR="524DA1D6">
        <w:rPr/>
        <w:t xml:space="preserve"> </w:t>
      </w:r>
      <w:bookmarkStart w:name="_Int_r7zLP4fx" w:id="1494856702"/>
      <w:r w:rsidR="61DEA6CC">
        <w:rPr/>
        <w:t xml:space="preserve">and </w:t>
      </w:r>
      <w:r w:rsidR="3A1F1256">
        <w:rPr/>
        <w:t>”</w:t>
      </w:r>
      <w:bookmarkEnd w:id="1494856702"/>
      <w:r w:rsidR="524DA1D6">
        <w:rPr/>
        <w:t>'</w:t>
      </w:r>
      <w:r w:rsidR="524DA1D6">
        <w:rPr/>
        <w:t>îš</w:t>
      </w:r>
      <w:r w:rsidR="03B44706">
        <w:rPr/>
        <w:t>“</w:t>
      </w:r>
      <w:r w:rsidR="03755742">
        <w:rPr/>
        <w:t>, man,</w:t>
      </w:r>
      <w:r w:rsidR="027861D9">
        <w:rPr/>
        <w:t xml:space="preserve"> when discussing first the </w:t>
      </w:r>
      <w:r w:rsidR="489C0854">
        <w:rPr/>
        <w:t xml:space="preserve">first being and then the two resulting beings is regarded as significant </w:t>
      </w:r>
      <w:r w:rsidR="0F3D8551">
        <w:rPr/>
        <w:t xml:space="preserve">due to the potential weaponisation of Biblical texts against women. To assume the man is the first being created when in the original translation it is more </w:t>
      </w:r>
      <w:r w:rsidR="0F3D8551">
        <w:rPr/>
        <w:t>accurate</w:t>
      </w:r>
      <w:r w:rsidR="0F3D8551">
        <w:rPr/>
        <w:t xml:space="preserve"> to assume a more androgynous being </w:t>
      </w:r>
      <w:r w:rsidR="1A854C11">
        <w:rPr/>
        <w:t xml:space="preserve">can result in interpretations of women being the lesser sex. </w:t>
      </w:r>
      <w:r w:rsidR="592A3142">
        <w:rPr/>
        <w:t>Another common trope in the weaponisation of Biblical texts against women can be seen in the interaction with the s</w:t>
      </w:r>
      <w:r w:rsidR="09D11A17">
        <w:rPr/>
        <w:t>erpent</w:t>
      </w:r>
      <w:r w:rsidR="592A3142">
        <w:rPr/>
        <w:t xml:space="preserve">. Despite Eve being shown to simply give Adam </w:t>
      </w:r>
      <w:r w:rsidR="4B2C34E5">
        <w:rPr/>
        <w:t xml:space="preserve">a part of the fruit from the forbidden tree in Genesis 3.6, some might interpret her as a deliberately malicious character </w:t>
      </w:r>
      <w:r w:rsidR="7227B8A3">
        <w:rPr/>
        <w:t>trying to assure the demise of Adam. Bal points out that the verb in the original text used by the serpent is in the plural form</w:t>
      </w:r>
      <w:r w:rsidRPr="0E74AA13">
        <w:rPr>
          <w:rStyle w:val="FootnoteReference"/>
        </w:rPr>
        <w:footnoteReference w:id="28488"/>
      </w:r>
      <w:r w:rsidR="7227B8A3">
        <w:rPr/>
        <w:t>, implying that the serpent was speaking to both beings as opposed to just one</w:t>
      </w:r>
      <w:r w:rsidR="1518E0D7">
        <w:rPr/>
        <w:t xml:space="preserve">. As a result, it is difficult to interpret Eve as anything other than a curious human being who, as seen in Genesis 3.6, </w:t>
      </w:r>
      <w:r w:rsidR="7AD1E9D3">
        <w:rPr/>
        <w:t>simply saw how good the fruit would be to eat. Guilt cannot be attributed to either party, despite Adams later 'pointing of the finger’ in Genesis 3.12, a</w:t>
      </w:r>
      <w:r w:rsidR="331038A1">
        <w:rPr/>
        <w:t xml:space="preserve">s it is implied that both were present for the discussion with the serpent, and either could have resisted the temptation and chosen not to eat the fruit. </w:t>
      </w:r>
    </w:p>
    <w:p w:rsidR="17B9B509" w:rsidP="479D847E" w:rsidRDefault="17B9B509" w14:paraId="0D468A18" w14:textId="01B54E3E">
      <w:pPr>
        <w:pStyle w:val="Normal"/>
        <w:rPr/>
      </w:pPr>
    </w:p>
    <w:p w:rsidR="17B9B509" w:rsidP="479D847E" w:rsidRDefault="17B9B509" w14:paraId="322B1B89" w14:textId="369422E1">
      <w:pPr>
        <w:pStyle w:val="Normal"/>
        <w:rPr/>
      </w:pPr>
      <w:r w:rsidR="72B87092">
        <w:rPr/>
        <w:t xml:space="preserve">The Bible naturally lends itself to interpretation. Being written in a language that not everyone speaks, the translation of the text from language to language changes the content each time, though the change may be small. As </w:t>
      </w:r>
      <w:r w:rsidR="72B87092">
        <w:rPr/>
        <w:t>demonstrated</w:t>
      </w:r>
      <w:r w:rsidR="72B87092">
        <w:rPr/>
        <w:t>, ho</w:t>
      </w:r>
      <w:r w:rsidR="51038E54">
        <w:rPr/>
        <w:t xml:space="preserve">wever, even </w:t>
      </w:r>
      <w:bookmarkStart w:name="_Int_KXB3PB6j" w:id="1312388576"/>
      <w:r w:rsidR="51038E54">
        <w:rPr/>
        <w:t>small changes</w:t>
      </w:r>
      <w:bookmarkEnd w:id="1312388576"/>
      <w:r w:rsidR="51038E54">
        <w:rPr/>
        <w:t xml:space="preserve"> may have a much larger ripple effect over the course of the passage. The creation of Adam and Eve </w:t>
      </w:r>
      <w:bookmarkStart w:name="_Int_BOdedPXF" w:id="2092912512"/>
      <w:r w:rsidR="51038E54">
        <w:rPr/>
        <w:t>in particular has</w:t>
      </w:r>
      <w:bookmarkEnd w:id="2092912512"/>
      <w:r w:rsidR="51038E54">
        <w:rPr/>
        <w:t xml:space="preserve"> many pathways that can be explored via interpretatio</w:t>
      </w:r>
      <w:r w:rsidR="30E75CBC">
        <w:rPr/>
        <w:t>n, t</w:t>
      </w:r>
      <w:r w:rsidR="51038E54">
        <w:rPr/>
        <w:t xml:space="preserve">he concept of a </w:t>
      </w:r>
      <w:r w:rsidR="2941543B">
        <w:rPr/>
        <w:t>genderless being and the interpretation of Eve leading to a demonisation of women being only two.</w:t>
      </w:r>
      <w:r w:rsidR="241A2FF4">
        <w:rPr/>
        <w:t xml:space="preserve"> Historical context can be found throughout the entire text, with relations to those surrounding the practicing people observable within several passages. Additionally, good relations with the surrounding peoples in the exchange of stories can be found through the similarities of the creation myth in </w:t>
      </w:r>
      <w:r w:rsidR="44C7BD5B">
        <w:rPr/>
        <w:t xml:space="preserve">Genesis and with other Ancient Near East texts, such as that of the Enuma Elish and the Greek creation myth. </w:t>
      </w:r>
    </w:p>
    <w:p w:rsidR="17B9B509" w:rsidP="479D847E" w:rsidRDefault="17B9B509" w14:paraId="2072C0BA" w14:textId="539290C9">
      <w:pPr>
        <w:pStyle w:val="Normal"/>
        <w:rPr/>
      </w:pPr>
    </w:p>
    <w:p w:rsidR="17B9B509" w:rsidP="479D847E" w:rsidRDefault="17B9B509" w14:paraId="2972AA74" w14:textId="1820564A">
      <w:pPr>
        <w:pStyle w:val="Normal"/>
        <w:rPr/>
      </w:pPr>
    </w:p>
    <w:p w:rsidR="17B9B509" w:rsidP="0E74AA13" w:rsidRDefault="17B9B509" w14:paraId="389DB146" w14:textId="746740C1">
      <w:pPr>
        <w:pStyle w:val="Normal"/>
        <w:rPr>
          <w:u w:val="single"/>
        </w:rPr>
      </w:pPr>
      <w:r w:rsidRPr="0E74AA13" w:rsidR="241A2FF4">
        <w:rPr>
          <w:u w:val="single"/>
        </w:rPr>
        <w:t>Bibliography</w:t>
      </w:r>
    </w:p>
    <w:p w:rsidR="17B9B509" w:rsidP="479D847E" w:rsidRDefault="17B9B509" w14:paraId="7BCE978D" w14:textId="756B22C3">
      <w:pPr>
        <w:pStyle w:val="Normal"/>
        <w:rPr/>
      </w:pPr>
      <w:r w:rsidR="72B87092">
        <w:rPr/>
        <w:t>Albright, W. F. (1940). The Ancient Near East and the Religion of Israel. Journal of Biblical Literature, 59(2), 85. https://doi.org/10.2307/3262515</w:t>
      </w:r>
    </w:p>
    <w:p w:rsidR="17B9B509" w:rsidP="479D847E" w:rsidRDefault="17B9B509" w14:paraId="224D971D" w14:textId="2A8E2F4C">
      <w:pPr>
        <w:pStyle w:val="Normal"/>
        <w:rPr/>
      </w:pPr>
      <w:r w:rsidR="72B87092">
        <w:rPr/>
        <w:t>Genesis 3 - GNT. (n.d.). Bible Study Tools. Retrieved March 15, 2024, from https://www.biblestudytools.com/gnt/genesis/3.html</w:t>
      </w:r>
    </w:p>
    <w:p w:rsidR="17B9B509" w:rsidP="479D847E" w:rsidRDefault="17B9B509" w14:paraId="64A0F7E2" w14:textId="1FE09895">
      <w:pPr>
        <w:pStyle w:val="Normal"/>
        <w:rPr/>
      </w:pPr>
      <w:r w:rsidR="72B87092">
        <w:rPr/>
        <w:t>Genesis 3 - NRS. (n.d.). Bible Study Tools. Retrieved March 15, 2024, from https://www.biblestudytools.com/nrs/genesis/3.html</w:t>
      </w:r>
    </w:p>
    <w:p w:rsidR="17B9B509" w:rsidP="479D847E" w:rsidRDefault="17B9B509" w14:paraId="4D2005C6" w14:textId="5E5B1EBE">
      <w:pPr>
        <w:pStyle w:val="Normal"/>
        <w:rPr/>
      </w:pPr>
      <w:r w:rsidR="72B87092">
        <w:rPr/>
        <w:t>Genesis 3 KJV - “Now the serpent was more subtil than any beast of ...” (n.d.). Bible Study Tools. https://www.biblestudytools.com/kjv/genesis/3.html</w:t>
      </w:r>
    </w:p>
    <w:p w:rsidR="17B9B509" w:rsidP="479D847E" w:rsidRDefault="17B9B509" w14:paraId="7C9A1DA5" w14:textId="3B3D4342">
      <w:pPr>
        <w:pStyle w:val="Normal"/>
        <w:rPr/>
      </w:pPr>
      <w:r w:rsidR="72B87092">
        <w:rPr/>
        <w:t>The Enuma Elish. (n.d.). Retrieved March 15, 2024, from https://ia800707.us.archive.org/16/items/Holy-Books/EnumaElish.pdf</w:t>
      </w:r>
    </w:p>
    <w:p w:rsidR="17B9B509" w:rsidP="479D847E" w:rsidRDefault="17B9B509" w14:paraId="0241E7C8" w14:textId="297B52DB">
      <w:pPr>
        <w:pStyle w:val="Normal"/>
        <w:rPr/>
      </w:pPr>
      <w:r w:rsidR="72B87092">
        <w:rPr/>
        <w:t>Apollodorus. (2008). The Library of Greek Mythology (R. Hard, Trans.). Oxford Paperbacks.</w:t>
      </w:r>
    </w:p>
    <w:p w:rsidR="17B9B509" w:rsidP="479D847E" w:rsidRDefault="17B9B509" w14:paraId="501BC953" w14:textId="33572B7C">
      <w:pPr>
        <w:pStyle w:val="Normal"/>
        <w:rPr/>
      </w:pPr>
      <w:r w:rsidR="72B87092">
        <w:rPr/>
        <w:t>Bal, M. (1985). Sexuality, Sin and Sorrow: The Emergence of the Female Character (A Reading of Genesis 1-3). Poetics Today, 6(1/2), 21. https://doi.org/10.2307/1772119</w:t>
      </w:r>
    </w:p>
    <w:p w:rsidR="17B9B509" w:rsidP="479D847E" w:rsidRDefault="17B9B509" w14:paraId="4BEE75E0" w14:textId="76F2F718">
      <w:pPr>
        <w:pStyle w:val="Normal"/>
        <w:rPr/>
      </w:pPr>
      <w:r w:rsidR="72B87092">
        <w:rPr/>
        <w:t>Bell, H. I. (1927). Alexandria. The Journal of Egyptian Archaeology, 13(3/4), 171. https://doi.org/10.2307/3853956</w:t>
      </w:r>
    </w:p>
    <w:p w:rsidR="17B9B509" w:rsidP="479D847E" w:rsidRDefault="17B9B509" w14:paraId="6970BAE3" w14:textId="49958806">
      <w:pPr>
        <w:pStyle w:val="Normal"/>
        <w:rPr/>
      </w:pPr>
      <w:r w:rsidR="72B87092">
        <w:rPr/>
        <w:t>Clayton, F. W. (1947). Tacitus and Nero’s Persecution of the Christians. The Classical Quarterly, 41(3/4), 81–85. https://www.jstor.org/stable/636628</w:t>
      </w:r>
    </w:p>
    <w:p w:rsidR="17B9B509" w:rsidP="479D847E" w:rsidRDefault="17B9B509" w14:paraId="779DE061" w14:textId="29327C8A">
      <w:pPr>
        <w:pStyle w:val="Normal"/>
        <w:rPr/>
      </w:pPr>
      <w:r w:rsidR="72B87092">
        <w:rPr/>
        <w:t>Dyvik, E. H. (2023, October 13). Estimated percent change in worldwide population size by religion 2022. Statista. https://www.statista.com/statistics/953356/estimated-percent-change-worldwide-population-size-religion/</w:t>
      </w:r>
    </w:p>
    <w:p w:rsidR="17B9B509" w:rsidP="479D847E" w:rsidRDefault="17B9B509" w14:paraId="01D67BEE" w14:textId="638043BA">
      <w:pPr>
        <w:pStyle w:val="Normal"/>
        <w:rPr/>
      </w:pPr>
      <w:r w:rsidR="72B87092">
        <w:rPr/>
        <w:t>Hesiod, &amp; West, M. L. (2008). Theogony ; and, Works and days. Oxford University Press.</w:t>
      </w:r>
    </w:p>
    <w:p w:rsidR="17B9B509" w:rsidP="479D847E" w:rsidRDefault="17B9B509" w14:paraId="414B8DA8" w14:textId="7AAC4710">
      <w:pPr>
        <w:pStyle w:val="Normal"/>
        <w:rPr/>
      </w:pPr>
      <w:r w:rsidR="72B87092">
        <w:rPr/>
        <w:t>Kautzsch, E., &amp; Brown, C. R. (1884). The Aramaic Language. Hebraica, 1(2), 98–115. https://www.jstor.org/stable/527111</w:t>
      </w:r>
    </w:p>
    <w:p w:rsidR="17B9B509" w:rsidP="479D847E" w:rsidRDefault="17B9B509" w14:paraId="191B7A70" w14:textId="332D3B79">
      <w:pPr>
        <w:pStyle w:val="Normal"/>
        <w:rPr/>
      </w:pPr>
      <w:r w:rsidR="72B87092">
        <w:rPr/>
        <w:t>Matyszak, P. (2017). The Greek and Roman Myths : a Guide to the Classical Stories. Thames &amp; Hudson. (Original work published 2010)</w:t>
      </w:r>
    </w:p>
    <w:p w:rsidR="17B9B509" w:rsidP="479D847E" w:rsidRDefault="17B9B509" w14:paraId="5D3EBD2C" w14:textId="27F7AD18">
      <w:pPr>
        <w:pStyle w:val="Normal"/>
        <w:rPr/>
      </w:pPr>
      <w:r w:rsidR="72B87092">
        <w:rPr/>
        <w:t>Office for National Statistics. (2021, November 29). Religion, England and Wales - Office for National Statistics. Www.ons.gov.uk. https://www.ons.gov.uk/peoplepopulationandcommunity/culturalidentity/religion/bulletins/religionenglandandwales/census2021</w:t>
      </w:r>
    </w:p>
    <w:p w:rsidR="17B9B509" w:rsidP="479D847E" w:rsidRDefault="17B9B509" w14:paraId="3A43D4A6" w14:textId="60108D10">
      <w:pPr>
        <w:pStyle w:val="Normal"/>
        <w:rPr/>
      </w:pPr>
    </w:p>
    <w:p w:rsidR="17B9B509" w:rsidP="479D847E" w:rsidRDefault="17B9B509" w14:paraId="04DF65CE" w14:textId="505153E1">
      <w:pPr>
        <w:pStyle w:val="Normal"/>
        <w:rPr/>
      </w:pPr>
      <w:r w:rsidR="72B87092">
        <w:rPr/>
        <w:t>Vater, A. M., &amp; Trible, P. (1980). God and the Rhetoric of Sexuality. Journal of Biblical Literature, 99(1), 131. https://doi.org/10.2307/3265712</w:t>
      </w:r>
    </w:p>
    <w:p w:rsidR="17B9B509" w:rsidP="479D847E" w:rsidRDefault="17B9B509" w14:paraId="5CF0B4C8" w14:textId="60477A2A">
      <w:pPr>
        <w:pStyle w:val="Normal"/>
        <w:rPr/>
      </w:pPr>
    </w:p>
    <w:p w:rsidR="0E74AA13" w:rsidP="0E74AA13" w:rsidRDefault="0E74AA13" w14:paraId="349AF0C0" w14:textId="577007BE">
      <w:pPr>
        <w:pStyle w:val="Normal"/>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14="http://schemas.microsoft.com/office/word/2010/wordml" xmlns:w="http://schemas.openxmlformats.org/wordprocessingml/2006/main">
  <w:footnote w:type="separator" w:id="-1">
    <w:p w:rsidR="479D847E" w:rsidRDefault="479D847E" w14:paraId="227B85A5" w14:textId="5523ED6E">
      <w:pPr>
        <w:spacing w:after="0" w:line="240" w:lineRule="auto"/>
      </w:pPr>
      <w:r>
        <w:separator/>
      </w:r>
    </w:p>
  </w:footnote>
  <w:footnote w:type="continuationSeparator" w:id="0">
    <w:p w:rsidR="479D847E" w:rsidRDefault="479D847E" w14:paraId="5CC55A79" w14:textId="3C508A8F">
      <w:pPr>
        <w:spacing w:after="0" w:line="240" w:lineRule="auto"/>
      </w:pPr>
      <w:r>
        <w:continuationSeparator/>
      </w:r>
    </w:p>
  </w:footnote>
  <w:footnote w:id="17498">
    <w:p w:rsidR="479D847E" w:rsidP="479D847E" w:rsidRDefault="479D847E" w14:paraId="0F3A5D89" w14:textId="729BA26D">
      <w:pPr>
        <w:pStyle w:val="FootnoteText"/>
        <w:bidi w:val="0"/>
        <w:rPr/>
      </w:pPr>
      <w:r w:rsidRPr="479D847E">
        <w:rPr>
          <w:rStyle w:val="FootnoteReference"/>
        </w:rPr>
        <w:footnoteRef/>
      </w:r>
      <w:r w:rsidRPr="0E74AA13" w:rsidR="0E74AA13">
        <w:rPr>
          <w:rFonts w:ascii="Arial" w:hAnsi="Arial" w:eastAsia="Arial" w:cs="Arial"/>
          <w:noProof w:val="0"/>
          <w:sz w:val="24"/>
          <w:szCs w:val="24"/>
          <w:lang w:val="en-IE"/>
        </w:rPr>
        <w:t>(Office for National Statistics, 2021)</w:t>
      </w:r>
      <w:r w:rsidR="0E74AA13">
        <w:rPr/>
        <w:t xml:space="preserve"> </w:t>
      </w:r>
    </w:p>
  </w:footnote>
  <w:footnote w:id="16208">
    <w:p w:rsidR="479D847E" w:rsidP="0E74AA13" w:rsidRDefault="479D847E" w14:paraId="0972AB50" w14:textId="0F2FA3AF">
      <w:pPr>
        <w:pStyle w:val="FootnoteText"/>
        <w:bidi w:val="0"/>
        <w:rPr>
          <w:noProof w:val="0"/>
          <w:lang w:val="en-IE"/>
        </w:rPr>
      </w:pPr>
      <w:r w:rsidRPr="479D847E">
        <w:rPr>
          <w:rStyle w:val="FootnoteReference"/>
        </w:rPr>
        <w:footnoteRef/>
      </w:r>
      <w:r w:rsidR="0E74AA13">
        <w:rPr/>
        <w:t xml:space="preserve"> </w:t>
      </w:r>
      <w:r w:rsidRPr="0E74AA13" w:rsidR="0E74AA13">
        <w:rPr>
          <w:rFonts w:ascii="Arial" w:hAnsi="Arial" w:eastAsia="Arial" w:cs="Arial"/>
          <w:noProof w:val="0"/>
          <w:sz w:val="24"/>
          <w:szCs w:val="24"/>
          <w:lang w:val="en-IE"/>
        </w:rPr>
        <w:t>(Dyvik, 2023)</w:t>
      </w:r>
    </w:p>
  </w:footnote>
  <w:footnote w:id="15814">
    <w:p w:rsidR="479D847E" w:rsidP="479D847E" w:rsidRDefault="479D847E" w14:paraId="5F85B7C5" w14:textId="026FE1D2">
      <w:pPr>
        <w:pStyle w:val="FootnoteText"/>
        <w:bidi w:val="0"/>
        <w:rPr/>
      </w:pPr>
      <w:r w:rsidRPr="479D847E">
        <w:rPr>
          <w:rStyle w:val="FootnoteReference"/>
        </w:rPr>
        <w:footnoteRef/>
      </w:r>
      <w:r w:rsidRPr="0E74AA13" w:rsidR="0E74AA13">
        <w:rPr>
          <w:rFonts w:ascii="Arial" w:hAnsi="Arial" w:eastAsia="Arial" w:cs="Arial"/>
          <w:noProof w:val="0"/>
          <w:sz w:val="24"/>
          <w:szCs w:val="24"/>
          <w:lang w:val="en-IE"/>
        </w:rPr>
        <w:t>(Bell, 1927)</w:t>
      </w:r>
      <w:r w:rsidR="0E74AA13">
        <w:rPr/>
        <w:t xml:space="preserve"> </w:t>
      </w:r>
    </w:p>
  </w:footnote>
  <w:footnote w:id="12774">
    <w:p w:rsidR="479D847E" w:rsidP="479D847E" w:rsidRDefault="479D847E" w14:paraId="1F8D2EA3" w14:textId="58F6CECA">
      <w:pPr>
        <w:pStyle w:val="FootnoteText"/>
        <w:bidi w:val="0"/>
        <w:rPr/>
      </w:pPr>
      <w:r w:rsidRPr="479D847E">
        <w:rPr>
          <w:rStyle w:val="FootnoteReference"/>
        </w:rPr>
        <w:footnoteRef/>
      </w:r>
      <w:r w:rsidRPr="0E74AA13" w:rsidR="0E74AA13">
        <w:rPr>
          <w:rFonts w:ascii="Arial" w:hAnsi="Arial" w:eastAsia="Arial" w:cs="Arial"/>
          <w:noProof w:val="0"/>
          <w:sz w:val="24"/>
          <w:szCs w:val="24"/>
          <w:lang w:val="en-IE"/>
        </w:rPr>
        <w:t>(Kautzsch &amp; Brown, 1884)</w:t>
      </w:r>
      <w:r w:rsidR="0E74AA13">
        <w:rPr/>
        <w:t xml:space="preserve"> </w:t>
      </w:r>
    </w:p>
  </w:footnote>
  <w:footnote w:id="25241">
    <w:p w:rsidR="479D847E" w:rsidP="0E74AA13" w:rsidRDefault="479D847E" w14:paraId="362A1BD5" w14:textId="4E3CE4CC">
      <w:pPr>
        <w:pStyle w:val="FootnoteText"/>
        <w:bidi w:val="0"/>
        <w:rPr>
          <w:noProof w:val="0"/>
          <w:lang w:val="en-IE"/>
        </w:rPr>
      </w:pPr>
      <w:r w:rsidRPr="479D847E">
        <w:rPr>
          <w:rStyle w:val="FootnoteReference"/>
        </w:rPr>
        <w:footnoteRef/>
      </w:r>
      <w:r w:rsidR="0E74AA13">
        <w:rPr/>
        <w:t xml:space="preserve"> </w:t>
      </w:r>
      <w:r w:rsidRPr="0E74AA13" w:rsidR="0E74AA13">
        <w:rPr>
          <w:rFonts w:ascii="Arial" w:hAnsi="Arial" w:eastAsia="Arial" w:cs="Arial"/>
          <w:noProof w:val="0"/>
          <w:sz w:val="24"/>
          <w:szCs w:val="24"/>
          <w:lang w:val="en-IE"/>
        </w:rPr>
        <w:t>(Bal, 1985)</w:t>
      </w:r>
    </w:p>
  </w:footnote>
  <w:footnote w:id="18082">
    <w:p w:rsidR="479D847E" w:rsidP="479D847E" w:rsidRDefault="479D847E" w14:paraId="6F967257" w14:textId="03A5EB6F">
      <w:pPr>
        <w:pStyle w:val="FootnoteText"/>
        <w:bidi w:val="0"/>
        <w:rPr/>
      </w:pPr>
      <w:r w:rsidRPr="479D847E">
        <w:rPr>
          <w:rStyle w:val="FootnoteReference"/>
        </w:rPr>
        <w:footnoteRef/>
      </w:r>
      <w:r w:rsidRPr="0E74AA13" w:rsidR="0E74AA13">
        <w:rPr>
          <w:rFonts w:ascii="Arial" w:hAnsi="Arial" w:eastAsia="Arial" w:cs="Arial"/>
          <w:noProof w:val="0"/>
          <w:sz w:val="24"/>
          <w:szCs w:val="24"/>
          <w:lang w:val="en-IE"/>
        </w:rPr>
        <w:t>(Vater &amp; Trible, 1980)</w:t>
      </w:r>
      <w:r w:rsidR="0E74AA13">
        <w:rPr/>
        <w:t xml:space="preserve"> </w:t>
      </w:r>
    </w:p>
  </w:footnote>
  <w:footnote w:id="11127">
    <w:p w:rsidR="479D847E" w:rsidP="0E74AA13" w:rsidRDefault="479D847E" w14:paraId="1D5C1454" w14:textId="524152B8">
      <w:pPr>
        <w:pStyle w:val="FootnoteText"/>
        <w:bidi w:val="0"/>
        <w:rPr>
          <w:noProof w:val="0"/>
          <w:lang w:val="en-IE"/>
        </w:rPr>
      </w:pPr>
      <w:r w:rsidRPr="479D847E">
        <w:rPr>
          <w:rStyle w:val="FootnoteReference"/>
        </w:rPr>
        <w:footnoteRef/>
      </w:r>
      <w:r w:rsidR="0E74AA13">
        <w:rPr/>
        <w:t xml:space="preserve"> </w:t>
      </w:r>
      <w:r w:rsidRPr="0E74AA13" w:rsidR="0E74AA13">
        <w:rPr>
          <w:rFonts w:ascii="Arial" w:hAnsi="Arial" w:eastAsia="Arial" w:cs="Arial"/>
          <w:noProof w:val="0"/>
          <w:sz w:val="24"/>
          <w:szCs w:val="24"/>
          <w:lang w:val="en-IE"/>
        </w:rPr>
        <w:t>(</w:t>
      </w:r>
      <w:r w:rsidRPr="0E74AA13" w:rsidR="0E74AA13">
        <w:rPr>
          <w:rFonts w:ascii="Arial" w:hAnsi="Arial" w:eastAsia="Arial" w:cs="Arial"/>
          <w:i w:val="1"/>
          <w:iCs w:val="1"/>
          <w:noProof w:val="0"/>
          <w:sz w:val="24"/>
          <w:szCs w:val="24"/>
          <w:lang w:val="en-IE"/>
        </w:rPr>
        <w:t>Genesis 3 - NRS</w:t>
      </w:r>
      <w:r w:rsidRPr="0E74AA13" w:rsidR="0E74AA13">
        <w:rPr>
          <w:rFonts w:ascii="Arial" w:hAnsi="Arial" w:eastAsia="Arial" w:cs="Arial"/>
          <w:noProof w:val="0"/>
          <w:sz w:val="24"/>
          <w:szCs w:val="24"/>
          <w:lang w:val="en-IE"/>
        </w:rPr>
        <w:t>, n.d.)</w:t>
      </w:r>
    </w:p>
  </w:footnote>
  <w:footnote w:id="20347">
    <w:p w:rsidR="479D847E" w:rsidP="0E74AA13" w:rsidRDefault="479D847E" w14:paraId="22AE1F01" w14:textId="06DF5049">
      <w:pPr>
        <w:pStyle w:val="FootnoteText"/>
        <w:bidi w:val="0"/>
        <w:rPr>
          <w:noProof w:val="0"/>
          <w:lang w:val="en-IE"/>
        </w:rPr>
      </w:pPr>
      <w:r w:rsidRPr="479D847E">
        <w:rPr>
          <w:rStyle w:val="FootnoteReference"/>
        </w:rPr>
        <w:footnoteRef/>
      </w:r>
      <w:r w:rsidR="0E74AA13">
        <w:rPr/>
        <w:t xml:space="preserve"> </w:t>
      </w:r>
      <w:r w:rsidRPr="0E74AA13" w:rsidR="0E74AA13">
        <w:rPr>
          <w:rFonts w:ascii="Arial" w:hAnsi="Arial" w:eastAsia="Arial" w:cs="Arial"/>
          <w:noProof w:val="0"/>
          <w:sz w:val="24"/>
          <w:szCs w:val="24"/>
          <w:lang w:val="en-IE"/>
        </w:rPr>
        <w:t>(</w:t>
      </w:r>
      <w:r w:rsidRPr="0E74AA13" w:rsidR="0E74AA13">
        <w:rPr>
          <w:rFonts w:ascii="Arial" w:hAnsi="Arial" w:eastAsia="Arial" w:cs="Arial"/>
          <w:i w:val="1"/>
          <w:iCs w:val="1"/>
          <w:noProof w:val="0"/>
          <w:sz w:val="24"/>
          <w:szCs w:val="24"/>
          <w:lang w:val="en-IE"/>
        </w:rPr>
        <w:t>Genesis 3 KJV - “Now the Serpent Was More Subtil than Any Beast Of ...,”</w:t>
      </w:r>
      <w:r w:rsidRPr="0E74AA13" w:rsidR="0E74AA13">
        <w:rPr>
          <w:rFonts w:ascii="Arial" w:hAnsi="Arial" w:eastAsia="Arial" w:cs="Arial"/>
          <w:noProof w:val="0"/>
          <w:sz w:val="24"/>
          <w:szCs w:val="24"/>
          <w:lang w:val="en-IE"/>
        </w:rPr>
        <w:t xml:space="preserve"> n.d.)</w:t>
      </w:r>
    </w:p>
  </w:footnote>
  <w:footnote w:id="32577">
    <w:p w:rsidR="479D847E" w:rsidP="0E74AA13" w:rsidRDefault="479D847E" w14:paraId="2A726E85" w14:textId="644FD256">
      <w:pPr>
        <w:pStyle w:val="FootnoteText"/>
        <w:bidi w:val="0"/>
        <w:rPr>
          <w:noProof w:val="0"/>
          <w:lang w:val="en-IE"/>
        </w:rPr>
      </w:pPr>
      <w:r w:rsidRPr="479D847E">
        <w:rPr>
          <w:rStyle w:val="FootnoteReference"/>
        </w:rPr>
        <w:footnoteRef/>
      </w:r>
      <w:r w:rsidR="0E74AA13">
        <w:rPr/>
        <w:t xml:space="preserve"> </w:t>
      </w:r>
      <w:r w:rsidRPr="0E74AA13" w:rsidR="0E74AA13">
        <w:rPr>
          <w:rFonts w:ascii="Arial" w:hAnsi="Arial" w:eastAsia="Arial" w:cs="Arial"/>
          <w:noProof w:val="0"/>
          <w:sz w:val="24"/>
          <w:szCs w:val="24"/>
          <w:lang w:val="en-IE"/>
        </w:rPr>
        <w:t>(</w:t>
      </w:r>
      <w:r w:rsidRPr="0E74AA13" w:rsidR="0E74AA13">
        <w:rPr>
          <w:rFonts w:ascii="Arial" w:hAnsi="Arial" w:eastAsia="Arial" w:cs="Arial"/>
          <w:i w:val="1"/>
          <w:iCs w:val="1"/>
          <w:noProof w:val="0"/>
          <w:sz w:val="24"/>
          <w:szCs w:val="24"/>
          <w:lang w:val="en-IE"/>
        </w:rPr>
        <w:t>Genesis 3 - GNT</w:t>
      </w:r>
      <w:r w:rsidRPr="0E74AA13" w:rsidR="0E74AA13">
        <w:rPr>
          <w:rFonts w:ascii="Arial" w:hAnsi="Arial" w:eastAsia="Arial" w:cs="Arial"/>
          <w:noProof w:val="0"/>
          <w:sz w:val="24"/>
          <w:szCs w:val="24"/>
          <w:lang w:val="en-IE"/>
        </w:rPr>
        <w:t>, n.d.)</w:t>
      </w:r>
    </w:p>
  </w:footnote>
  <w:footnote w:id="11701">
    <w:p w:rsidR="479D847E" w:rsidP="0E74AA13" w:rsidRDefault="479D847E" w14:paraId="344CE6AD" w14:textId="59310B92">
      <w:pPr>
        <w:pStyle w:val="FootnoteText"/>
        <w:bidi w:val="0"/>
        <w:rPr>
          <w:noProof w:val="0"/>
          <w:lang w:val="en-IE"/>
        </w:rPr>
      </w:pPr>
      <w:r w:rsidRPr="479D847E">
        <w:rPr>
          <w:rStyle w:val="FootnoteReference"/>
        </w:rPr>
        <w:footnoteRef/>
      </w:r>
      <w:r w:rsidR="0E74AA13">
        <w:rPr/>
        <w:t xml:space="preserve"> </w:t>
      </w:r>
      <w:r w:rsidRPr="0E74AA13" w:rsidR="0E74AA13">
        <w:rPr>
          <w:rFonts w:ascii="Arial" w:hAnsi="Arial" w:eastAsia="Arial" w:cs="Arial"/>
          <w:noProof w:val="0"/>
          <w:sz w:val="24"/>
          <w:szCs w:val="24"/>
          <w:lang w:val="en-IE"/>
        </w:rPr>
        <w:t>(Hesiod &amp; West, 2008)</w:t>
      </w:r>
    </w:p>
  </w:footnote>
  <w:footnote w:id="4090">
    <w:p w:rsidR="479D847E" w:rsidP="0E74AA13" w:rsidRDefault="479D847E" w14:paraId="7389C2E4" w14:textId="7240A24C">
      <w:pPr>
        <w:pStyle w:val="FootnoteText"/>
        <w:bidi w:val="0"/>
        <w:rPr>
          <w:noProof w:val="0"/>
          <w:lang w:val="en-IE"/>
        </w:rPr>
      </w:pPr>
      <w:r w:rsidRPr="479D847E">
        <w:rPr>
          <w:rStyle w:val="FootnoteReference"/>
        </w:rPr>
        <w:footnoteRef/>
      </w:r>
      <w:r w:rsidR="0E74AA13">
        <w:rPr/>
        <w:t xml:space="preserve"> </w:t>
      </w:r>
      <w:r w:rsidRPr="0E74AA13" w:rsidR="0E74AA13">
        <w:rPr>
          <w:rFonts w:ascii="Arial" w:hAnsi="Arial" w:eastAsia="Arial" w:cs="Arial"/>
          <w:noProof w:val="0"/>
          <w:sz w:val="24"/>
          <w:szCs w:val="24"/>
          <w:lang w:val="en-IE"/>
        </w:rPr>
        <w:t>(Matyszak, 2010/2017)</w:t>
      </w:r>
    </w:p>
  </w:footnote>
  <w:footnote w:id="24265">
    <w:p w:rsidR="479D847E" w:rsidP="479D847E" w:rsidRDefault="479D847E" w14:paraId="275C9FC3" w14:textId="63575FE4">
      <w:pPr>
        <w:pStyle w:val="FootnoteText"/>
        <w:bidi w:val="0"/>
        <w:rPr/>
      </w:pPr>
      <w:r w:rsidRPr="479D847E">
        <w:rPr>
          <w:rStyle w:val="FootnoteReference"/>
        </w:rPr>
        <w:footnoteRef/>
      </w:r>
      <w:r w:rsidRPr="0E74AA13" w:rsidR="0E74AA13">
        <w:rPr>
          <w:rFonts w:ascii="Arial" w:hAnsi="Arial" w:eastAsia="Arial" w:cs="Arial"/>
          <w:noProof w:val="0"/>
          <w:sz w:val="24"/>
          <w:szCs w:val="24"/>
          <w:lang w:val="en-IE"/>
        </w:rPr>
        <w:t>(</w:t>
      </w:r>
      <w:r w:rsidRPr="0E74AA13" w:rsidR="0E74AA13">
        <w:rPr>
          <w:rFonts w:ascii="Arial" w:hAnsi="Arial" w:eastAsia="Arial" w:cs="Arial"/>
          <w:i w:val="1"/>
          <w:iCs w:val="1"/>
          <w:noProof w:val="0"/>
          <w:sz w:val="24"/>
          <w:szCs w:val="24"/>
          <w:lang w:val="en-IE"/>
        </w:rPr>
        <w:t>The Enuma Elish</w:t>
      </w:r>
      <w:r w:rsidRPr="0E74AA13" w:rsidR="0E74AA13">
        <w:rPr>
          <w:rFonts w:ascii="Arial" w:hAnsi="Arial" w:eastAsia="Arial" w:cs="Arial"/>
          <w:noProof w:val="0"/>
          <w:sz w:val="24"/>
          <w:szCs w:val="24"/>
          <w:lang w:val="en-IE"/>
        </w:rPr>
        <w:t>, n.d.)</w:t>
      </w:r>
      <w:r w:rsidR="0E74AA13">
        <w:rPr/>
        <w:t xml:space="preserve"> </w:t>
      </w:r>
    </w:p>
  </w:footnote>
  <w:footnote w:id="32137">
    <w:p w:rsidR="0E74AA13" w:rsidP="0E74AA13" w:rsidRDefault="0E74AA13" w14:paraId="07B94DFE" w14:textId="3EB4EF6A">
      <w:pPr>
        <w:pStyle w:val="FootnoteText"/>
        <w:bidi w:val="0"/>
        <w:rPr>
          <w:noProof w:val="0"/>
          <w:lang w:val="en-IE"/>
        </w:rPr>
      </w:pPr>
      <w:r w:rsidRPr="0E74AA13">
        <w:rPr>
          <w:rStyle w:val="FootnoteReference"/>
        </w:rPr>
        <w:footnoteRef/>
      </w:r>
      <w:r w:rsidR="0E74AA13">
        <w:rPr/>
        <w:t xml:space="preserve"> </w:t>
      </w:r>
      <w:r w:rsidRPr="0E74AA13" w:rsidR="0E74AA13">
        <w:rPr>
          <w:rFonts w:ascii="Arial" w:hAnsi="Arial" w:eastAsia="Arial" w:cs="Arial"/>
          <w:noProof w:val="0"/>
          <w:sz w:val="24"/>
          <w:szCs w:val="24"/>
          <w:lang w:val="en-IE"/>
        </w:rPr>
        <w:t>(Bal, 1985)</w:t>
      </w:r>
    </w:p>
  </w:footnote>
  <w:footnote w:id="29868">
    <w:p w:rsidR="0E74AA13" w:rsidP="0E74AA13" w:rsidRDefault="0E74AA13" w14:paraId="2DA967A4" w14:textId="46FB8E9A">
      <w:pPr>
        <w:pStyle w:val="FootnoteText"/>
        <w:bidi w:val="0"/>
        <w:rPr>
          <w:noProof w:val="0"/>
          <w:lang w:val="en-IE"/>
        </w:rPr>
      </w:pPr>
      <w:r w:rsidRPr="0E74AA13">
        <w:rPr>
          <w:rStyle w:val="FootnoteReference"/>
        </w:rPr>
        <w:footnoteRef/>
      </w:r>
      <w:r w:rsidR="0E74AA13">
        <w:rPr/>
        <w:t xml:space="preserve"> </w:t>
      </w:r>
      <w:r w:rsidRPr="0E74AA13" w:rsidR="0E74AA13">
        <w:rPr>
          <w:rFonts w:ascii="Arial" w:hAnsi="Arial" w:eastAsia="Arial" w:cs="Arial"/>
          <w:noProof w:val="0"/>
          <w:sz w:val="24"/>
          <w:szCs w:val="24"/>
          <w:lang w:val="en-IE"/>
        </w:rPr>
        <w:t>(Bal, 1985)</w:t>
      </w:r>
    </w:p>
  </w:footnote>
  <w:footnote w:id="28488">
    <w:p w:rsidR="0E74AA13" w:rsidP="0E74AA13" w:rsidRDefault="0E74AA13" w14:paraId="2DD9B7EC" w14:textId="14551AD9">
      <w:pPr>
        <w:pStyle w:val="FootnoteText"/>
        <w:bidi w:val="0"/>
        <w:rPr>
          <w:noProof w:val="0"/>
          <w:lang w:val="en-IE"/>
        </w:rPr>
      </w:pPr>
      <w:r w:rsidRPr="0E74AA13">
        <w:rPr>
          <w:rStyle w:val="FootnoteReference"/>
        </w:rPr>
        <w:footnoteRef/>
      </w:r>
      <w:r w:rsidR="0E74AA13">
        <w:rPr/>
        <w:t xml:space="preserve"> </w:t>
      </w:r>
      <w:r w:rsidRPr="0E74AA13" w:rsidR="0E74AA13">
        <w:rPr>
          <w:rFonts w:ascii="Arial" w:hAnsi="Arial" w:eastAsia="Arial" w:cs="Arial"/>
          <w:noProof w:val="0"/>
          <w:sz w:val="24"/>
          <w:szCs w:val="24"/>
          <w:lang w:val="en-IE"/>
        </w:rPr>
        <w:t>(Bal, 1985)</w:t>
      </w:r>
    </w:p>
  </w:footnote>
  <w:footnote w:id="29139">
    <w:p w:rsidR="0E74AA13" w:rsidP="0E74AA13" w:rsidRDefault="0E74AA13" w14:paraId="1859BB18" w14:textId="7E204647">
      <w:pPr>
        <w:pStyle w:val="FootnoteText"/>
        <w:bidi w:val="0"/>
        <w:rPr>
          <w:noProof w:val="0"/>
          <w:lang w:val="en-IE"/>
        </w:rPr>
      </w:pPr>
      <w:r w:rsidRPr="0E74AA13">
        <w:rPr>
          <w:rStyle w:val="FootnoteReference"/>
        </w:rPr>
        <w:footnoteRef/>
      </w:r>
      <w:r w:rsidR="0E74AA13">
        <w:rPr/>
        <w:t xml:space="preserve"> </w:t>
      </w:r>
      <w:r w:rsidRPr="0E74AA13" w:rsidR="0E74AA13">
        <w:rPr>
          <w:rFonts w:ascii="Arial" w:hAnsi="Arial" w:eastAsia="Arial" w:cs="Arial"/>
          <w:noProof w:val="0"/>
          <w:sz w:val="24"/>
          <w:szCs w:val="24"/>
          <w:lang w:val="en-IE"/>
        </w:rPr>
        <w:t>(</w:t>
      </w:r>
      <w:r w:rsidRPr="0E74AA13" w:rsidR="0E74AA13">
        <w:rPr>
          <w:rFonts w:ascii="Arial" w:hAnsi="Arial" w:eastAsia="Arial" w:cs="Arial"/>
          <w:i w:val="1"/>
          <w:iCs w:val="1"/>
          <w:noProof w:val="0"/>
          <w:sz w:val="24"/>
          <w:szCs w:val="24"/>
          <w:lang w:val="en-IE"/>
        </w:rPr>
        <w:t>Genesis 3 - NRS</w:t>
      </w:r>
      <w:r w:rsidRPr="0E74AA13" w:rsidR="0E74AA13">
        <w:rPr>
          <w:rFonts w:ascii="Arial" w:hAnsi="Arial" w:eastAsia="Arial" w:cs="Arial"/>
          <w:noProof w:val="0"/>
          <w:sz w:val="24"/>
          <w:szCs w:val="24"/>
          <w:lang w:val="en-IE"/>
        </w:rPr>
        <w:t>, n.d.)</w:t>
      </w:r>
    </w:p>
  </w:footnote>
  <w:footnote w:id="30047">
    <w:p w:rsidR="0E74AA13" w:rsidP="0E74AA13" w:rsidRDefault="0E74AA13" w14:paraId="783A5BD8" w14:textId="14E3430B">
      <w:pPr>
        <w:pStyle w:val="FootnoteText"/>
        <w:bidi w:val="0"/>
        <w:rPr>
          <w:noProof w:val="0"/>
          <w:lang w:val="en-IE"/>
        </w:rPr>
      </w:pPr>
      <w:r w:rsidRPr="0E74AA13">
        <w:rPr>
          <w:rStyle w:val="FootnoteReference"/>
        </w:rPr>
        <w:footnoteRef/>
      </w:r>
      <w:r w:rsidR="0E74AA13">
        <w:rPr/>
        <w:t xml:space="preserve"> </w:t>
      </w:r>
      <w:r w:rsidRPr="0E74AA13" w:rsidR="0E74AA13">
        <w:rPr>
          <w:rFonts w:ascii="Arial" w:hAnsi="Arial" w:eastAsia="Arial" w:cs="Arial"/>
          <w:noProof w:val="0"/>
          <w:sz w:val="24"/>
          <w:szCs w:val="24"/>
          <w:lang w:val="en-IE"/>
        </w:rPr>
        <w:t>(Clayton, 1947)</w:t>
      </w:r>
    </w:p>
  </w:footnote>
  <w:footnote w:id="27602">
    <w:p w:rsidR="0E74AA13" w:rsidP="0E74AA13" w:rsidRDefault="0E74AA13" w14:paraId="2A113883" w14:textId="6FFAFFED">
      <w:pPr>
        <w:pStyle w:val="FootnoteText"/>
        <w:bidi w:val="0"/>
        <w:rPr>
          <w:noProof w:val="0"/>
          <w:lang w:val="en-IE"/>
        </w:rPr>
      </w:pPr>
      <w:r w:rsidRPr="0E74AA13">
        <w:rPr>
          <w:rStyle w:val="FootnoteReference"/>
        </w:rPr>
        <w:footnoteRef/>
      </w:r>
      <w:r w:rsidR="0E74AA13">
        <w:rPr/>
        <w:t xml:space="preserve"> </w:t>
      </w:r>
      <w:r w:rsidRPr="0E74AA13" w:rsidR="0E74AA13">
        <w:rPr>
          <w:rFonts w:ascii="Arial" w:hAnsi="Arial" w:eastAsia="Arial" w:cs="Arial"/>
          <w:noProof w:val="0"/>
          <w:sz w:val="24"/>
          <w:szCs w:val="24"/>
          <w:lang w:val="en-IE"/>
        </w:rPr>
        <w:t>(</w:t>
      </w:r>
      <w:r w:rsidRPr="0E74AA13" w:rsidR="0E74AA13">
        <w:rPr>
          <w:rFonts w:ascii="Arial" w:hAnsi="Arial" w:eastAsia="Arial" w:cs="Arial"/>
          <w:i w:val="1"/>
          <w:iCs w:val="1"/>
          <w:noProof w:val="0"/>
          <w:sz w:val="24"/>
          <w:szCs w:val="24"/>
          <w:lang w:val="en-IE"/>
        </w:rPr>
        <w:t>Genesis 3 - NRS</w:t>
      </w:r>
      <w:r w:rsidRPr="0E74AA13" w:rsidR="0E74AA13">
        <w:rPr>
          <w:rFonts w:ascii="Arial" w:hAnsi="Arial" w:eastAsia="Arial" w:cs="Arial"/>
          <w:noProof w:val="0"/>
          <w:sz w:val="24"/>
          <w:szCs w:val="24"/>
          <w:lang w:val="en-IE"/>
        </w:rPr>
        <w:t>, n.d.)</w:t>
      </w:r>
    </w:p>
  </w:footnote>
  <w:footnote w:id="14613">
    <w:p w:rsidR="0E74AA13" w:rsidP="0E74AA13" w:rsidRDefault="0E74AA13" w14:paraId="1FEACAF1" w14:textId="68345785">
      <w:pPr>
        <w:pStyle w:val="FootnoteText"/>
        <w:bidi w:val="0"/>
        <w:rPr>
          <w:noProof w:val="0"/>
          <w:lang w:val="en-IE"/>
        </w:rPr>
      </w:pPr>
      <w:r w:rsidRPr="0E74AA13">
        <w:rPr>
          <w:rStyle w:val="FootnoteReference"/>
        </w:rPr>
        <w:footnoteRef/>
      </w:r>
      <w:r w:rsidR="0E74AA13">
        <w:rPr/>
        <w:t xml:space="preserve"> </w:t>
      </w:r>
      <w:r w:rsidRPr="0E74AA13" w:rsidR="0E74AA13">
        <w:rPr>
          <w:rFonts w:ascii="Arial" w:hAnsi="Arial" w:eastAsia="Arial" w:cs="Arial"/>
          <w:noProof w:val="0"/>
          <w:sz w:val="24"/>
          <w:szCs w:val="24"/>
          <w:lang w:val="en-IE"/>
        </w:rPr>
        <w:t>(</w:t>
      </w:r>
      <w:r w:rsidRPr="0E74AA13" w:rsidR="0E74AA13">
        <w:rPr>
          <w:rFonts w:ascii="Arial" w:hAnsi="Arial" w:eastAsia="Arial" w:cs="Arial"/>
          <w:i w:val="1"/>
          <w:iCs w:val="1"/>
          <w:noProof w:val="0"/>
          <w:sz w:val="24"/>
          <w:szCs w:val="24"/>
          <w:lang w:val="en-IE"/>
        </w:rPr>
        <w:t>Genesis 3 - NRS</w:t>
      </w:r>
      <w:r w:rsidRPr="0E74AA13" w:rsidR="0E74AA13">
        <w:rPr>
          <w:rFonts w:ascii="Arial" w:hAnsi="Arial" w:eastAsia="Arial" w:cs="Arial"/>
          <w:noProof w:val="0"/>
          <w:sz w:val="24"/>
          <w:szCs w:val="24"/>
          <w:lang w:val="en-IE"/>
        </w:rPr>
        <w:t>, n.d.)</w:t>
      </w:r>
    </w:p>
  </w:footnote>
</w:footnotes>
</file>

<file path=word/intelligence2.xml><?xml version="1.0" encoding="utf-8"?>
<int2:intelligence xmlns:int2="http://schemas.microsoft.com/office/intelligence/2020/intelligence">
  <int2:observations>
    <int2:textHash int2:hashCode="B34UNlaH3lf+Mg" int2:id="dmdUlAIT">
      <int2:state int2:type="AugLoop_Text_Critique" int2:value="Rejected"/>
    </int2:textHash>
    <int2:textHash int2:hashCode="PYdzZuPsTXIedC" int2:id="Bkro6p3T">
      <int2:state int2:type="AugLoop_Text_Critique" int2:value="Rejected"/>
    </int2:textHash>
    <int2:textHash int2:hashCode="tcbNXrT81zgWe4" int2:id="kVP9H9lk">
      <int2:state int2:type="AugLoop_Text_Critique" int2:value="Rejected"/>
    </int2:textHash>
    <int2:bookmark int2:bookmarkName="_Int_BOdedPXF" int2:invalidationBookmarkName="" int2:hashCode="YF/UI79qEEDasx" int2:id="Q9JMgqXG">
      <int2:state int2:type="AugLoop_Text_Critique" int2:value="Rejected"/>
    </int2:bookmark>
    <int2:bookmark int2:bookmarkName="_Int_KXB3PB6j" int2:invalidationBookmarkName="" int2:hashCode="91Ld02utkX+TLL" int2:id="WR8EouL1">
      <int2:state int2:type="AugLoop_Text_Critique" int2:value="Rejected"/>
    </int2:bookmark>
    <int2:bookmark int2:bookmarkName="_Int_IHdnGaPb" int2:invalidationBookmarkName="" int2:hashCode="pbI2RM5nhPUbxy" int2:id="x1zCfpAu">
      <int2:state int2:type="AugLoop_Text_Critique" int2:value="Rejected"/>
    </int2:bookmark>
    <int2:bookmark int2:bookmarkName="_Int_r7zLP4fx" int2:invalidationBookmarkName="" int2:hashCode="FzznoYLdYv5SgY" int2:id="v3y30HBe">
      <int2:state int2:type="AugLoop_Text_Critique" int2:value="Rejected"/>
    </int2:bookmark>
    <int2:bookmark int2:bookmarkName="_Int_XYksL97E" int2:invalidationBookmarkName="" int2:hashCode="e0dMsLOcF3PXGS" int2:id="p51dvrYU">
      <int2:state int2:type="AugLoop_Text_Critique" int2:value="Rejected"/>
    </int2:bookmark>
    <int2:bookmark int2:bookmarkName="_Int_Hpnw1fAw" int2:invalidationBookmarkName="" int2:hashCode="Z5LPoerJMAEOyH" int2:id="qoCjTrdF">
      <int2:state int2:type="AugLoop_Text_Critique" int2:value="Rejected"/>
    </int2:bookmark>
    <int2:bookmark int2:bookmarkName="_Int_qESO1bH1" int2:invalidationBookmarkName="" int2:hashCode="E1+Tt6RJBbZOzq" int2:id="bCZCoAad">
      <int2:state int2:type="AugLoop_Text_Critique" int2:value="Rejected"/>
    </int2:bookmark>
    <int2:bookmark int2:bookmarkName="_Int_18LWCeaw" int2:invalidationBookmarkName="" int2:hashCode="/HSYAbkH8qB957" int2:id="Vhcb4u5a">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footnotePr>
    <w:footnote w:id="-1"/>
    <w:footnote w:id="0"/>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770CA4C"/>
    <w:rsid w:val="00197354"/>
    <w:rsid w:val="00906295"/>
    <w:rsid w:val="01258618"/>
    <w:rsid w:val="019B7F20"/>
    <w:rsid w:val="01B921E2"/>
    <w:rsid w:val="0230A231"/>
    <w:rsid w:val="027861D9"/>
    <w:rsid w:val="03755742"/>
    <w:rsid w:val="03B44706"/>
    <w:rsid w:val="04F0C2A4"/>
    <w:rsid w:val="06A467B7"/>
    <w:rsid w:val="074C0268"/>
    <w:rsid w:val="07A5AC0F"/>
    <w:rsid w:val="07FD7B09"/>
    <w:rsid w:val="09D11A17"/>
    <w:rsid w:val="0A1AA2F6"/>
    <w:rsid w:val="0A4D9C7C"/>
    <w:rsid w:val="0A9F6AF1"/>
    <w:rsid w:val="0AE1A492"/>
    <w:rsid w:val="0BD64EB7"/>
    <w:rsid w:val="0C791D32"/>
    <w:rsid w:val="0CA10F3C"/>
    <w:rsid w:val="0E14ED93"/>
    <w:rsid w:val="0E29A0F5"/>
    <w:rsid w:val="0E74AA13"/>
    <w:rsid w:val="0E7B4233"/>
    <w:rsid w:val="0F3D8551"/>
    <w:rsid w:val="0FB0BDF4"/>
    <w:rsid w:val="0FC57156"/>
    <w:rsid w:val="0FE733E1"/>
    <w:rsid w:val="0FFA5EC2"/>
    <w:rsid w:val="10107A74"/>
    <w:rsid w:val="103784A4"/>
    <w:rsid w:val="11531EA5"/>
    <w:rsid w:val="11AC4AD5"/>
    <w:rsid w:val="11D35505"/>
    <w:rsid w:val="135D3FCD"/>
    <w:rsid w:val="136F2566"/>
    <w:rsid w:val="13A7D614"/>
    <w:rsid w:val="13B60F2E"/>
    <w:rsid w:val="13F4D295"/>
    <w:rsid w:val="1408B1D2"/>
    <w:rsid w:val="14F4F556"/>
    <w:rsid w:val="15125A38"/>
    <w:rsid w:val="1518E0D7"/>
    <w:rsid w:val="160011E1"/>
    <w:rsid w:val="16071DE0"/>
    <w:rsid w:val="16296B52"/>
    <w:rsid w:val="165E0BB1"/>
    <w:rsid w:val="1694E08F"/>
    <w:rsid w:val="16A6C628"/>
    <w:rsid w:val="177D5165"/>
    <w:rsid w:val="17B9B509"/>
    <w:rsid w:val="1950BDBB"/>
    <w:rsid w:val="1A854C11"/>
    <w:rsid w:val="1B532D1B"/>
    <w:rsid w:val="1B6851B2"/>
    <w:rsid w:val="1C50C288"/>
    <w:rsid w:val="1CC3BEAB"/>
    <w:rsid w:val="1E37CBB2"/>
    <w:rsid w:val="1E87BA5F"/>
    <w:rsid w:val="1F9F18CC"/>
    <w:rsid w:val="1FBC305B"/>
    <w:rsid w:val="20269E3E"/>
    <w:rsid w:val="219377E4"/>
    <w:rsid w:val="21C26E9F"/>
    <w:rsid w:val="21EF9F6E"/>
    <w:rsid w:val="22381B26"/>
    <w:rsid w:val="237F736F"/>
    <w:rsid w:val="241A2FF4"/>
    <w:rsid w:val="2498847B"/>
    <w:rsid w:val="24E661F4"/>
    <w:rsid w:val="24FF4224"/>
    <w:rsid w:val="25B7B166"/>
    <w:rsid w:val="2657671E"/>
    <w:rsid w:val="26A3527A"/>
    <w:rsid w:val="27310877"/>
    <w:rsid w:val="274733C5"/>
    <w:rsid w:val="274EBA18"/>
    <w:rsid w:val="285AD218"/>
    <w:rsid w:val="28770402"/>
    <w:rsid w:val="2893FD54"/>
    <w:rsid w:val="28A2BD64"/>
    <w:rsid w:val="28AFDF88"/>
    <w:rsid w:val="2941543B"/>
    <w:rsid w:val="298044F5"/>
    <w:rsid w:val="298C67C2"/>
    <w:rsid w:val="29F6A279"/>
    <w:rsid w:val="2B2FA4AE"/>
    <w:rsid w:val="2B4CF858"/>
    <w:rsid w:val="2B7D10F0"/>
    <w:rsid w:val="2B9272DA"/>
    <w:rsid w:val="2BAEA4C4"/>
    <w:rsid w:val="2C1AA4E8"/>
    <w:rsid w:val="2E0AA439"/>
    <w:rsid w:val="2E304115"/>
    <w:rsid w:val="2ECA139C"/>
    <w:rsid w:val="2F54F5E3"/>
    <w:rsid w:val="304708E4"/>
    <w:rsid w:val="3065E3FD"/>
    <w:rsid w:val="30E75CBC"/>
    <w:rsid w:val="30EE160B"/>
    <w:rsid w:val="313210DB"/>
    <w:rsid w:val="313E66CE"/>
    <w:rsid w:val="319779A7"/>
    <w:rsid w:val="31AA97CD"/>
    <w:rsid w:val="32A621F5"/>
    <w:rsid w:val="331038A1"/>
    <w:rsid w:val="335404E1"/>
    <w:rsid w:val="3479E5BD"/>
    <w:rsid w:val="349A25C4"/>
    <w:rsid w:val="34B6FEE2"/>
    <w:rsid w:val="34E2388F"/>
    <w:rsid w:val="34E929F6"/>
    <w:rsid w:val="35375A25"/>
    <w:rsid w:val="378F69E5"/>
    <w:rsid w:val="3819D951"/>
    <w:rsid w:val="383BCC52"/>
    <w:rsid w:val="3857CD85"/>
    <w:rsid w:val="39094626"/>
    <w:rsid w:val="3963D4E5"/>
    <w:rsid w:val="39B5A9B2"/>
    <w:rsid w:val="3A1F1256"/>
    <w:rsid w:val="3A645648"/>
    <w:rsid w:val="3AA51687"/>
    <w:rsid w:val="3B330463"/>
    <w:rsid w:val="3B596799"/>
    <w:rsid w:val="3BCCB614"/>
    <w:rsid w:val="3C710E57"/>
    <w:rsid w:val="3C9BE95D"/>
    <w:rsid w:val="3CFB557C"/>
    <w:rsid w:val="3DE90F15"/>
    <w:rsid w:val="3EBE63C8"/>
    <w:rsid w:val="402F72F0"/>
    <w:rsid w:val="4069BDC2"/>
    <w:rsid w:val="40F0F095"/>
    <w:rsid w:val="41633318"/>
    <w:rsid w:val="4215ABDE"/>
    <w:rsid w:val="42A7F7BC"/>
    <w:rsid w:val="431FF35F"/>
    <w:rsid w:val="43620CAF"/>
    <w:rsid w:val="444FA579"/>
    <w:rsid w:val="44C7BD5B"/>
    <w:rsid w:val="459040F9"/>
    <w:rsid w:val="466A94CA"/>
    <w:rsid w:val="47344D9D"/>
    <w:rsid w:val="47958C60"/>
    <w:rsid w:val="479D847E"/>
    <w:rsid w:val="4837EAA1"/>
    <w:rsid w:val="489C0854"/>
    <w:rsid w:val="48B9F63C"/>
    <w:rsid w:val="48C7E1BB"/>
    <w:rsid w:val="4A63B21C"/>
    <w:rsid w:val="4AE51BF7"/>
    <w:rsid w:val="4AFD84A3"/>
    <w:rsid w:val="4B2C34E5"/>
    <w:rsid w:val="4B6F8B63"/>
    <w:rsid w:val="4BFF827D"/>
    <w:rsid w:val="4C522283"/>
    <w:rsid w:val="4C5EF838"/>
    <w:rsid w:val="4C995504"/>
    <w:rsid w:val="4D9B52DE"/>
    <w:rsid w:val="4DCE4495"/>
    <w:rsid w:val="4FD0F5C6"/>
    <w:rsid w:val="51038E54"/>
    <w:rsid w:val="524DA1D6"/>
    <w:rsid w:val="52B9677D"/>
    <w:rsid w:val="5457B29E"/>
    <w:rsid w:val="54E4E833"/>
    <w:rsid w:val="55F1083F"/>
    <w:rsid w:val="55F7A692"/>
    <w:rsid w:val="561AFF15"/>
    <w:rsid w:val="578CD8A0"/>
    <w:rsid w:val="579FDD35"/>
    <w:rsid w:val="5824767B"/>
    <w:rsid w:val="586C273F"/>
    <w:rsid w:val="58797A45"/>
    <w:rsid w:val="59158ADB"/>
    <w:rsid w:val="592A3142"/>
    <w:rsid w:val="59C7B0DE"/>
    <w:rsid w:val="5A89FFAF"/>
    <w:rsid w:val="5AC47962"/>
    <w:rsid w:val="5AEB3E72"/>
    <w:rsid w:val="5B37C7DD"/>
    <w:rsid w:val="5B398203"/>
    <w:rsid w:val="5B5429B7"/>
    <w:rsid w:val="5C327466"/>
    <w:rsid w:val="5CEFFA18"/>
    <w:rsid w:val="5CF7E79E"/>
    <w:rsid w:val="5D212BE5"/>
    <w:rsid w:val="5D2C9F90"/>
    <w:rsid w:val="5D3F9862"/>
    <w:rsid w:val="5D59BBE3"/>
    <w:rsid w:val="5DC1A071"/>
    <w:rsid w:val="5DFC1A24"/>
    <w:rsid w:val="5E9B5059"/>
    <w:rsid w:val="60DD0057"/>
    <w:rsid w:val="60EDF1B8"/>
    <w:rsid w:val="61209CC0"/>
    <w:rsid w:val="613C02B4"/>
    <w:rsid w:val="61C28584"/>
    <w:rsid w:val="61DEA6CC"/>
    <w:rsid w:val="629E05D1"/>
    <w:rsid w:val="6376F908"/>
    <w:rsid w:val="639335F4"/>
    <w:rsid w:val="63AA25DD"/>
    <w:rsid w:val="63C8FD67"/>
    <w:rsid w:val="647F8EB8"/>
    <w:rsid w:val="6493CC38"/>
    <w:rsid w:val="6545F63E"/>
    <w:rsid w:val="662D2EA5"/>
    <w:rsid w:val="670BBD75"/>
    <w:rsid w:val="6770CA4C"/>
    <w:rsid w:val="677176F4"/>
    <w:rsid w:val="68999891"/>
    <w:rsid w:val="69AF402B"/>
    <w:rsid w:val="6A196761"/>
    <w:rsid w:val="6A3C1B73"/>
    <w:rsid w:val="6A435E37"/>
    <w:rsid w:val="6A497A4D"/>
    <w:rsid w:val="6AA917B6"/>
    <w:rsid w:val="6ADB5FC3"/>
    <w:rsid w:val="6B1D7F0E"/>
    <w:rsid w:val="6BCA0A01"/>
    <w:rsid w:val="6BDF2E98"/>
    <w:rsid w:val="6C44E817"/>
    <w:rsid w:val="6CA81326"/>
    <w:rsid w:val="6CFFAFEA"/>
    <w:rsid w:val="6ED9BA5E"/>
    <w:rsid w:val="6EE20570"/>
    <w:rsid w:val="6EE8775D"/>
    <w:rsid w:val="6F7C88D9"/>
    <w:rsid w:val="702F5A48"/>
    <w:rsid w:val="709D7B24"/>
    <w:rsid w:val="70AF6DF5"/>
    <w:rsid w:val="7118593A"/>
    <w:rsid w:val="7127B0C2"/>
    <w:rsid w:val="7137A7BA"/>
    <w:rsid w:val="7146322A"/>
    <w:rsid w:val="7174F565"/>
    <w:rsid w:val="71B51DD2"/>
    <w:rsid w:val="7227B8A3"/>
    <w:rsid w:val="72B87092"/>
    <w:rsid w:val="72BC1721"/>
    <w:rsid w:val="72CC0C2C"/>
    <w:rsid w:val="733B446B"/>
    <w:rsid w:val="735BC6DA"/>
    <w:rsid w:val="737CA1EF"/>
    <w:rsid w:val="73AD2B81"/>
    <w:rsid w:val="746FF4E3"/>
    <w:rsid w:val="7548FBE2"/>
    <w:rsid w:val="7570EC47"/>
    <w:rsid w:val="771EAF79"/>
    <w:rsid w:val="792B58A5"/>
    <w:rsid w:val="79AA31CF"/>
    <w:rsid w:val="79ADDB91"/>
    <w:rsid w:val="79C25D3E"/>
    <w:rsid w:val="7A42D5BA"/>
    <w:rsid w:val="7AC72906"/>
    <w:rsid w:val="7AD1E9D3"/>
    <w:rsid w:val="7B07BA6E"/>
    <w:rsid w:val="7B244F92"/>
    <w:rsid w:val="7B77C3C2"/>
    <w:rsid w:val="7BB83D66"/>
    <w:rsid w:val="7BD34912"/>
    <w:rsid w:val="7CE001CD"/>
    <w:rsid w:val="7D1389DD"/>
    <w:rsid w:val="7D540DC7"/>
    <w:rsid w:val="7D6F1973"/>
    <w:rsid w:val="7D91C694"/>
    <w:rsid w:val="7DCEB94C"/>
    <w:rsid w:val="7DFEC9C8"/>
    <w:rsid w:val="7E391CA0"/>
    <w:rsid w:val="7E79EDFC"/>
    <w:rsid w:val="7E9AF067"/>
    <w:rsid w:val="7FD40FCD"/>
    <w:rsid w:val="7FDBB4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0CA4C"/>
  <w15:chartTrackingRefBased/>
  <w15:docId w15:val="{DD5CFCC8-5270-420C-9B31-49B70CDE2F8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479D847E"/>
    <w:rPr>
      <w:noProof w:val="0"/>
      <w:lang w:val="en-I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479D847E"/>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479D847E"/>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479D847E"/>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479D847E"/>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479D847E"/>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479D847E"/>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479D847E"/>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479D847E"/>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479D847E"/>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479D847E"/>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479D847E"/>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479D847E"/>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479D847E"/>
    <w:rPr>
      <w:i w:val="1"/>
      <w:iCs w:val="1"/>
      <w:color w:val="0F4761" w:themeColor="accent1" w:themeTint="FF" w:themeShade="BF"/>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479D847E"/>
    <w:pPr>
      <w:spacing/>
      <w:ind w:left="720"/>
      <w:contextualSpacing/>
    </w:pPr>
  </w:style>
  <w:style w:type="paragraph" w:styleId="TOC1">
    <w:uiPriority w:val="39"/>
    <w:name w:val="toc 1"/>
    <w:basedOn w:val="Normal"/>
    <w:next w:val="Normal"/>
    <w:unhideWhenUsed/>
    <w:rsid w:val="479D847E"/>
    <w:pPr>
      <w:spacing w:after="100"/>
    </w:pPr>
  </w:style>
  <w:style w:type="paragraph" w:styleId="TOC2">
    <w:uiPriority w:val="39"/>
    <w:name w:val="toc 2"/>
    <w:basedOn w:val="Normal"/>
    <w:next w:val="Normal"/>
    <w:unhideWhenUsed/>
    <w:rsid w:val="479D847E"/>
    <w:pPr>
      <w:spacing w:after="100"/>
      <w:ind w:left="220"/>
    </w:pPr>
  </w:style>
  <w:style w:type="paragraph" w:styleId="TOC3">
    <w:uiPriority w:val="39"/>
    <w:name w:val="toc 3"/>
    <w:basedOn w:val="Normal"/>
    <w:next w:val="Normal"/>
    <w:unhideWhenUsed/>
    <w:rsid w:val="479D847E"/>
    <w:pPr>
      <w:spacing w:after="100"/>
      <w:ind w:left="440"/>
    </w:pPr>
  </w:style>
  <w:style w:type="paragraph" w:styleId="TOC4">
    <w:uiPriority w:val="39"/>
    <w:name w:val="toc 4"/>
    <w:basedOn w:val="Normal"/>
    <w:next w:val="Normal"/>
    <w:unhideWhenUsed/>
    <w:rsid w:val="479D847E"/>
    <w:pPr>
      <w:spacing w:after="100"/>
      <w:ind w:left="660"/>
    </w:pPr>
  </w:style>
  <w:style w:type="paragraph" w:styleId="TOC5">
    <w:uiPriority w:val="39"/>
    <w:name w:val="toc 5"/>
    <w:basedOn w:val="Normal"/>
    <w:next w:val="Normal"/>
    <w:unhideWhenUsed/>
    <w:rsid w:val="479D847E"/>
    <w:pPr>
      <w:spacing w:after="100"/>
      <w:ind w:left="880"/>
    </w:pPr>
  </w:style>
  <w:style w:type="paragraph" w:styleId="TOC6">
    <w:uiPriority w:val="39"/>
    <w:name w:val="toc 6"/>
    <w:basedOn w:val="Normal"/>
    <w:next w:val="Normal"/>
    <w:unhideWhenUsed/>
    <w:rsid w:val="479D847E"/>
    <w:pPr>
      <w:spacing w:after="100"/>
      <w:ind w:left="1100"/>
    </w:pPr>
  </w:style>
  <w:style w:type="paragraph" w:styleId="TOC7">
    <w:uiPriority w:val="39"/>
    <w:name w:val="toc 7"/>
    <w:basedOn w:val="Normal"/>
    <w:next w:val="Normal"/>
    <w:unhideWhenUsed/>
    <w:rsid w:val="479D847E"/>
    <w:pPr>
      <w:spacing w:after="100"/>
      <w:ind w:left="1320"/>
    </w:pPr>
  </w:style>
  <w:style w:type="paragraph" w:styleId="TOC8">
    <w:uiPriority w:val="39"/>
    <w:name w:val="toc 8"/>
    <w:basedOn w:val="Normal"/>
    <w:next w:val="Normal"/>
    <w:unhideWhenUsed/>
    <w:rsid w:val="479D847E"/>
    <w:pPr>
      <w:spacing w:after="100"/>
      <w:ind w:left="1540"/>
    </w:pPr>
  </w:style>
  <w:style w:type="paragraph" w:styleId="TOC9">
    <w:uiPriority w:val="39"/>
    <w:name w:val="toc 9"/>
    <w:basedOn w:val="Normal"/>
    <w:next w:val="Normal"/>
    <w:unhideWhenUsed/>
    <w:rsid w:val="479D847E"/>
    <w:pPr>
      <w:spacing w:after="100"/>
      <w:ind w:left="1760"/>
    </w:pPr>
  </w:style>
  <w:style w:type="paragraph" w:styleId="EndnoteText">
    <w:uiPriority w:val="99"/>
    <w:name w:val="endnote text"/>
    <w:basedOn w:val="Normal"/>
    <w:semiHidden/>
    <w:unhideWhenUsed/>
    <w:link w:val="EndnoteTextChar"/>
    <w:rsid w:val="479D847E"/>
    <w:rPr>
      <w:sz w:val="20"/>
      <w:szCs w:val="20"/>
    </w:rPr>
    <w:pPr>
      <w:spacing w:after="0" w:line="240" w:lineRule="auto"/>
    </w:pPr>
  </w:style>
  <w:style w:type="paragraph" w:styleId="Footer">
    <w:uiPriority w:val="99"/>
    <w:name w:val="footer"/>
    <w:basedOn w:val="Normal"/>
    <w:unhideWhenUsed/>
    <w:link w:val="FooterChar"/>
    <w:rsid w:val="479D847E"/>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479D847E"/>
    <w:rPr>
      <w:sz w:val="20"/>
      <w:szCs w:val="20"/>
    </w:rPr>
    <w:pPr>
      <w:spacing w:after="0" w:line="240" w:lineRule="auto"/>
    </w:pPr>
  </w:style>
  <w:style w:type="paragraph" w:styleId="Header">
    <w:uiPriority w:val="99"/>
    <w:name w:val="header"/>
    <w:basedOn w:val="Normal"/>
    <w:unhideWhenUsed/>
    <w:link w:val="HeaderChar"/>
    <w:rsid w:val="479D847E"/>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footnotes" Target="footnotes.xml" Id="R6affae42e71541e8" /><Relationship Type="http://schemas.microsoft.com/office/2020/10/relationships/intelligence" Target="intelligence2.xml" Id="R3022788470d44f1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2024-03-14T16:57:31.6648994Z</dcterms:created>
  <dcterms:modified xsi:type="dcterms:W3CDTF">2024-03-15T23:58:24.7539493Z</dcterms:modified>
  <dc:creator>Lukas O'Sullivan (2305567)</dc:creator>
  <lastModifiedBy>Lukas O'Sullivan (2305567)</lastModifiedBy>
</coreProperties>
</file>