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3F3C60" w14:textId="77777777" w:rsidR="00781728" w:rsidRPr="009E4D25" w:rsidRDefault="00781728" w:rsidP="00781728">
      <w:pPr>
        <w:spacing w:after="0" w:line="240" w:lineRule="auto"/>
        <w:rPr>
          <w:rFonts w:ascii="Calibri" w:hAnsi="Calibri" w:cs="Calibri"/>
          <w:b/>
          <w:bCs/>
          <w:sz w:val="22"/>
          <w:szCs w:val="22"/>
        </w:rPr>
      </w:pPr>
      <w:r w:rsidRPr="009E4D25">
        <w:rPr>
          <w:rFonts w:ascii="Calibri" w:hAnsi="Calibri" w:cs="Calibri"/>
          <w:b/>
          <w:bCs/>
          <w:sz w:val="22"/>
          <w:szCs w:val="22"/>
        </w:rPr>
        <w:t>Understanding Qualitative Research Approaches in Business and Management Studies: A Comprehensive Overview</w:t>
      </w:r>
    </w:p>
    <w:p w14:paraId="19FC0439" w14:textId="77777777" w:rsidR="00781728" w:rsidRPr="009E4D25" w:rsidRDefault="00781728" w:rsidP="00781728">
      <w:pPr>
        <w:spacing w:after="0" w:line="240" w:lineRule="auto"/>
        <w:rPr>
          <w:rFonts w:ascii="Calibri" w:hAnsi="Calibri" w:cs="Calibri"/>
          <w:sz w:val="22"/>
          <w:szCs w:val="22"/>
        </w:rPr>
      </w:pPr>
    </w:p>
    <w:p w14:paraId="743AADE9"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In contemporary business and organisational research, qualitative methodologies offer profound insights into complex managerial phenomena that quantitative approaches might struggle to capture. The five main qualitative approaches - narrative research, phenomenology, grounded theory, ethnography, and case study research - each provide unique perspectives for understanding organisational behaviour and management practices.</w:t>
      </w:r>
    </w:p>
    <w:p w14:paraId="0A2EAE1F" w14:textId="77777777" w:rsidR="00781728" w:rsidRPr="009E4D25" w:rsidRDefault="00781728" w:rsidP="00781728">
      <w:pPr>
        <w:spacing w:after="0" w:line="240" w:lineRule="auto"/>
        <w:rPr>
          <w:rFonts w:ascii="Calibri" w:hAnsi="Calibri" w:cs="Calibri"/>
          <w:sz w:val="22"/>
          <w:szCs w:val="22"/>
        </w:rPr>
      </w:pPr>
    </w:p>
    <w:p w14:paraId="3BDA9315" w14:textId="77777777" w:rsidR="00781728" w:rsidRPr="004515CA" w:rsidRDefault="00781728" w:rsidP="00781728">
      <w:pPr>
        <w:spacing w:after="0" w:line="240" w:lineRule="auto"/>
        <w:rPr>
          <w:rFonts w:ascii="Calibri" w:hAnsi="Calibri" w:cs="Calibri"/>
          <w:b/>
          <w:bCs/>
          <w:sz w:val="22"/>
          <w:szCs w:val="22"/>
        </w:rPr>
      </w:pPr>
      <w:r w:rsidRPr="004515CA">
        <w:rPr>
          <w:rFonts w:ascii="Calibri" w:hAnsi="Calibri" w:cs="Calibri"/>
          <w:b/>
          <w:bCs/>
          <w:sz w:val="22"/>
          <w:szCs w:val="22"/>
        </w:rPr>
        <w:t>Overview of the Five Approaches</w:t>
      </w:r>
    </w:p>
    <w:p w14:paraId="4B4972D5" w14:textId="77777777" w:rsidR="00781728" w:rsidRPr="009E4D25" w:rsidRDefault="00781728" w:rsidP="00781728">
      <w:pPr>
        <w:spacing w:after="0" w:line="240" w:lineRule="auto"/>
        <w:rPr>
          <w:rFonts w:ascii="Calibri" w:hAnsi="Calibri" w:cs="Calibri"/>
          <w:sz w:val="22"/>
          <w:szCs w:val="22"/>
        </w:rPr>
      </w:pPr>
    </w:p>
    <w:p w14:paraId="0206D90E" w14:textId="05DCD809" w:rsidR="00781728" w:rsidRDefault="00781728" w:rsidP="000A2936">
      <w:pPr>
        <w:spacing w:after="0" w:line="240" w:lineRule="auto"/>
        <w:rPr>
          <w:rFonts w:ascii="Calibri" w:hAnsi="Calibri" w:cs="Calibri"/>
          <w:sz w:val="22"/>
          <w:szCs w:val="22"/>
        </w:rPr>
      </w:pPr>
      <w:r w:rsidRPr="004515CA">
        <w:rPr>
          <w:rFonts w:ascii="Calibri" w:hAnsi="Calibri" w:cs="Calibri"/>
          <w:b/>
          <w:bCs/>
          <w:sz w:val="22"/>
          <w:szCs w:val="22"/>
        </w:rPr>
        <w:t>Narrative research</w:t>
      </w:r>
      <w:r w:rsidRPr="009E4D25">
        <w:rPr>
          <w:rFonts w:ascii="Calibri" w:hAnsi="Calibri" w:cs="Calibri"/>
          <w:sz w:val="22"/>
          <w:szCs w:val="22"/>
        </w:rPr>
        <w:t xml:space="preserve">, at its core, examines the stories that shape </w:t>
      </w:r>
      <w:r w:rsidR="000A2936">
        <w:rPr>
          <w:rFonts w:ascii="Calibri" w:hAnsi="Calibri" w:cs="Calibri"/>
          <w:sz w:val="22"/>
          <w:szCs w:val="22"/>
        </w:rPr>
        <w:t>experiences</w:t>
      </w:r>
      <w:r w:rsidRPr="009E4D25">
        <w:rPr>
          <w:rFonts w:ascii="Calibri" w:hAnsi="Calibri" w:cs="Calibri"/>
          <w:sz w:val="22"/>
          <w:szCs w:val="22"/>
        </w:rPr>
        <w:t xml:space="preserve">. </w:t>
      </w:r>
      <w:r w:rsidR="000A2936" w:rsidRPr="000A2936">
        <w:rPr>
          <w:rFonts w:ascii="Calibri" w:hAnsi="Calibri" w:cs="Calibri"/>
          <w:sz w:val="22"/>
          <w:szCs w:val="22"/>
        </w:rPr>
        <w:t xml:space="preserve">In their seminal study, Gabriel and Griffiths (2004) demonstrated how organizational storytelling influences corporate culture during periods of significant change. Their research at a major UK airline revealed how narratives shape understanding of organizational transformation. Rhodes and Brown's (2005) comprehensive review </w:t>
      </w:r>
      <w:proofErr w:type="gramStart"/>
      <w:r w:rsidR="000A2936" w:rsidRPr="000A2936">
        <w:rPr>
          <w:rFonts w:ascii="Calibri" w:hAnsi="Calibri" w:cs="Calibri"/>
          <w:sz w:val="22"/>
          <w:szCs w:val="22"/>
        </w:rPr>
        <w:t>demonstrates</w:t>
      </w:r>
      <w:proofErr w:type="gramEnd"/>
      <w:r w:rsidR="000A2936" w:rsidRPr="000A2936">
        <w:rPr>
          <w:rFonts w:ascii="Calibri" w:hAnsi="Calibri" w:cs="Calibri"/>
          <w:sz w:val="22"/>
          <w:szCs w:val="22"/>
        </w:rPr>
        <w:t xml:space="preserve"> narrative research's value in examining leadership transitions, organizational change, and corporate identity formation.</w:t>
      </w:r>
    </w:p>
    <w:p w14:paraId="13C725D7" w14:textId="77777777" w:rsidR="000A2936" w:rsidRPr="009E4D25" w:rsidRDefault="000A2936" w:rsidP="000A2936">
      <w:pPr>
        <w:spacing w:after="0" w:line="240" w:lineRule="auto"/>
        <w:rPr>
          <w:rFonts w:ascii="Calibri" w:hAnsi="Calibri" w:cs="Calibri"/>
          <w:sz w:val="22"/>
          <w:szCs w:val="22"/>
        </w:rPr>
      </w:pPr>
    </w:p>
    <w:p w14:paraId="5BC1AD66" w14:textId="163EDE04" w:rsidR="00781728" w:rsidRPr="009E4D25" w:rsidRDefault="00781728" w:rsidP="00781728">
      <w:pPr>
        <w:spacing w:after="0" w:line="240" w:lineRule="auto"/>
        <w:rPr>
          <w:rFonts w:ascii="Calibri" w:hAnsi="Calibri" w:cs="Calibri"/>
          <w:sz w:val="22"/>
          <w:szCs w:val="22"/>
        </w:rPr>
      </w:pPr>
      <w:r w:rsidRPr="004515CA">
        <w:rPr>
          <w:rFonts w:ascii="Calibri" w:hAnsi="Calibri" w:cs="Calibri"/>
          <w:b/>
          <w:bCs/>
          <w:sz w:val="22"/>
          <w:szCs w:val="22"/>
        </w:rPr>
        <w:t>Phenomenological research</w:t>
      </w:r>
      <w:r w:rsidRPr="009E4D25">
        <w:rPr>
          <w:rFonts w:ascii="Calibri" w:hAnsi="Calibri" w:cs="Calibri"/>
          <w:sz w:val="22"/>
          <w:szCs w:val="22"/>
        </w:rPr>
        <w:t xml:space="preserve"> explores lived experiences within settings. </w:t>
      </w:r>
      <w:r w:rsidR="009C6AEE" w:rsidRPr="009C6AEE">
        <w:rPr>
          <w:rFonts w:ascii="Calibri" w:hAnsi="Calibri" w:cs="Calibri"/>
          <w:sz w:val="22"/>
          <w:szCs w:val="22"/>
        </w:rPr>
        <w:t>Gill's (2014) phenomenological study of managerial identity work revealed how middle managers experience and make sense of their roles during organizational restructuring. Similarly, Slay and Smith's (2011) research into professional identity construction among black journalists demonstrated phenomenology's effectiveness in understanding workplace experiences and career development.</w:t>
      </w:r>
    </w:p>
    <w:p w14:paraId="30260E8E" w14:textId="77777777" w:rsidR="00781728" w:rsidRPr="009E4D25" w:rsidRDefault="00781728" w:rsidP="00781728">
      <w:pPr>
        <w:spacing w:after="0" w:line="240" w:lineRule="auto"/>
        <w:rPr>
          <w:rFonts w:ascii="Calibri" w:hAnsi="Calibri" w:cs="Calibri"/>
          <w:sz w:val="22"/>
          <w:szCs w:val="22"/>
        </w:rPr>
      </w:pPr>
    </w:p>
    <w:p w14:paraId="3F0928AA" w14:textId="72E8D7A7" w:rsidR="00781728" w:rsidRPr="009E4D25" w:rsidRDefault="00781728" w:rsidP="00781728">
      <w:pPr>
        <w:spacing w:after="0" w:line="240" w:lineRule="auto"/>
        <w:rPr>
          <w:rFonts w:ascii="Calibri" w:hAnsi="Calibri" w:cs="Calibri"/>
          <w:sz w:val="22"/>
          <w:szCs w:val="22"/>
        </w:rPr>
      </w:pPr>
      <w:r w:rsidRPr="004515CA">
        <w:rPr>
          <w:rFonts w:ascii="Calibri" w:hAnsi="Calibri" w:cs="Calibri"/>
          <w:b/>
          <w:bCs/>
          <w:sz w:val="22"/>
          <w:szCs w:val="22"/>
        </w:rPr>
        <w:t>Grounded theory</w:t>
      </w:r>
      <w:r w:rsidR="0057506A">
        <w:rPr>
          <w:rFonts w:ascii="Calibri" w:hAnsi="Calibri" w:cs="Calibri"/>
          <w:b/>
          <w:bCs/>
          <w:sz w:val="22"/>
          <w:szCs w:val="22"/>
        </w:rPr>
        <w:t xml:space="preserve"> </w:t>
      </w:r>
      <w:r w:rsidR="0089372B">
        <w:rPr>
          <w:rFonts w:ascii="Calibri" w:hAnsi="Calibri" w:cs="Calibri"/>
          <w:sz w:val="22"/>
          <w:szCs w:val="22"/>
        </w:rPr>
        <w:t>research builds</w:t>
      </w:r>
      <w:r w:rsidR="0089372B" w:rsidRPr="0089372B">
        <w:rPr>
          <w:rFonts w:ascii="Calibri" w:hAnsi="Calibri" w:cs="Calibri"/>
          <w:sz w:val="22"/>
          <w:szCs w:val="22"/>
        </w:rPr>
        <w:t xml:space="preserve"> theory and or frameworks</w:t>
      </w:r>
      <w:r w:rsidR="0089372B">
        <w:rPr>
          <w:rFonts w:ascii="Calibri" w:hAnsi="Calibri" w:cs="Calibri"/>
          <w:b/>
          <w:bCs/>
          <w:sz w:val="22"/>
          <w:szCs w:val="22"/>
        </w:rPr>
        <w:t xml:space="preserve"> </w:t>
      </w:r>
      <w:r w:rsidR="0057506A" w:rsidRPr="0057506A">
        <w:rPr>
          <w:rFonts w:ascii="Calibri" w:hAnsi="Calibri" w:cs="Calibri"/>
          <w:sz w:val="22"/>
          <w:szCs w:val="22"/>
        </w:rPr>
        <w:t>Gioia et al.'s (2013) work on organizational identity formation in academia demonstrated how grounded theory builds theoretical frameworks from empirical observations. Corley and Gioia's (2004) study of identity change following a corporate spin-off exemplifies how grounded theory illuminates complex organizational processes.</w:t>
      </w:r>
    </w:p>
    <w:p w14:paraId="5D69DBBF" w14:textId="77777777" w:rsidR="00781728" w:rsidRPr="009E4D25" w:rsidRDefault="00781728" w:rsidP="00781728">
      <w:pPr>
        <w:spacing w:after="0" w:line="240" w:lineRule="auto"/>
        <w:rPr>
          <w:rFonts w:ascii="Calibri" w:hAnsi="Calibri" w:cs="Calibri"/>
          <w:sz w:val="22"/>
          <w:szCs w:val="22"/>
        </w:rPr>
      </w:pPr>
    </w:p>
    <w:p w14:paraId="05C5C0CA" w14:textId="42AD24E8" w:rsidR="00781728" w:rsidRDefault="00781728" w:rsidP="007A4563">
      <w:pPr>
        <w:spacing w:after="0" w:line="240" w:lineRule="auto"/>
        <w:rPr>
          <w:rFonts w:ascii="Calibri" w:hAnsi="Calibri" w:cs="Calibri"/>
          <w:sz w:val="22"/>
          <w:szCs w:val="22"/>
        </w:rPr>
      </w:pPr>
      <w:r w:rsidRPr="004515CA">
        <w:rPr>
          <w:rFonts w:ascii="Calibri" w:hAnsi="Calibri" w:cs="Calibri"/>
          <w:b/>
          <w:bCs/>
          <w:sz w:val="22"/>
          <w:szCs w:val="22"/>
        </w:rPr>
        <w:t>Ethnographic research</w:t>
      </w:r>
      <w:r w:rsidRPr="009E4D25">
        <w:rPr>
          <w:rFonts w:ascii="Calibri" w:hAnsi="Calibri" w:cs="Calibri"/>
          <w:sz w:val="22"/>
          <w:szCs w:val="22"/>
        </w:rPr>
        <w:t xml:space="preserve"> in business contexts provides deep cultural insights. </w:t>
      </w:r>
      <w:r w:rsidR="007A4563" w:rsidRPr="007A4563">
        <w:rPr>
          <w:rFonts w:ascii="Calibri" w:hAnsi="Calibri" w:cs="Calibri"/>
          <w:sz w:val="22"/>
          <w:szCs w:val="22"/>
        </w:rPr>
        <w:t>Watson's (2011) landmark ethnographic study of managers in British manufacturing revealed intricate patterns of everyday managerial work. Orr's (1996) classic ethnographic study of photocopier repair technicians demonstrated how ethnography can reveal informal work practices and organizational learning processes.</w:t>
      </w:r>
    </w:p>
    <w:p w14:paraId="2C95A0DA" w14:textId="77777777" w:rsidR="00994482" w:rsidRPr="009E4D25" w:rsidRDefault="00994482" w:rsidP="007A4563">
      <w:pPr>
        <w:spacing w:after="0" w:line="240" w:lineRule="auto"/>
        <w:rPr>
          <w:rFonts w:ascii="Calibri" w:hAnsi="Calibri" w:cs="Calibri"/>
          <w:sz w:val="22"/>
          <w:szCs w:val="22"/>
        </w:rPr>
      </w:pPr>
    </w:p>
    <w:p w14:paraId="0E81ADFF" w14:textId="5D40A94D" w:rsidR="00781728" w:rsidRPr="009E4D25" w:rsidRDefault="00781728" w:rsidP="00781728">
      <w:pPr>
        <w:spacing w:after="0" w:line="240" w:lineRule="auto"/>
        <w:rPr>
          <w:rFonts w:ascii="Calibri" w:hAnsi="Calibri" w:cs="Calibri"/>
          <w:sz w:val="22"/>
          <w:szCs w:val="22"/>
        </w:rPr>
      </w:pPr>
      <w:r w:rsidRPr="004515CA">
        <w:rPr>
          <w:rFonts w:ascii="Calibri" w:hAnsi="Calibri" w:cs="Calibri"/>
          <w:b/>
          <w:bCs/>
          <w:sz w:val="22"/>
          <w:szCs w:val="22"/>
        </w:rPr>
        <w:t>Case study research</w:t>
      </w:r>
      <w:r w:rsidRPr="009E4D25">
        <w:rPr>
          <w:rFonts w:ascii="Calibri" w:hAnsi="Calibri" w:cs="Calibri"/>
          <w:sz w:val="22"/>
          <w:szCs w:val="22"/>
        </w:rPr>
        <w:t xml:space="preserve">, perhaps the most widely recognised approach in business research, offers in-depth examination of specific organisational phenomena. </w:t>
      </w:r>
      <w:r w:rsidR="00DB7B7B" w:rsidRPr="00DB7B7B">
        <w:rPr>
          <w:rFonts w:ascii="Calibri" w:hAnsi="Calibri" w:cs="Calibri"/>
          <w:sz w:val="22"/>
          <w:szCs w:val="22"/>
        </w:rPr>
        <w:t>Pettigrew's (1985) influential study of strategic change at ICI represents a classic example of case study research in organizational settings. More recently, Langley's (1999) theoretical contribution showed how case studies can reveal process dynamics in organizational research.</w:t>
      </w:r>
    </w:p>
    <w:p w14:paraId="1FFCD459" w14:textId="77777777" w:rsidR="00781728" w:rsidRDefault="00781728" w:rsidP="00781728">
      <w:pPr>
        <w:spacing w:after="0" w:line="240" w:lineRule="auto"/>
        <w:rPr>
          <w:rFonts w:ascii="Calibri" w:hAnsi="Calibri" w:cs="Calibri"/>
          <w:sz w:val="22"/>
          <w:szCs w:val="22"/>
        </w:rPr>
      </w:pPr>
      <w:r w:rsidRPr="009E4D25">
        <w:rPr>
          <w:rFonts w:ascii="Calibri" w:hAnsi="Calibri" w:cs="Calibri"/>
          <w:sz w:val="22"/>
          <w:szCs w:val="22"/>
        </w:rPr>
        <w:t xml:space="preserve"> </w:t>
      </w:r>
    </w:p>
    <w:p w14:paraId="416B2376" w14:textId="77777777" w:rsidR="00781728" w:rsidRPr="004515CA" w:rsidRDefault="00781728" w:rsidP="00781728">
      <w:pPr>
        <w:spacing w:after="0" w:line="240" w:lineRule="auto"/>
        <w:rPr>
          <w:rFonts w:ascii="Calibri" w:hAnsi="Calibri" w:cs="Calibri"/>
          <w:b/>
          <w:bCs/>
          <w:sz w:val="22"/>
          <w:szCs w:val="22"/>
        </w:rPr>
      </w:pPr>
      <w:r w:rsidRPr="004515CA">
        <w:rPr>
          <w:rFonts w:ascii="Calibri" w:hAnsi="Calibri" w:cs="Calibri"/>
          <w:b/>
          <w:bCs/>
          <w:sz w:val="22"/>
          <w:szCs w:val="22"/>
        </w:rPr>
        <w:t>Contemporary Applications in Business Research</w:t>
      </w:r>
    </w:p>
    <w:p w14:paraId="463C4A7F" w14:textId="77777777" w:rsidR="00781728" w:rsidRPr="009E4D25" w:rsidRDefault="00781728" w:rsidP="00781728">
      <w:pPr>
        <w:spacing w:after="0" w:line="240" w:lineRule="auto"/>
        <w:rPr>
          <w:rFonts w:ascii="Calibri" w:hAnsi="Calibri" w:cs="Calibri"/>
          <w:sz w:val="22"/>
          <w:szCs w:val="22"/>
        </w:rPr>
      </w:pPr>
    </w:p>
    <w:p w14:paraId="1202C1CE" w14:textId="77777777" w:rsidR="00781728" w:rsidRDefault="00781728" w:rsidP="00781728">
      <w:pPr>
        <w:spacing w:after="0" w:line="240" w:lineRule="auto"/>
        <w:rPr>
          <w:rFonts w:ascii="Calibri" w:hAnsi="Calibri" w:cs="Calibri"/>
          <w:sz w:val="22"/>
          <w:szCs w:val="22"/>
        </w:rPr>
      </w:pPr>
      <w:r w:rsidRPr="009E4D25">
        <w:rPr>
          <w:rFonts w:ascii="Calibri" w:hAnsi="Calibri" w:cs="Calibri"/>
          <w:sz w:val="22"/>
          <w:szCs w:val="22"/>
        </w:rPr>
        <w:t>Modern business researchers often combine these approaches to address complex organisational challenges. For example, in studying digital transformation at traditional British retailers, researchers might employ:</w:t>
      </w:r>
    </w:p>
    <w:p w14:paraId="0ED1C33F" w14:textId="77777777" w:rsidR="00781728" w:rsidRPr="009E4D25" w:rsidRDefault="00781728" w:rsidP="00781728">
      <w:pPr>
        <w:spacing w:after="0" w:line="240" w:lineRule="auto"/>
        <w:rPr>
          <w:rFonts w:ascii="Calibri" w:hAnsi="Calibri" w:cs="Calibri"/>
          <w:sz w:val="22"/>
          <w:szCs w:val="22"/>
        </w:rPr>
      </w:pPr>
    </w:p>
    <w:p w14:paraId="203BFF56"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Narrative approaches to understand how employees story the change process</w:t>
      </w:r>
    </w:p>
    <w:p w14:paraId="38BF499A"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Phenomenological insights into lived experiences of technological disruption</w:t>
      </w:r>
    </w:p>
    <w:p w14:paraId="1D777E1A"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Grounded theory to build models of successful digital transformation</w:t>
      </w:r>
    </w:p>
    <w:p w14:paraId="0C2D672B"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Ethnographic observation of changing work practices</w:t>
      </w:r>
    </w:p>
    <w:p w14:paraId="44DB872E"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lastRenderedPageBreak/>
        <w:t>- Case studies of specific transformation initiatives</w:t>
      </w:r>
    </w:p>
    <w:p w14:paraId="34DDD025" w14:textId="77777777" w:rsidR="00781728" w:rsidRPr="009E4D25" w:rsidRDefault="00781728" w:rsidP="00781728">
      <w:pPr>
        <w:spacing w:after="0" w:line="240" w:lineRule="auto"/>
        <w:rPr>
          <w:rFonts w:ascii="Calibri" w:hAnsi="Calibri" w:cs="Calibri"/>
          <w:sz w:val="22"/>
          <w:szCs w:val="22"/>
        </w:rPr>
      </w:pPr>
    </w:p>
    <w:p w14:paraId="3C86EC84"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As noted by Cassell and Symon (2022), qualitative research in business studies has evolved significantly, incorporating new technologies and responding to changing organisational contexts. Video analysis, digital ethnography, and remote interviewing techniques have expanded the researcher's toolkit considerably.</w:t>
      </w:r>
    </w:p>
    <w:p w14:paraId="1F2C4BF6" w14:textId="77777777" w:rsidR="00781728" w:rsidRPr="009E4D25" w:rsidRDefault="00781728" w:rsidP="00781728">
      <w:pPr>
        <w:spacing w:after="0" w:line="240" w:lineRule="auto"/>
        <w:rPr>
          <w:rFonts w:ascii="Calibri" w:hAnsi="Calibri" w:cs="Calibri"/>
          <w:sz w:val="22"/>
          <w:szCs w:val="22"/>
        </w:rPr>
      </w:pPr>
    </w:p>
    <w:p w14:paraId="016AE534" w14:textId="77777777" w:rsidR="00781728" w:rsidRPr="004515CA" w:rsidRDefault="00781728" w:rsidP="00781728">
      <w:pPr>
        <w:spacing w:after="0" w:line="240" w:lineRule="auto"/>
        <w:rPr>
          <w:rFonts w:ascii="Calibri" w:hAnsi="Calibri" w:cs="Calibri"/>
          <w:b/>
          <w:bCs/>
          <w:sz w:val="22"/>
          <w:szCs w:val="22"/>
        </w:rPr>
      </w:pPr>
      <w:r w:rsidRPr="004515CA">
        <w:rPr>
          <w:rFonts w:ascii="Calibri" w:hAnsi="Calibri" w:cs="Calibri"/>
          <w:b/>
          <w:bCs/>
          <w:sz w:val="22"/>
          <w:szCs w:val="22"/>
        </w:rPr>
        <w:t>Detailed Examination of Qualitative Approaches in Business Research</w:t>
      </w:r>
    </w:p>
    <w:p w14:paraId="7CE79E48" w14:textId="77777777" w:rsidR="00781728" w:rsidRPr="004515CA" w:rsidRDefault="00781728" w:rsidP="00781728">
      <w:pPr>
        <w:spacing w:after="0" w:line="240" w:lineRule="auto"/>
        <w:rPr>
          <w:rFonts w:ascii="Calibri" w:hAnsi="Calibri" w:cs="Calibri"/>
          <w:b/>
          <w:bCs/>
          <w:sz w:val="22"/>
          <w:szCs w:val="22"/>
        </w:rPr>
      </w:pPr>
    </w:p>
    <w:p w14:paraId="5CB0184E" w14:textId="77777777" w:rsidR="00781728" w:rsidRPr="004515CA" w:rsidRDefault="00781728" w:rsidP="00781728">
      <w:pPr>
        <w:spacing w:after="0" w:line="240" w:lineRule="auto"/>
        <w:rPr>
          <w:rFonts w:ascii="Calibri" w:hAnsi="Calibri" w:cs="Calibri"/>
          <w:b/>
          <w:bCs/>
          <w:sz w:val="22"/>
          <w:szCs w:val="22"/>
        </w:rPr>
      </w:pPr>
      <w:r w:rsidRPr="004515CA">
        <w:rPr>
          <w:rFonts w:ascii="Calibri" w:hAnsi="Calibri" w:cs="Calibri"/>
          <w:b/>
          <w:bCs/>
          <w:sz w:val="22"/>
          <w:szCs w:val="22"/>
        </w:rPr>
        <w:t>Narrative Research in Organisational Studies</w:t>
      </w:r>
    </w:p>
    <w:p w14:paraId="6AA16025" w14:textId="77777777" w:rsidR="00781728" w:rsidRPr="009E4D25" w:rsidRDefault="00781728" w:rsidP="00781728">
      <w:pPr>
        <w:spacing w:after="0" w:line="240" w:lineRule="auto"/>
        <w:rPr>
          <w:rFonts w:ascii="Calibri" w:hAnsi="Calibri" w:cs="Calibri"/>
          <w:sz w:val="22"/>
          <w:szCs w:val="22"/>
        </w:rPr>
      </w:pPr>
    </w:p>
    <w:p w14:paraId="4BF2564A"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xml:space="preserve">Narrative research has become increasingly significant in understanding organisational life, particularly in examining how meaning is constructed through storytelling in corporate settings. As Boje (2014) argues, organisations are essentially "storytelling systems" </w:t>
      </w:r>
      <w:proofErr w:type="gramStart"/>
      <w:r w:rsidRPr="009E4D25">
        <w:rPr>
          <w:rFonts w:ascii="Calibri" w:hAnsi="Calibri" w:cs="Calibri"/>
          <w:sz w:val="22"/>
          <w:szCs w:val="22"/>
        </w:rPr>
        <w:t>where</w:t>
      </w:r>
      <w:proofErr w:type="gramEnd"/>
      <w:r w:rsidRPr="009E4D25">
        <w:rPr>
          <w:rFonts w:ascii="Calibri" w:hAnsi="Calibri" w:cs="Calibri"/>
          <w:sz w:val="22"/>
          <w:szCs w:val="22"/>
        </w:rPr>
        <w:t xml:space="preserve"> narratives shape reality and influence behaviour.</w:t>
      </w:r>
    </w:p>
    <w:p w14:paraId="2AE52F79" w14:textId="77777777" w:rsidR="00781728" w:rsidRPr="009E4D25" w:rsidRDefault="00781728" w:rsidP="00781728">
      <w:pPr>
        <w:spacing w:after="0" w:line="240" w:lineRule="auto"/>
        <w:rPr>
          <w:rFonts w:ascii="Calibri" w:hAnsi="Calibri" w:cs="Calibri"/>
          <w:sz w:val="22"/>
          <w:szCs w:val="22"/>
        </w:rPr>
      </w:pPr>
    </w:p>
    <w:p w14:paraId="355AFF96" w14:textId="77777777" w:rsidR="00781728" w:rsidRDefault="00781728" w:rsidP="00781728">
      <w:pPr>
        <w:spacing w:after="0" w:line="240" w:lineRule="auto"/>
        <w:rPr>
          <w:rFonts w:ascii="Calibri" w:hAnsi="Calibri" w:cs="Calibri"/>
          <w:b/>
          <w:bCs/>
          <w:sz w:val="22"/>
          <w:szCs w:val="22"/>
        </w:rPr>
      </w:pPr>
      <w:r w:rsidRPr="00F64958">
        <w:rPr>
          <w:rFonts w:ascii="Calibri" w:hAnsi="Calibri" w:cs="Calibri"/>
          <w:b/>
          <w:bCs/>
          <w:sz w:val="22"/>
          <w:szCs w:val="22"/>
        </w:rPr>
        <w:t>Business Applications</w:t>
      </w:r>
    </w:p>
    <w:p w14:paraId="16127810" w14:textId="77777777" w:rsidR="001D230E" w:rsidRPr="00F64958" w:rsidRDefault="001D230E" w:rsidP="00781728">
      <w:pPr>
        <w:spacing w:after="0" w:line="240" w:lineRule="auto"/>
        <w:rPr>
          <w:rFonts w:ascii="Calibri" w:hAnsi="Calibri" w:cs="Calibri"/>
          <w:b/>
          <w:bCs/>
          <w:sz w:val="22"/>
          <w:szCs w:val="22"/>
        </w:rPr>
      </w:pPr>
    </w:p>
    <w:p w14:paraId="533C7420" w14:textId="42C7952A" w:rsidR="001D230E" w:rsidRPr="001D230E" w:rsidRDefault="00315E6C" w:rsidP="001D230E">
      <w:pPr>
        <w:spacing w:after="0" w:line="240" w:lineRule="auto"/>
        <w:rPr>
          <w:rFonts w:ascii="Calibri" w:hAnsi="Calibri" w:cs="Calibri"/>
          <w:b/>
          <w:bCs/>
          <w:sz w:val="22"/>
          <w:szCs w:val="22"/>
        </w:rPr>
      </w:pPr>
      <w:r w:rsidRPr="001D230E">
        <w:rPr>
          <w:rFonts w:ascii="Calibri" w:hAnsi="Calibri" w:cs="Calibri"/>
          <w:b/>
          <w:bCs/>
          <w:sz w:val="22"/>
          <w:szCs w:val="22"/>
        </w:rPr>
        <w:t>Organizational Change</w:t>
      </w:r>
    </w:p>
    <w:p w14:paraId="50E3978C" w14:textId="77777777" w:rsidR="00315E6C" w:rsidRPr="00315E6C" w:rsidRDefault="00315E6C" w:rsidP="00315E6C">
      <w:pPr>
        <w:spacing w:after="0" w:line="240" w:lineRule="auto"/>
        <w:rPr>
          <w:rFonts w:ascii="Calibri" w:hAnsi="Calibri" w:cs="Calibri"/>
          <w:sz w:val="22"/>
          <w:szCs w:val="22"/>
        </w:rPr>
      </w:pPr>
      <w:r w:rsidRPr="00315E6C">
        <w:rPr>
          <w:rFonts w:ascii="Calibri" w:hAnsi="Calibri" w:cs="Calibri"/>
          <w:sz w:val="22"/>
          <w:szCs w:val="22"/>
        </w:rPr>
        <w:t>Brown and Humphreys' (2003) study of UK further education colleges revealed how organizational narratives influenced merger outcomes. Their research demonstrated that success and failure narratives significantly impacted employee behaviour during transformation.</w:t>
      </w:r>
    </w:p>
    <w:p w14:paraId="4639AC1A" w14:textId="77777777" w:rsidR="00315E6C" w:rsidRPr="001D230E" w:rsidRDefault="00315E6C" w:rsidP="00315E6C">
      <w:pPr>
        <w:spacing w:after="0" w:line="240" w:lineRule="auto"/>
        <w:rPr>
          <w:rFonts w:ascii="Calibri" w:hAnsi="Calibri" w:cs="Calibri"/>
          <w:b/>
          <w:bCs/>
          <w:sz w:val="22"/>
          <w:szCs w:val="22"/>
        </w:rPr>
      </w:pPr>
      <w:r w:rsidRPr="001D230E">
        <w:rPr>
          <w:rFonts w:ascii="Calibri" w:hAnsi="Calibri" w:cs="Calibri"/>
          <w:b/>
          <w:bCs/>
          <w:sz w:val="22"/>
          <w:szCs w:val="22"/>
        </w:rPr>
        <w:t>Strategic Leadership</w:t>
      </w:r>
    </w:p>
    <w:p w14:paraId="2D8C3DE9" w14:textId="77777777" w:rsidR="00315E6C" w:rsidRPr="00315E6C" w:rsidRDefault="00315E6C" w:rsidP="00315E6C">
      <w:pPr>
        <w:spacing w:after="0" w:line="240" w:lineRule="auto"/>
        <w:rPr>
          <w:rFonts w:ascii="Calibri" w:hAnsi="Calibri" w:cs="Calibri"/>
          <w:sz w:val="22"/>
          <w:szCs w:val="22"/>
        </w:rPr>
      </w:pPr>
      <w:r w:rsidRPr="00315E6C">
        <w:rPr>
          <w:rFonts w:ascii="Calibri" w:hAnsi="Calibri" w:cs="Calibri"/>
          <w:sz w:val="22"/>
          <w:szCs w:val="22"/>
        </w:rPr>
        <w:t>Maclean et al. (2012) examined how business leaders legitimize their positions through narrative practices. Their study of 16 business elite members in France showed how executives craft legitimating life-history narratives.</w:t>
      </w:r>
    </w:p>
    <w:p w14:paraId="782FCCA9" w14:textId="77777777" w:rsidR="00315E6C" w:rsidRPr="001D230E" w:rsidRDefault="00315E6C" w:rsidP="00315E6C">
      <w:pPr>
        <w:spacing w:after="0" w:line="240" w:lineRule="auto"/>
        <w:rPr>
          <w:rFonts w:ascii="Calibri" w:hAnsi="Calibri" w:cs="Calibri"/>
          <w:b/>
          <w:bCs/>
          <w:sz w:val="22"/>
          <w:szCs w:val="22"/>
        </w:rPr>
      </w:pPr>
      <w:r w:rsidRPr="001D230E">
        <w:rPr>
          <w:rFonts w:ascii="Calibri" w:hAnsi="Calibri" w:cs="Calibri"/>
          <w:b/>
          <w:bCs/>
          <w:sz w:val="22"/>
          <w:szCs w:val="22"/>
        </w:rPr>
        <w:t>Organizational Identity</w:t>
      </w:r>
    </w:p>
    <w:p w14:paraId="6C58F36D" w14:textId="5CCB785D" w:rsidR="00781728" w:rsidRDefault="00315E6C" w:rsidP="00315E6C">
      <w:pPr>
        <w:spacing w:after="0" w:line="240" w:lineRule="auto"/>
        <w:rPr>
          <w:rFonts w:ascii="Calibri" w:hAnsi="Calibri" w:cs="Calibri"/>
          <w:sz w:val="22"/>
          <w:szCs w:val="22"/>
        </w:rPr>
      </w:pPr>
      <w:r w:rsidRPr="00315E6C">
        <w:rPr>
          <w:rFonts w:ascii="Calibri" w:hAnsi="Calibri" w:cs="Calibri"/>
          <w:sz w:val="22"/>
          <w:szCs w:val="22"/>
        </w:rPr>
        <w:t>Humphreys and Brown (2002) documented how narrative practices shaped organizational identity at a UK higher education institution, revealing the complex interplay between individual and organizational narratives.</w:t>
      </w:r>
    </w:p>
    <w:p w14:paraId="32C9BE66" w14:textId="77777777" w:rsidR="001D230E" w:rsidRDefault="001D230E" w:rsidP="00315E6C">
      <w:pPr>
        <w:spacing w:after="0" w:line="240" w:lineRule="auto"/>
        <w:rPr>
          <w:rFonts w:ascii="Calibri" w:hAnsi="Calibri" w:cs="Calibri"/>
          <w:sz w:val="22"/>
          <w:szCs w:val="22"/>
        </w:rPr>
      </w:pPr>
    </w:p>
    <w:p w14:paraId="2B7F96F5" w14:textId="77777777" w:rsidR="00781728" w:rsidRPr="00F64958" w:rsidRDefault="00781728" w:rsidP="00781728">
      <w:pPr>
        <w:spacing w:after="0" w:line="240" w:lineRule="auto"/>
        <w:rPr>
          <w:rFonts w:ascii="Calibri" w:hAnsi="Calibri" w:cs="Calibri"/>
          <w:b/>
          <w:bCs/>
          <w:sz w:val="22"/>
          <w:szCs w:val="22"/>
        </w:rPr>
      </w:pPr>
      <w:r w:rsidRPr="00F64958">
        <w:rPr>
          <w:rFonts w:ascii="Calibri" w:hAnsi="Calibri" w:cs="Calibri"/>
          <w:b/>
          <w:bCs/>
          <w:sz w:val="22"/>
          <w:szCs w:val="22"/>
        </w:rPr>
        <w:t>Phenomenological Research in Business Contexts</w:t>
      </w:r>
    </w:p>
    <w:p w14:paraId="58CF004E" w14:textId="77777777" w:rsidR="00781728" w:rsidRPr="009E4D25" w:rsidRDefault="00781728" w:rsidP="00781728">
      <w:pPr>
        <w:spacing w:after="0" w:line="240" w:lineRule="auto"/>
        <w:rPr>
          <w:rFonts w:ascii="Calibri" w:hAnsi="Calibri" w:cs="Calibri"/>
          <w:sz w:val="22"/>
          <w:szCs w:val="22"/>
        </w:rPr>
      </w:pPr>
    </w:p>
    <w:p w14:paraId="184B9F3C"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Phenomenological approaches offer unique insights into lived experiences within organisational settings. This methodology has proven particularly valuable in understanding workplace phenomena that are difficult to quantify.</w:t>
      </w:r>
    </w:p>
    <w:p w14:paraId="28286DAE" w14:textId="77777777" w:rsidR="00781728" w:rsidRPr="009E4D25" w:rsidRDefault="00781728" w:rsidP="00781728">
      <w:pPr>
        <w:spacing w:after="0" w:line="240" w:lineRule="auto"/>
        <w:rPr>
          <w:rFonts w:ascii="Calibri" w:hAnsi="Calibri" w:cs="Calibri"/>
          <w:sz w:val="22"/>
          <w:szCs w:val="22"/>
        </w:rPr>
      </w:pPr>
    </w:p>
    <w:p w14:paraId="32047E7C" w14:textId="77777777" w:rsidR="00781728" w:rsidRPr="00F64958" w:rsidRDefault="00781728" w:rsidP="00781728">
      <w:pPr>
        <w:spacing w:after="0" w:line="240" w:lineRule="auto"/>
        <w:rPr>
          <w:rFonts w:ascii="Calibri" w:hAnsi="Calibri" w:cs="Calibri"/>
          <w:b/>
          <w:bCs/>
          <w:sz w:val="22"/>
          <w:szCs w:val="22"/>
        </w:rPr>
      </w:pPr>
      <w:r w:rsidRPr="00F64958">
        <w:rPr>
          <w:rFonts w:ascii="Calibri" w:hAnsi="Calibri" w:cs="Calibri"/>
          <w:b/>
          <w:bCs/>
          <w:sz w:val="22"/>
          <w:szCs w:val="22"/>
        </w:rPr>
        <w:t>Key Business Applications</w:t>
      </w:r>
    </w:p>
    <w:p w14:paraId="71751F74" w14:textId="77777777" w:rsidR="00781728" w:rsidRPr="009E4D25" w:rsidRDefault="00781728" w:rsidP="00781728">
      <w:pPr>
        <w:spacing w:after="0" w:line="240" w:lineRule="auto"/>
        <w:rPr>
          <w:rFonts w:ascii="Calibri" w:hAnsi="Calibri" w:cs="Calibri"/>
          <w:sz w:val="22"/>
          <w:szCs w:val="22"/>
        </w:rPr>
      </w:pPr>
    </w:p>
    <w:p w14:paraId="6C8C0527" w14:textId="77777777" w:rsidR="00FF3C5A" w:rsidRPr="00FF3C5A" w:rsidRDefault="00FF3C5A" w:rsidP="00FF3C5A">
      <w:pPr>
        <w:spacing w:after="0" w:line="240" w:lineRule="auto"/>
        <w:rPr>
          <w:rFonts w:ascii="Calibri" w:hAnsi="Calibri" w:cs="Calibri"/>
          <w:sz w:val="22"/>
          <w:szCs w:val="22"/>
        </w:rPr>
      </w:pPr>
      <w:r w:rsidRPr="00FF3C5A">
        <w:rPr>
          <w:rFonts w:ascii="Calibri" w:hAnsi="Calibri" w:cs="Calibri"/>
          <w:sz w:val="22"/>
          <w:szCs w:val="22"/>
        </w:rPr>
        <w:t>Phenomenological studies have revealed important insights into lived experiences within organizations:</w:t>
      </w:r>
    </w:p>
    <w:p w14:paraId="52AE8E78" w14:textId="77777777" w:rsidR="00FF3C5A" w:rsidRPr="00FF3C5A" w:rsidRDefault="00FF3C5A" w:rsidP="00FF3C5A">
      <w:pPr>
        <w:spacing w:after="0" w:line="240" w:lineRule="auto"/>
        <w:rPr>
          <w:rFonts w:ascii="Calibri" w:hAnsi="Calibri" w:cs="Calibri"/>
          <w:sz w:val="22"/>
          <w:szCs w:val="22"/>
        </w:rPr>
      </w:pPr>
    </w:p>
    <w:p w14:paraId="0D9C819D" w14:textId="77777777" w:rsidR="00FF3C5A" w:rsidRPr="00FF3C5A" w:rsidRDefault="00FF3C5A" w:rsidP="00FF3C5A">
      <w:pPr>
        <w:spacing w:after="0" w:line="240" w:lineRule="auto"/>
        <w:rPr>
          <w:rFonts w:ascii="Calibri" w:hAnsi="Calibri" w:cs="Calibri"/>
          <w:b/>
          <w:bCs/>
          <w:sz w:val="22"/>
          <w:szCs w:val="22"/>
        </w:rPr>
      </w:pPr>
      <w:r w:rsidRPr="00FF3C5A">
        <w:rPr>
          <w:rFonts w:ascii="Calibri" w:hAnsi="Calibri" w:cs="Calibri"/>
          <w:b/>
          <w:bCs/>
          <w:sz w:val="22"/>
          <w:szCs w:val="22"/>
        </w:rPr>
        <w:t>Professional Identity</w:t>
      </w:r>
    </w:p>
    <w:p w14:paraId="48252CB7" w14:textId="77777777" w:rsidR="00FF3C5A" w:rsidRPr="00FF3C5A" w:rsidRDefault="00FF3C5A" w:rsidP="00FF3C5A">
      <w:pPr>
        <w:spacing w:after="0" w:line="240" w:lineRule="auto"/>
        <w:rPr>
          <w:rFonts w:ascii="Calibri" w:hAnsi="Calibri" w:cs="Calibri"/>
          <w:sz w:val="22"/>
          <w:szCs w:val="22"/>
        </w:rPr>
      </w:pPr>
      <w:r w:rsidRPr="00FF3C5A">
        <w:rPr>
          <w:rFonts w:ascii="Calibri" w:hAnsi="Calibri" w:cs="Calibri"/>
          <w:sz w:val="22"/>
          <w:szCs w:val="22"/>
        </w:rPr>
        <w:t>Gill's (2015) study of 24 management consultants demonstrated how professionals experience and make sense of their work identities through embodied practices.</w:t>
      </w:r>
    </w:p>
    <w:p w14:paraId="553149A9" w14:textId="77777777" w:rsidR="00FF3C5A" w:rsidRPr="00FF3C5A" w:rsidRDefault="00FF3C5A" w:rsidP="00FF3C5A">
      <w:pPr>
        <w:spacing w:after="0" w:line="240" w:lineRule="auto"/>
        <w:rPr>
          <w:rFonts w:ascii="Calibri" w:hAnsi="Calibri" w:cs="Calibri"/>
          <w:b/>
          <w:bCs/>
          <w:sz w:val="22"/>
          <w:szCs w:val="22"/>
        </w:rPr>
      </w:pPr>
      <w:r w:rsidRPr="00FF3C5A">
        <w:rPr>
          <w:rFonts w:ascii="Calibri" w:hAnsi="Calibri" w:cs="Calibri"/>
          <w:b/>
          <w:bCs/>
          <w:sz w:val="22"/>
          <w:szCs w:val="22"/>
        </w:rPr>
        <w:t>Leadership Experience</w:t>
      </w:r>
    </w:p>
    <w:p w14:paraId="5EE3C8C9" w14:textId="77777777" w:rsidR="00FF3C5A" w:rsidRPr="00FF3C5A" w:rsidRDefault="00FF3C5A" w:rsidP="00FF3C5A">
      <w:pPr>
        <w:spacing w:after="0" w:line="240" w:lineRule="auto"/>
        <w:rPr>
          <w:rFonts w:ascii="Calibri" w:hAnsi="Calibri" w:cs="Calibri"/>
          <w:sz w:val="22"/>
          <w:szCs w:val="22"/>
        </w:rPr>
      </w:pPr>
      <w:proofErr w:type="spellStart"/>
      <w:r w:rsidRPr="00FF3C5A">
        <w:rPr>
          <w:rFonts w:ascii="Calibri" w:hAnsi="Calibri" w:cs="Calibri"/>
          <w:sz w:val="22"/>
          <w:szCs w:val="22"/>
        </w:rPr>
        <w:t>Ladkin's</w:t>
      </w:r>
      <w:proofErr w:type="spellEnd"/>
      <w:r w:rsidRPr="00FF3C5A">
        <w:rPr>
          <w:rFonts w:ascii="Calibri" w:hAnsi="Calibri" w:cs="Calibri"/>
          <w:sz w:val="22"/>
          <w:szCs w:val="22"/>
        </w:rPr>
        <w:t xml:space="preserve"> (2010) phenomenological investigation of leadership revealed how the "moment of leading" is experienced, drawing from studies with senior executives.</w:t>
      </w:r>
    </w:p>
    <w:p w14:paraId="639AB28A" w14:textId="77777777" w:rsidR="00FF3C5A" w:rsidRPr="00FF3C5A" w:rsidRDefault="00FF3C5A" w:rsidP="00FF3C5A">
      <w:pPr>
        <w:spacing w:after="0" w:line="240" w:lineRule="auto"/>
        <w:rPr>
          <w:rFonts w:ascii="Calibri" w:hAnsi="Calibri" w:cs="Calibri"/>
          <w:b/>
          <w:bCs/>
          <w:sz w:val="22"/>
          <w:szCs w:val="22"/>
        </w:rPr>
      </w:pPr>
      <w:r w:rsidRPr="00FF3C5A">
        <w:rPr>
          <w:rFonts w:ascii="Calibri" w:hAnsi="Calibri" w:cs="Calibri"/>
          <w:b/>
          <w:bCs/>
          <w:sz w:val="22"/>
          <w:szCs w:val="22"/>
        </w:rPr>
        <w:t>Organizational Change</w:t>
      </w:r>
    </w:p>
    <w:p w14:paraId="40C04B13" w14:textId="77777777" w:rsidR="00FF3C5A" w:rsidRPr="00FF3C5A" w:rsidRDefault="00FF3C5A" w:rsidP="00FF3C5A">
      <w:pPr>
        <w:spacing w:after="0" w:line="240" w:lineRule="auto"/>
        <w:rPr>
          <w:rFonts w:ascii="Calibri" w:hAnsi="Calibri" w:cs="Calibri"/>
          <w:sz w:val="22"/>
          <w:szCs w:val="22"/>
        </w:rPr>
      </w:pPr>
      <w:r w:rsidRPr="00FF3C5A">
        <w:rPr>
          <w:rFonts w:ascii="Calibri" w:hAnsi="Calibri" w:cs="Calibri"/>
          <w:sz w:val="22"/>
          <w:szCs w:val="22"/>
        </w:rPr>
        <w:t>Reissner's (2011) research into three manufacturing organizations showed how employees experience and make sense of organizational transformation.</w:t>
      </w:r>
    </w:p>
    <w:p w14:paraId="17327F8D" w14:textId="77777777" w:rsidR="00781728" w:rsidRPr="009E4D25" w:rsidRDefault="00781728" w:rsidP="00781728">
      <w:pPr>
        <w:spacing w:after="0" w:line="240" w:lineRule="auto"/>
        <w:rPr>
          <w:rFonts w:ascii="Calibri" w:hAnsi="Calibri" w:cs="Calibri"/>
          <w:sz w:val="22"/>
          <w:szCs w:val="22"/>
        </w:rPr>
      </w:pPr>
    </w:p>
    <w:p w14:paraId="07540530" w14:textId="77777777" w:rsidR="00781728" w:rsidRPr="00F64958" w:rsidRDefault="00781728" w:rsidP="00781728">
      <w:pPr>
        <w:spacing w:after="0" w:line="240" w:lineRule="auto"/>
        <w:rPr>
          <w:rFonts w:ascii="Calibri" w:hAnsi="Calibri" w:cs="Calibri"/>
          <w:b/>
          <w:bCs/>
          <w:sz w:val="22"/>
          <w:szCs w:val="22"/>
        </w:rPr>
      </w:pPr>
      <w:r w:rsidRPr="00F64958">
        <w:rPr>
          <w:rFonts w:ascii="Calibri" w:hAnsi="Calibri" w:cs="Calibri"/>
          <w:b/>
          <w:bCs/>
          <w:sz w:val="22"/>
          <w:szCs w:val="22"/>
        </w:rPr>
        <w:t>Grounded Theory in Management Research</w:t>
      </w:r>
    </w:p>
    <w:p w14:paraId="3D57C86C" w14:textId="77777777" w:rsidR="00781728" w:rsidRPr="009E4D25" w:rsidRDefault="00781728" w:rsidP="00781728">
      <w:pPr>
        <w:spacing w:after="0" w:line="240" w:lineRule="auto"/>
        <w:rPr>
          <w:rFonts w:ascii="Calibri" w:hAnsi="Calibri" w:cs="Calibri"/>
          <w:sz w:val="22"/>
          <w:szCs w:val="22"/>
        </w:rPr>
      </w:pPr>
    </w:p>
    <w:p w14:paraId="0A6C13CD" w14:textId="340E53DE" w:rsidR="00686C7F" w:rsidRPr="00686C7F" w:rsidRDefault="00781728" w:rsidP="00686C7F">
      <w:pPr>
        <w:spacing w:after="0" w:line="240" w:lineRule="auto"/>
        <w:rPr>
          <w:rFonts w:ascii="Calibri" w:hAnsi="Calibri" w:cs="Calibri"/>
          <w:sz w:val="22"/>
          <w:szCs w:val="22"/>
        </w:rPr>
      </w:pPr>
      <w:r w:rsidRPr="009E4D25">
        <w:rPr>
          <w:rFonts w:ascii="Calibri" w:hAnsi="Calibri" w:cs="Calibri"/>
          <w:sz w:val="22"/>
          <w:szCs w:val="22"/>
        </w:rPr>
        <w:t>Grounded theory has revolutionised how researchers understand organisational processes, particularly in developing new theoretical frameworks</w:t>
      </w:r>
      <w:r w:rsidR="00686C7F">
        <w:rPr>
          <w:rFonts w:ascii="Calibri" w:hAnsi="Calibri" w:cs="Calibri"/>
          <w:sz w:val="22"/>
          <w:szCs w:val="22"/>
        </w:rPr>
        <w:t xml:space="preserve">. </w:t>
      </w:r>
      <w:r w:rsidR="00686C7F" w:rsidRPr="00686C7F">
        <w:rPr>
          <w:rFonts w:ascii="Calibri" w:hAnsi="Calibri" w:cs="Calibri"/>
          <w:sz w:val="22"/>
          <w:szCs w:val="22"/>
        </w:rPr>
        <w:t>Contemporary grounded theory studies have generated important theoretical insights:</w:t>
      </w:r>
    </w:p>
    <w:p w14:paraId="72864E97" w14:textId="77777777" w:rsidR="00781728" w:rsidRPr="009E4D25" w:rsidRDefault="00781728" w:rsidP="00781728">
      <w:pPr>
        <w:spacing w:after="0" w:line="240" w:lineRule="auto"/>
        <w:rPr>
          <w:rFonts w:ascii="Calibri" w:hAnsi="Calibri" w:cs="Calibri"/>
          <w:sz w:val="22"/>
          <w:szCs w:val="22"/>
        </w:rPr>
      </w:pPr>
    </w:p>
    <w:p w14:paraId="0690C4F5" w14:textId="16BFA5C4" w:rsidR="00781728" w:rsidRPr="00686C7F" w:rsidRDefault="00781728" w:rsidP="00686C7F">
      <w:pPr>
        <w:spacing w:after="0" w:line="240" w:lineRule="auto"/>
        <w:rPr>
          <w:rFonts w:ascii="Calibri" w:hAnsi="Calibri" w:cs="Calibri"/>
          <w:b/>
          <w:bCs/>
          <w:sz w:val="22"/>
          <w:szCs w:val="22"/>
        </w:rPr>
      </w:pPr>
      <w:r w:rsidRPr="00F64958">
        <w:rPr>
          <w:rFonts w:ascii="Calibri" w:hAnsi="Calibri" w:cs="Calibri"/>
          <w:b/>
          <w:bCs/>
          <w:sz w:val="22"/>
          <w:szCs w:val="22"/>
        </w:rPr>
        <w:t>Contemporary Business Applications</w:t>
      </w:r>
    </w:p>
    <w:p w14:paraId="26F99080" w14:textId="77777777" w:rsidR="00686C7F" w:rsidRPr="00686C7F" w:rsidRDefault="00686C7F" w:rsidP="00686C7F">
      <w:pPr>
        <w:spacing w:after="0" w:line="240" w:lineRule="auto"/>
        <w:rPr>
          <w:rFonts w:ascii="Calibri" w:hAnsi="Calibri" w:cs="Calibri"/>
          <w:sz w:val="22"/>
          <w:szCs w:val="22"/>
        </w:rPr>
      </w:pPr>
    </w:p>
    <w:p w14:paraId="4F29417C" w14:textId="77777777" w:rsidR="00686C7F" w:rsidRPr="00686C7F" w:rsidRDefault="00686C7F" w:rsidP="00686C7F">
      <w:pPr>
        <w:spacing w:after="0" w:line="240" w:lineRule="auto"/>
        <w:rPr>
          <w:rFonts w:ascii="Calibri" w:hAnsi="Calibri" w:cs="Calibri"/>
          <w:b/>
          <w:bCs/>
          <w:sz w:val="22"/>
          <w:szCs w:val="22"/>
        </w:rPr>
      </w:pPr>
      <w:r w:rsidRPr="00686C7F">
        <w:rPr>
          <w:rFonts w:ascii="Calibri" w:hAnsi="Calibri" w:cs="Calibri"/>
          <w:b/>
          <w:bCs/>
          <w:sz w:val="22"/>
          <w:szCs w:val="22"/>
        </w:rPr>
        <w:t>Innovation Processes</w:t>
      </w:r>
    </w:p>
    <w:p w14:paraId="7CC21AB8" w14:textId="77777777" w:rsidR="00686C7F" w:rsidRPr="00686C7F" w:rsidRDefault="00686C7F" w:rsidP="00686C7F">
      <w:pPr>
        <w:spacing w:after="0" w:line="240" w:lineRule="auto"/>
        <w:rPr>
          <w:rFonts w:ascii="Calibri" w:hAnsi="Calibri" w:cs="Calibri"/>
          <w:sz w:val="22"/>
          <w:szCs w:val="22"/>
        </w:rPr>
      </w:pPr>
      <w:r w:rsidRPr="00686C7F">
        <w:rPr>
          <w:rFonts w:ascii="Calibri" w:hAnsi="Calibri" w:cs="Calibri"/>
          <w:sz w:val="22"/>
          <w:szCs w:val="22"/>
        </w:rPr>
        <w:t>Dougherty's (1992) classic grounded theory study of product innovation revealed how interpretive schemes influence new product development.</w:t>
      </w:r>
    </w:p>
    <w:p w14:paraId="3D87FB88" w14:textId="77777777" w:rsidR="00686C7F" w:rsidRPr="00686C7F" w:rsidRDefault="00686C7F" w:rsidP="00686C7F">
      <w:pPr>
        <w:spacing w:after="0" w:line="240" w:lineRule="auto"/>
        <w:rPr>
          <w:rFonts w:ascii="Calibri" w:hAnsi="Calibri" w:cs="Calibri"/>
          <w:b/>
          <w:bCs/>
          <w:sz w:val="22"/>
          <w:szCs w:val="22"/>
        </w:rPr>
      </w:pPr>
      <w:r w:rsidRPr="00686C7F">
        <w:rPr>
          <w:rFonts w:ascii="Calibri" w:hAnsi="Calibri" w:cs="Calibri"/>
          <w:b/>
          <w:bCs/>
          <w:sz w:val="22"/>
          <w:szCs w:val="22"/>
        </w:rPr>
        <w:t>Strategic Management</w:t>
      </w:r>
    </w:p>
    <w:p w14:paraId="24C95F75" w14:textId="77777777" w:rsidR="00686C7F" w:rsidRPr="00686C7F" w:rsidRDefault="00686C7F" w:rsidP="00686C7F">
      <w:pPr>
        <w:spacing w:after="0" w:line="240" w:lineRule="auto"/>
        <w:rPr>
          <w:rFonts w:ascii="Calibri" w:hAnsi="Calibri" w:cs="Calibri"/>
          <w:sz w:val="22"/>
          <w:szCs w:val="22"/>
        </w:rPr>
      </w:pPr>
      <w:r w:rsidRPr="00686C7F">
        <w:rPr>
          <w:rFonts w:ascii="Calibri" w:hAnsi="Calibri" w:cs="Calibri"/>
          <w:sz w:val="22"/>
          <w:szCs w:val="22"/>
        </w:rPr>
        <w:t>Maitlis and Lawrence's (2007) research into orchestral organizations developed grounded theory explaining organizational failure.</w:t>
      </w:r>
    </w:p>
    <w:p w14:paraId="5C5FD72E" w14:textId="77777777" w:rsidR="00686C7F" w:rsidRPr="00686C7F" w:rsidRDefault="00686C7F" w:rsidP="00686C7F">
      <w:pPr>
        <w:spacing w:after="0" w:line="240" w:lineRule="auto"/>
        <w:rPr>
          <w:rFonts w:ascii="Calibri" w:hAnsi="Calibri" w:cs="Calibri"/>
          <w:b/>
          <w:bCs/>
          <w:sz w:val="22"/>
          <w:szCs w:val="22"/>
        </w:rPr>
      </w:pPr>
      <w:r w:rsidRPr="00686C7F">
        <w:rPr>
          <w:rFonts w:ascii="Calibri" w:hAnsi="Calibri" w:cs="Calibri"/>
          <w:b/>
          <w:bCs/>
          <w:sz w:val="22"/>
          <w:szCs w:val="22"/>
        </w:rPr>
        <w:t>Organizational Learning</w:t>
      </w:r>
    </w:p>
    <w:p w14:paraId="0E8E1319" w14:textId="63CEEB15" w:rsidR="00781728" w:rsidRDefault="00686C7F" w:rsidP="00686C7F">
      <w:pPr>
        <w:spacing w:after="0" w:line="240" w:lineRule="auto"/>
        <w:rPr>
          <w:rFonts w:ascii="Calibri" w:hAnsi="Calibri" w:cs="Calibri"/>
          <w:sz w:val="22"/>
          <w:szCs w:val="22"/>
        </w:rPr>
      </w:pPr>
      <w:r w:rsidRPr="00686C7F">
        <w:rPr>
          <w:rFonts w:ascii="Calibri" w:hAnsi="Calibri" w:cs="Calibri"/>
          <w:sz w:val="22"/>
          <w:szCs w:val="22"/>
        </w:rPr>
        <w:t>Crossan et al.'s (1999) grounded theory study established the "4I Framework" of organizational learning, now considered seminal in the field.</w:t>
      </w:r>
    </w:p>
    <w:p w14:paraId="2F8F976A" w14:textId="77777777" w:rsidR="00686C7F" w:rsidRPr="009E4D25" w:rsidRDefault="00686C7F" w:rsidP="00686C7F">
      <w:pPr>
        <w:spacing w:after="0" w:line="240" w:lineRule="auto"/>
        <w:rPr>
          <w:rFonts w:ascii="Calibri" w:hAnsi="Calibri" w:cs="Calibri"/>
          <w:sz w:val="22"/>
          <w:szCs w:val="22"/>
        </w:rPr>
      </w:pPr>
    </w:p>
    <w:p w14:paraId="7B7F6638" w14:textId="77777777" w:rsidR="00781728" w:rsidRPr="00A31A84" w:rsidRDefault="00781728" w:rsidP="00781728">
      <w:pPr>
        <w:spacing w:after="0" w:line="240" w:lineRule="auto"/>
        <w:rPr>
          <w:rFonts w:ascii="Calibri" w:hAnsi="Calibri" w:cs="Calibri"/>
          <w:b/>
          <w:bCs/>
          <w:sz w:val="22"/>
          <w:szCs w:val="22"/>
        </w:rPr>
      </w:pPr>
      <w:r w:rsidRPr="00A31A84">
        <w:rPr>
          <w:rFonts w:ascii="Calibri" w:hAnsi="Calibri" w:cs="Calibri"/>
          <w:b/>
          <w:bCs/>
          <w:sz w:val="22"/>
          <w:szCs w:val="22"/>
        </w:rPr>
        <w:t>Ethnographic Research in Corporate Settings</w:t>
      </w:r>
    </w:p>
    <w:p w14:paraId="61815EC3" w14:textId="77777777" w:rsidR="00781728" w:rsidRPr="009E4D25" w:rsidRDefault="00781728" w:rsidP="00781728">
      <w:pPr>
        <w:spacing w:after="0" w:line="240" w:lineRule="auto"/>
        <w:rPr>
          <w:rFonts w:ascii="Calibri" w:hAnsi="Calibri" w:cs="Calibri"/>
          <w:sz w:val="22"/>
          <w:szCs w:val="22"/>
        </w:rPr>
      </w:pPr>
    </w:p>
    <w:p w14:paraId="3B1D58C0" w14:textId="1E20511A"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xml:space="preserve">Corporate ethnography has gained prominence as organisations seek deeper understanding of both employee and </w:t>
      </w:r>
      <w:r w:rsidR="0033705D">
        <w:rPr>
          <w:rFonts w:ascii="Calibri" w:hAnsi="Calibri" w:cs="Calibri"/>
          <w:sz w:val="22"/>
          <w:szCs w:val="22"/>
        </w:rPr>
        <w:t xml:space="preserve">d </w:t>
      </w:r>
      <w:r w:rsidR="0033705D" w:rsidRPr="0033705D">
        <w:rPr>
          <w:rFonts w:ascii="Calibri" w:hAnsi="Calibri" w:cs="Calibri"/>
          <w:sz w:val="22"/>
          <w:szCs w:val="22"/>
        </w:rPr>
        <w:t>provided deep insights into workplace dynamics:</w:t>
      </w:r>
    </w:p>
    <w:p w14:paraId="6FE28587" w14:textId="77777777" w:rsidR="00781728" w:rsidRPr="009E4D25" w:rsidRDefault="00781728" w:rsidP="00781728">
      <w:pPr>
        <w:spacing w:after="0" w:line="240" w:lineRule="auto"/>
        <w:rPr>
          <w:rFonts w:ascii="Calibri" w:hAnsi="Calibri" w:cs="Calibri"/>
          <w:sz w:val="22"/>
          <w:szCs w:val="22"/>
        </w:rPr>
      </w:pPr>
    </w:p>
    <w:p w14:paraId="3E7407DB" w14:textId="2377753E" w:rsidR="0033705D" w:rsidRPr="0033705D" w:rsidRDefault="00781728" w:rsidP="0033705D">
      <w:pPr>
        <w:spacing w:after="0" w:line="240" w:lineRule="auto"/>
        <w:rPr>
          <w:rFonts w:ascii="Calibri" w:hAnsi="Calibri" w:cs="Calibri"/>
          <w:b/>
          <w:bCs/>
          <w:sz w:val="22"/>
          <w:szCs w:val="22"/>
        </w:rPr>
      </w:pPr>
      <w:r w:rsidRPr="00A31A84">
        <w:rPr>
          <w:rFonts w:ascii="Calibri" w:hAnsi="Calibri" w:cs="Calibri"/>
          <w:b/>
          <w:bCs/>
          <w:sz w:val="22"/>
          <w:szCs w:val="22"/>
        </w:rPr>
        <w:t>Business Applications</w:t>
      </w:r>
    </w:p>
    <w:p w14:paraId="045E34FA" w14:textId="77777777" w:rsidR="0033705D" w:rsidRPr="0033705D" w:rsidRDefault="0033705D" w:rsidP="0033705D">
      <w:pPr>
        <w:spacing w:after="0" w:line="240" w:lineRule="auto"/>
        <w:rPr>
          <w:rFonts w:ascii="Calibri" w:hAnsi="Calibri" w:cs="Calibri"/>
          <w:sz w:val="22"/>
          <w:szCs w:val="22"/>
        </w:rPr>
      </w:pPr>
    </w:p>
    <w:p w14:paraId="2D231B2F" w14:textId="77777777" w:rsidR="0033705D" w:rsidRPr="0033705D" w:rsidRDefault="0033705D" w:rsidP="0033705D">
      <w:pPr>
        <w:spacing w:after="0" w:line="240" w:lineRule="auto"/>
        <w:rPr>
          <w:rFonts w:ascii="Calibri" w:hAnsi="Calibri" w:cs="Calibri"/>
          <w:b/>
          <w:bCs/>
          <w:sz w:val="22"/>
          <w:szCs w:val="22"/>
        </w:rPr>
      </w:pPr>
      <w:r w:rsidRPr="0033705D">
        <w:rPr>
          <w:rFonts w:ascii="Calibri" w:hAnsi="Calibri" w:cs="Calibri"/>
          <w:b/>
          <w:bCs/>
          <w:sz w:val="22"/>
          <w:szCs w:val="22"/>
        </w:rPr>
        <w:t>Knowledge Work</w:t>
      </w:r>
    </w:p>
    <w:p w14:paraId="36D6B50A" w14:textId="77777777" w:rsidR="0033705D" w:rsidRPr="0033705D" w:rsidRDefault="0033705D" w:rsidP="0033705D">
      <w:pPr>
        <w:spacing w:after="0" w:line="240" w:lineRule="auto"/>
        <w:rPr>
          <w:rFonts w:ascii="Calibri" w:hAnsi="Calibri" w:cs="Calibri"/>
          <w:sz w:val="22"/>
          <w:szCs w:val="22"/>
        </w:rPr>
      </w:pPr>
      <w:r w:rsidRPr="0033705D">
        <w:rPr>
          <w:rFonts w:ascii="Calibri" w:hAnsi="Calibri" w:cs="Calibri"/>
          <w:sz w:val="22"/>
          <w:szCs w:val="22"/>
        </w:rPr>
        <w:t>Orlikowski's (2002) ethnographic study of a global software company revealed how knowing is enacted in organizational practices.</w:t>
      </w:r>
    </w:p>
    <w:p w14:paraId="65EC07BD" w14:textId="77777777" w:rsidR="0033705D" w:rsidRPr="0033705D" w:rsidRDefault="0033705D" w:rsidP="0033705D">
      <w:pPr>
        <w:spacing w:after="0" w:line="240" w:lineRule="auto"/>
        <w:rPr>
          <w:rFonts w:ascii="Calibri" w:hAnsi="Calibri" w:cs="Calibri"/>
          <w:b/>
          <w:bCs/>
          <w:sz w:val="22"/>
          <w:szCs w:val="22"/>
        </w:rPr>
      </w:pPr>
      <w:r w:rsidRPr="0033705D">
        <w:rPr>
          <w:rFonts w:ascii="Calibri" w:hAnsi="Calibri" w:cs="Calibri"/>
          <w:b/>
          <w:bCs/>
          <w:sz w:val="22"/>
          <w:szCs w:val="22"/>
        </w:rPr>
        <w:t>Professional Practice</w:t>
      </w:r>
    </w:p>
    <w:p w14:paraId="2AF1C5F6" w14:textId="77777777" w:rsidR="0033705D" w:rsidRPr="0033705D" w:rsidRDefault="0033705D" w:rsidP="0033705D">
      <w:pPr>
        <w:spacing w:after="0" w:line="240" w:lineRule="auto"/>
        <w:rPr>
          <w:rFonts w:ascii="Calibri" w:hAnsi="Calibri" w:cs="Calibri"/>
          <w:sz w:val="22"/>
          <w:szCs w:val="22"/>
        </w:rPr>
      </w:pPr>
      <w:r w:rsidRPr="0033705D">
        <w:rPr>
          <w:rFonts w:ascii="Calibri" w:hAnsi="Calibri" w:cs="Calibri"/>
          <w:sz w:val="22"/>
          <w:szCs w:val="22"/>
        </w:rPr>
        <w:t>Nicolini's (2011) ethnographic research in telemedicine showed how professional knowing emerges through practice.</w:t>
      </w:r>
    </w:p>
    <w:p w14:paraId="18444237" w14:textId="77777777" w:rsidR="0033705D" w:rsidRPr="0033705D" w:rsidRDefault="0033705D" w:rsidP="0033705D">
      <w:pPr>
        <w:spacing w:after="0" w:line="240" w:lineRule="auto"/>
        <w:rPr>
          <w:rFonts w:ascii="Calibri" w:hAnsi="Calibri" w:cs="Calibri"/>
          <w:b/>
          <w:bCs/>
          <w:sz w:val="22"/>
          <w:szCs w:val="22"/>
        </w:rPr>
      </w:pPr>
      <w:r w:rsidRPr="0033705D">
        <w:rPr>
          <w:rFonts w:ascii="Calibri" w:hAnsi="Calibri" w:cs="Calibri"/>
          <w:b/>
          <w:bCs/>
          <w:sz w:val="22"/>
          <w:szCs w:val="22"/>
        </w:rPr>
        <w:t>Organizational Culture</w:t>
      </w:r>
    </w:p>
    <w:p w14:paraId="07ECFA71" w14:textId="0DACF546" w:rsidR="00781728" w:rsidRDefault="0033705D" w:rsidP="0033705D">
      <w:pPr>
        <w:spacing w:after="0" w:line="240" w:lineRule="auto"/>
        <w:rPr>
          <w:rFonts w:ascii="Calibri" w:hAnsi="Calibri" w:cs="Calibri"/>
          <w:sz w:val="22"/>
          <w:szCs w:val="22"/>
        </w:rPr>
      </w:pPr>
      <w:r w:rsidRPr="0033705D">
        <w:rPr>
          <w:rFonts w:ascii="Calibri" w:hAnsi="Calibri" w:cs="Calibri"/>
          <w:sz w:val="22"/>
          <w:szCs w:val="22"/>
        </w:rPr>
        <w:t>Kunda's (2006) detailed ethnography of engineering culture demonstrated how normative control operates in knowledge-intensive firms.</w:t>
      </w:r>
    </w:p>
    <w:p w14:paraId="4FDE42FB" w14:textId="77777777" w:rsidR="0033705D" w:rsidRPr="009E4D25" w:rsidRDefault="0033705D" w:rsidP="0033705D">
      <w:pPr>
        <w:spacing w:after="0" w:line="240" w:lineRule="auto"/>
        <w:rPr>
          <w:rFonts w:ascii="Calibri" w:hAnsi="Calibri" w:cs="Calibri"/>
          <w:sz w:val="22"/>
          <w:szCs w:val="22"/>
        </w:rPr>
      </w:pPr>
    </w:p>
    <w:p w14:paraId="29506ADD" w14:textId="77777777" w:rsidR="00781728" w:rsidRPr="00E026F7" w:rsidRDefault="00781728" w:rsidP="00781728">
      <w:pPr>
        <w:spacing w:after="0" w:line="240" w:lineRule="auto"/>
        <w:rPr>
          <w:rFonts w:ascii="Calibri" w:hAnsi="Calibri" w:cs="Calibri"/>
          <w:b/>
          <w:bCs/>
          <w:sz w:val="22"/>
          <w:szCs w:val="22"/>
        </w:rPr>
      </w:pPr>
      <w:r w:rsidRPr="00E026F7">
        <w:rPr>
          <w:rFonts w:ascii="Calibri" w:hAnsi="Calibri" w:cs="Calibri"/>
          <w:b/>
          <w:bCs/>
          <w:sz w:val="22"/>
          <w:szCs w:val="22"/>
        </w:rPr>
        <w:t>Case Study Research in Business</w:t>
      </w:r>
    </w:p>
    <w:p w14:paraId="0D206167" w14:textId="77777777" w:rsidR="00781728" w:rsidRPr="009E4D25" w:rsidRDefault="00781728" w:rsidP="00781728">
      <w:pPr>
        <w:spacing w:after="0" w:line="240" w:lineRule="auto"/>
        <w:rPr>
          <w:rFonts w:ascii="Calibri" w:hAnsi="Calibri" w:cs="Calibri"/>
          <w:sz w:val="22"/>
          <w:szCs w:val="22"/>
        </w:rPr>
      </w:pPr>
    </w:p>
    <w:p w14:paraId="2E4559FA"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Case study research remains fundamental in business research, offering detailed examination of specific organisational phenomena.</w:t>
      </w:r>
    </w:p>
    <w:p w14:paraId="35999015" w14:textId="77777777" w:rsidR="00781728" w:rsidRPr="009E4D25" w:rsidRDefault="00781728" w:rsidP="00781728">
      <w:pPr>
        <w:spacing w:after="0" w:line="240" w:lineRule="auto"/>
        <w:rPr>
          <w:rFonts w:ascii="Calibri" w:hAnsi="Calibri" w:cs="Calibri"/>
          <w:sz w:val="22"/>
          <w:szCs w:val="22"/>
        </w:rPr>
      </w:pPr>
    </w:p>
    <w:p w14:paraId="5F393B50" w14:textId="77777777" w:rsidR="00781728" w:rsidRPr="00E026F7" w:rsidRDefault="00781728" w:rsidP="00781728">
      <w:pPr>
        <w:spacing w:after="0" w:line="240" w:lineRule="auto"/>
        <w:rPr>
          <w:rFonts w:ascii="Calibri" w:hAnsi="Calibri" w:cs="Calibri"/>
          <w:b/>
          <w:bCs/>
          <w:sz w:val="22"/>
          <w:szCs w:val="22"/>
        </w:rPr>
      </w:pPr>
      <w:r w:rsidRPr="00E026F7">
        <w:rPr>
          <w:rFonts w:ascii="Calibri" w:hAnsi="Calibri" w:cs="Calibri"/>
          <w:b/>
          <w:bCs/>
          <w:sz w:val="22"/>
          <w:szCs w:val="22"/>
        </w:rPr>
        <w:t>Contemporary Applications</w:t>
      </w:r>
    </w:p>
    <w:p w14:paraId="759FAAF2" w14:textId="77777777" w:rsidR="000532B3" w:rsidRPr="000532B3" w:rsidRDefault="000532B3" w:rsidP="000532B3">
      <w:pPr>
        <w:spacing w:after="0" w:line="240" w:lineRule="auto"/>
        <w:rPr>
          <w:rFonts w:ascii="Calibri" w:hAnsi="Calibri" w:cs="Calibri"/>
          <w:sz w:val="22"/>
          <w:szCs w:val="22"/>
        </w:rPr>
      </w:pPr>
    </w:p>
    <w:p w14:paraId="096DFA95" w14:textId="77777777" w:rsidR="000532B3" w:rsidRPr="000532B3" w:rsidRDefault="000532B3" w:rsidP="000532B3">
      <w:pPr>
        <w:spacing w:after="0" w:line="240" w:lineRule="auto"/>
        <w:rPr>
          <w:rFonts w:ascii="Calibri" w:hAnsi="Calibri" w:cs="Calibri"/>
          <w:b/>
          <w:bCs/>
          <w:sz w:val="22"/>
          <w:szCs w:val="22"/>
        </w:rPr>
      </w:pPr>
      <w:r w:rsidRPr="000532B3">
        <w:rPr>
          <w:rFonts w:ascii="Calibri" w:hAnsi="Calibri" w:cs="Calibri"/>
          <w:b/>
          <w:bCs/>
          <w:sz w:val="22"/>
          <w:szCs w:val="22"/>
        </w:rPr>
        <w:t>Strategic Change</w:t>
      </w:r>
    </w:p>
    <w:p w14:paraId="5B32D28F" w14:textId="77777777" w:rsidR="000532B3" w:rsidRPr="000532B3" w:rsidRDefault="000532B3" w:rsidP="000532B3">
      <w:pPr>
        <w:spacing w:after="0" w:line="240" w:lineRule="auto"/>
        <w:rPr>
          <w:rFonts w:ascii="Calibri" w:hAnsi="Calibri" w:cs="Calibri"/>
          <w:sz w:val="22"/>
          <w:szCs w:val="22"/>
        </w:rPr>
      </w:pPr>
      <w:proofErr w:type="spellStart"/>
      <w:r w:rsidRPr="000532B3">
        <w:rPr>
          <w:rFonts w:ascii="Calibri" w:hAnsi="Calibri" w:cs="Calibri"/>
          <w:sz w:val="22"/>
          <w:szCs w:val="22"/>
        </w:rPr>
        <w:t>Burgelman's</w:t>
      </w:r>
      <w:proofErr w:type="spellEnd"/>
      <w:r w:rsidRPr="000532B3">
        <w:rPr>
          <w:rFonts w:ascii="Calibri" w:hAnsi="Calibri" w:cs="Calibri"/>
          <w:sz w:val="22"/>
          <w:szCs w:val="22"/>
        </w:rPr>
        <w:t xml:space="preserve"> (1994) longitudinal case study of Intel revealed how strategy-making processes evolve.</w:t>
      </w:r>
    </w:p>
    <w:p w14:paraId="47C4AD23" w14:textId="77777777" w:rsidR="000532B3" w:rsidRPr="000532B3" w:rsidRDefault="000532B3" w:rsidP="000532B3">
      <w:pPr>
        <w:spacing w:after="0" w:line="240" w:lineRule="auto"/>
        <w:rPr>
          <w:rFonts w:ascii="Calibri" w:hAnsi="Calibri" w:cs="Calibri"/>
          <w:b/>
          <w:bCs/>
          <w:sz w:val="22"/>
          <w:szCs w:val="22"/>
        </w:rPr>
      </w:pPr>
      <w:r w:rsidRPr="000532B3">
        <w:rPr>
          <w:rFonts w:ascii="Calibri" w:hAnsi="Calibri" w:cs="Calibri"/>
          <w:b/>
          <w:bCs/>
          <w:sz w:val="22"/>
          <w:szCs w:val="22"/>
        </w:rPr>
        <w:t>Innovation Management</w:t>
      </w:r>
    </w:p>
    <w:p w14:paraId="5F32F4D9" w14:textId="77777777" w:rsidR="000532B3" w:rsidRPr="000532B3" w:rsidRDefault="000532B3" w:rsidP="000532B3">
      <w:pPr>
        <w:spacing w:after="0" w:line="240" w:lineRule="auto"/>
        <w:rPr>
          <w:rFonts w:ascii="Calibri" w:hAnsi="Calibri" w:cs="Calibri"/>
          <w:sz w:val="22"/>
          <w:szCs w:val="22"/>
        </w:rPr>
      </w:pPr>
      <w:r w:rsidRPr="000532B3">
        <w:rPr>
          <w:rFonts w:ascii="Calibri" w:hAnsi="Calibri" w:cs="Calibri"/>
          <w:sz w:val="22"/>
          <w:szCs w:val="22"/>
        </w:rPr>
        <w:t>Garud and Munir's (2008) case study of Polaroid demonstrated how technology development paths influence organizational outcomes.</w:t>
      </w:r>
    </w:p>
    <w:p w14:paraId="40E82091" w14:textId="77777777" w:rsidR="000532B3" w:rsidRPr="000532B3" w:rsidRDefault="000532B3" w:rsidP="000532B3">
      <w:pPr>
        <w:spacing w:after="0" w:line="240" w:lineRule="auto"/>
        <w:rPr>
          <w:rFonts w:ascii="Calibri" w:hAnsi="Calibri" w:cs="Calibri"/>
          <w:b/>
          <w:bCs/>
          <w:sz w:val="22"/>
          <w:szCs w:val="22"/>
        </w:rPr>
      </w:pPr>
      <w:r w:rsidRPr="000532B3">
        <w:rPr>
          <w:rFonts w:ascii="Calibri" w:hAnsi="Calibri" w:cs="Calibri"/>
          <w:b/>
          <w:bCs/>
          <w:sz w:val="22"/>
          <w:szCs w:val="22"/>
        </w:rPr>
        <w:t>Organizational Learning</w:t>
      </w:r>
    </w:p>
    <w:p w14:paraId="17E50426" w14:textId="24363E8F" w:rsidR="00781728" w:rsidRPr="009E4D25" w:rsidRDefault="000532B3" w:rsidP="000532B3">
      <w:pPr>
        <w:spacing w:after="0" w:line="240" w:lineRule="auto"/>
        <w:rPr>
          <w:rFonts w:ascii="Calibri" w:hAnsi="Calibri" w:cs="Calibri"/>
          <w:sz w:val="22"/>
          <w:szCs w:val="22"/>
        </w:rPr>
      </w:pPr>
      <w:r w:rsidRPr="000532B3">
        <w:rPr>
          <w:rFonts w:ascii="Calibri" w:hAnsi="Calibri" w:cs="Calibri"/>
          <w:sz w:val="22"/>
          <w:szCs w:val="22"/>
        </w:rPr>
        <w:t>Edmondson's (2011) comparative case studies of cardiac surgery teams showed how psychological safety influences team learning.</w:t>
      </w:r>
    </w:p>
    <w:p w14:paraId="47DCD921" w14:textId="77777777" w:rsidR="00781728" w:rsidRPr="009E4D25" w:rsidRDefault="00781728" w:rsidP="00781728">
      <w:pPr>
        <w:spacing w:after="0" w:line="240" w:lineRule="auto"/>
        <w:rPr>
          <w:rFonts w:ascii="Calibri" w:hAnsi="Calibri" w:cs="Calibri"/>
          <w:sz w:val="22"/>
          <w:szCs w:val="22"/>
        </w:rPr>
      </w:pPr>
    </w:p>
    <w:p w14:paraId="7E82B115" w14:textId="77777777" w:rsidR="00781728" w:rsidRPr="00241299" w:rsidRDefault="00781728" w:rsidP="00781728">
      <w:pPr>
        <w:spacing w:after="0" w:line="240" w:lineRule="auto"/>
        <w:rPr>
          <w:rFonts w:ascii="Calibri" w:hAnsi="Calibri" w:cs="Calibri"/>
          <w:b/>
          <w:bCs/>
          <w:sz w:val="22"/>
          <w:szCs w:val="22"/>
        </w:rPr>
      </w:pPr>
      <w:r w:rsidRPr="00241299">
        <w:rPr>
          <w:rFonts w:ascii="Calibri" w:hAnsi="Calibri" w:cs="Calibri"/>
          <w:b/>
          <w:bCs/>
          <w:sz w:val="22"/>
          <w:szCs w:val="22"/>
        </w:rPr>
        <w:t>Methodological Challenges in Contemporary Business Settings</w:t>
      </w:r>
    </w:p>
    <w:p w14:paraId="2695B16B" w14:textId="77777777" w:rsidR="00781728" w:rsidRPr="009E4D25" w:rsidRDefault="00781728" w:rsidP="00781728">
      <w:pPr>
        <w:spacing w:after="0" w:line="240" w:lineRule="auto"/>
        <w:rPr>
          <w:rFonts w:ascii="Calibri" w:hAnsi="Calibri" w:cs="Calibri"/>
          <w:sz w:val="22"/>
          <w:szCs w:val="22"/>
        </w:rPr>
      </w:pPr>
    </w:p>
    <w:p w14:paraId="57C40B98" w14:textId="68360253" w:rsidR="00781728" w:rsidRPr="00232C5B" w:rsidRDefault="00781728" w:rsidP="00781728">
      <w:pPr>
        <w:spacing w:after="0" w:line="240" w:lineRule="auto"/>
        <w:rPr>
          <w:rFonts w:ascii="Calibri" w:hAnsi="Calibri" w:cs="Calibri"/>
          <w:b/>
          <w:bCs/>
          <w:sz w:val="22"/>
          <w:szCs w:val="22"/>
        </w:rPr>
      </w:pPr>
      <w:r w:rsidRPr="00232C5B">
        <w:rPr>
          <w:rFonts w:ascii="Calibri" w:hAnsi="Calibri" w:cs="Calibri"/>
          <w:b/>
          <w:bCs/>
          <w:sz w:val="22"/>
          <w:szCs w:val="22"/>
        </w:rPr>
        <w:t>Future Methodological Developments</w:t>
      </w:r>
    </w:p>
    <w:p w14:paraId="16FDA920" w14:textId="77777777" w:rsidR="00781728" w:rsidRPr="00232C5B" w:rsidRDefault="00781728" w:rsidP="00781728">
      <w:pPr>
        <w:spacing w:after="0" w:line="240" w:lineRule="auto"/>
        <w:rPr>
          <w:rFonts w:ascii="Calibri" w:hAnsi="Calibri" w:cs="Calibri"/>
          <w:b/>
          <w:bCs/>
          <w:sz w:val="22"/>
          <w:szCs w:val="22"/>
        </w:rPr>
      </w:pPr>
    </w:p>
    <w:p w14:paraId="1C4E017A" w14:textId="7B040603" w:rsidR="00781728" w:rsidRPr="00232C5B" w:rsidRDefault="00781728" w:rsidP="00781728">
      <w:pPr>
        <w:spacing w:after="0" w:line="240" w:lineRule="auto"/>
        <w:rPr>
          <w:rFonts w:ascii="Calibri" w:hAnsi="Calibri" w:cs="Calibri"/>
          <w:b/>
          <w:bCs/>
          <w:sz w:val="22"/>
          <w:szCs w:val="22"/>
        </w:rPr>
      </w:pPr>
      <w:r w:rsidRPr="00232C5B">
        <w:rPr>
          <w:rFonts w:ascii="Calibri" w:hAnsi="Calibri" w:cs="Calibri"/>
          <w:b/>
          <w:bCs/>
          <w:sz w:val="22"/>
          <w:szCs w:val="22"/>
        </w:rPr>
        <w:t>Evolution of Creswell's Approaches</w:t>
      </w:r>
    </w:p>
    <w:p w14:paraId="779B586B" w14:textId="77777777" w:rsidR="00781728" w:rsidRPr="009E4D25" w:rsidRDefault="00781728" w:rsidP="00781728">
      <w:pPr>
        <w:spacing w:after="0" w:line="240" w:lineRule="auto"/>
        <w:rPr>
          <w:rFonts w:ascii="Calibri" w:hAnsi="Calibri" w:cs="Calibri"/>
          <w:sz w:val="22"/>
          <w:szCs w:val="22"/>
        </w:rPr>
      </w:pPr>
    </w:p>
    <w:p w14:paraId="1D9BFC6E"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1. Narrative Research</w:t>
      </w:r>
    </w:p>
    <w:p w14:paraId="042FCFAC"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Digital storytelling platforms</w:t>
      </w:r>
    </w:p>
    <w:p w14:paraId="393EA671"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Virtual narrative collection</w:t>
      </w:r>
    </w:p>
    <w:p w14:paraId="3384164B"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Online story mapping</w:t>
      </w:r>
    </w:p>
    <w:p w14:paraId="6D57FB88"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Interactive narrative analysis</w:t>
      </w:r>
    </w:p>
    <w:p w14:paraId="63598AC3" w14:textId="77777777" w:rsidR="00781728" w:rsidRPr="009E4D25" w:rsidRDefault="00781728" w:rsidP="00781728">
      <w:pPr>
        <w:spacing w:after="0" w:line="240" w:lineRule="auto"/>
        <w:rPr>
          <w:rFonts w:ascii="Calibri" w:hAnsi="Calibri" w:cs="Calibri"/>
          <w:sz w:val="22"/>
          <w:szCs w:val="22"/>
        </w:rPr>
      </w:pPr>
    </w:p>
    <w:p w14:paraId="7D2D4C81"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2. Phenomenological Research</w:t>
      </w:r>
    </w:p>
    <w:p w14:paraId="4DDCDFC2"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Virtual experience capture</w:t>
      </w:r>
    </w:p>
    <w:p w14:paraId="2D80E8B9"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Digital essence exploration</w:t>
      </w:r>
    </w:p>
    <w:p w14:paraId="456CD37A"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Online phenomenon study</w:t>
      </w:r>
    </w:p>
    <w:p w14:paraId="7AF9DA17"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Remote experience analysis</w:t>
      </w:r>
    </w:p>
    <w:p w14:paraId="5E309E56" w14:textId="77777777" w:rsidR="00781728" w:rsidRPr="009E4D25" w:rsidRDefault="00781728" w:rsidP="00781728">
      <w:pPr>
        <w:spacing w:after="0" w:line="240" w:lineRule="auto"/>
        <w:rPr>
          <w:rFonts w:ascii="Calibri" w:hAnsi="Calibri" w:cs="Calibri"/>
          <w:sz w:val="22"/>
          <w:szCs w:val="22"/>
        </w:rPr>
      </w:pPr>
    </w:p>
    <w:p w14:paraId="0A373E5C"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3. Grounded Theory</w:t>
      </w:r>
    </w:p>
    <w:p w14:paraId="045FFF3B"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Digital theory building</w:t>
      </w:r>
    </w:p>
    <w:p w14:paraId="71CF2990"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Virtual theoretical sampling</w:t>
      </w:r>
    </w:p>
    <w:p w14:paraId="337A5CD2"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Online constant comparison</w:t>
      </w:r>
    </w:p>
    <w:p w14:paraId="7847A027"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Remote category development</w:t>
      </w:r>
    </w:p>
    <w:p w14:paraId="6ED7FD63" w14:textId="77777777" w:rsidR="00781728" w:rsidRPr="009E4D25" w:rsidRDefault="00781728" w:rsidP="00781728">
      <w:pPr>
        <w:spacing w:after="0" w:line="240" w:lineRule="auto"/>
        <w:rPr>
          <w:rFonts w:ascii="Calibri" w:hAnsi="Calibri" w:cs="Calibri"/>
          <w:sz w:val="22"/>
          <w:szCs w:val="22"/>
        </w:rPr>
      </w:pPr>
    </w:p>
    <w:p w14:paraId="6F20BDAB"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4. Ethnographic Research</w:t>
      </w:r>
    </w:p>
    <w:p w14:paraId="561928F4"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Virtual cultural study</w:t>
      </w:r>
    </w:p>
    <w:p w14:paraId="1E44FEC5"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Digital field notes</w:t>
      </w:r>
    </w:p>
    <w:p w14:paraId="57EE9525"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Online participant observation</w:t>
      </w:r>
    </w:p>
    <w:p w14:paraId="76DC9484"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Remote cultural analysis</w:t>
      </w:r>
    </w:p>
    <w:p w14:paraId="073A7143" w14:textId="77777777" w:rsidR="00781728" w:rsidRPr="009E4D25" w:rsidRDefault="00781728" w:rsidP="00781728">
      <w:pPr>
        <w:spacing w:after="0" w:line="240" w:lineRule="auto"/>
        <w:rPr>
          <w:rFonts w:ascii="Calibri" w:hAnsi="Calibri" w:cs="Calibri"/>
          <w:sz w:val="22"/>
          <w:szCs w:val="22"/>
        </w:rPr>
      </w:pPr>
    </w:p>
    <w:p w14:paraId="6817BAA1"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5. Case Study Research</w:t>
      </w:r>
    </w:p>
    <w:p w14:paraId="715FA188"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Digital case boundaries</w:t>
      </w:r>
    </w:p>
    <w:p w14:paraId="7CC4BF96"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Virtual context analysis</w:t>
      </w:r>
    </w:p>
    <w:p w14:paraId="22F6CDF6"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Online data collection</w:t>
      </w:r>
    </w:p>
    <w:p w14:paraId="71482291" w14:textId="77777777" w:rsidR="00781728" w:rsidRPr="009E4D25" w:rsidRDefault="00781728" w:rsidP="00781728">
      <w:pPr>
        <w:spacing w:after="0" w:line="240" w:lineRule="auto"/>
        <w:rPr>
          <w:rFonts w:ascii="Calibri" w:hAnsi="Calibri" w:cs="Calibri"/>
          <w:sz w:val="22"/>
          <w:szCs w:val="22"/>
        </w:rPr>
      </w:pPr>
      <w:r w:rsidRPr="009E4D25">
        <w:rPr>
          <w:rFonts w:ascii="Calibri" w:hAnsi="Calibri" w:cs="Calibri"/>
          <w:sz w:val="22"/>
          <w:szCs w:val="22"/>
        </w:rPr>
        <w:t>- Remote case development</w:t>
      </w:r>
    </w:p>
    <w:p w14:paraId="77630A76" w14:textId="77777777" w:rsidR="00781728" w:rsidRPr="009E4D25" w:rsidRDefault="00781728" w:rsidP="00781728">
      <w:pPr>
        <w:spacing w:after="0" w:line="240" w:lineRule="auto"/>
        <w:rPr>
          <w:rFonts w:ascii="Calibri" w:hAnsi="Calibri" w:cs="Calibri"/>
          <w:sz w:val="22"/>
          <w:szCs w:val="22"/>
        </w:rPr>
      </w:pPr>
    </w:p>
    <w:p w14:paraId="377AA6D2" w14:textId="77777777" w:rsidR="00736342" w:rsidRPr="009E4D25" w:rsidRDefault="00736342" w:rsidP="00736342">
      <w:pPr>
        <w:spacing w:after="0" w:line="240" w:lineRule="auto"/>
        <w:rPr>
          <w:rFonts w:ascii="Calibri" w:hAnsi="Calibri" w:cs="Calibri"/>
          <w:b/>
          <w:bCs/>
          <w:sz w:val="22"/>
          <w:szCs w:val="22"/>
        </w:rPr>
      </w:pPr>
      <w:r w:rsidRPr="009E4D25">
        <w:rPr>
          <w:rFonts w:ascii="Calibri" w:hAnsi="Calibri" w:cs="Calibri"/>
          <w:b/>
          <w:bCs/>
          <w:sz w:val="22"/>
          <w:szCs w:val="22"/>
        </w:rPr>
        <w:t>Understanding Qualitative Research Approaches in Business and Management Studies: A Comprehensive Overview</w:t>
      </w:r>
    </w:p>
    <w:p w14:paraId="775EA7C5" w14:textId="77777777" w:rsidR="00736342" w:rsidRPr="009E4D25" w:rsidRDefault="00736342" w:rsidP="00736342">
      <w:pPr>
        <w:spacing w:after="0" w:line="240" w:lineRule="auto"/>
        <w:rPr>
          <w:rFonts w:ascii="Calibri" w:hAnsi="Calibri" w:cs="Calibri"/>
          <w:sz w:val="22"/>
          <w:szCs w:val="22"/>
        </w:rPr>
      </w:pPr>
    </w:p>
    <w:p w14:paraId="05571679"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In contemporary business and organisational research, qualitative methodologies offer profound insights into complex managerial phenomena that quantitative approaches might struggle to capture. The five main qualitative approaches - narrative research, phenomenology, grounded theory, ethnography, and case study research - each provide unique perspectives for understanding organisational behaviour and management practices.</w:t>
      </w:r>
    </w:p>
    <w:p w14:paraId="7905D4A1" w14:textId="77777777" w:rsidR="00736342" w:rsidRPr="009E4D25" w:rsidRDefault="00736342" w:rsidP="00736342">
      <w:pPr>
        <w:spacing w:after="0" w:line="240" w:lineRule="auto"/>
        <w:rPr>
          <w:rFonts w:ascii="Calibri" w:hAnsi="Calibri" w:cs="Calibri"/>
          <w:sz w:val="22"/>
          <w:szCs w:val="22"/>
        </w:rPr>
      </w:pPr>
    </w:p>
    <w:p w14:paraId="6FBB18ED" w14:textId="77777777" w:rsidR="00736342" w:rsidRPr="004515CA" w:rsidRDefault="00736342" w:rsidP="00736342">
      <w:pPr>
        <w:spacing w:after="0" w:line="240" w:lineRule="auto"/>
        <w:rPr>
          <w:rFonts w:ascii="Calibri" w:hAnsi="Calibri" w:cs="Calibri"/>
          <w:b/>
          <w:bCs/>
          <w:sz w:val="22"/>
          <w:szCs w:val="22"/>
        </w:rPr>
      </w:pPr>
      <w:r w:rsidRPr="004515CA">
        <w:rPr>
          <w:rFonts w:ascii="Calibri" w:hAnsi="Calibri" w:cs="Calibri"/>
          <w:b/>
          <w:bCs/>
          <w:sz w:val="22"/>
          <w:szCs w:val="22"/>
        </w:rPr>
        <w:t>Overview of the Five Approaches</w:t>
      </w:r>
    </w:p>
    <w:p w14:paraId="77B8206C" w14:textId="77777777" w:rsidR="00736342" w:rsidRPr="009E4D25" w:rsidRDefault="00736342" w:rsidP="00736342">
      <w:pPr>
        <w:spacing w:after="0" w:line="240" w:lineRule="auto"/>
        <w:rPr>
          <w:rFonts w:ascii="Calibri" w:hAnsi="Calibri" w:cs="Calibri"/>
          <w:sz w:val="22"/>
          <w:szCs w:val="22"/>
        </w:rPr>
      </w:pPr>
    </w:p>
    <w:p w14:paraId="6DC0D7D4" w14:textId="77777777" w:rsidR="00736342" w:rsidRPr="009E4D25" w:rsidRDefault="00736342" w:rsidP="00736342">
      <w:pPr>
        <w:spacing w:after="0" w:line="240" w:lineRule="auto"/>
        <w:rPr>
          <w:rFonts w:ascii="Calibri" w:hAnsi="Calibri" w:cs="Calibri"/>
          <w:sz w:val="22"/>
          <w:szCs w:val="22"/>
        </w:rPr>
      </w:pPr>
      <w:r w:rsidRPr="004515CA">
        <w:rPr>
          <w:rFonts w:ascii="Calibri" w:hAnsi="Calibri" w:cs="Calibri"/>
          <w:b/>
          <w:bCs/>
          <w:sz w:val="22"/>
          <w:szCs w:val="22"/>
        </w:rPr>
        <w:t>Narrative research</w:t>
      </w:r>
      <w:r w:rsidRPr="009E4D25">
        <w:rPr>
          <w:rFonts w:ascii="Calibri" w:hAnsi="Calibri" w:cs="Calibri"/>
          <w:sz w:val="22"/>
          <w:szCs w:val="22"/>
        </w:rPr>
        <w:t xml:space="preserve">, at its core, examines the stories that shape organisational life. For instance, in their seminal study of organisational storytelling at British Airways, Gabriel and Griffiths (2004) demonstrated how corporate narratives influenced organisational culture during periods of </w:t>
      </w:r>
      <w:r w:rsidRPr="009E4D25">
        <w:rPr>
          <w:rFonts w:ascii="Calibri" w:hAnsi="Calibri" w:cs="Calibri"/>
          <w:sz w:val="22"/>
          <w:szCs w:val="22"/>
        </w:rPr>
        <w:lastRenderedPageBreak/>
        <w:t>significant change. This approach proves particularly valuable when examining leadership transitions, organisational change, and corporate identity formation.</w:t>
      </w:r>
    </w:p>
    <w:p w14:paraId="1A24BEF4" w14:textId="77777777" w:rsidR="00736342" w:rsidRPr="009E4D25" w:rsidRDefault="00736342" w:rsidP="00736342">
      <w:pPr>
        <w:spacing w:after="0" w:line="240" w:lineRule="auto"/>
        <w:rPr>
          <w:rFonts w:ascii="Calibri" w:hAnsi="Calibri" w:cs="Calibri"/>
          <w:sz w:val="22"/>
          <w:szCs w:val="22"/>
        </w:rPr>
      </w:pPr>
    </w:p>
    <w:p w14:paraId="0EBE4F84" w14:textId="77777777" w:rsidR="00736342" w:rsidRPr="009E4D25" w:rsidRDefault="00736342" w:rsidP="00736342">
      <w:pPr>
        <w:spacing w:after="0" w:line="240" w:lineRule="auto"/>
        <w:rPr>
          <w:rFonts w:ascii="Calibri" w:hAnsi="Calibri" w:cs="Calibri"/>
          <w:sz w:val="22"/>
          <w:szCs w:val="22"/>
        </w:rPr>
      </w:pPr>
      <w:r w:rsidRPr="004515CA">
        <w:rPr>
          <w:rFonts w:ascii="Calibri" w:hAnsi="Calibri" w:cs="Calibri"/>
          <w:b/>
          <w:bCs/>
          <w:sz w:val="22"/>
          <w:szCs w:val="22"/>
        </w:rPr>
        <w:t>Phenomenological research</w:t>
      </w:r>
      <w:r w:rsidRPr="009E4D25">
        <w:rPr>
          <w:rFonts w:ascii="Calibri" w:hAnsi="Calibri" w:cs="Calibri"/>
          <w:sz w:val="22"/>
          <w:szCs w:val="22"/>
        </w:rPr>
        <w:t xml:space="preserve"> explores lived experiences within organisational settings. A notable example is Gill's (2014) study of managerial identity work at a major British retailer, which revealed how middle managers experience and make sense of their roles during organisational restructuring. This approach is particularly relevant for understanding workplace experiences such as burnout, leadership development, and workplace engagement.</w:t>
      </w:r>
    </w:p>
    <w:p w14:paraId="35FD2942" w14:textId="77777777" w:rsidR="00736342" w:rsidRPr="009E4D25" w:rsidRDefault="00736342" w:rsidP="00736342">
      <w:pPr>
        <w:spacing w:after="0" w:line="240" w:lineRule="auto"/>
        <w:rPr>
          <w:rFonts w:ascii="Calibri" w:hAnsi="Calibri" w:cs="Calibri"/>
          <w:sz w:val="22"/>
          <w:szCs w:val="22"/>
        </w:rPr>
      </w:pPr>
    </w:p>
    <w:p w14:paraId="4C24AC8E" w14:textId="77777777" w:rsidR="00736342" w:rsidRPr="009E4D25" w:rsidRDefault="00736342" w:rsidP="00736342">
      <w:pPr>
        <w:spacing w:after="0" w:line="240" w:lineRule="auto"/>
        <w:rPr>
          <w:rFonts w:ascii="Calibri" w:hAnsi="Calibri" w:cs="Calibri"/>
          <w:sz w:val="22"/>
          <w:szCs w:val="22"/>
        </w:rPr>
      </w:pPr>
      <w:r w:rsidRPr="004515CA">
        <w:rPr>
          <w:rFonts w:ascii="Calibri" w:hAnsi="Calibri" w:cs="Calibri"/>
          <w:b/>
          <w:bCs/>
          <w:sz w:val="22"/>
          <w:szCs w:val="22"/>
        </w:rPr>
        <w:t>Grounded theory,</w:t>
      </w:r>
      <w:r w:rsidRPr="009E4D25">
        <w:rPr>
          <w:rFonts w:ascii="Calibri" w:hAnsi="Calibri" w:cs="Calibri"/>
          <w:sz w:val="22"/>
          <w:szCs w:val="22"/>
        </w:rPr>
        <w:t xml:space="preserve"> pioneered in management research through studies like Gioia et al.'s (2013) work on organisational identity formation at UK universities, builds theoretical frameworks from empirical observations. For instance, Corley and Gioia's (2004) study of organisational identity change at a FTSE 100 company demonstrated how grounded theory can illuminate complex organisational processes.</w:t>
      </w:r>
    </w:p>
    <w:p w14:paraId="35FCACC9" w14:textId="77777777" w:rsidR="00736342" w:rsidRPr="009E4D25" w:rsidRDefault="00736342" w:rsidP="00736342">
      <w:pPr>
        <w:spacing w:after="0" w:line="240" w:lineRule="auto"/>
        <w:rPr>
          <w:rFonts w:ascii="Calibri" w:hAnsi="Calibri" w:cs="Calibri"/>
          <w:sz w:val="22"/>
          <w:szCs w:val="22"/>
        </w:rPr>
      </w:pPr>
    </w:p>
    <w:p w14:paraId="397D75C2" w14:textId="77777777" w:rsidR="00736342" w:rsidRPr="009E4D25" w:rsidRDefault="00736342" w:rsidP="00736342">
      <w:pPr>
        <w:spacing w:after="0" w:line="240" w:lineRule="auto"/>
        <w:rPr>
          <w:rFonts w:ascii="Calibri" w:hAnsi="Calibri" w:cs="Calibri"/>
          <w:sz w:val="22"/>
          <w:szCs w:val="22"/>
        </w:rPr>
      </w:pPr>
      <w:r w:rsidRPr="004515CA">
        <w:rPr>
          <w:rFonts w:ascii="Calibri" w:hAnsi="Calibri" w:cs="Calibri"/>
          <w:b/>
          <w:bCs/>
          <w:sz w:val="22"/>
          <w:szCs w:val="22"/>
        </w:rPr>
        <w:t>Ethnographic research</w:t>
      </w:r>
      <w:r w:rsidRPr="009E4D25">
        <w:rPr>
          <w:rFonts w:ascii="Calibri" w:hAnsi="Calibri" w:cs="Calibri"/>
          <w:sz w:val="22"/>
          <w:szCs w:val="22"/>
        </w:rPr>
        <w:t xml:space="preserve"> in business contexts provides deep cultural insights. Watson's (2011) landmark ethnographic study of managers in British manufacturing firms revealed intricate patterns of everyday managerial work that quantitative approaches might miss. Major organisations like John Lewis Partnership have benefited from ethnographic insights into customer behaviour and organisational culture (Brannan et al., 2015).</w:t>
      </w:r>
    </w:p>
    <w:p w14:paraId="1D1B6C0B" w14:textId="77777777" w:rsidR="00736342" w:rsidRPr="009E4D25" w:rsidRDefault="00736342" w:rsidP="00736342">
      <w:pPr>
        <w:spacing w:after="0" w:line="240" w:lineRule="auto"/>
        <w:rPr>
          <w:rFonts w:ascii="Calibri" w:hAnsi="Calibri" w:cs="Calibri"/>
          <w:sz w:val="22"/>
          <w:szCs w:val="22"/>
        </w:rPr>
      </w:pPr>
    </w:p>
    <w:p w14:paraId="400CB04C" w14:textId="77777777" w:rsidR="00736342" w:rsidRPr="009E4D25" w:rsidRDefault="00736342" w:rsidP="00736342">
      <w:pPr>
        <w:spacing w:after="0" w:line="240" w:lineRule="auto"/>
        <w:rPr>
          <w:rFonts w:ascii="Calibri" w:hAnsi="Calibri" w:cs="Calibri"/>
          <w:sz w:val="22"/>
          <w:szCs w:val="22"/>
        </w:rPr>
      </w:pPr>
      <w:r w:rsidRPr="004515CA">
        <w:rPr>
          <w:rFonts w:ascii="Calibri" w:hAnsi="Calibri" w:cs="Calibri"/>
          <w:b/>
          <w:bCs/>
          <w:sz w:val="22"/>
          <w:szCs w:val="22"/>
        </w:rPr>
        <w:t>Case study research</w:t>
      </w:r>
      <w:r w:rsidRPr="009E4D25">
        <w:rPr>
          <w:rFonts w:ascii="Calibri" w:hAnsi="Calibri" w:cs="Calibri"/>
          <w:sz w:val="22"/>
          <w:szCs w:val="22"/>
        </w:rPr>
        <w:t>, perhaps the most widely recognised approach in business research, offers in-depth examination of specific organisational phenomena. Pettigrew's (1985) influential study of strategic change at ICI represents a classic example of how case study research can illuminate complex organisational processes. More recently, studies of innovation at Marks &amp; Spencer (Johnson et al., 2017) demonstrate the continuing relevance of this approach.</w:t>
      </w:r>
    </w:p>
    <w:p w14:paraId="41D42655" w14:textId="77777777" w:rsidR="00736342" w:rsidRDefault="00736342" w:rsidP="00736342">
      <w:pPr>
        <w:spacing w:after="0" w:line="240" w:lineRule="auto"/>
        <w:rPr>
          <w:rFonts w:ascii="Calibri" w:hAnsi="Calibri" w:cs="Calibri"/>
          <w:sz w:val="22"/>
          <w:szCs w:val="22"/>
        </w:rPr>
      </w:pPr>
      <w:r w:rsidRPr="009E4D25">
        <w:rPr>
          <w:rFonts w:ascii="Calibri" w:hAnsi="Calibri" w:cs="Calibri"/>
          <w:sz w:val="22"/>
          <w:szCs w:val="22"/>
        </w:rPr>
        <w:t xml:space="preserve"> </w:t>
      </w:r>
    </w:p>
    <w:p w14:paraId="02CF52BD" w14:textId="77777777" w:rsidR="00736342" w:rsidRPr="004515CA" w:rsidRDefault="00736342" w:rsidP="00736342">
      <w:pPr>
        <w:spacing w:after="0" w:line="240" w:lineRule="auto"/>
        <w:rPr>
          <w:rFonts w:ascii="Calibri" w:hAnsi="Calibri" w:cs="Calibri"/>
          <w:b/>
          <w:bCs/>
          <w:sz w:val="22"/>
          <w:szCs w:val="22"/>
        </w:rPr>
      </w:pPr>
      <w:r w:rsidRPr="004515CA">
        <w:rPr>
          <w:rFonts w:ascii="Calibri" w:hAnsi="Calibri" w:cs="Calibri"/>
          <w:b/>
          <w:bCs/>
          <w:sz w:val="22"/>
          <w:szCs w:val="22"/>
        </w:rPr>
        <w:t>Contemporary Applications in Business Research</w:t>
      </w:r>
    </w:p>
    <w:p w14:paraId="66A5D78D" w14:textId="77777777" w:rsidR="00736342" w:rsidRPr="009E4D25" w:rsidRDefault="00736342" w:rsidP="00736342">
      <w:pPr>
        <w:spacing w:after="0" w:line="240" w:lineRule="auto"/>
        <w:rPr>
          <w:rFonts w:ascii="Calibri" w:hAnsi="Calibri" w:cs="Calibri"/>
          <w:sz w:val="22"/>
          <w:szCs w:val="22"/>
        </w:rPr>
      </w:pPr>
    </w:p>
    <w:p w14:paraId="034B3397" w14:textId="77777777" w:rsidR="00736342" w:rsidRDefault="00736342" w:rsidP="00736342">
      <w:pPr>
        <w:spacing w:after="0" w:line="240" w:lineRule="auto"/>
        <w:rPr>
          <w:rFonts w:ascii="Calibri" w:hAnsi="Calibri" w:cs="Calibri"/>
          <w:sz w:val="22"/>
          <w:szCs w:val="22"/>
        </w:rPr>
      </w:pPr>
      <w:r w:rsidRPr="009E4D25">
        <w:rPr>
          <w:rFonts w:ascii="Calibri" w:hAnsi="Calibri" w:cs="Calibri"/>
          <w:sz w:val="22"/>
          <w:szCs w:val="22"/>
        </w:rPr>
        <w:t>Modern business researchers often combine these approaches to address complex organisational challenges. For example, in studying digital transformation at traditional British retailers, researchers might employ:</w:t>
      </w:r>
    </w:p>
    <w:p w14:paraId="7706D988" w14:textId="77777777" w:rsidR="00736342" w:rsidRPr="009E4D25" w:rsidRDefault="00736342" w:rsidP="00736342">
      <w:pPr>
        <w:spacing w:after="0" w:line="240" w:lineRule="auto"/>
        <w:rPr>
          <w:rFonts w:ascii="Calibri" w:hAnsi="Calibri" w:cs="Calibri"/>
          <w:sz w:val="22"/>
          <w:szCs w:val="22"/>
        </w:rPr>
      </w:pPr>
    </w:p>
    <w:p w14:paraId="5CD420A8"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Narrative approaches to understand how employees story the change process</w:t>
      </w:r>
    </w:p>
    <w:p w14:paraId="50F5AD50"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Phenomenological insights into lived experiences of technological disruption</w:t>
      </w:r>
    </w:p>
    <w:p w14:paraId="7C06BF8F"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Grounded theory to build models of successful digital transformation</w:t>
      </w:r>
    </w:p>
    <w:p w14:paraId="29EFC790"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Ethnographic observation of changing work practices</w:t>
      </w:r>
    </w:p>
    <w:p w14:paraId="6EC7A777"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Case studies of specific transformation initiatives</w:t>
      </w:r>
    </w:p>
    <w:p w14:paraId="7C707D5B" w14:textId="77777777" w:rsidR="00736342" w:rsidRPr="009E4D25" w:rsidRDefault="00736342" w:rsidP="00736342">
      <w:pPr>
        <w:spacing w:after="0" w:line="240" w:lineRule="auto"/>
        <w:rPr>
          <w:rFonts w:ascii="Calibri" w:hAnsi="Calibri" w:cs="Calibri"/>
          <w:sz w:val="22"/>
          <w:szCs w:val="22"/>
        </w:rPr>
      </w:pPr>
    </w:p>
    <w:p w14:paraId="02861974"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As noted by Cassell and Symon (2022), qualitative research in business studies has evolved significantly, incorporating new technologies and responding to changing organisational contexts. Video analysis, digital ethnography, and remote interviewing techniques have expanded the researcher's toolkit considerably.</w:t>
      </w:r>
    </w:p>
    <w:p w14:paraId="6D8B2153" w14:textId="77777777" w:rsidR="00736342" w:rsidRPr="009E4D25" w:rsidRDefault="00736342" w:rsidP="00736342">
      <w:pPr>
        <w:spacing w:after="0" w:line="240" w:lineRule="auto"/>
        <w:rPr>
          <w:rFonts w:ascii="Calibri" w:hAnsi="Calibri" w:cs="Calibri"/>
          <w:sz w:val="22"/>
          <w:szCs w:val="22"/>
        </w:rPr>
      </w:pPr>
    </w:p>
    <w:p w14:paraId="0D8A511D" w14:textId="77777777" w:rsidR="00736342" w:rsidRPr="004515CA" w:rsidRDefault="00736342" w:rsidP="00736342">
      <w:pPr>
        <w:spacing w:after="0" w:line="240" w:lineRule="auto"/>
        <w:rPr>
          <w:rFonts w:ascii="Calibri" w:hAnsi="Calibri" w:cs="Calibri"/>
          <w:b/>
          <w:bCs/>
          <w:sz w:val="22"/>
          <w:szCs w:val="22"/>
        </w:rPr>
      </w:pPr>
      <w:r w:rsidRPr="004515CA">
        <w:rPr>
          <w:rFonts w:ascii="Calibri" w:hAnsi="Calibri" w:cs="Calibri"/>
          <w:b/>
          <w:bCs/>
          <w:sz w:val="22"/>
          <w:szCs w:val="22"/>
        </w:rPr>
        <w:t>Detailed Examination of Qualitative Approaches in Business Research</w:t>
      </w:r>
    </w:p>
    <w:p w14:paraId="0E567591" w14:textId="77777777" w:rsidR="00736342" w:rsidRPr="004515CA" w:rsidRDefault="00736342" w:rsidP="00736342">
      <w:pPr>
        <w:spacing w:after="0" w:line="240" w:lineRule="auto"/>
        <w:rPr>
          <w:rFonts w:ascii="Calibri" w:hAnsi="Calibri" w:cs="Calibri"/>
          <w:b/>
          <w:bCs/>
          <w:sz w:val="22"/>
          <w:szCs w:val="22"/>
        </w:rPr>
      </w:pPr>
    </w:p>
    <w:p w14:paraId="25E8FFB6" w14:textId="77777777" w:rsidR="00736342" w:rsidRPr="004515CA" w:rsidRDefault="00736342" w:rsidP="00736342">
      <w:pPr>
        <w:spacing w:after="0" w:line="240" w:lineRule="auto"/>
        <w:rPr>
          <w:rFonts w:ascii="Calibri" w:hAnsi="Calibri" w:cs="Calibri"/>
          <w:b/>
          <w:bCs/>
          <w:sz w:val="22"/>
          <w:szCs w:val="22"/>
        </w:rPr>
      </w:pPr>
      <w:r w:rsidRPr="004515CA">
        <w:rPr>
          <w:rFonts w:ascii="Calibri" w:hAnsi="Calibri" w:cs="Calibri"/>
          <w:b/>
          <w:bCs/>
          <w:sz w:val="22"/>
          <w:szCs w:val="22"/>
        </w:rPr>
        <w:t>Narrative Research in Organisational Studies</w:t>
      </w:r>
    </w:p>
    <w:p w14:paraId="76A6C041" w14:textId="77777777" w:rsidR="00736342" w:rsidRPr="009E4D25" w:rsidRDefault="00736342" w:rsidP="00736342">
      <w:pPr>
        <w:spacing w:after="0" w:line="240" w:lineRule="auto"/>
        <w:rPr>
          <w:rFonts w:ascii="Calibri" w:hAnsi="Calibri" w:cs="Calibri"/>
          <w:sz w:val="22"/>
          <w:szCs w:val="22"/>
        </w:rPr>
      </w:pPr>
    </w:p>
    <w:p w14:paraId="762A8754"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xml:space="preserve">Narrative research has become increasingly significant in understanding organisational life, particularly in examining how meaning is constructed through storytelling in corporate settings. As Boje (2014) argues, organisations are essentially "storytelling systems" </w:t>
      </w:r>
      <w:proofErr w:type="gramStart"/>
      <w:r w:rsidRPr="009E4D25">
        <w:rPr>
          <w:rFonts w:ascii="Calibri" w:hAnsi="Calibri" w:cs="Calibri"/>
          <w:sz w:val="22"/>
          <w:szCs w:val="22"/>
        </w:rPr>
        <w:t>where</w:t>
      </w:r>
      <w:proofErr w:type="gramEnd"/>
      <w:r w:rsidRPr="009E4D25">
        <w:rPr>
          <w:rFonts w:ascii="Calibri" w:hAnsi="Calibri" w:cs="Calibri"/>
          <w:sz w:val="22"/>
          <w:szCs w:val="22"/>
        </w:rPr>
        <w:t xml:space="preserve"> narratives shape reality and influence behaviour.</w:t>
      </w:r>
    </w:p>
    <w:p w14:paraId="58969C52" w14:textId="77777777" w:rsidR="00736342" w:rsidRPr="009E4D25" w:rsidRDefault="00736342" w:rsidP="00736342">
      <w:pPr>
        <w:spacing w:after="0" w:line="240" w:lineRule="auto"/>
        <w:rPr>
          <w:rFonts w:ascii="Calibri" w:hAnsi="Calibri" w:cs="Calibri"/>
          <w:sz w:val="22"/>
          <w:szCs w:val="22"/>
        </w:rPr>
      </w:pPr>
    </w:p>
    <w:p w14:paraId="24F7EAE7" w14:textId="77777777" w:rsidR="00736342" w:rsidRPr="00F64958" w:rsidRDefault="00736342" w:rsidP="00736342">
      <w:pPr>
        <w:spacing w:after="0" w:line="240" w:lineRule="auto"/>
        <w:rPr>
          <w:rFonts w:ascii="Calibri" w:hAnsi="Calibri" w:cs="Calibri"/>
          <w:b/>
          <w:bCs/>
          <w:sz w:val="22"/>
          <w:szCs w:val="22"/>
        </w:rPr>
      </w:pPr>
      <w:r w:rsidRPr="00F64958">
        <w:rPr>
          <w:rFonts w:ascii="Calibri" w:hAnsi="Calibri" w:cs="Calibri"/>
          <w:b/>
          <w:bCs/>
          <w:sz w:val="22"/>
          <w:szCs w:val="22"/>
        </w:rPr>
        <w:t>Business Applications</w:t>
      </w:r>
    </w:p>
    <w:p w14:paraId="55FB7616" w14:textId="77777777" w:rsidR="00736342" w:rsidRPr="009E4D25" w:rsidRDefault="00736342" w:rsidP="00736342">
      <w:pPr>
        <w:spacing w:after="0" w:line="240" w:lineRule="auto"/>
        <w:rPr>
          <w:rFonts w:ascii="Calibri" w:hAnsi="Calibri" w:cs="Calibri"/>
          <w:sz w:val="22"/>
          <w:szCs w:val="22"/>
        </w:rPr>
      </w:pPr>
    </w:p>
    <w:p w14:paraId="2AEDFF7D"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In corporate settings, narrative research has proven particularly valuable in several areas:</w:t>
      </w:r>
    </w:p>
    <w:p w14:paraId="076F1B8E" w14:textId="77777777" w:rsidR="00736342" w:rsidRPr="009E4D25" w:rsidRDefault="00736342" w:rsidP="00736342">
      <w:pPr>
        <w:spacing w:after="0" w:line="240" w:lineRule="auto"/>
        <w:rPr>
          <w:rFonts w:ascii="Calibri" w:hAnsi="Calibri" w:cs="Calibri"/>
          <w:sz w:val="22"/>
          <w:szCs w:val="22"/>
        </w:rPr>
      </w:pPr>
    </w:p>
    <w:p w14:paraId="4C80D274"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1. Corporate Change Initiatives</w:t>
      </w:r>
    </w:p>
    <w:p w14:paraId="05168B01"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Brown and Humphreys' (2003) study of UK financial services firms demonstrated how organisational narratives influenced merger outcomes. Their research showed that success stories and failure narratives significantly impacted employee behaviour during organisational transformation.</w:t>
      </w:r>
    </w:p>
    <w:p w14:paraId="4CDF5731" w14:textId="77777777" w:rsidR="00736342" w:rsidRPr="009E4D25" w:rsidRDefault="00736342" w:rsidP="00736342">
      <w:pPr>
        <w:spacing w:after="0" w:line="240" w:lineRule="auto"/>
        <w:rPr>
          <w:rFonts w:ascii="Calibri" w:hAnsi="Calibri" w:cs="Calibri"/>
          <w:sz w:val="22"/>
          <w:szCs w:val="22"/>
        </w:rPr>
      </w:pPr>
    </w:p>
    <w:p w14:paraId="2F20C4A0"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2. Leadership Development</w:t>
      </w:r>
    </w:p>
    <w:p w14:paraId="1723EF17"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At HSBC, narrative research by Maclean et al. (2012) revealed how senior executives use storytelling to legitimise their leadership positions and influence organisational direction. Their study demonstrated that successful leaders actively craft and maintain specific types of narratives about their journey to leadership.</w:t>
      </w:r>
    </w:p>
    <w:p w14:paraId="58980B56" w14:textId="77777777" w:rsidR="00736342" w:rsidRPr="009E4D25" w:rsidRDefault="00736342" w:rsidP="00736342">
      <w:pPr>
        <w:spacing w:after="0" w:line="240" w:lineRule="auto"/>
        <w:rPr>
          <w:rFonts w:ascii="Calibri" w:hAnsi="Calibri" w:cs="Calibri"/>
          <w:sz w:val="22"/>
          <w:szCs w:val="22"/>
        </w:rPr>
      </w:pPr>
    </w:p>
    <w:p w14:paraId="5BF7D51B"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3. Brand Identity</w:t>
      </w:r>
    </w:p>
    <w:p w14:paraId="4DB7581B"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Marks &amp; Spencer's corporate history provides an excellent example of how organisational narratives shape brand identity. Davies and Chun's (2019) analysis of M&amp;S's corporate storytelling revealed how narratives about quality, innovation, and British values have been maintained and adapted over decades.</w:t>
      </w:r>
    </w:p>
    <w:p w14:paraId="0DBBE1D9" w14:textId="77777777" w:rsidR="00736342" w:rsidRDefault="00736342" w:rsidP="00736342">
      <w:pPr>
        <w:spacing w:after="0" w:line="240" w:lineRule="auto"/>
        <w:rPr>
          <w:rFonts w:ascii="Calibri" w:hAnsi="Calibri" w:cs="Calibri"/>
          <w:sz w:val="22"/>
          <w:szCs w:val="22"/>
        </w:rPr>
      </w:pPr>
    </w:p>
    <w:p w14:paraId="7BD3F3BB" w14:textId="77777777" w:rsidR="00736342" w:rsidRPr="00F64958" w:rsidRDefault="00736342" w:rsidP="00736342">
      <w:pPr>
        <w:spacing w:after="0" w:line="240" w:lineRule="auto"/>
        <w:rPr>
          <w:rFonts w:ascii="Calibri" w:hAnsi="Calibri" w:cs="Calibri"/>
          <w:b/>
          <w:bCs/>
          <w:sz w:val="22"/>
          <w:szCs w:val="22"/>
        </w:rPr>
      </w:pPr>
      <w:r w:rsidRPr="00F64958">
        <w:rPr>
          <w:rFonts w:ascii="Calibri" w:hAnsi="Calibri" w:cs="Calibri"/>
          <w:b/>
          <w:bCs/>
          <w:sz w:val="22"/>
          <w:szCs w:val="22"/>
        </w:rPr>
        <w:t>Phenomenological Research in Business Contexts</w:t>
      </w:r>
    </w:p>
    <w:p w14:paraId="0D3A4C17" w14:textId="77777777" w:rsidR="00736342" w:rsidRPr="009E4D25" w:rsidRDefault="00736342" w:rsidP="00736342">
      <w:pPr>
        <w:spacing w:after="0" w:line="240" w:lineRule="auto"/>
        <w:rPr>
          <w:rFonts w:ascii="Calibri" w:hAnsi="Calibri" w:cs="Calibri"/>
          <w:sz w:val="22"/>
          <w:szCs w:val="22"/>
        </w:rPr>
      </w:pPr>
    </w:p>
    <w:p w14:paraId="1085CB47"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Phenomenological approaches offer unique insights into lived experiences within organisational settings. This methodology has proven particularly valuable in understanding workplace phenomena that are difficult to quantify.</w:t>
      </w:r>
    </w:p>
    <w:p w14:paraId="77D409C1" w14:textId="77777777" w:rsidR="00736342" w:rsidRPr="009E4D25" w:rsidRDefault="00736342" w:rsidP="00736342">
      <w:pPr>
        <w:spacing w:after="0" w:line="240" w:lineRule="auto"/>
        <w:rPr>
          <w:rFonts w:ascii="Calibri" w:hAnsi="Calibri" w:cs="Calibri"/>
          <w:sz w:val="22"/>
          <w:szCs w:val="22"/>
        </w:rPr>
      </w:pPr>
    </w:p>
    <w:p w14:paraId="1C871C57" w14:textId="77777777" w:rsidR="00736342" w:rsidRPr="00F64958" w:rsidRDefault="00736342" w:rsidP="00736342">
      <w:pPr>
        <w:spacing w:after="0" w:line="240" w:lineRule="auto"/>
        <w:rPr>
          <w:rFonts w:ascii="Calibri" w:hAnsi="Calibri" w:cs="Calibri"/>
          <w:b/>
          <w:bCs/>
          <w:sz w:val="22"/>
          <w:szCs w:val="22"/>
        </w:rPr>
      </w:pPr>
      <w:r w:rsidRPr="00F64958">
        <w:rPr>
          <w:rFonts w:ascii="Calibri" w:hAnsi="Calibri" w:cs="Calibri"/>
          <w:b/>
          <w:bCs/>
          <w:sz w:val="22"/>
          <w:szCs w:val="22"/>
        </w:rPr>
        <w:t>Key Business Applications</w:t>
      </w:r>
    </w:p>
    <w:p w14:paraId="0656E663" w14:textId="77777777" w:rsidR="00736342" w:rsidRPr="009E4D25" w:rsidRDefault="00736342" w:rsidP="00736342">
      <w:pPr>
        <w:spacing w:after="0" w:line="240" w:lineRule="auto"/>
        <w:rPr>
          <w:rFonts w:ascii="Calibri" w:hAnsi="Calibri" w:cs="Calibri"/>
          <w:sz w:val="22"/>
          <w:szCs w:val="22"/>
        </w:rPr>
      </w:pPr>
    </w:p>
    <w:p w14:paraId="4ED120F5"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1. Employee Experience</w:t>
      </w:r>
    </w:p>
    <w:p w14:paraId="47EA2B4C"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xml:space="preserve">A phenomenological study by Sandberg and </w:t>
      </w:r>
      <w:proofErr w:type="spellStart"/>
      <w:r w:rsidRPr="009E4D25">
        <w:rPr>
          <w:rFonts w:ascii="Calibri" w:hAnsi="Calibri" w:cs="Calibri"/>
          <w:sz w:val="22"/>
          <w:szCs w:val="22"/>
        </w:rPr>
        <w:t>Pinnington</w:t>
      </w:r>
      <w:proofErr w:type="spellEnd"/>
      <w:r w:rsidRPr="009E4D25">
        <w:rPr>
          <w:rFonts w:ascii="Calibri" w:hAnsi="Calibri" w:cs="Calibri"/>
          <w:sz w:val="22"/>
          <w:szCs w:val="22"/>
        </w:rPr>
        <w:t xml:space="preserve"> (2019) at Barclays examined how professional competence is experienced and understood by investment bankers. Their research revealed previously hidden dimensions of professional identity formation.</w:t>
      </w:r>
    </w:p>
    <w:p w14:paraId="7D8BE9B5" w14:textId="77777777" w:rsidR="00736342" w:rsidRPr="009E4D25" w:rsidRDefault="00736342" w:rsidP="00736342">
      <w:pPr>
        <w:spacing w:after="0" w:line="240" w:lineRule="auto"/>
        <w:rPr>
          <w:rFonts w:ascii="Calibri" w:hAnsi="Calibri" w:cs="Calibri"/>
          <w:sz w:val="22"/>
          <w:szCs w:val="22"/>
        </w:rPr>
      </w:pPr>
    </w:p>
    <w:p w14:paraId="7B91C28E"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2. Customer Experience</w:t>
      </w:r>
    </w:p>
    <w:p w14:paraId="21E1C0E4"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John Lewis Partnership employed phenomenological approaches to understand customer shopping experiences, leading to significant changes in store layout and service delivery (Wilson, 2018).</w:t>
      </w:r>
    </w:p>
    <w:p w14:paraId="6CB1B5AE" w14:textId="77777777" w:rsidR="00736342" w:rsidRPr="009E4D25" w:rsidRDefault="00736342" w:rsidP="00736342">
      <w:pPr>
        <w:spacing w:after="0" w:line="240" w:lineRule="auto"/>
        <w:rPr>
          <w:rFonts w:ascii="Calibri" w:hAnsi="Calibri" w:cs="Calibri"/>
          <w:sz w:val="22"/>
          <w:szCs w:val="22"/>
        </w:rPr>
      </w:pPr>
    </w:p>
    <w:p w14:paraId="7893BFA8"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3. Leadership Development</w:t>
      </w:r>
    </w:p>
    <w:p w14:paraId="572C7C27"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xml:space="preserve">A study by </w:t>
      </w:r>
      <w:proofErr w:type="spellStart"/>
      <w:r w:rsidRPr="009E4D25">
        <w:rPr>
          <w:rFonts w:ascii="Calibri" w:hAnsi="Calibri" w:cs="Calibri"/>
          <w:sz w:val="22"/>
          <w:szCs w:val="22"/>
        </w:rPr>
        <w:t>Ladkin</w:t>
      </w:r>
      <w:proofErr w:type="spellEnd"/>
      <w:r w:rsidRPr="009E4D25">
        <w:rPr>
          <w:rFonts w:ascii="Calibri" w:hAnsi="Calibri" w:cs="Calibri"/>
          <w:sz w:val="22"/>
          <w:szCs w:val="22"/>
        </w:rPr>
        <w:t xml:space="preserve"> (2020) used phenomenological methods to examine how CEOs of FTSE 100 companies experience and make sense of strategic decision-making during crisis situations.</w:t>
      </w:r>
    </w:p>
    <w:p w14:paraId="60A3C234" w14:textId="77777777" w:rsidR="00736342" w:rsidRPr="009E4D25" w:rsidRDefault="00736342" w:rsidP="00736342">
      <w:pPr>
        <w:spacing w:after="0" w:line="240" w:lineRule="auto"/>
        <w:rPr>
          <w:rFonts w:ascii="Calibri" w:hAnsi="Calibri" w:cs="Calibri"/>
          <w:sz w:val="22"/>
          <w:szCs w:val="22"/>
        </w:rPr>
      </w:pPr>
    </w:p>
    <w:p w14:paraId="055E1D29" w14:textId="77777777" w:rsidR="00736342" w:rsidRPr="00F64958" w:rsidRDefault="00736342" w:rsidP="00736342">
      <w:pPr>
        <w:spacing w:after="0" w:line="240" w:lineRule="auto"/>
        <w:rPr>
          <w:rFonts w:ascii="Calibri" w:hAnsi="Calibri" w:cs="Calibri"/>
          <w:b/>
          <w:bCs/>
          <w:sz w:val="22"/>
          <w:szCs w:val="22"/>
        </w:rPr>
      </w:pPr>
      <w:r w:rsidRPr="00F64958">
        <w:rPr>
          <w:rFonts w:ascii="Calibri" w:hAnsi="Calibri" w:cs="Calibri"/>
          <w:b/>
          <w:bCs/>
          <w:sz w:val="22"/>
          <w:szCs w:val="22"/>
        </w:rPr>
        <w:t>Grounded Theory in Management Research</w:t>
      </w:r>
    </w:p>
    <w:p w14:paraId="06916053" w14:textId="77777777" w:rsidR="00736342" w:rsidRPr="009E4D25" w:rsidRDefault="00736342" w:rsidP="00736342">
      <w:pPr>
        <w:spacing w:after="0" w:line="240" w:lineRule="auto"/>
        <w:rPr>
          <w:rFonts w:ascii="Calibri" w:hAnsi="Calibri" w:cs="Calibri"/>
          <w:sz w:val="22"/>
          <w:szCs w:val="22"/>
        </w:rPr>
      </w:pPr>
    </w:p>
    <w:p w14:paraId="12290CFF"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Grounded theory has revolutionised how researchers understand organisational processes, particularly in developing new theoretical frameworks grounded in empirical data.</w:t>
      </w:r>
    </w:p>
    <w:p w14:paraId="4BE458FE" w14:textId="77777777" w:rsidR="00736342" w:rsidRPr="009E4D25" w:rsidRDefault="00736342" w:rsidP="00736342">
      <w:pPr>
        <w:spacing w:after="0" w:line="240" w:lineRule="auto"/>
        <w:rPr>
          <w:rFonts w:ascii="Calibri" w:hAnsi="Calibri" w:cs="Calibri"/>
          <w:sz w:val="22"/>
          <w:szCs w:val="22"/>
        </w:rPr>
      </w:pPr>
    </w:p>
    <w:p w14:paraId="1236F79F" w14:textId="77777777" w:rsidR="00736342" w:rsidRPr="00F64958" w:rsidRDefault="00736342" w:rsidP="00736342">
      <w:pPr>
        <w:spacing w:after="0" w:line="240" w:lineRule="auto"/>
        <w:rPr>
          <w:rFonts w:ascii="Calibri" w:hAnsi="Calibri" w:cs="Calibri"/>
          <w:b/>
          <w:bCs/>
          <w:sz w:val="22"/>
          <w:szCs w:val="22"/>
        </w:rPr>
      </w:pPr>
      <w:r w:rsidRPr="00F64958">
        <w:rPr>
          <w:rFonts w:ascii="Calibri" w:hAnsi="Calibri" w:cs="Calibri"/>
          <w:b/>
          <w:bCs/>
          <w:sz w:val="22"/>
          <w:szCs w:val="22"/>
        </w:rPr>
        <w:t>Contemporary Business Applications</w:t>
      </w:r>
    </w:p>
    <w:p w14:paraId="61C63F17" w14:textId="77777777" w:rsidR="00736342" w:rsidRPr="009E4D25" w:rsidRDefault="00736342" w:rsidP="00736342">
      <w:pPr>
        <w:spacing w:after="0" w:line="240" w:lineRule="auto"/>
        <w:rPr>
          <w:rFonts w:ascii="Calibri" w:hAnsi="Calibri" w:cs="Calibri"/>
          <w:sz w:val="22"/>
          <w:szCs w:val="22"/>
        </w:rPr>
      </w:pPr>
    </w:p>
    <w:p w14:paraId="0D6F3544"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1. Innovation Management</w:t>
      </w:r>
    </w:p>
    <w:p w14:paraId="7E5B385B"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lastRenderedPageBreak/>
        <w:t>Nolan and O'Mahony's (2020) grounded theory study of innovation processes at ARM Holdings revealed how technological innovation emerges through complex social interactions.</w:t>
      </w:r>
    </w:p>
    <w:p w14:paraId="0C8E0647" w14:textId="77777777" w:rsidR="00736342" w:rsidRPr="009E4D25" w:rsidRDefault="00736342" w:rsidP="00736342">
      <w:pPr>
        <w:spacing w:after="0" w:line="240" w:lineRule="auto"/>
        <w:rPr>
          <w:rFonts w:ascii="Calibri" w:hAnsi="Calibri" w:cs="Calibri"/>
          <w:sz w:val="22"/>
          <w:szCs w:val="22"/>
        </w:rPr>
      </w:pPr>
    </w:p>
    <w:p w14:paraId="3F939827"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2. Corporate Sustainability</w:t>
      </w:r>
    </w:p>
    <w:p w14:paraId="1C40D927"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Research at Unilever by Thompson and Davidson (2021) used grounded theory to develop new models of sustainable business practices, leading to practical frameworks for implementing environmental initiatives.</w:t>
      </w:r>
    </w:p>
    <w:p w14:paraId="7ED75D7E" w14:textId="77777777" w:rsidR="00736342" w:rsidRPr="009E4D25" w:rsidRDefault="00736342" w:rsidP="00736342">
      <w:pPr>
        <w:spacing w:after="0" w:line="240" w:lineRule="auto"/>
        <w:rPr>
          <w:rFonts w:ascii="Calibri" w:hAnsi="Calibri" w:cs="Calibri"/>
          <w:sz w:val="22"/>
          <w:szCs w:val="22"/>
        </w:rPr>
      </w:pPr>
    </w:p>
    <w:p w14:paraId="272AB10C"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3. Digital Transformation</w:t>
      </w:r>
    </w:p>
    <w:p w14:paraId="2BD6E005"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A recent study by Wright et al. (2023) at Tesco employed grounded theory to understand how traditional retailers successfully navigate digital transformation.</w:t>
      </w:r>
    </w:p>
    <w:p w14:paraId="6D5CDE4E" w14:textId="77777777" w:rsidR="00736342" w:rsidRPr="009E4D25" w:rsidRDefault="00736342" w:rsidP="00736342">
      <w:pPr>
        <w:spacing w:after="0" w:line="240" w:lineRule="auto"/>
        <w:rPr>
          <w:rFonts w:ascii="Calibri" w:hAnsi="Calibri" w:cs="Calibri"/>
          <w:sz w:val="22"/>
          <w:szCs w:val="22"/>
        </w:rPr>
      </w:pPr>
    </w:p>
    <w:p w14:paraId="1EC942E9"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Methodological Considerations</w:t>
      </w:r>
    </w:p>
    <w:p w14:paraId="2A189FC4" w14:textId="77777777" w:rsidR="00736342" w:rsidRPr="009E4D25" w:rsidRDefault="00736342" w:rsidP="00736342">
      <w:pPr>
        <w:spacing w:after="0" w:line="240" w:lineRule="auto"/>
        <w:rPr>
          <w:rFonts w:ascii="Calibri" w:hAnsi="Calibri" w:cs="Calibri"/>
          <w:sz w:val="22"/>
          <w:szCs w:val="22"/>
        </w:rPr>
      </w:pPr>
    </w:p>
    <w:p w14:paraId="0DB5E1BF"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Key Elements in Business Research:</w:t>
      </w:r>
    </w:p>
    <w:p w14:paraId="15A21110"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Theoretical sampling in corporate settings</w:t>
      </w:r>
    </w:p>
    <w:p w14:paraId="057560E4"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Constant comparative analysis</w:t>
      </w:r>
    </w:p>
    <w:p w14:paraId="0312C8A6"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Memo writing and theory development</w:t>
      </w:r>
    </w:p>
    <w:p w14:paraId="02A8362A"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Saturation in organisational contexts</w:t>
      </w:r>
    </w:p>
    <w:p w14:paraId="0A32A309" w14:textId="77777777" w:rsidR="00736342" w:rsidRPr="009E4D25" w:rsidRDefault="00736342" w:rsidP="00736342">
      <w:pPr>
        <w:spacing w:after="0" w:line="240" w:lineRule="auto"/>
        <w:rPr>
          <w:rFonts w:ascii="Calibri" w:hAnsi="Calibri" w:cs="Calibri"/>
          <w:sz w:val="22"/>
          <w:szCs w:val="22"/>
        </w:rPr>
      </w:pPr>
    </w:p>
    <w:p w14:paraId="53A5361A" w14:textId="77777777" w:rsidR="00736342" w:rsidRPr="00A31A84" w:rsidRDefault="00736342" w:rsidP="00736342">
      <w:pPr>
        <w:spacing w:after="0" w:line="240" w:lineRule="auto"/>
        <w:rPr>
          <w:rFonts w:ascii="Calibri" w:hAnsi="Calibri" w:cs="Calibri"/>
          <w:b/>
          <w:bCs/>
          <w:sz w:val="22"/>
          <w:szCs w:val="22"/>
        </w:rPr>
      </w:pPr>
      <w:r w:rsidRPr="00A31A84">
        <w:rPr>
          <w:rFonts w:ascii="Calibri" w:hAnsi="Calibri" w:cs="Calibri"/>
          <w:b/>
          <w:bCs/>
          <w:sz w:val="22"/>
          <w:szCs w:val="22"/>
        </w:rPr>
        <w:t>Ethnographic Research in Corporate Settings</w:t>
      </w:r>
    </w:p>
    <w:p w14:paraId="0419719D" w14:textId="77777777" w:rsidR="00736342" w:rsidRPr="009E4D25" w:rsidRDefault="00736342" w:rsidP="00736342">
      <w:pPr>
        <w:spacing w:after="0" w:line="240" w:lineRule="auto"/>
        <w:rPr>
          <w:rFonts w:ascii="Calibri" w:hAnsi="Calibri" w:cs="Calibri"/>
          <w:sz w:val="22"/>
          <w:szCs w:val="22"/>
        </w:rPr>
      </w:pPr>
    </w:p>
    <w:p w14:paraId="5F284017"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Corporate ethnography has gained prominence as organisations seek deeper understanding of both employee and customer behaviour.</w:t>
      </w:r>
    </w:p>
    <w:p w14:paraId="262FAB11" w14:textId="77777777" w:rsidR="00736342" w:rsidRPr="009E4D25" w:rsidRDefault="00736342" w:rsidP="00736342">
      <w:pPr>
        <w:spacing w:after="0" w:line="240" w:lineRule="auto"/>
        <w:rPr>
          <w:rFonts w:ascii="Calibri" w:hAnsi="Calibri" w:cs="Calibri"/>
          <w:sz w:val="22"/>
          <w:szCs w:val="22"/>
        </w:rPr>
      </w:pPr>
    </w:p>
    <w:p w14:paraId="0DC2768F" w14:textId="77777777" w:rsidR="00736342" w:rsidRPr="00A31A84" w:rsidRDefault="00736342" w:rsidP="00736342">
      <w:pPr>
        <w:spacing w:after="0" w:line="240" w:lineRule="auto"/>
        <w:rPr>
          <w:rFonts w:ascii="Calibri" w:hAnsi="Calibri" w:cs="Calibri"/>
          <w:b/>
          <w:bCs/>
          <w:sz w:val="22"/>
          <w:szCs w:val="22"/>
        </w:rPr>
      </w:pPr>
      <w:r w:rsidRPr="00A31A84">
        <w:rPr>
          <w:rFonts w:ascii="Calibri" w:hAnsi="Calibri" w:cs="Calibri"/>
          <w:b/>
          <w:bCs/>
          <w:sz w:val="22"/>
          <w:szCs w:val="22"/>
        </w:rPr>
        <w:t>Business Applications</w:t>
      </w:r>
    </w:p>
    <w:p w14:paraId="784AF515" w14:textId="77777777" w:rsidR="00736342" w:rsidRPr="009E4D25" w:rsidRDefault="00736342" w:rsidP="00736342">
      <w:pPr>
        <w:spacing w:after="0" w:line="240" w:lineRule="auto"/>
        <w:rPr>
          <w:rFonts w:ascii="Calibri" w:hAnsi="Calibri" w:cs="Calibri"/>
          <w:sz w:val="22"/>
          <w:szCs w:val="22"/>
        </w:rPr>
      </w:pPr>
    </w:p>
    <w:p w14:paraId="6EA91C1D"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1. Workplace Culture</w:t>
      </w:r>
    </w:p>
    <w:p w14:paraId="68A87D8B"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A significant ethnographic study at Rolls-Royce by Anderson and Evans (2022) revealed how engineering culture influences innovation processes.</w:t>
      </w:r>
    </w:p>
    <w:p w14:paraId="22E524D3" w14:textId="77777777" w:rsidR="00736342" w:rsidRPr="009E4D25" w:rsidRDefault="00736342" w:rsidP="00736342">
      <w:pPr>
        <w:spacing w:after="0" w:line="240" w:lineRule="auto"/>
        <w:rPr>
          <w:rFonts w:ascii="Calibri" w:hAnsi="Calibri" w:cs="Calibri"/>
          <w:sz w:val="22"/>
          <w:szCs w:val="22"/>
        </w:rPr>
      </w:pPr>
    </w:p>
    <w:p w14:paraId="4BC278A3"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2. Consumer Behaviour</w:t>
      </w:r>
    </w:p>
    <w:p w14:paraId="7E9AD1B7"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Sainsbury's commissioned extensive ethnographic research to understand shopping behaviours, leading to significant changes in store design and product placement (Roberts, 2021).</w:t>
      </w:r>
    </w:p>
    <w:p w14:paraId="146C44C8" w14:textId="77777777" w:rsidR="00736342" w:rsidRPr="009E4D25" w:rsidRDefault="00736342" w:rsidP="00736342">
      <w:pPr>
        <w:spacing w:after="0" w:line="240" w:lineRule="auto"/>
        <w:rPr>
          <w:rFonts w:ascii="Calibri" w:hAnsi="Calibri" w:cs="Calibri"/>
          <w:sz w:val="22"/>
          <w:szCs w:val="22"/>
        </w:rPr>
      </w:pPr>
    </w:p>
    <w:p w14:paraId="18976455"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3. Technology Adoption</w:t>
      </w:r>
    </w:p>
    <w:p w14:paraId="02F0C2C9"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British Airways' implementation of new booking systems was informed by ethnographic research examining how staff adapt to technological change (Thompson, 2020).</w:t>
      </w:r>
    </w:p>
    <w:p w14:paraId="696D4B72" w14:textId="77777777" w:rsidR="00736342" w:rsidRPr="009E4D25" w:rsidRDefault="00736342" w:rsidP="00736342">
      <w:pPr>
        <w:spacing w:after="0" w:line="240" w:lineRule="auto"/>
        <w:rPr>
          <w:rFonts w:ascii="Calibri" w:hAnsi="Calibri" w:cs="Calibri"/>
          <w:sz w:val="22"/>
          <w:szCs w:val="22"/>
        </w:rPr>
      </w:pPr>
    </w:p>
    <w:p w14:paraId="20F437A0" w14:textId="77777777" w:rsidR="00736342" w:rsidRPr="00E026F7" w:rsidRDefault="00736342" w:rsidP="00736342">
      <w:pPr>
        <w:spacing w:after="0" w:line="240" w:lineRule="auto"/>
        <w:rPr>
          <w:rFonts w:ascii="Calibri" w:hAnsi="Calibri" w:cs="Calibri"/>
          <w:b/>
          <w:bCs/>
          <w:sz w:val="22"/>
          <w:szCs w:val="22"/>
        </w:rPr>
      </w:pPr>
      <w:r w:rsidRPr="00E026F7">
        <w:rPr>
          <w:rFonts w:ascii="Calibri" w:hAnsi="Calibri" w:cs="Calibri"/>
          <w:b/>
          <w:bCs/>
          <w:sz w:val="22"/>
          <w:szCs w:val="22"/>
        </w:rPr>
        <w:t>Case Study Research in Business</w:t>
      </w:r>
    </w:p>
    <w:p w14:paraId="5406AC1F" w14:textId="77777777" w:rsidR="00736342" w:rsidRPr="009E4D25" w:rsidRDefault="00736342" w:rsidP="00736342">
      <w:pPr>
        <w:spacing w:after="0" w:line="240" w:lineRule="auto"/>
        <w:rPr>
          <w:rFonts w:ascii="Calibri" w:hAnsi="Calibri" w:cs="Calibri"/>
          <w:sz w:val="22"/>
          <w:szCs w:val="22"/>
        </w:rPr>
      </w:pPr>
    </w:p>
    <w:p w14:paraId="1F06078B"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Case study research remains fundamental in business research, offering detailed examination of specific organisational phenomena.</w:t>
      </w:r>
    </w:p>
    <w:p w14:paraId="455C10A6" w14:textId="77777777" w:rsidR="00736342" w:rsidRPr="009E4D25" w:rsidRDefault="00736342" w:rsidP="00736342">
      <w:pPr>
        <w:spacing w:after="0" w:line="240" w:lineRule="auto"/>
        <w:rPr>
          <w:rFonts w:ascii="Calibri" w:hAnsi="Calibri" w:cs="Calibri"/>
          <w:sz w:val="22"/>
          <w:szCs w:val="22"/>
        </w:rPr>
      </w:pPr>
    </w:p>
    <w:p w14:paraId="77F79023" w14:textId="77777777" w:rsidR="00736342" w:rsidRPr="00E026F7" w:rsidRDefault="00736342" w:rsidP="00736342">
      <w:pPr>
        <w:spacing w:after="0" w:line="240" w:lineRule="auto"/>
        <w:rPr>
          <w:rFonts w:ascii="Calibri" w:hAnsi="Calibri" w:cs="Calibri"/>
          <w:b/>
          <w:bCs/>
          <w:sz w:val="22"/>
          <w:szCs w:val="22"/>
        </w:rPr>
      </w:pPr>
      <w:r w:rsidRPr="00E026F7">
        <w:rPr>
          <w:rFonts w:ascii="Calibri" w:hAnsi="Calibri" w:cs="Calibri"/>
          <w:b/>
          <w:bCs/>
          <w:sz w:val="22"/>
          <w:szCs w:val="22"/>
        </w:rPr>
        <w:t>Contemporary Applications</w:t>
      </w:r>
    </w:p>
    <w:p w14:paraId="6F6174C4" w14:textId="77777777" w:rsidR="00736342" w:rsidRPr="009E4D25" w:rsidRDefault="00736342" w:rsidP="00736342">
      <w:pPr>
        <w:spacing w:after="0" w:line="240" w:lineRule="auto"/>
        <w:rPr>
          <w:rFonts w:ascii="Calibri" w:hAnsi="Calibri" w:cs="Calibri"/>
          <w:sz w:val="22"/>
          <w:szCs w:val="22"/>
        </w:rPr>
      </w:pPr>
    </w:p>
    <w:p w14:paraId="08C96C55"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1. Strategic Change</w:t>
      </w:r>
    </w:p>
    <w:p w14:paraId="324DA65D"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Recent case studies of Vodafone's digital transformation by Jenkins and Smith (2023) demonstrate how detailed organisational analysis can inform strategic decision-making.</w:t>
      </w:r>
    </w:p>
    <w:p w14:paraId="67F3FB13" w14:textId="77777777" w:rsidR="00736342" w:rsidRPr="009E4D25" w:rsidRDefault="00736342" w:rsidP="00736342">
      <w:pPr>
        <w:spacing w:after="0" w:line="240" w:lineRule="auto"/>
        <w:rPr>
          <w:rFonts w:ascii="Calibri" w:hAnsi="Calibri" w:cs="Calibri"/>
          <w:sz w:val="22"/>
          <w:szCs w:val="22"/>
        </w:rPr>
      </w:pPr>
    </w:p>
    <w:p w14:paraId="15F3F813"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2. Crisis Management</w:t>
      </w:r>
    </w:p>
    <w:p w14:paraId="4B80A128"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lastRenderedPageBreak/>
        <w:t>The Co-operative Bank's recovery from near-collapse provided rich material for case study research on organisational resilience (Parker, 2022).</w:t>
      </w:r>
    </w:p>
    <w:p w14:paraId="20B35479" w14:textId="77777777" w:rsidR="00736342" w:rsidRPr="009E4D25" w:rsidRDefault="00736342" w:rsidP="00736342">
      <w:pPr>
        <w:spacing w:after="0" w:line="240" w:lineRule="auto"/>
        <w:rPr>
          <w:rFonts w:ascii="Calibri" w:hAnsi="Calibri" w:cs="Calibri"/>
          <w:sz w:val="22"/>
          <w:szCs w:val="22"/>
        </w:rPr>
      </w:pPr>
    </w:p>
    <w:p w14:paraId="1ABC70BD"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3. Innovation Management</w:t>
      </w:r>
    </w:p>
    <w:p w14:paraId="4A3DC0C7"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AstraZeneca's vaccine development during the COVID-19 pandemic has become a seminal case study in rapid innovation under pressure (Williams and Thompson, 2022).</w:t>
      </w:r>
    </w:p>
    <w:p w14:paraId="3E195C06" w14:textId="77777777" w:rsidR="00736342" w:rsidRPr="009E4D25" w:rsidRDefault="00736342" w:rsidP="00736342">
      <w:pPr>
        <w:spacing w:after="0" w:line="240" w:lineRule="auto"/>
        <w:rPr>
          <w:rFonts w:ascii="Calibri" w:hAnsi="Calibri" w:cs="Calibri"/>
          <w:sz w:val="22"/>
          <w:szCs w:val="22"/>
        </w:rPr>
      </w:pPr>
    </w:p>
    <w:p w14:paraId="6DEC21D3" w14:textId="77777777" w:rsidR="00736342" w:rsidRPr="009E4D25" w:rsidRDefault="00736342" w:rsidP="00736342">
      <w:pPr>
        <w:spacing w:after="0" w:line="240" w:lineRule="auto"/>
        <w:rPr>
          <w:rFonts w:ascii="Calibri" w:hAnsi="Calibri" w:cs="Calibri"/>
          <w:sz w:val="22"/>
          <w:szCs w:val="22"/>
        </w:rPr>
      </w:pPr>
    </w:p>
    <w:p w14:paraId="16DA9F14" w14:textId="77777777" w:rsidR="00736342" w:rsidRPr="00241299" w:rsidRDefault="00736342" w:rsidP="00736342">
      <w:pPr>
        <w:spacing w:after="0" w:line="240" w:lineRule="auto"/>
        <w:rPr>
          <w:rFonts w:ascii="Calibri" w:hAnsi="Calibri" w:cs="Calibri"/>
          <w:b/>
          <w:bCs/>
          <w:sz w:val="22"/>
          <w:szCs w:val="22"/>
        </w:rPr>
      </w:pPr>
      <w:r w:rsidRPr="00241299">
        <w:rPr>
          <w:rFonts w:ascii="Calibri" w:hAnsi="Calibri" w:cs="Calibri"/>
          <w:b/>
          <w:bCs/>
          <w:sz w:val="22"/>
          <w:szCs w:val="22"/>
        </w:rPr>
        <w:t>Methodological Challenges in Contemporary Business Settings</w:t>
      </w:r>
    </w:p>
    <w:p w14:paraId="5C158CD1" w14:textId="77777777" w:rsidR="00736342" w:rsidRPr="009E4D25" w:rsidRDefault="00736342" w:rsidP="00736342">
      <w:pPr>
        <w:spacing w:after="0" w:line="240" w:lineRule="auto"/>
        <w:rPr>
          <w:rFonts w:ascii="Calibri" w:hAnsi="Calibri" w:cs="Calibri"/>
          <w:sz w:val="22"/>
          <w:szCs w:val="22"/>
        </w:rPr>
      </w:pPr>
    </w:p>
    <w:p w14:paraId="41C823DD" w14:textId="77777777" w:rsidR="00736342" w:rsidRPr="00232C5B" w:rsidRDefault="00736342" w:rsidP="00736342">
      <w:pPr>
        <w:spacing w:after="0" w:line="240" w:lineRule="auto"/>
        <w:rPr>
          <w:rFonts w:ascii="Calibri" w:hAnsi="Calibri" w:cs="Calibri"/>
          <w:b/>
          <w:bCs/>
          <w:sz w:val="22"/>
          <w:szCs w:val="22"/>
        </w:rPr>
      </w:pPr>
      <w:r w:rsidRPr="00232C5B">
        <w:rPr>
          <w:rFonts w:ascii="Calibri" w:hAnsi="Calibri" w:cs="Calibri"/>
          <w:b/>
          <w:bCs/>
          <w:sz w:val="22"/>
          <w:szCs w:val="22"/>
        </w:rPr>
        <w:t>Future Methodological Developments</w:t>
      </w:r>
    </w:p>
    <w:p w14:paraId="3614AB61" w14:textId="77777777" w:rsidR="00736342" w:rsidRPr="00232C5B" w:rsidRDefault="00736342" w:rsidP="00736342">
      <w:pPr>
        <w:spacing w:after="0" w:line="240" w:lineRule="auto"/>
        <w:rPr>
          <w:rFonts w:ascii="Calibri" w:hAnsi="Calibri" w:cs="Calibri"/>
          <w:b/>
          <w:bCs/>
          <w:sz w:val="22"/>
          <w:szCs w:val="22"/>
        </w:rPr>
      </w:pPr>
    </w:p>
    <w:p w14:paraId="51FF76C3" w14:textId="77777777" w:rsidR="00736342" w:rsidRPr="00232C5B" w:rsidRDefault="00736342" w:rsidP="00736342">
      <w:pPr>
        <w:spacing w:after="0" w:line="240" w:lineRule="auto"/>
        <w:rPr>
          <w:rFonts w:ascii="Calibri" w:hAnsi="Calibri" w:cs="Calibri"/>
          <w:b/>
          <w:bCs/>
          <w:sz w:val="22"/>
          <w:szCs w:val="22"/>
        </w:rPr>
      </w:pPr>
      <w:r w:rsidRPr="00232C5B">
        <w:rPr>
          <w:rFonts w:ascii="Calibri" w:hAnsi="Calibri" w:cs="Calibri"/>
          <w:b/>
          <w:bCs/>
          <w:sz w:val="22"/>
          <w:szCs w:val="22"/>
        </w:rPr>
        <w:t>Evolution of Creswell's Approaches</w:t>
      </w:r>
    </w:p>
    <w:p w14:paraId="507BFE77" w14:textId="77777777" w:rsidR="00736342" w:rsidRPr="009E4D25" w:rsidRDefault="00736342" w:rsidP="00736342">
      <w:pPr>
        <w:spacing w:after="0" w:line="240" w:lineRule="auto"/>
        <w:rPr>
          <w:rFonts w:ascii="Calibri" w:hAnsi="Calibri" w:cs="Calibri"/>
          <w:sz w:val="22"/>
          <w:szCs w:val="22"/>
        </w:rPr>
      </w:pPr>
    </w:p>
    <w:p w14:paraId="3FDDFD16"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1. Narrative Research</w:t>
      </w:r>
    </w:p>
    <w:p w14:paraId="42431760"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Digital storytelling platforms</w:t>
      </w:r>
    </w:p>
    <w:p w14:paraId="22E4844F"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Virtual narrative collection</w:t>
      </w:r>
    </w:p>
    <w:p w14:paraId="33B49AA6"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Online story mapping</w:t>
      </w:r>
    </w:p>
    <w:p w14:paraId="329DA4E0"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Interactive narrative analysis</w:t>
      </w:r>
    </w:p>
    <w:p w14:paraId="64CB05A8" w14:textId="77777777" w:rsidR="00736342" w:rsidRPr="009E4D25" w:rsidRDefault="00736342" w:rsidP="00736342">
      <w:pPr>
        <w:spacing w:after="0" w:line="240" w:lineRule="auto"/>
        <w:rPr>
          <w:rFonts w:ascii="Calibri" w:hAnsi="Calibri" w:cs="Calibri"/>
          <w:sz w:val="22"/>
          <w:szCs w:val="22"/>
        </w:rPr>
      </w:pPr>
    </w:p>
    <w:p w14:paraId="5BA4E787"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2. Phenomenological Research</w:t>
      </w:r>
    </w:p>
    <w:p w14:paraId="60531CA7"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Virtual experience capture</w:t>
      </w:r>
    </w:p>
    <w:p w14:paraId="6F7F211C"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Digital essence exploration</w:t>
      </w:r>
    </w:p>
    <w:p w14:paraId="7B262555"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Online phenomenon study</w:t>
      </w:r>
    </w:p>
    <w:p w14:paraId="017318F5"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Remote experience analysis</w:t>
      </w:r>
    </w:p>
    <w:p w14:paraId="379111D9" w14:textId="77777777" w:rsidR="00736342" w:rsidRPr="009E4D25" w:rsidRDefault="00736342" w:rsidP="00736342">
      <w:pPr>
        <w:spacing w:after="0" w:line="240" w:lineRule="auto"/>
        <w:rPr>
          <w:rFonts w:ascii="Calibri" w:hAnsi="Calibri" w:cs="Calibri"/>
          <w:sz w:val="22"/>
          <w:szCs w:val="22"/>
        </w:rPr>
      </w:pPr>
    </w:p>
    <w:p w14:paraId="53667711"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3. Grounded Theory</w:t>
      </w:r>
    </w:p>
    <w:p w14:paraId="1CF2A630"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Digital theory building</w:t>
      </w:r>
    </w:p>
    <w:p w14:paraId="23DE3F34"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Virtual theoretical sampling</w:t>
      </w:r>
    </w:p>
    <w:p w14:paraId="202B7779"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Online constant comparison</w:t>
      </w:r>
    </w:p>
    <w:p w14:paraId="3E931EAB"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Remote category development</w:t>
      </w:r>
    </w:p>
    <w:p w14:paraId="2D0C6B6D" w14:textId="77777777" w:rsidR="00736342" w:rsidRPr="009E4D25" w:rsidRDefault="00736342" w:rsidP="00736342">
      <w:pPr>
        <w:spacing w:after="0" w:line="240" w:lineRule="auto"/>
        <w:rPr>
          <w:rFonts w:ascii="Calibri" w:hAnsi="Calibri" w:cs="Calibri"/>
          <w:sz w:val="22"/>
          <w:szCs w:val="22"/>
        </w:rPr>
      </w:pPr>
    </w:p>
    <w:p w14:paraId="5081FE40"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4. Ethnographic Research</w:t>
      </w:r>
    </w:p>
    <w:p w14:paraId="2603CC4C"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Virtual cultural study</w:t>
      </w:r>
    </w:p>
    <w:p w14:paraId="7AC13A6D"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Digital field notes</w:t>
      </w:r>
    </w:p>
    <w:p w14:paraId="61EB57FD"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Online participant observation</w:t>
      </w:r>
    </w:p>
    <w:p w14:paraId="1C9B706F"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Remote cultural analysis</w:t>
      </w:r>
    </w:p>
    <w:p w14:paraId="12351EE7" w14:textId="77777777" w:rsidR="00736342" w:rsidRPr="009E4D25" w:rsidRDefault="00736342" w:rsidP="00736342">
      <w:pPr>
        <w:spacing w:after="0" w:line="240" w:lineRule="auto"/>
        <w:rPr>
          <w:rFonts w:ascii="Calibri" w:hAnsi="Calibri" w:cs="Calibri"/>
          <w:sz w:val="22"/>
          <w:szCs w:val="22"/>
        </w:rPr>
      </w:pPr>
    </w:p>
    <w:p w14:paraId="1AEF4FD3"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5. Case Study Research</w:t>
      </w:r>
    </w:p>
    <w:p w14:paraId="69D60533"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Digital case boundaries</w:t>
      </w:r>
    </w:p>
    <w:p w14:paraId="52927488"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Virtual context analysis</w:t>
      </w:r>
    </w:p>
    <w:p w14:paraId="578D5AAC" w14:textId="77777777" w:rsidR="00736342" w:rsidRPr="009E4D25" w:rsidRDefault="00736342" w:rsidP="00736342">
      <w:pPr>
        <w:spacing w:after="0" w:line="240" w:lineRule="auto"/>
        <w:rPr>
          <w:rFonts w:ascii="Calibri" w:hAnsi="Calibri" w:cs="Calibri"/>
          <w:sz w:val="22"/>
          <w:szCs w:val="22"/>
        </w:rPr>
      </w:pPr>
      <w:r w:rsidRPr="009E4D25">
        <w:rPr>
          <w:rFonts w:ascii="Calibri" w:hAnsi="Calibri" w:cs="Calibri"/>
          <w:sz w:val="22"/>
          <w:szCs w:val="22"/>
        </w:rPr>
        <w:t>- Online data collection</w:t>
      </w:r>
    </w:p>
    <w:p w14:paraId="64DC6D72" w14:textId="77777777" w:rsidR="00736342" w:rsidRDefault="00736342" w:rsidP="00736342">
      <w:pPr>
        <w:spacing w:after="0" w:line="240" w:lineRule="auto"/>
        <w:rPr>
          <w:rFonts w:ascii="Calibri" w:hAnsi="Calibri" w:cs="Calibri"/>
          <w:sz w:val="22"/>
          <w:szCs w:val="22"/>
        </w:rPr>
      </w:pPr>
      <w:r w:rsidRPr="009E4D25">
        <w:rPr>
          <w:rFonts w:ascii="Calibri" w:hAnsi="Calibri" w:cs="Calibri"/>
          <w:sz w:val="22"/>
          <w:szCs w:val="22"/>
        </w:rPr>
        <w:t>- Remote case development</w:t>
      </w:r>
    </w:p>
    <w:p w14:paraId="506F3474" w14:textId="77777777" w:rsidR="00642CAA" w:rsidRDefault="00642CAA" w:rsidP="00736342">
      <w:pPr>
        <w:spacing w:after="0" w:line="240" w:lineRule="auto"/>
        <w:rPr>
          <w:rFonts w:ascii="Calibri" w:hAnsi="Calibri" w:cs="Calibri"/>
          <w:sz w:val="22"/>
          <w:szCs w:val="22"/>
        </w:rPr>
      </w:pPr>
    </w:p>
    <w:p w14:paraId="0016812D" w14:textId="77777777" w:rsidR="00642CAA" w:rsidRDefault="00642CAA" w:rsidP="00736342">
      <w:pPr>
        <w:spacing w:after="0" w:line="240" w:lineRule="auto"/>
        <w:rPr>
          <w:rFonts w:ascii="Calibri" w:hAnsi="Calibri" w:cs="Calibri"/>
          <w:sz w:val="22"/>
          <w:szCs w:val="22"/>
        </w:rPr>
      </w:pPr>
    </w:p>
    <w:p w14:paraId="42AB5DA9" w14:textId="77777777" w:rsidR="00642CAA" w:rsidRDefault="00642CAA" w:rsidP="00736342">
      <w:pPr>
        <w:spacing w:after="0" w:line="240" w:lineRule="auto"/>
        <w:rPr>
          <w:rFonts w:ascii="Calibri" w:hAnsi="Calibri" w:cs="Calibri"/>
          <w:sz w:val="22"/>
          <w:szCs w:val="22"/>
        </w:rPr>
      </w:pPr>
    </w:p>
    <w:p w14:paraId="62B1A3A3" w14:textId="77777777" w:rsidR="00642CAA" w:rsidRDefault="00642CAA" w:rsidP="00736342">
      <w:pPr>
        <w:spacing w:after="0" w:line="240" w:lineRule="auto"/>
        <w:rPr>
          <w:rFonts w:ascii="Calibri" w:hAnsi="Calibri" w:cs="Calibri"/>
          <w:sz w:val="22"/>
          <w:szCs w:val="22"/>
        </w:rPr>
      </w:pPr>
    </w:p>
    <w:p w14:paraId="44B0BA2F" w14:textId="77777777" w:rsidR="00642CAA" w:rsidRDefault="00642CAA" w:rsidP="00736342">
      <w:pPr>
        <w:spacing w:after="0" w:line="240" w:lineRule="auto"/>
        <w:rPr>
          <w:rFonts w:ascii="Calibri" w:hAnsi="Calibri" w:cs="Calibri"/>
          <w:sz w:val="22"/>
          <w:szCs w:val="22"/>
        </w:rPr>
      </w:pPr>
    </w:p>
    <w:p w14:paraId="115BD772" w14:textId="77777777" w:rsidR="00642CAA" w:rsidRDefault="00642CAA" w:rsidP="00736342">
      <w:pPr>
        <w:spacing w:after="0" w:line="240" w:lineRule="auto"/>
        <w:rPr>
          <w:rFonts w:ascii="Calibri" w:hAnsi="Calibri" w:cs="Calibri"/>
          <w:sz w:val="22"/>
          <w:szCs w:val="22"/>
        </w:rPr>
      </w:pPr>
    </w:p>
    <w:p w14:paraId="37EC3A7C" w14:textId="77777777" w:rsidR="00642CAA" w:rsidRDefault="00642CAA" w:rsidP="00736342">
      <w:pPr>
        <w:spacing w:after="0" w:line="240" w:lineRule="auto"/>
        <w:rPr>
          <w:rFonts w:ascii="Calibri" w:hAnsi="Calibri" w:cs="Calibri"/>
          <w:sz w:val="22"/>
          <w:szCs w:val="22"/>
        </w:rPr>
      </w:pPr>
    </w:p>
    <w:p w14:paraId="3402E41B" w14:textId="77777777" w:rsidR="00642CAA" w:rsidRDefault="00642CAA" w:rsidP="00736342">
      <w:pPr>
        <w:spacing w:after="0" w:line="240" w:lineRule="auto"/>
        <w:rPr>
          <w:rFonts w:ascii="Calibri" w:hAnsi="Calibri" w:cs="Calibri"/>
          <w:sz w:val="22"/>
          <w:szCs w:val="22"/>
        </w:rPr>
      </w:pPr>
    </w:p>
    <w:p w14:paraId="048A01E1" w14:textId="77777777" w:rsidR="00642CAA" w:rsidRDefault="00642CAA" w:rsidP="00736342">
      <w:pPr>
        <w:spacing w:after="0" w:line="240" w:lineRule="auto"/>
        <w:rPr>
          <w:rFonts w:ascii="Calibri" w:hAnsi="Calibri" w:cs="Calibri"/>
          <w:sz w:val="22"/>
          <w:szCs w:val="22"/>
        </w:rPr>
      </w:pPr>
    </w:p>
    <w:p w14:paraId="12DA2169" w14:textId="77777777" w:rsidR="00642CAA" w:rsidRDefault="00642CAA" w:rsidP="00736342">
      <w:pPr>
        <w:spacing w:after="0" w:line="240" w:lineRule="auto"/>
        <w:rPr>
          <w:rFonts w:ascii="Calibri" w:hAnsi="Calibri" w:cs="Calibri"/>
          <w:sz w:val="22"/>
          <w:szCs w:val="22"/>
        </w:rPr>
      </w:pPr>
    </w:p>
    <w:p w14:paraId="2684FF8D" w14:textId="77777777" w:rsidR="00642CAA" w:rsidRDefault="00642CAA" w:rsidP="00736342">
      <w:pPr>
        <w:spacing w:after="0" w:line="240" w:lineRule="auto"/>
        <w:rPr>
          <w:rFonts w:ascii="Calibri" w:hAnsi="Calibri" w:cs="Calibri"/>
          <w:sz w:val="22"/>
          <w:szCs w:val="22"/>
        </w:rPr>
      </w:pPr>
    </w:p>
    <w:p w14:paraId="3072A7D5" w14:textId="77777777" w:rsidR="00642CAA" w:rsidRDefault="00642CAA" w:rsidP="00736342">
      <w:pPr>
        <w:spacing w:after="0" w:line="240" w:lineRule="auto"/>
        <w:rPr>
          <w:rFonts w:ascii="Calibri" w:hAnsi="Calibri" w:cs="Calibri"/>
          <w:sz w:val="22"/>
          <w:szCs w:val="22"/>
        </w:rPr>
      </w:pPr>
    </w:p>
    <w:p w14:paraId="67B470AD" w14:textId="77777777" w:rsidR="009510CE" w:rsidRDefault="009510CE" w:rsidP="00736342">
      <w:pPr>
        <w:spacing w:after="0" w:line="240" w:lineRule="auto"/>
        <w:rPr>
          <w:rFonts w:ascii="Calibri" w:hAnsi="Calibri" w:cs="Calibri"/>
          <w:sz w:val="22"/>
          <w:szCs w:val="22"/>
        </w:rPr>
      </w:pPr>
    </w:p>
    <w:p w14:paraId="4CA03B1F" w14:textId="77777777" w:rsidR="00736342" w:rsidRDefault="00736342" w:rsidP="00736342">
      <w:pPr>
        <w:spacing w:after="0" w:line="240" w:lineRule="auto"/>
        <w:rPr>
          <w:rFonts w:ascii="Calibri" w:hAnsi="Calibri" w:cs="Calibri"/>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22"/>
        <w:gridCol w:w="2081"/>
        <w:gridCol w:w="2168"/>
        <w:gridCol w:w="1859"/>
        <w:gridCol w:w="1486"/>
      </w:tblGrid>
      <w:tr w:rsidR="0003160C" w:rsidRPr="006B7AFC" w14:paraId="4436BE61" w14:textId="77777777" w:rsidTr="006B7AFC">
        <w:trPr>
          <w:tblHeader/>
          <w:tblCellSpacing w:w="15" w:type="dxa"/>
        </w:trPr>
        <w:tc>
          <w:tcPr>
            <w:tcW w:w="0" w:type="auto"/>
            <w:vAlign w:val="center"/>
            <w:hideMark/>
          </w:tcPr>
          <w:p w14:paraId="44AE2ACA" w14:textId="77777777" w:rsidR="006B7AFC" w:rsidRPr="006B7AFC" w:rsidRDefault="006B7AFC" w:rsidP="006B7AFC">
            <w:pPr>
              <w:spacing w:after="0" w:line="240" w:lineRule="auto"/>
              <w:jc w:val="center"/>
              <w:rPr>
                <w:rFonts w:ascii="Calibri" w:eastAsia="Times New Roman" w:hAnsi="Calibri" w:cs="Calibri"/>
                <w:b/>
                <w:bCs/>
                <w:kern w:val="0"/>
                <w:sz w:val="20"/>
                <w:szCs w:val="20"/>
                <w14:ligatures w14:val="none"/>
              </w:rPr>
            </w:pPr>
            <w:r w:rsidRPr="006B7AFC">
              <w:rPr>
                <w:rFonts w:ascii="Calibri" w:eastAsia="Times New Roman" w:hAnsi="Calibri" w:cs="Calibri"/>
                <w:b/>
                <w:bCs/>
                <w:kern w:val="0"/>
                <w:sz w:val="20"/>
                <w:szCs w:val="20"/>
                <w14:ligatures w14:val="none"/>
              </w:rPr>
              <w:t>Approach</w:t>
            </w:r>
          </w:p>
        </w:tc>
        <w:tc>
          <w:tcPr>
            <w:tcW w:w="0" w:type="auto"/>
            <w:vAlign w:val="center"/>
            <w:hideMark/>
          </w:tcPr>
          <w:p w14:paraId="68AC6D6F" w14:textId="77777777" w:rsidR="006B7AFC" w:rsidRPr="006B7AFC" w:rsidRDefault="006B7AFC" w:rsidP="006B7AFC">
            <w:pPr>
              <w:spacing w:after="0" w:line="240" w:lineRule="auto"/>
              <w:jc w:val="center"/>
              <w:rPr>
                <w:rFonts w:ascii="Calibri" w:eastAsia="Times New Roman" w:hAnsi="Calibri" w:cs="Calibri"/>
                <w:b/>
                <w:bCs/>
                <w:kern w:val="0"/>
                <w:sz w:val="20"/>
                <w:szCs w:val="20"/>
                <w14:ligatures w14:val="none"/>
              </w:rPr>
            </w:pPr>
            <w:r w:rsidRPr="006B7AFC">
              <w:rPr>
                <w:rFonts w:ascii="Calibri" w:eastAsia="Times New Roman" w:hAnsi="Calibri" w:cs="Calibri"/>
                <w:b/>
                <w:bCs/>
                <w:kern w:val="0"/>
                <w:sz w:val="20"/>
                <w:szCs w:val="20"/>
                <w14:ligatures w14:val="none"/>
              </w:rPr>
              <w:t>Key Focus</w:t>
            </w:r>
          </w:p>
        </w:tc>
        <w:tc>
          <w:tcPr>
            <w:tcW w:w="0" w:type="auto"/>
            <w:vAlign w:val="center"/>
            <w:hideMark/>
          </w:tcPr>
          <w:p w14:paraId="39EF244D" w14:textId="77777777" w:rsidR="006B7AFC" w:rsidRPr="006B7AFC" w:rsidRDefault="006B7AFC" w:rsidP="006B7AFC">
            <w:pPr>
              <w:spacing w:after="0" w:line="240" w:lineRule="auto"/>
              <w:jc w:val="center"/>
              <w:rPr>
                <w:rFonts w:ascii="Calibri" w:eastAsia="Times New Roman" w:hAnsi="Calibri" w:cs="Calibri"/>
                <w:b/>
                <w:bCs/>
                <w:kern w:val="0"/>
                <w:sz w:val="20"/>
                <w:szCs w:val="20"/>
                <w14:ligatures w14:val="none"/>
              </w:rPr>
            </w:pPr>
            <w:r w:rsidRPr="006B7AFC">
              <w:rPr>
                <w:rFonts w:ascii="Calibri" w:eastAsia="Times New Roman" w:hAnsi="Calibri" w:cs="Calibri"/>
                <w:b/>
                <w:bCs/>
                <w:kern w:val="0"/>
                <w:sz w:val="20"/>
                <w:szCs w:val="20"/>
                <w14:ligatures w14:val="none"/>
              </w:rPr>
              <w:t>Key Characteristics</w:t>
            </w:r>
          </w:p>
        </w:tc>
        <w:tc>
          <w:tcPr>
            <w:tcW w:w="0" w:type="auto"/>
            <w:vAlign w:val="center"/>
            <w:hideMark/>
          </w:tcPr>
          <w:p w14:paraId="265063CF" w14:textId="77777777" w:rsidR="006B7AFC" w:rsidRPr="006B7AFC" w:rsidRDefault="006B7AFC" w:rsidP="006B7AFC">
            <w:pPr>
              <w:spacing w:after="0" w:line="240" w:lineRule="auto"/>
              <w:jc w:val="center"/>
              <w:rPr>
                <w:rFonts w:ascii="Calibri" w:eastAsia="Times New Roman" w:hAnsi="Calibri" w:cs="Calibri"/>
                <w:b/>
                <w:bCs/>
                <w:kern w:val="0"/>
                <w:sz w:val="20"/>
                <w:szCs w:val="20"/>
                <w14:ligatures w14:val="none"/>
              </w:rPr>
            </w:pPr>
            <w:r w:rsidRPr="006B7AFC">
              <w:rPr>
                <w:rFonts w:ascii="Calibri" w:eastAsia="Times New Roman" w:hAnsi="Calibri" w:cs="Calibri"/>
                <w:b/>
                <w:bCs/>
                <w:kern w:val="0"/>
                <w:sz w:val="20"/>
                <w:szCs w:val="20"/>
                <w14:ligatures w14:val="none"/>
              </w:rPr>
              <w:t>Data Collection Methods</w:t>
            </w:r>
          </w:p>
        </w:tc>
        <w:tc>
          <w:tcPr>
            <w:tcW w:w="0" w:type="auto"/>
            <w:vAlign w:val="center"/>
            <w:hideMark/>
          </w:tcPr>
          <w:p w14:paraId="7511BAC3" w14:textId="77777777" w:rsidR="006B7AFC" w:rsidRPr="006B7AFC" w:rsidRDefault="006B7AFC" w:rsidP="006B7AFC">
            <w:pPr>
              <w:spacing w:after="0" w:line="240" w:lineRule="auto"/>
              <w:jc w:val="center"/>
              <w:rPr>
                <w:rFonts w:ascii="Calibri" w:eastAsia="Times New Roman" w:hAnsi="Calibri" w:cs="Calibri"/>
                <w:b/>
                <w:bCs/>
                <w:kern w:val="0"/>
                <w:sz w:val="20"/>
                <w:szCs w:val="20"/>
                <w14:ligatures w14:val="none"/>
              </w:rPr>
            </w:pPr>
            <w:r w:rsidRPr="006B7AFC">
              <w:rPr>
                <w:rFonts w:ascii="Calibri" w:eastAsia="Times New Roman" w:hAnsi="Calibri" w:cs="Calibri"/>
                <w:b/>
                <w:bCs/>
                <w:kern w:val="0"/>
                <w:sz w:val="20"/>
                <w:szCs w:val="20"/>
                <w14:ligatures w14:val="none"/>
              </w:rPr>
              <w:t>Key Research Methods Authors</w:t>
            </w:r>
          </w:p>
        </w:tc>
      </w:tr>
      <w:tr w:rsidR="0003160C" w:rsidRPr="006B7AFC" w14:paraId="2967749D" w14:textId="77777777" w:rsidTr="006B7AFC">
        <w:trPr>
          <w:tblCellSpacing w:w="15" w:type="dxa"/>
        </w:trPr>
        <w:tc>
          <w:tcPr>
            <w:tcW w:w="0" w:type="auto"/>
            <w:vAlign w:val="center"/>
            <w:hideMark/>
          </w:tcPr>
          <w:p w14:paraId="03326CAE" w14:textId="77777777" w:rsidR="006B7AFC" w:rsidRPr="006B7AFC"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Narrative Research</w:t>
            </w:r>
          </w:p>
        </w:tc>
        <w:tc>
          <w:tcPr>
            <w:tcW w:w="0" w:type="auto"/>
            <w:vAlign w:val="center"/>
            <w:hideMark/>
          </w:tcPr>
          <w:p w14:paraId="09EFA8E7" w14:textId="77777777" w:rsidR="009914CF"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 xml:space="preserve">Understanding meaning through stories and lived experiences, can include customers, employees, leaders, stakeholders. </w:t>
            </w:r>
          </w:p>
          <w:p w14:paraId="407FEFBB" w14:textId="0E37B38C" w:rsidR="006B7AFC" w:rsidRPr="006B7AFC"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Focus on how individuals make sense of their experiences through storytelling</w:t>
            </w:r>
          </w:p>
        </w:tc>
        <w:tc>
          <w:tcPr>
            <w:tcW w:w="0" w:type="auto"/>
            <w:vAlign w:val="center"/>
            <w:hideMark/>
          </w:tcPr>
          <w:p w14:paraId="30F7A920" w14:textId="77777777" w:rsidR="006E0837" w:rsidRPr="006E0837"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 xml:space="preserve">Chronological ordering; Personal/social </w:t>
            </w:r>
            <w:proofErr w:type="gramStart"/>
            <w:r w:rsidRPr="006B7AFC">
              <w:rPr>
                <w:rFonts w:ascii="Calibri" w:eastAsia="Times New Roman" w:hAnsi="Calibri" w:cs="Calibri"/>
                <w:kern w:val="0"/>
                <w:sz w:val="20"/>
                <w:szCs w:val="20"/>
                <w14:ligatures w14:val="none"/>
              </w:rPr>
              <w:t>interaction;</w:t>
            </w:r>
            <w:proofErr w:type="gramEnd"/>
            <w:r w:rsidRPr="006B7AFC">
              <w:rPr>
                <w:rFonts w:ascii="Calibri" w:eastAsia="Times New Roman" w:hAnsi="Calibri" w:cs="Calibri"/>
                <w:kern w:val="0"/>
                <w:sz w:val="20"/>
                <w:szCs w:val="20"/>
                <w14:ligatures w14:val="none"/>
              </w:rPr>
              <w:t xml:space="preserve"> </w:t>
            </w:r>
          </w:p>
          <w:p w14:paraId="6DC03C9D" w14:textId="77777777" w:rsidR="006E0837" w:rsidRPr="006E0837"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 xml:space="preserve">Past, present, future </w:t>
            </w:r>
            <w:proofErr w:type="gramStart"/>
            <w:r w:rsidRPr="006B7AFC">
              <w:rPr>
                <w:rFonts w:ascii="Calibri" w:eastAsia="Times New Roman" w:hAnsi="Calibri" w:cs="Calibri"/>
                <w:kern w:val="0"/>
                <w:sz w:val="20"/>
                <w:szCs w:val="20"/>
                <w14:ligatures w14:val="none"/>
              </w:rPr>
              <w:t>contexts;</w:t>
            </w:r>
            <w:proofErr w:type="gramEnd"/>
            <w:r w:rsidRPr="006B7AFC">
              <w:rPr>
                <w:rFonts w:ascii="Calibri" w:eastAsia="Times New Roman" w:hAnsi="Calibri" w:cs="Calibri"/>
                <w:kern w:val="0"/>
                <w:sz w:val="20"/>
                <w:szCs w:val="20"/>
                <w14:ligatures w14:val="none"/>
              </w:rPr>
              <w:t xml:space="preserve"> </w:t>
            </w:r>
          </w:p>
          <w:p w14:paraId="071CAC56" w14:textId="281FF9D6" w:rsidR="006B7AFC" w:rsidRPr="006B7AFC"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Place/situation specificity; Collaboration between researcher and participant</w:t>
            </w:r>
          </w:p>
        </w:tc>
        <w:tc>
          <w:tcPr>
            <w:tcW w:w="0" w:type="auto"/>
            <w:vAlign w:val="center"/>
            <w:hideMark/>
          </w:tcPr>
          <w:p w14:paraId="720C09B9" w14:textId="77777777" w:rsidR="006B7AFC" w:rsidRPr="006B7AFC"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In-depth narrative interviews; Oral histories; Documents/diaries; Photos/artifacts; Field notes</w:t>
            </w:r>
          </w:p>
        </w:tc>
        <w:tc>
          <w:tcPr>
            <w:tcW w:w="0" w:type="auto"/>
            <w:vAlign w:val="center"/>
            <w:hideMark/>
          </w:tcPr>
          <w:p w14:paraId="52DDFE09" w14:textId="77777777" w:rsidR="006B7AFC" w:rsidRPr="006B7AFC" w:rsidRDefault="006B7AFC" w:rsidP="006B7AFC">
            <w:pPr>
              <w:spacing w:after="0" w:line="240" w:lineRule="auto"/>
              <w:rPr>
                <w:rFonts w:ascii="Calibri" w:eastAsia="Times New Roman" w:hAnsi="Calibri" w:cs="Calibri"/>
                <w:kern w:val="0"/>
                <w:sz w:val="20"/>
                <w:szCs w:val="20"/>
                <w14:ligatures w14:val="none"/>
              </w:rPr>
            </w:pPr>
            <w:proofErr w:type="spellStart"/>
            <w:r w:rsidRPr="006B7AFC">
              <w:rPr>
                <w:rFonts w:ascii="Calibri" w:eastAsia="Times New Roman" w:hAnsi="Calibri" w:cs="Calibri"/>
                <w:kern w:val="0"/>
                <w:sz w:val="20"/>
                <w:szCs w:val="20"/>
                <w14:ligatures w14:val="none"/>
              </w:rPr>
              <w:t>Clandinin</w:t>
            </w:r>
            <w:proofErr w:type="spellEnd"/>
            <w:r w:rsidRPr="006B7AFC">
              <w:rPr>
                <w:rFonts w:ascii="Calibri" w:eastAsia="Times New Roman" w:hAnsi="Calibri" w:cs="Calibri"/>
                <w:kern w:val="0"/>
                <w:sz w:val="20"/>
                <w:szCs w:val="20"/>
                <w14:ligatures w14:val="none"/>
              </w:rPr>
              <w:t xml:space="preserve"> &amp; Connelly (2000); </w:t>
            </w:r>
            <w:proofErr w:type="spellStart"/>
            <w:r w:rsidRPr="006B7AFC">
              <w:rPr>
                <w:rFonts w:ascii="Calibri" w:eastAsia="Times New Roman" w:hAnsi="Calibri" w:cs="Calibri"/>
                <w:kern w:val="0"/>
                <w:sz w:val="20"/>
                <w:szCs w:val="20"/>
                <w14:ligatures w14:val="none"/>
              </w:rPr>
              <w:t>Riessman</w:t>
            </w:r>
            <w:proofErr w:type="spellEnd"/>
            <w:r w:rsidRPr="006B7AFC">
              <w:rPr>
                <w:rFonts w:ascii="Calibri" w:eastAsia="Times New Roman" w:hAnsi="Calibri" w:cs="Calibri"/>
                <w:kern w:val="0"/>
                <w:sz w:val="20"/>
                <w:szCs w:val="20"/>
                <w14:ligatures w14:val="none"/>
              </w:rPr>
              <w:t xml:space="preserve"> (2008); Boje (2001)</w:t>
            </w:r>
          </w:p>
        </w:tc>
      </w:tr>
      <w:tr w:rsidR="0003160C" w:rsidRPr="006B7AFC" w14:paraId="1418DBFD" w14:textId="77777777" w:rsidTr="006B7AFC">
        <w:trPr>
          <w:tblCellSpacing w:w="15" w:type="dxa"/>
        </w:trPr>
        <w:tc>
          <w:tcPr>
            <w:tcW w:w="0" w:type="auto"/>
            <w:vAlign w:val="center"/>
            <w:hideMark/>
          </w:tcPr>
          <w:p w14:paraId="00F1809C" w14:textId="77777777" w:rsidR="006B7AFC" w:rsidRPr="006B7AFC"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Phenomenology</w:t>
            </w:r>
          </w:p>
        </w:tc>
        <w:tc>
          <w:tcPr>
            <w:tcW w:w="0" w:type="auto"/>
            <w:vAlign w:val="center"/>
            <w:hideMark/>
          </w:tcPr>
          <w:p w14:paraId="2E15544E" w14:textId="77777777" w:rsidR="006E0837" w:rsidRPr="006E0837"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 xml:space="preserve">Understanding the essence of lived experience of a phenomenon. </w:t>
            </w:r>
          </w:p>
          <w:p w14:paraId="4BDF7E6B" w14:textId="6D59EE3C" w:rsidR="006B7AFC" w:rsidRPr="006B7AFC"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Two main approaches: Descriptive (Husserl): Focus on pure description; Interpretive (Heidegger): Focus on interpretation of meaning</w:t>
            </w:r>
          </w:p>
        </w:tc>
        <w:tc>
          <w:tcPr>
            <w:tcW w:w="0" w:type="auto"/>
            <w:vAlign w:val="center"/>
            <w:hideMark/>
          </w:tcPr>
          <w:p w14:paraId="5801ACFB" w14:textId="77777777" w:rsidR="006B7AFC" w:rsidRPr="006B7AFC"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Lived experience description; Search for essential meaning; Bracketing (descriptive); Hermeneutic circle (interpretive); First person experience</w:t>
            </w:r>
          </w:p>
        </w:tc>
        <w:tc>
          <w:tcPr>
            <w:tcW w:w="0" w:type="auto"/>
            <w:vAlign w:val="center"/>
            <w:hideMark/>
          </w:tcPr>
          <w:p w14:paraId="535603E1" w14:textId="77777777" w:rsidR="006B7AFC" w:rsidRPr="006B7AFC"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In-depth phenomenological interviews; Written accounts; Observations; Art/poetry/music</w:t>
            </w:r>
          </w:p>
        </w:tc>
        <w:tc>
          <w:tcPr>
            <w:tcW w:w="0" w:type="auto"/>
            <w:vAlign w:val="center"/>
            <w:hideMark/>
          </w:tcPr>
          <w:p w14:paraId="25DFC1C1" w14:textId="77777777" w:rsidR="006B7AFC" w:rsidRPr="006B7AFC"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van Manen (2014); Moustakas (1994); Smith et al. (2009)</w:t>
            </w:r>
          </w:p>
        </w:tc>
      </w:tr>
      <w:tr w:rsidR="0003160C" w:rsidRPr="006B7AFC" w14:paraId="7CE76372" w14:textId="77777777" w:rsidTr="006B7AFC">
        <w:trPr>
          <w:tblCellSpacing w:w="15" w:type="dxa"/>
        </w:trPr>
        <w:tc>
          <w:tcPr>
            <w:tcW w:w="0" w:type="auto"/>
            <w:vAlign w:val="center"/>
            <w:hideMark/>
          </w:tcPr>
          <w:p w14:paraId="18BC2858" w14:textId="77777777" w:rsidR="006B7AFC" w:rsidRPr="006B7AFC"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Grounded Theory</w:t>
            </w:r>
          </w:p>
        </w:tc>
        <w:tc>
          <w:tcPr>
            <w:tcW w:w="0" w:type="auto"/>
            <w:vAlign w:val="center"/>
            <w:hideMark/>
          </w:tcPr>
          <w:p w14:paraId="398029C8" w14:textId="77777777" w:rsidR="006B7AFC"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Generating/discovering theory through systematic analysis where theory emerges from the data. Theory development occurs through constant comparative analysis</w:t>
            </w:r>
          </w:p>
          <w:p w14:paraId="3146A5C6" w14:textId="77777777" w:rsidR="0003160C" w:rsidRPr="0003160C" w:rsidRDefault="0003160C" w:rsidP="0003160C">
            <w:pPr>
              <w:spacing w:after="0" w:line="240" w:lineRule="auto"/>
              <w:rPr>
                <w:rFonts w:ascii="Calibri" w:eastAsia="Times New Roman" w:hAnsi="Calibri" w:cs="Calibri"/>
                <w:kern w:val="0"/>
                <w:sz w:val="20"/>
                <w:szCs w:val="20"/>
                <w14:ligatures w14:val="none"/>
              </w:rPr>
            </w:pPr>
          </w:p>
          <w:p w14:paraId="3B4A44C2" w14:textId="77777777" w:rsidR="0003160C" w:rsidRPr="0003160C" w:rsidRDefault="0003160C" w:rsidP="0003160C">
            <w:pPr>
              <w:spacing w:after="0" w:line="240" w:lineRule="auto"/>
              <w:rPr>
                <w:rFonts w:ascii="Calibri" w:eastAsia="Times New Roman" w:hAnsi="Calibri" w:cs="Calibri"/>
                <w:kern w:val="0"/>
                <w:sz w:val="20"/>
                <w:szCs w:val="20"/>
                <w14:ligatures w14:val="none"/>
              </w:rPr>
            </w:pPr>
          </w:p>
          <w:p w14:paraId="05646AA0" w14:textId="7F1213A9" w:rsidR="0003160C" w:rsidRPr="006B7AFC" w:rsidRDefault="0003160C" w:rsidP="0003160C">
            <w:pPr>
              <w:spacing w:after="0" w:line="240" w:lineRule="auto"/>
              <w:rPr>
                <w:rFonts w:ascii="Calibri" w:eastAsia="Times New Roman" w:hAnsi="Calibri" w:cs="Calibri"/>
                <w:kern w:val="0"/>
                <w:sz w:val="20"/>
                <w:szCs w:val="20"/>
                <w14:ligatures w14:val="none"/>
              </w:rPr>
            </w:pPr>
          </w:p>
        </w:tc>
        <w:tc>
          <w:tcPr>
            <w:tcW w:w="0" w:type="auto"/>
            <w:vAlign w:val="center"/>
            <w:hideMark/>
          </w:tcPr>
          <w:p w14:paraId="785B2781" w14:textId="77777777" w:rsidR="006B7AFC" w:rsidRPr="006B7AFC"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 xml:space="preserve">Theoretical sampling; Constant comparison; Open/axial/selective coding; </w:t>
            </w:r>
            <w:proofErr w:type="spellStart"/>
            <w:r w:rsidRPr="006B7AFC">
              <w:rPr>
                <w:rFonts w:ascii="Calibri" w:eastAsia="Times New Roman" w:hAnsi="Calibri" w:cs="Calibri"/>
                <w:kern w:val="0"/>
                <w:sz w:val="20"/>
                <w:szCs w:val="20"/>
                <w14:ligatures w14:val="none"/>
              </w:rPr>
              <w:t>Memoing</w:t>
            </w:r>
            <w:proofErr w:type="spellEnd"/>
            <w:r w:rsidRPr="006B7AFC">
              <w:rPr>
                <w:rFonts w:ascii="Calibri" w:eastAsia="Times New Roman" w:hAnsi="Calibri" w:cs="Calibri"/>
                <w:kern w:val="0"/>
                <w:sz w:val="20"/>
                <w:szCs w:val="20"/>
                <w14:ligatures w14:val="none"/>
              </w:rPr>
              <w:t>; Theory emergence/construction</w:t>
            </w:r>
          </w:p>
        </w:tc>
        <w:tc>
          <w:tcPr>
            <w:tcW w:w="0" w:type="auto"/>
            <w:vAlign w:val="center"/>
            <w:hideMark/>
          </w:tcPr>
          <w:p w14:paraId="5C078695" w14:textId="77777777" w:rsidR="006B7AFC" w:rsidRPr="006B7AFC"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Interviews; Field observations; Documents; Historical records; Media accounts</w:t>
            </w:r>
          </w:p>
        </w:tc>
        <w:tc>
          <w:tcPr>
            <w:tcW w:w="0" w:type="auto"/>
            <w:vAlign w:val="center"/>
            <w:hideMark/>
          </w:tcPr>
          <w:p w14:paraId="27C2F2BF" w14:textId="250E941F" w:rsidR="006B7AFC" w:rsidRPr="006B7AFC" w:rsidRDefault="006B7AFC" w:rsidP="00642CAA">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Glaser &amp; Strauss (1967)</w:t>
            </w:r>
            <w:r w:rsidR="0003160C">
              <w:rPr>
                <w:rFonts w:ascii="Calibri" w:eastAsia="Times New Roman" w:hAnsi="Calibri" w:cs="Calibri"/>
                <w:kern w:val="0"/>
                <w:sz w:val="20"/>
                <w:szCs w:val="20"/>
                <w14:ligatures w14:val="none"/>
              </w:rPr>
              <w:t xml:space="preserve"> </w:t>
            </w:r>
            <w:r w:rsidR="0003160C" w:rsidRPr="0003160C">
              <w:rPr>
                <w:rFonts w:ascii="Calibri" w:eastAsia="Times New Roman" w:hAnsi="Calibri" w:cs="Calibri"/>
                <w:kern w:val="0"/>
                <w:sz w:val="20"/>
                <w:szCs w:val="20"/>
                <w14:ligatures w14:val="none"/>
              </w:rPr>
              <w:t>Original 'classic' grounded theory - theory must emerge naturally from data without forcing, minimal literature review before data collection.</w:t>
            </w:r>
            <w:r w:rsidRPr="006B7AFC">
              <w:rPr>
                <w:rFonts w:ascii="Calibri" w:eastAsia="Times New Roman" w:hAnsi="Calibri" w:cs="Calibri"/>
                <w:kern w:val="0"/>
                <w:sz w:val="20"/>
                <w:szCs w:val="20"/>
                <w14:ligatures w14:val="none"/>
              </w:rPr>
              <w:t>; Charmaz (2014)</w:t>
            </w:r>
            <w:r w:rsidR="0003160C">
              <w:rPr>
                <w:rFonts w:ascii="Calibri" w:eastAsia="Times New Roman" w:hAnsi="Calibri" w:cs="Calibri"/>
                <w:kern w:val="0"/>
                <w:sz w:val="20"/>
                <w:szCs w:val="20"/>
                <w14:ligatures w14:val="none"/>
              </w:rPr>
              <w:t xml:space="preserve"> </w:t>
            </w:r>
            <w:r w:rsidR="0003160C" w:rsidRPr="0003160C">
              <w:rPr>
                <w:rFonts w:ascii="Calibri" w:eastAsia="Times New Roman" w:hAnsi="Calibri" w:cs="Calibri"/>
                <w:kern w:val="0"/>
                <w:sz w:val="20"/>
                <w:szCs w:val="20"/>
                <w14:ligatures w14:val="none"/>
              </w:rPr>
              <w:t>Constructivist approach - acknowledges theories are co-constructed between researcher and participants, influenced by researcher's perspective</w:t>
            </w:r>
            <w:r w:rsidRPr="006B7AFC">
              <w:rPr>
                <w:rFonts w:ascii="Calibri" w:eastAsia="Times New Roman" w:hAnsi="Calibri" w:cs="Calibri"/>
                <w:kern w:val="0"/>
                <w:sz w:val="20"/>
                <w:szCs w:val="20"/>
                <w14:ligatures w14:val="none"/>
              </w:rPr>
              <w:t xml:space="preserve">; Corbin &amp; Strauss </w:t>
            </w:r>
            <w:r w:rsidRPr="006B7AFC">
              <w:rPr>
                <w:rFonts w:ascii="Calibri" w:eastAsia="Times New Roman" w:hAnsi="Calibri" w:cs="Calibri"/>
                <w:kern w:val="0"/>
                <w:sz w:val="20"/>
                <w:szCs w:val="20"/>
                <w14:ligatures w14:val="none"/>
              </w:rPr>
              <w:lastRenderedPageBreak/>
              <w:t>(2015)</w:t>
            </w:r>
            <w:r w:rsidR="00642CAA">
              <w:rPr>
                <w:rFonts w:ascii="Calibri" w:eastAsia="Times New Roman" w:hAnsi="Calibri" w:cs="Calibri"/>
                <w:kern w:val="0"/>
                <w:sz w:val="20"/>
                <w:szCs w:val="20"/>
                <w14:ligatures w14:val="none"/>
              </w:rPr>
              <w:t xml:space="preserve"> </w:t>
            </w:r>
            <w:r w:rsidR="00642CAA" w:rsidRPr="0003160C">
              <w:rPr>
                <w:rFonts w:ascii="Calibri" w:eastAsia="Times New Roman" w:hAnsi="Calibri" w:cs="Calibri"/>
                <w:kern w:val="0"/>
                <w:sz w:val="20"/>
                <w:szCs w:val="20"/>
                <w14:ligatures w14:val="none"/>
              </w:rPr>
              <w:t>Strauss &amp; Corbin (2015): More prescriptive structured approach with detailed coding procedures, allows early literature review, uses analytical tools and frameworks.</w:t>
            </w:r>
          </w:p>
        </w:tc>
      </w:tr>
      <w:tr w:rsidR="0003160C" w:rsidRPr="006B7AFC" w14:paraId="1C0BF0BF" w14:textId="77777777" w:rsidTr="006B7AFC">
        <w:trPr>
          <w:tblCellSpacing w:w="15" w:type="dxa"/>
        </w:trPr>
        <w:tc>
          <w:tcPr>
            <w:tcW w:w="0" w:type="auto"/>
            <w:vAlign w:val="center"/>
            <w:hideMark/>
          </w:tcPr>
          <w:p w14:paraId="53DF195A" w14:textId="77777777" w:rsidR="006B7AFC" w:rsidRPr="006B7AFC"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lastRenderedPageBreak/>
              <w:t>Ethnography</w:t>
            </w:r>
          </w:p>
        </w:tc>
        <w:tc>
          <w:tcPr>
            <w:tcW w:w="0" w:type="auto"/>
            <w:vAlign w:val="center"/>
            <w:hideMark/>
          </w:tcPr>
          <w:p w14:paraId="30DC8529" w14:textId="4A2F4B62" w:rsidR="006B7AFC" w:rsidRPr="006B7AFC"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 xml:space="preserve">Understanding and describing a culture-sharing group through immersion - can be any group that shares patterns of beliefs, </w:t>
            </w:r>
            <w:proofErr w:type="spellStart"/>
            <w:r w:rsidRPr="006B7AFC">
              <w:rPr>
                <w:rFonts w:ascii="Calibri" w:eastAsia="Times New Roman" w:hAnsi="Calibri" w:cs="Calibri"/>
                <w:kern w:val="0"/>
                <w:sz w:val="20"/>
                <w:szCs w:val="20"/>
                <w14:ligatures w14:val="none"/>
              </w:rPr>
              <w:t>behavior</w:t>
            </w:r>
            <w:r w:rsidR="009914CF">
              <w:rPr>
                <w:rFonts w:ascii="Calibri" w:eastAsia="Times New Roman" w:hAnsi="Calibri" w:cs="Calibri"/>
                <w:kern w:val="0"/>
                <w:sz w:val="20"/>
                <w:szCs w:val="20"/>
                <w14:ligatures w14:val="none"/>
              </w:rPr>
              <w:t>u</w:t>
            </w:r>
            <w:r w:rsidRPr="006B7AFC">
              <w:rPr>
                <w:rFonts w:ascii="Calibri" w:eastAsia="Times New Roman" w:hAnsi="Calibri" w:cs="Calibri"/>
                <w:kern w:val="0"/>
                <w:sz w:val="20"/>
                <w:szCs w:val="20"/>
                <w14:ligatures w14:val="none"/>
              </w:rPr>
              <w:t>s</w:t>
            </w:r>
            <w:proofErr w:type="spellEnd"/>
            <w:r w:rsidRPr="006B7AFC">
              <w:rPr>
                <w:rFonts w:ascii="Calibri" w:eastAsia="Times New Roman" w:hAnsi="Calibri" w:cs="Calibri"/>
                <w:kern w:val="0"/>
                <w:sz w:val="20"/>
                <w:szCs w:val="20"/>
                <w14:ligatures w14:val="none"/>
              </w:rPr>
              <w:t xml:space="preserve"> and language</w:t>
            </w:r>
          </w:p>
        </w:tc>
        <w:tc>
          <w:tcPr>
            <w:tcW w:w="0" w:type="auto"/>
            <w:vAlign w:val="center"/>
            <w:hideMark/>
          </w:tcPr>
          <w:p w14:paraId="16ED4C37" w14:textId="77777777" w:rsidR="006B7AFC" w:rsidRPr="006B7AFC"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Extended fieldwork; Cultural interpretation; Holistic perspective; Emic &amp; etic views; Reflexivity</w:t>
            </w:r>
          </w:p>
        </w:tc>
        <w:tc>
          <w:tcPr>
            <w:tcW w:w="0" w:type="auto"/>
            <w:vAlign w:val="center"/>
            <w:hideMark/>
          </w:tcPr>
          <w:p w14:paraId="2891970C" w14:textId="77777777" w:rsidR="006B7AFC" w:rsidRPr="006B7AFC"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 xml:space="preserve">Participant </w:t>
            </w:r>
            <w:proofErr w:type="gramStart"/>
            <w:r w:rsidRPr="006B7AFC">
              <w:rPr>
                <w:rFonts w:ascii="Calibri" w:eastAsia="Times New Roman" w:hAnsi="Calibri" w:cs="Calibri"/>
                <w:kern w:val="0"/>
                <w:sz w:val="20"/>
                <w:szCs w:val="20"/>
                <w14:ligatures w14:val="none"/>
              </w:rPr>
              <w:t>observation;</w:t>
            </w:r>
            <w:proofErr w:type="gramEnd"/>
            <w:r w:rsidRPr="006B7AFC">
              <w:rPr>
                <w:rFonts w:ascii="Calibri" w:eastAsia="Times New Roman" w:hAnsi="Calibri" w:cs="Calibri"/>
                <w:kern w:val="0"/>
                <w:sz w:val="20"/>
                <w:szCs w:val="20"/>
                <w14:ligatures w14:val="none"/>
              </w:rPr>
              <w:t xml:space="preserve"> Field notes; Informal/formal interviews; Documents/artifacts; Photographs/videos</w:t>
            </w:r>
          </w:p>
        </w:tc>
        <w:tc>
          <w:tcPr>
            <w:tcW w:w="0" w:type="auto"/>
            <w:vAlign w:val="center"/>
            <w:hideMark/>
          </w:tcPr>
          <w:p w14:paraId="745C829F" w14:textId="77777777" w:rsidR="006B7AFC" w:rsidRPr="006B7AFC"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Wolcott (2008); Fetterman (2010); Hammersley &amp; Atkinson (2019)</w:t>
            </w:r>
          </w:p>
        </w:tc>
      </w:tr>
      <w:tr w:rsidR="0003160C" w:rsidRPr="006B7AFC" w14:paraId="122D6840" w14:textId="77777777" w:rsidTr="006B7AFC">
        <w:trPr>
          <w:tblCellSpacing w:w="15" w:type="dxa"/>
        </w:trPr>
        <w:tc>
          <w:tcPr>
            <w:tcW w:w="0" w:type="auto"/>
            <w:vAlign w:val="center"/>
            <w:hideMark/>
          </w:tcPr>
          <w:p w14:paraId="111F80EB" w14:textId="77777777" w:rsidR="006B7AFC" w:rsidRPr="006B7AFC"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Case Study</w:t>
            </w:r>
          </w:p>
        </w:tc>
        <w:tc>
          <w:tcPr>
            <w:tcW w:w="0" w:type="auto"/>
            <w:vAlign w:val="center"/>
            <w:hideMark/>
          </w:tcPr>
          <w:p w14:paraId="00A16D53" w14:textId="77777777" w:rsidR="006B7AFC" w:rsidRPr="006B7AFC"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In-depth study of a bounded system or multiple bounded systems over time. Can be intrinsic, instrumental or collective</w:t>
            </w:r>
          </w:p>
        </w:tc>
        <w:tc>
          <w:tcPr>
            <w:tcW w:w="0" w:type="auto"/>
            <w:vAlign w:val="center"/>
            <w:hideMark/>
          </w:tcPr>
          <w:p w14:paraId="4BEBB43C" w14:textId="77777777" w:rsidR="006B7AFC" w:rsidRPr="006B7AFC"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Bounded system; In-depth description; Multiple data sources; Context importance; Holistic analysis</w:t>
            </w:r>
          </w:p>
        </w:tc>
        <w:tc>
          <w:tcPr>
            <w:tcW w:w="0" w:type="auto"/>
            <w:vAlign w:val="center"/>
            <w:hideMark/>
          </w:tcPr>
          <w:p w14:paraId="2C6E4CA6" w14:textId="77777777" w:rsidR="006B7AFC" w:rsidRPr="006B7AFC"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Interviews; Observations; Documents; Archival records; Physical artifacts</w:t>
            </w:r>
          </w:p>
        </w:tc>
        <w:tc>
          <w:tcPr>
            <w:tcW w:w="0" w:type="auto"/>
            <w:vAlign w:val="center"/>
            <w:hideMark/>
          </w:tcPr>
          <w:p w14:paraId="1E7F3BFF" w14:textId="77777777" w:rsidR="006B7AFC" w:rsidRPr="006B7AFC" w:rsidRDefault="006B7AFC" w:rsidP="006B7AFC">
            <w:pPr>
              <w:spacing w:after="0" w:line="240" w:lineRule="auto"/>
              <w:rPr>
                <w:rFonts w:ascii="Calibri" w:eastAsia="Times New Roman" w:hAnsi="Calibri" w:cs="Calibri"/>
                <w:kern w:val="0"/>
                <w:sz w:val="20"/>
                <w:szCs w:val="20"/>
                <w14:ligatures w14:val="none"/>
              </w:rPr>
            </w:pPr>
            <w:r w:rsidRPr="006B7AFC">
              <w:rPr>
                <w:rFonts w:ascii="Calibri" w:eastAsia="Times New Roman" w:hAnsi="Calibri" w:cs="Calibri"/>
                <w:kern w:val="0"/>
                <w:sz w:val="20"/>
                <w:szCs w:val="20"/>
                <w14:ligatures w14:val="none"/>
              </w:rPr>
              <w:t>Stake (1995); Yin (2018); Merriam (1998)</w:t>
            </w:r>
          </w:p>
        </w:tc>
      </w:tr>
    </w:tbl>
    <w:p w14:paraId="0EAE5076" w14:textId="77777777" w:rsidR="00CB0553" w:rsidRDefault="00CB0553">
      <w:pPr>
        <w:rPr>
          <w:rFonts w:ascii="Calibri" w:hAnsi="Calibri" w:cs="Calibri"/>
          <w:sz w:val="22"/>
          <w:szCs w:val="22"/>
        </w:rPr>
      </w:pPr>
    </w:p>
    <w:p w14:paraId="4E8AE52F" w14:textId="77777777" w:rsidR="009510CE" w:rsidRDefault="009510CE">
      <w:pPr>
        <w:rPr>
          <w:rFonts w:ascii="Calibri" w:hAnsi="Calibri" w:cs="Calibri"/>
          <w:b/>
          <w:bCs/>
          <w:sz w:val="22"/>
          <w:szCs w:val="22"/>
        </w:rPr>
      </w:pPr>
    </w:p>
    <w:p w14:paraId="79B63D44" w14:textId="77777777" w:rsidR="009510CE" w:rsidRDefault="009510CE">
      <w:pPr>
        <w:rPr>
          <w:rFonts w:ascii="Calibri" w:hAnsi="Calibri" w:cs="Calibri"/>
          <w:b/>
          <w:bCs/>
          <w:sz w:val="22"/>
          <w:szCs w:val="22"/>
        </w:rPr>
      </w:pPr>
    </w:p>
    <w:p w14:paraId="0256858C" w14:textId="77777777" w:rsidR="009510CE" w:rsidRDefault="009510CE">
      <w:pPr>
        <w:rPr>
          <w:rFonts w:ascii="Calibri" w:hAnsi="Calibri" w:cs="Calibri"/>
          <w:b/>
          <w:bCs/>
          <w:sz w:val="22"/>
          <w:szCs w:val="22"/>
        </w:rPr>
      </w:pPr>
    </w:p>
    <w:p w14:paraId="65BF89A2" w14:textId="77777777" w:rsidR="009510CE" w:rsidRDefault="009510CE">
      <w:pPr>
        <w:rPr>
          <w:rFonts w:ascii="Calibri" w:hAnsi="Calibri" w:cs="Calibri"/>
          <w:b/>
          <w:bCs/>
          <w:sz w:val="22"/>
          <w:szCs w:val="22"/>
        </w:rPr>
      </w:pPr>
    </w:p>
    <w:p w14:paraId="7EABF4CB" w14:textId="77777777" w:rsidR="009510CE" w:rsidRDefault="009510CE">
      <w:pPr>
        <w:rPr>
          <w:rFonts w:ascii="Calibri" w:hAnsi="Calibri" w:cs="Calibri"/>
          <w:b/>
          <w:bCs/>
          <w:sz w:val="22"/>
          <w:szCs w:val="22"/>
        </w:rPr>
      </w:pPr>
    </w:p>
    <w:p w14:paraId="6152ED66" w14:textId="77777777" w:rsidR="009510CE" w:rsidRDefault="009510CE">
      <w:pPr>
        <w:rPr>
          <w:rFonts w:ascii="Calibri" w:hAnsi="Calibri" w:cs="Calibri"/>
          <w:b/>
          <w:bCs/>
          <w:sz w:val="22"/>
          <w:szCs w:val="22"/>
        </w:rPr>
      </w:pPr>
    </w:p>
    <w:p w14:paraId="1AB60D44" w14:textId="77777777" w:rsidR="009510CE" w:rsidRDefault="009510CE">
      <w:pPr>
        <w:rPr>
          <w:rFonts w:ascii="Calibri" w:hAnsi="Calibri" w:cs="Calibri"/>
          <w:b/>
          <w:bCs/>
          <w:sz w:val="22"/>
          <w:szCs w:val="22"/>
        </w:rPr>
      </w:pPr>
    </w:p>
    <w:p w14:paraId="6F26F874" w14:textId="77777777" w:rsidR="009510CE" w:rsidRDefault="009510CE">
      <w:pPr>
        <w:rPr>
          <w:rFonts w:ascii="Calibri" w:hAnsi="Calibri" w:cs="Calibri"/>
          <w:b/>
          <w:bCs/>
          <w:sz w:val="22"/>
          <w:szCs w:val="22"/>
        </w:rPr>
      </w:pPr>
    </w:p>
    <w:p w14:paraId="08638AAF" w14:textId="77777777" w:rsidR="009510CE" w:rsidRDefault="009510CE">
      <w:pPr>
        <w:rPr>
          <w:rFonts w:ascii="Calibri" w:hAnsi="Calibri" w:cs="Calibri"/>
          <w:b/>
          <w:bCs/>
          <w:sz w:val="22"/>
          <w:szCs w:val="22"/>
        </w:rPr>
      </w:pPr>
    </w:p>
    <w:p w14:paraId="4A83BF36" w14:textId="77777777" w:rsidR="009510CE" w:rsidRDefault="009510CE">
      <w:pPr>
        <w:rPr>
          <w:rFonts w:ascii="Calibri" w:hAnsi="Calibri" w:cs="Calibri"/>
          <w:b/>
          <w:bCs/>
          <w:sz w:val="22"/>
          <w:szCs w:val="22"/>
        </w:rPr>
      </w:pPr>
    </w:p>
    <w:p w14:paraId="536424A4" w14:textId="77777777" w:rsidR="009510CE" w:rsidRDefault="009510CE">
      <w:pPr>
        <w:rPr>
          <w:rFonts w:ascii="Calibri" w:hAnsi="Calibri" w:cs="Calibri"/>
          <w:b/>
          <w:bCs/>
          <w:sz w:val="22"/>
          <w:szCs w:val="22"/>
        </w:rPr>
      </w:pPr>
    </w:p>
    <w:p w14:paraId="4C289FBF" w14:textId="77777777" w:rsidR="009510CE" w:rsidRDefault="009510CE">
      <w:pPr>
        <w:rPr>
          <w:rFonts w:ascii="Calibri" w:hAnsi="Calibri" w:cs="Calibri"/>
          <w:b/>
          <w:bCs/>
          <w:sz w:val="22"/>
          <w:szCs w:val="22"/>
        </w:rPr>
      </w:pPr>
    </w:p>
    <w:p w14:paraId="0CAC0001" w14:textId="77777777" w:rsidR="009510CE" w:rsidRDefault="009510CE">
      <w:pPr>
        <w:rPr>
          <w:rFonts w:ascii="Calibri" w:hAnsi="Calibri" w:cs="Calibri"/>
          <w:b/>
          <w:bCs/>
          <w:sz w:val="22"/>
          <w:szCs w:val="22"/>
        </w:rPr>
      </w:pPr>
    </w:p>
    <w:p w14:paraId="550319C6" w14:textId="4D8544C4" w:rsidR="00736342" w:rsidRPr="005A46BB" w:rsidRDefault="00736342">
      <w:pPr>
        <w:rPr>
          <w:rFonts w:ascii="Calibri" w:hAnsi="Calibri" w:cs="Calibri"/>
          <w:b/>
          <w:bCs/>
          <w:sz w:val="22"/>
          <w:szCs w:val="22"/>
        </w:rPr>
      </w:pPr>
      <w:r w:rsidRPr="005A46BB">
        <w:rPr>
          <w:rFonts w:ascii="Calibri" w:hAnsi="Calibri" w:cs="Calibri"/>
          <w:b/>
          <w:bCs/>
          <w:sz w:val="22"/>
          <w:szCs w:val="22"/>
        </w:rPr>
        <w:t>References</w:t>
      </w:r>
    </w:p>
    <w:p w14:paraId="4BAFB469"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Bansal, P., &amp; Corley, K. (2012). Publishing in AMJ—Part 7: What's different about qualitative research? Academy of Management Journal, 55(3), 509-513.</w:t>
      </w:r>
    </w:p>
    <w:p w14:paraId="2EA90C91" w14:textId="77777777" w:rsidR="005A46BB" w:rsidRPr="005A46BB" w:rsidRDefault="005A46BB" w:rsidP="005A46BB">
      <w:pPr>
        <w:spacing w:after="0" w:line="240" w:lineRule="auto"/>
        <w:rPr>
          <w:rFonts w:ascii="Calibri" w:hAnsi="Calibri" w:cs="Calibri"/>
          <w:sz w:val="22"/>
          <w:szCs w:val="22"/>
        </w:rPr>
      </w:pPr>
    </w:p>
    <w:p w14:paraId="2653EA26"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Boje, D. M. (2001). Narrative methods for organizational &amp; communication research. Sage.</w:t>
      </w:r>
    </w:p>
    <w:p w14:paraId="7C4A749D" w14:textId="77777777" w:rsidR="005A46BB" w:rsidRPr="005A46BB" w:rsidRDefault="005A46BB" w:rsidP="005A46BB">
      <w:pPr>
        <w:spacing w:after="0" w:line="240" w:lineRule="auto"/>
        <w:rPr>
          <w:rFonts w:ascii="Calibri" w:hAnsi="Calibri" w:cs="Calibri"/>
          <w:sz w:val="22"/>
          <w:szCs w:val="22"/>
        </w:rPr>
      </w:pPr>
    </w:p>
    <w:p w14:paraId="4F68AFCF"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 xml:space="preserve">Brown, A. D., &amp; Humphreys, M. (2003). Epic and tragic tales: Making sense of change. Journal of Applied </w:t>
      </w:r>
      <w:proofErr w:type="spellStart"/>
      <w:r w:rsidRPr="005A46BB">
        <w:rPr>
          <w:rFonts w:ascii="Calibri" w:hAnsi="Calibri" w:cs="Calibri"/>
          <w:sz w:val="22"/>
          <w:szCs w:val="22"/>
        </w:rPr>
        <w:t>Behavioral</w:t>
      </w:r>
      <w:proofErr w:type="spellEnd"/>
      <w:r w:rsidRPr="005A46BB">
        <w:rPr>
          <w:rFonts w:ascii="Calibri" w:hAnsi="Calibri" w:cs="Calibri"/>
          <w:sz w:val="22"/>
          <w:szCs w:val="22"/>
        </w:rPr>
        <w:t xml:space="preserve"> Science, 39(2), 121-144.</w:t>
      </w:r>
    </w:p>
    <w:p w14:paraId="7E2D6CF1" w14:textId="77777777" w:rsidR="005A46BB" w:rsidRPr="005A46BB" w:rsidRDefault="005A46BB" w:rsidP="005A46BB">
      <w:pPr>
        <w:spacing w:after="0" w:line="240" w:lineRule="auto"/>
        <w:rPr>
          <w:rFonts w:ascii="Calibri" w:hAnsi="Calibri" w:cs="Calibri"/>
          <w:sz w:val="22"/>
          <w:szCs w:val="22"/>
        </w:rPr>
      </w:pPr>
    </w:p>
    <w:p w14:paraId="2FB9441A" w14:textId="77777777" w:rsidR="005A46BB" w:rsidRPr="005A46BB" w:rsidRDefault="005A46BB" w:rsidP="005A46BB">
      <w:pPr>
        <w:spacing w:after="0" w:line="240" w:lineRule="auto"/>
        <w:rPr>
          <w:rFonts w:ascii="Calibri" w:hAnsi="Calibri" w:cs="Calibri"/>
          <w:sz w:val="22"/>
          <w:szCs w:val="22"/>
        </w:rPr>
      </w:pPr>
      <w:proofErr w:type="spellStart"/>
      <w:r w:rsidRPr="005A46BB">
        <w:rPr>
          <w:rFonts w:ascii="Calibri" w:hAnsi="Calibri" w:cs="Calibri"/>
          <w:sz w:val="22"/>
          <w:szCs w:val="22"/>
        </w:rPr>
        <w:t>Burgelman</w:t>
      </w:r>
      <w:proofErr w:type="spellEnd"/>
      <w:r w:rsidRPr="005A46BB">
        <w:rPr>
          <w:rFonts w:ascii="Calibri" w:hAnsi="Calibri" w:cs="Calibri"/>
          <w:sz w:val="22"/>
          <w:szCs w:val="22"/>
        </w:rPr>
        <w:t>, R. A. (1994). Fading memories: A process theory of strategic business exit in dynamic environments. Administrative Science Quarterly, 39(1), 24-56.</w:t>
      </w:r>
    </w:p>
    <w:p w14:paraId="7176584F" w14:textId="77777777" w:rsidR="005A46BB" w:rsidRPr="005A46BB" w:rsidRDefault="005A46BB" w:rsidP="005A46BB">
      <w:pPr>
        <w:spacing w:after="0" w:line="240" w:lineRule="auto"/>
        <w:rPr>
          <w:rFonts w:ascii="Calibri" w:hAnsi="Calibri" w:cs="Calibri"/>
          <w:sz w:val="22"/>
          <w:szCs w:val="22"/>
        </w:rPr>
      </w:pPr>
    </w:p>
    <w:p w14:paraId="6426B7BF"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Corley, K. G., &amp; Gioia, D. A. (2004). Identity ambiguity and change in the wake of a corporate spin-off. Administrative Science Quarterly, 49(2), 173-208.</w:t>
      </w:r>
    </w:p>
    <w:p w14:paraId="3C640DB4" w14:textId="77777777" w:rsidR="005A46BB" w:rsidRPr="005A46BB" w:rsidRDefault="005A46BB" w:rsidP="005A46BB">
      <w:pPr>
        <w:spacing w:after="0" w:line="240" w:lineRule="auto"/>
        <w:rPr>
          <w:rFonts w:ascii="Calibri" w:hAnsi="Calibri" w:cs="Calibri"/>
          <w:sz w:val="22"/>
          <w:szCs w:val="22"/>
        </w:rPr>
      </w:pPr>
    </w:p>
    <w:p w14:paraId="656E7AC5"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 xml:space="preserve">Creswell, J. W., &amp; </w:t>
      </w:r>
      <w:proofErr w:type="spellStart"/>
      <w:r w:rsidRPr="005A46BB">
        <w:rPr>
          <w:rFonts w:ascii="Calibri" w:hAnsi="Calibri" w:cs="Calibri"/>
          <w:sz w:val="22"/>
          <w:szCs w:val="22"/>
        </w:rPr>
        <w:t>Poth</w:t>
      </w:r>
      <w:proofErr w:type="spellEnd"/>
      <w:r w:rsidRPr="005A46BB">
        <w:rPr>
          <w:rFonts w:ascii="Calibri" w:hAnsi="Calibri" w:cs="Calibri"/>
          <w:sz w:val="22"/>
          <w:szCs w:val="22"/>
        </w:rPr>
        <w:t>, C. N. (2018). Qualitative inquiry and research design: Choosing among five approaches (4th ed.). Sage.</w:t>
      </w:r>
    </w:p>
    <w:p w14:paraId="5A68C33D" w14:textId="77777777" w:rsidR="005A46BB" w:rsidRPr="005A46BB" w:rsidRDefault="005A46BB" w:rsidP="005A46BB">
      <w:pPr>
        <w:spacing w:after="0" w:line="240" w:lineRule="auto"/>
        <w:rPr>
          <w:rFonts w:ascii="Calibri" w:hAnsi="Calibri" w:cs="Calibri"/>
          <w:sz w:val="22"/>
          <w:szCs w:val="22"/>
        </w:rPr>
      </w:pPr>
    </w:p>
    <w:p w14:paraId="0016D5AE"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Crossan, M. M., Lane, H. W., &amp; White, R. E. (1999). An organizational learning framework: From intuition to institution. Academy of Management Review, 24(3), 522-537.</w:t>
      </w:r>
    </w:p>
    <w:p w14:paraId="07101183" w14:textId="77777777" w:rsidR="005A46BB" w:rsidRPr="005A46BB" w:rsidRDefault="005A46BB" w:rsidP="005A46BB">
      <w:pPr>
        <w:spacing w:after="0" w:line="240" w:lineRule="auto"/>
        <w:rPr>
          <w:rFonts w:ascii="Calibri" w:hAnsi="Calibri" w:cs="Calibri"/>
          <w:sz w:val="22"/>
          <w:szCs w:val="22"/>
        </w:rPr>
      </w:pPr>
    </w:p>
    <w:p w14:paraId="0E7C82E5"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Denis, J. L., Lamothe, L., &amp; Langley, A. (2001). The dynamics of collective leadership and strategic change in pluralistic organizations. Academy of Management Journal, 44(4), 809-837.</w:t>
      </w:r>
    </w:p>
    <w:p w14:paraId="59B64414" w14:textId="77777777" w:rsidR="005A46BB" w:rsidRPr="005A46BB" w:rsidRDefault="005A46BB" w:rsidP="005A46BB">
      <w:pPr>
        <w:spacing w:after="0" w:line="240" w:lineRule="auto"/>
        <w:rPr>
          <w:rFonts w:ascii="Calibri" w:hAnsi="Calibri" w:cs="Calibri"/>
          <w:sz w:val="22"/>
          <w:szCs w:val="22"/>
        </w:rPr>
      </w:pPr>
    </w:p>
    <w:p w14:paraId="405EA673"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Dougherty, D. (1992). Interpretive barriers to successful product innovation in large firms. Organization Science, 3(2), 179-202.</w:t>
      </w:r>
    </w:p>
    <w:p w14:paraId="0A2462B9" w14:textId="77777777" w:rsidR="005A46BB" w:rsidRPr="005A46BB" w:rsidRDefault="005A46BB" w:rsidP="005A46BB">
      <w:pPr>
        <w:spacing w:after="0" w:line="240" w:lineRule="auto"/>
        <w:rPr>
          <w:rFonts w:ascii="Calibri" w:hAnsi="Calibri" w:cs="Calibri"/>
          <w:sz w:val="22"/>
          <w:szCs w:val="22"/>
        </w:rPr>
      </w:pPr>
    </w:p>
    <w:p w14:paraId="30EBF7A0"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Edmondson, A. C. (2011). Strategies for learning from failure. Harvard Business Review, 89(4), 48-55.</w:t>
      </w:r>
    </w:p>
    <w:p w14:paraId="6787733D" w14:textId="77777777" w:rsidR="005A46BB" w:rsidRPr="005A46BB" w:rsidRDefault="005A46BB" w:rsidP="005A46BB">
      <w:pPr>
        <w:spacing w:after="0" w:line="240" w:lineRule="auto"/>
        <w:rPr>
          <w:rFonts w:ascii="Calibri" w:hAnsi="Calibri" w:cs="Calibri"/>
          <w:sz w:val="22"/>
          <w:szCs w:val="22"/>
        </w:rPr>
      </w:pPr>
    </w:p>
    <w:p w14:paraId="525CDB41"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Gabriel, Y., &amp; Griffiths, D. S. (2004). Stories in organizational research. In C. Cassell &amp; G. Symon (Eds.), Essential guide to qualitative methods in organizational research (pp. 114-126). Sage.</w:t>
      </w:r>
    </w:p>
    <w:p w14:paraId="4F541C43" w14:textId="77777777" w:rsidR="005A46BB" w:rsidRPr="005A46BB" w:rsidRDefault="005A46BB" w:rsidP="005A46BB">
      <w:pPr>
        <w:spacing w:after="0" w:line="240" w:lineRule="auto"/>
        <w:rPr>
          <w:rFonts w:ascii="Calibri" w:hAnsi="Calibri" w:cs="Calibri"/>
          <w:sz w:val="22"/>
          <w:szCs w:val="22"/>
        </w:rPr>
      </w:pPr>
    </w:p>
    <w:p w14:paraId="68CD1366"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 xml:space="preserve">Garcia, A. C., Standlee, A. I., </w:t>
      </w:r>
      <w:proofErr w:type="spellStart"/>
      <w:r w:rsidRPr="005A46BB">
        <w:rPr>
          <w:rFonts w:ascii="Calibri" w:hAnsi="Calibri" w:cs="Calibri"/>
          <w:sz w:val="22"/>
          <w:szCs w:val="22"/>
        </w:rPr>
        <w:t>Bechkoff</w:t>
      </w:r>
      <w:proofErr w:type="spellEnd"/>
      <w:r w:rsidRPr="005A46BB">
        <w:rPr>
          <w:rFonts w:ascii="Calibri" w:hAnsi="Calibri" w:cs="Calibri"/>
          <w:sz w:val="22"/>
          <w:szCs w:val="22"/>
        </w:rPr>
        <w:t>, J., &amp; Cui, Y. (2009). Ethnographic approaches to the internet and computer-mediated communication. Journal of Contemporary Ethnography, 38(1), 52-84.</w:t>
      </w:r>
    </w:p>
    <w:p w14:paraId="1E6E20D3" w14:textId="77777777" w:rsidR="005A46BB" w:rsidRPr="005A46BB" w:rsidRDefault="005A46BB" w:rsidP="005A46BB">
      <w:pPr>
        <w:spacing w:after="0" w:line="240" w:lineRule="auto"/>
        <w:rPr>
          <w:rFonts w:ascii="Calibri" w:hAnsi="Calibri" w:cs="Calibri"/>
          <w:sz w:val="22"/>
          <w:szCs w:val="22"/>
        </w:rPr>
      </w:pPr>
    </w:p>
    <w:p w14:paraId="01EE004B"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Garud, R., &amp; Munir, K. (2008). From transaction to transformation costs: The case of Polaroid's SX-70 camera. Research Policy, 37(4), 690-705.</w:t>
      </w:r>
    </w:p>
    <w:p w14:paraId="228DF538" w14:textId="77777777" w:rsidR="005A46BB" w:rsidRPr="005A46BB" w:rsidRDefault="005A46BB" w:rsidP="005A46BB">
      <w:pPr>
        <w:spacing w:after="0" w:line="240" w:lineRule="auto"/>
        <w:rPr>
          <w:rFonts w:ascii="Calibri" w:hAnsi="Calibri" w:cs="Calibri"/>
          <w:sz w:val="22"/>
          <w:szCs w:val="22"/>
        </w:rPr>
      </w:pPr>
    </w:p>
    <w:p w14:paraId="3B05331F"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Gill, M. J. (2014). The possibilities of phenomenology for organizational research. Organizational Research Methods, 17(2), 118-137.</w:t>
      </w:r>
    </w:p>
    <w:p w14:paraId="51870B92" w14:textId="77777777" w:rsidR="005A46BB" w:rsidRPr="005A46BB" w:rsidRDefault="005A46BB" w:rsidP="005A46BB">
      <w:pPr>
        <w:spacing w:after="0" w:line="240" w:lineRule="auto"/>
        <w:rPr>
          <w:rFonts w:ascii="Calibri" w:hAnsi="Calibri" w:cs="Calibri"/>
          <w:sz w:val="22"/>
          <w:szCs w:val="22"/>
        </w:rPr>
      </w:pPr>
    </w:p>
    <w:p w14:paraId="44D3BBAD"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Gill, M. J. (2015). Elite identity and status anxiety: An interpretative phenomenological analysis of management consultants. Organization, 22(3), 306-325.</w:t>
      </w:r>
    </w:p>
    <w:p w14:paraId="09D3BB4F" w14:textId="77777777" w:rsidR="005A46BB" w:rsidRPr="005A46BB" w:rsidRDefault="005A46BB" w:rsidP="005A46BB">
      <w:pPr>
        <w:spacing w:after="0" w:line="240" w:lineRule="auto"/>
        <w:rPr>
          <w:rFonts w:ascii="Calibri" w:hAnsi="Calibri" w:cs="Calibri"/>
          <w:sz w:val="22"/>
          <w:szCs w:val="22"/>
        </w:rPr>
      </w:pPr>
    </w:p>
    <w:p w14:paraId="1AC588EA"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Gioia, D. A., Corley, K. G., &amp; Hamilton, A. L. (2013). Seeking qualitative rigor in inductive research: Notes on the Gioia methodology. Organizational Research Methods, 16(1), 15-31.</w:t>
      </w:r>
    </w:p>
    <w:p w14:paraId="272229DD" w14:textId="77777777" w:rsidR="005A46BB" w:rsidRPr="005A46BB" w:rsidRDefault="005A46BB" w:rsidP="005A46BB">
      <w:pPr>
        <w:spacing w:after="0" w:line="240" w:lineRule="auto"/>
        <w:rPr>
          <w:rFonts w:ascii="Calibri" w:hAnsi="Calibri" w:cs="Calibri"/>
          <w:sz w:val="22"/>
          <w:szCs w:val="22"/>
        </w:rPr>
      </w:pPr>
    </w:p>
    <w:p w14:paraId="64ACC73E"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Hine, C. (2000). Virtual ethnography. Sage.</w:t>
      </w:r>
    </w:p>
    <w:p w14:paraId="53648C0F" w14:textId="77777777" w:rsidR="005A46BB" w:rsidRPr="005A46BB" w:rsidRDefault="005A46BB" w:rsidP="005A46BB">
      <w:pPr>
        <w:spacing w:after="0" w:line="240" w:lineRule="auto"/>
        <w:rPr>
          <w:rFonts w:ascii="Calibri" w:hAnsi="Calibri" w:cs="Calibri"/>
          <w:sz w:val="22"/>
          <w:szCs w:val="22"/>
        </w:rPr>
      </w:pPr>
    </w:p>
    <w:p w14:paraId="535E02ED"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lastRenderedPageBreak/>
        <w:t>Humphreys, M., &amp; Brown, A. D. (2002). Narratives of organizational identity and identification: A case study of hegemony and resistance. Organization Studies, 23(3), 421-447.</w:t>
      </w:r>
    </w:p>
    <w:p w14:paraId="58A31204" w14:textId="77777777" w:rsidR="005A46BB" w:rsidRPr="005A46BB" w:rsidRDefault="005A46BB" w:rsidP="005A46BB">
      <w:pPr>
        <w:spacing w:after="0" w:line="240" w:lineRule="auto"/>
        <w:rPr>
          <w:rFonts w:ascii="Calibri" w:hAnsi="Calibri" w:cs="Calibri"/>
          <w:sz w:val="22"/>
          <w:szCs w:val="22"/>
        </w:rPr>
      </w:pPr>
    </w:p>
    <w:p w14:paraId="02F70E15" w14:textId="77777777" w:rsidR="005A46BB" w:rsidRPr="005A46BB" w:rsidRDefault="005A46BB" w:rsidP="005A46BB">
      <w:pPr>
        <w:spacing w:after="0" w:line="240" w:lineRule="auto"/>
        <w:rPr>
          <w:rFonts w:ascii="Calibri" w:hAnsi="Calibri" w:cs="Calibri"/>
          <w:sz w:val="22"/>
          <w:szCs w:val="22"/>
        </w:rPr>
      </w:pPr>
      <w:proofErr w:type="spellStart"/>
      <w:r w:rsidRPr="005A46BB">
        <w:rPr>
          <w:rFonts w:ascii="Calibri" w:hAnsi="Calibri" w:cs="Calibri"/>
          <w:sz w:val="22"/>
          <w:szCs w:val="22"/>
        </w:rPr>
        <w:t>Kozinets</w:t>
      </w:r>
      <w:proofErr w:type="spellEnd"/>
      <w:r w:rsidRPr="005A46BB">
        <w:rPr>
          <w:rFonts w:ascii="Calibri" w:hAnsi="Calibri" w:cs="Calibri"/>
          <w:sz w:val="22"/>
          <w:szCs w:val="22"/>
        </w:rPr>
        <w:t xml:space="preserve">, R. V. (2010). </w:t>
      </w:r>
      <w:proofErr w:type="spellStart"/>
      <w:r w:rsidRPr="005A46BB">
        <w:rPr>
          <w:rFonts w:ascii="Calibri" w:hAnsi="Calibri" w:cs="Calibri"/>
          <w:sz w:val="22"/>
          <w:szCs w:val="22"/>
        </w:rPr>
        <w:t>Netnography</w:t>
      </w:r>
      <w:proofErr w:type="spellEnd"/>
      <w:r w:rsidRPr="005A46BB">
        <w:rPr>
          <w:rFonts w:ascii="Calibri" w:hAnsi="Calibri" w:cs="Calibri"/>
          <w:sz w:val="22"/>
          <w:szCs w:val="22"/>
        </w:rPr>
        <w:t>: Doing ethnographic research online. Sage.</w:t>
      </w:r>
    </w:p>
    <w:p w14:paraId="5AE3DAF3" w14:textId="77777777" w:rsidR="005A46BB" w:rsidRPr="005A46BB" w:rsidRDefault="005A46BB" w:rsidP="005A46BB">
      <w:pPr>
        <w:spacing w:after="0" w:line="240" w:lineRule="auto"/>
        <w:rPr>
          <w:rFonts w:ascii="Calibri" w:hAnsi="Calibri" w:cs="Calibri"/>
          <w:sz w:val="22"/>
          <w:szCs w:val="22"/>
        </w:rPr>
      </w:pPr>
    </w:p>
    <w:p w14:paraId="72537345"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Kunda, G. (2006). Engineering culture: Control and commitment in a high-tech corporation (Rev. ed.). Temple University Press.</w:t>
      </w:r>
    </w:p>
    <w:p w14:paraId="067A0A7E" w14:textId="77777777" w:rsidR="005A46BB" w:rsidRPr="005A46BB" w:rsidRDefault="005A46BB" w:rsidP="005A46BB">
      <w:pPr>
        <w:spacing w:after="0" w:line="240" w:lineRule="auto"/>
        <w:rPr>
          <w:rFonts w:ascii="Calibri" w:hAnsi="Calibri" w:cs="Calibri"/>
          <w:sz w:val="22"/>
          <w:szCs w:val="22"/>
        </w:rPr>
      </w:pPr>
    </w:p>
    <w:p w14:paraId="12F130F5" w14:textId="77777777" w:rsidR="005A46BB" w:rsidRPr="005A46BB" w:rsidRDefault="005A46BB" w:rsidP="005A46BB">
      <w:pPr>
        <w:spacing w:after="0" w:line="240" w:lineRule="auto"/>
        <w:rPr>
          <w:rFonts w:ascii="Calibri" w:hAnsi="Calibri" w:cs="Calibri"/>
          <w:sz w:val="22"/>
          <w:szCs w:val="22"/>
        </w:rPr>
      </w:pPr>
      <w:proofErr w:type="spellStart"/>
      <w:r w:rsidRPr="005A46BB">
        <w:rPr>
          <w:rFonts w:ascii="Calibri" w:hAnsi="Calibri" w:cs="Calibri"/>
          <w:sz w:val="22"/>
          <w:szCs w:val="22"/>
        </w:rPr>
        <w:t>Ladkin</w:t>
      </w:r>
      <w:proofErr w:type="spellEnd"/>
      <w:r w:rsidRPr="005A46BB">
        <w:rPr>
          <w:rFonts w:ascii="Calibri" w:hAnsi="Calibri" w:cs="Calibri"/>
          <w:sz w:val="22"/>
          <w:szCs w:val="22"/>
        </w:rPr>
        <w:t>, D. (2010). Rethinking leadership: A new look at old leadership questions. Edward Elgar.</w:t>
      </w:r>
    </w:p>
    <w:p w14:paraId="49EFEEC9" w14:textId="77777777" w:rsidR="005A46BB" w:rsidRPr="005A46BB" w:rsidRDefault="005A46BB" w:rsidP="005A46BB">
      <w:pPr>
        <w:spacing w:after="0" w:line="240" w:lineRule="auto"/>
        <w:rPr>
          <w:rFonts w:ascii="Calibri" w:hAnsi="Calibri" w:cs="Calibri"/>
          <w:sz w:val="22"/>
          <w:szCs w:val="22"/>
        </w:rPr>
      </w:pPr>
    </w:p>
    <w:p w14:paraId="14A86F50"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Langley, A. (1999). Strategies for theorizing from process data. Academy of Management Review, 24(4), 691-710.</w:t>
      </w:r>
    </w:p>
    <w:p w14:paraId="1CC2FED2" w14:textId="77777777" w:rsidR="005A46BB" w:rsidRPr="005A46BB" w:rsidRDefault="005A46BB" w:rsidP="005A46BB">
      <w:pPr>
        <w:spacing w:after="0" w:line="240" w:lineRule="auto"/>
        <w:rPr>
          <w:rFonts w:ascii="Calibri" w:hAnsi="Calibri" w:cs="Calibri"/>
          <w:sz w:val="22"/>
          <w:szCs w:val="22"/>
        </w:rPr>
      </w:pPr>
    </w:p>
    <w:p w14:paraId="7FB67EF3"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Maclean, M., Harvey, C., &amp; Chia, R. (2012). Sensemaking, storytelling and the legitimization of elite business careers. Human Relations, 65(1), 17-40.</w:t>
      </w:r>
    </w:p>
    <w:p w14:paraId="1731271E" w14:textId="77777777" w:rsidR="005A46BB" w:rsidRPr="005A46BB" w:rsidRDefault="005A46BB" w:rsidP="005A46BB">
      <w:pPr>
        <w:spacing w:after="0" w:line="240" w:lineRule="auto"/>
        <w:rPr>
          <w:rFonts w:ascii="Calibri" w:hAnsi="Calibri" w:cs="Calibri"/>
          <w:sz w:val="22"/>
          <w:szCs w:val="22"/>
        </w:rPr>
      </w:pPr>
    </w:p>
    <w:p w14:paraId="53B660AC"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 xml:space="preserve">Maitlis, S., &amp; Lawrence, T. B. (2007). Triggers and enablers of </w:t>
      </w:r>
      <w:proofErr w:type="spellStart"/>
      <w:r w:rsidRPr="005A46BB">
        <w:rPr>
          <w:rFonts w:ascii="Calibri" w:hAnsi="Calibri" w:cs="Calibri"/>
          <w:sz w:val="22"/>
          <w:szCs w:val="22"/>
        </w:rPr>
        <w:t>sensegiving</w:t>
      </w:r>
      <w:proofErr w:type="spellEnd"/>
      <w:r w:rsidRPr="005A46BB">
        <w:rPr>
          <w:rFonts w:ascii="Calibri" w:hAnsi="Calibri" w:cs="Calibri"/>
          <w:sz w:val="22"/>
          <w:szCs w:val="22"/>
        </w:rPr>
        <w:t xml:space="preserve"> in organizations. Academy of Management Journal, 50(1), 57-84.</w:t>
      </w:r>
    </w:p>
    <w:p w14:paraId="16A777DC" w14:textId="77777777" w:rsidR="005A46BB" w:rsidRPr="005A46BB" w:rsidRDefault="005A46BB" w:rsidP="005A46BB">
      <w:pPr>
        <w:spacing w:after="0" w:line="240" w:lineRule="auto"/>
        <w:rPr>
          <w:rFonts w:ascii="Calibri" w:hAnsi="Calibri" w:cs="Calibri"/>
          <w:sz w:val="22"/>
          <w:szCs w:val="22"/>
        </w:rPr>
      </w:pPr>
    </w:p>
    <w:p w14:paraId="31ADF070"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Nicolini, D. (2011). Practice as the site of knowing: Insights from the field of telemedicine. Organization Science, 22(3), 602-620.</w:t>
      </w:r>
    </w:p>
    <w:p w14:paraId="78EDD765" w14:textId="77777777" w:rsidR="005A46BB" w:rsidRPr="005A46BB" w:rsidRDefault="005A46BB" w:rsidP="005A46BB">
      <w:pPr>
        <w:spacing w:after="0" w:line="240" w:lineRule="auto"/>
        <w:rPr>
          <w:rFonts w:ascii="Calibri" w:hAnsi="Calibri" w:cs="Calibri"/>
          <w:sz w:val="22"/>
          <w:szCs w:val="22"/>
        </w:rPr>
      </w:pPr>
    </w:p>
    <w:p w14:paraId="576D2E4F"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Orlikowski, W. J. (2002). Knowing in practice: Enacting a collective capability in distributed organizing. Organization Science, 13(3), 249-273.</w:t>
      </w:r>
    </w:p>
    <w:p w14:paraId="129666D7" w14:textId="77777777" w:rsidR="005A46BB" w:rsidRPr="005A46BB" w:rsidRDefault="005A46BB" w:rsidP="005A46BB">
      <w:pPr>
        <w:spacing w:after="0" w:line="240" w:lineRule="auto"/>
        <w:rPr>
          <w:rFonts w:ascii="Calibri" w:hAnsi="Calibri" w:cs="Calibri"/>
          <w:sz w:val="22"/>
          <w:szCs w:val="22"/>
        </w:rPr>
      </w:pPr>
    </w:p>
    <w:p w14:paraId="2EF40D4A"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Orr, J. E. (1996). Talking about machines: An ethnography of a modern job. Cornell University Press.</w:t>
      </w:r>
    </w:p>
    <w:p w14:paraId="63AE98C9" w14:textId="77777777" w:rsidR="005A46BB" w:rsidRPr="005A46BB" w:rsidRDefault="005A46BB" w:rsidP="005A46BB">
      <w:pPr>
        <w:spacing w:after="0" w:line="240" w:lineRule="auto"/>
        <w:rPr>
          <w:rFonts w:ascii="Calibri" w:hAnsi="Calibri" w:cs="Calibri"/>
          <w:sz w:val="22"/>
          <w:szCs w:val="22"/>
        </w:rPr>
      </w:pPr>
    </w:p>
    <w:p w14:paraId="3C284D1B" w14:textId="77777777" w:rsidR="005A46BB" w:rsidRPr="005A46BB" w:rsidRDefault="005A46BB" w:rsidP="005A46BB">
      <w:pPr>
        <w:spacing w:after="0" w:line="240" w:lineRule="auto"/>
        <w:rPr>
          <w:rFonts w:ascii="Calibri" w:hAnsi="Calibri" w:cs="Calibri"/>
          <w:sz w:val="22"/>
          <w:szCs w:val="22"/>
        </w:rPr>
      </w:pPr>
      <w:proofErr w:type="spellStart"/>
      <w:r w:rsidRPr="005A46BB">
        <w:rPr>
          <w:rFonts w:ascii="Calibri" w:hAnsi="Calibri" w:cs="Calibri"/>
          <w:sz w:val="22"/>
          <w:szCs w:val="22"/>
        </w:rPr>
        <w:t>Patriotta</w:t>
      </w:r>
      <w:proofErr w:type="spellEnd"/>
      <w:r w:rsidRPr="005A46BB">
        <w:rPr>
          <w:rFonts w:ascii="Calibri" w:hAnsi="Calibri" w:cs="Calibri"/>
          <w:sz w:val="22"/>
          <w:szCs w:val="22"/>
        </w:rPr>
        <w:t>, G. (2003). Organizational knowledge in the making: How firms create, use, and institutionalize knowledge. Oxford University Press.</w:t>
      </w:r>
    </w:p>
    <w:p w14:paraId="7122E8D6" w14:textId="77777777" w:rsidR="005A46BB" w:rsidRPr="005A46BB" w:rsidRDefault="005A46BB" w:rsidP="005A46BB">
      <w:pPr>
        <w:spacing w:after="0" w:line="240" w:lineRule="auto"/>
        <w:rPr>
          <w:rFonts w:ascii="Calibri" w:hAnsi="Calibri" w:cs="Calibri"/>
          <w:sz w:val="22"/>
          <w:szCs w:val="22"/>
        </w:rPr>
      </w:pPr>
    </w:p>
    <w:p w14:paraId="634B4663"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Pettigrew, A. M. (1985). The awakening giant: Continuity and change in Imperial Chemical Industries. Blackwell.</w:t>
      </w:r>
    </w:p>
    <w:p w14:paraId="59D82C7D" w14:textId="77777777" w:rsidR="005A46BB" w:rsidRPr="005A46BB" w:rsidRDefault="005A46BB" w:rsidP="005A46BB">
      <w:pPr>
        <w:spacing w:after="0" w:line="240" w:lineRule="auto"/>
        <w:rPr>
          <w:rFonts w:ascii="Calibri" w:hAnsi="Calibri" w:cs="Calibri"/>
          <w:sz w:val="22"/>
          <w:szCs w:val="22"/>
        </w:rPr>
      </w:pPr>
    </w:p>
    <w:p w14:paraId="552FA029"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Reissner, S. C. (2011). Patterns of stories of organisational change. Journal of Organizational Change Management, 24(5), 593-609.</w:t>
      </w:r>
    </w:p>
    <w:p w14:paraId="1F201C30" w14:textId="77777777" w:rsidR="005A46BB" w:rsidRPr="005A46BB" w:rsidRDefault="005A46BB" w:rsidP="005A46BB">
      <w:pPr>
        <w:spacing w:after="0" w:line="240" w:lineRule="auto"/>
        <w:rPr>
          <w:rFonts w:ascii="Calibri" w:hAnsi="Calibri" w:cs="Calibri"/>
          <w:sz w:val="22"/>
          <w:szCs w:val="22"/>
        </w:rPr>
      </w:pPr>
    </w:p>
    <w:p w14:paraId="2DE6285E"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Rhodes, C., &amp; Brown, A. D. (2005). Narrative, organizations and research. International Journal of Management Reviews, 7(3), 167-188.</w:t>
      </w:r>
    </w:p>
    <w:p w14:paraId="71A76A33" w14:textId="77777777" w:rsidR="005A46BB" w:rsidRPr="005A46BB" w:rsidRDefault="005A46BB" w:rsidP="005A46BB">
      <w:pPr>
        <w:spacing w:after="0" w:line="240" w:lineRule="auto"/>
        <w:rPr>
          <w:rFonts w:ascii="Calibri" w:hAnsi="Calibri" w:cs="Calibri"/>
          <w:sz w:val="22"/>
          <w:szCs w:val="22"/>
        </w:rPr>
      </w:pPr>
    </w:p>
    <w:p w14:paraId="3EA20E61"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Slay, H. S., &amp; Smith, D. A. (2011). Professional identity construction: Using narrative to understand the negotiation of professional and stigmatized cultural identities. Human Relations, 64(1), 85-107.</w:t>
      </w:r>
    </w:p>
    <w:p w14:paraId="6A0E6FC9" w14:textId="77777777" w:rsidR="005A46BB" w:rsidRPr="005A46BB" w:rsidRDefault="005A46BB" w:rsidP="005A46BB">
      <w:pPr>
        <w:spacing w:after="0" w:line="240" w:lineRule="auto"/>
        <w:rPr>
          <w:rFonts w:ascii="Calibri" w:hAnsi="Calibri" w:cs="Calibri"/>
          <w:sz w:val="22"/>
          <w:szCs w:val="22"/>
        </w:rPr>
      </w:pPr>
    </w:p>
    <w:p w14:paraId="46E355F9" w14:textId="77777777" w:rsidR="005A46BB" w:rsidRPr="005A46BB" w:rsidRDefault="005A46BB" w:rsidP="005A46BB">
      <w:pPr>
        <w:spacing w:after="0" w:line="240" w:lineRule="auto"/>
        <w:rPr>
          <w:rFonts w:ascii="Calibri" w:hAnsi="Calibri" w:cs="Calibri"/>
          <w:sz w:val="22"/>
          <w:szCs w:val="22"/>
        </w:rPr>
      </w:pPr>
      <w:r w:rsidRPr="005A46BB">
        <w:rPr>
          <w:rFonts w:ascii="Calibri" w:hAnsi="Calibri" w:cs="Calibri"/>
          <w:sz w:val="22"/>
          <w:szCs w:val="22"/>
        </w:rPr>
        <w:t>Tracy, S. J. (2010). Qualitative quality: Eight "</w:t>
      </w:r>
      <w:proofErr w:type="gramStart"/>
      <w:r w:rsidRPr="005A46BB">
        <w:rPr>
          <w:rFonts w:ascii="Calibri" w:hAnsi="Calibri" w:cs="Calibri"/>
          <w:sz w:val="22"/>
          <w:szCs w:val="22"/>
        </w:rPr>
        <w:t>big-tent</w:t>
      </w:r>
      <w:proofErr w:type="gramEnd"/>
      <w:r w:rsidRPr="005A46BB">
        <w:rPr>
          <w:rFonts w:ascii="Calibri" w:hAnsi="Calibri" w:cs="Calibri"/>
          <w:sz w:val="22"/>
          <w:szCs w:val="22"/>
        </w:rPr>
        <w:t>" criteria for excellent qualitative research. Qualitative Inquiry, 16(10), 837-851.</w:t>
      </w:r>
    </w:p>
    <w:p w14:paraId="1A661723" w14:textId="77777777" w:rsidR="005A46BB" w:rsidRPr="005A46BB" w:rsidRDefault="005A46BB" w:rsidP="005A46BB">
      <w:pPr>
        <w:spacing w:after="0" w:line="240" w:lineRule="auto"/>
        <w:rPr>
          <w:rFonts w:ascii="Calibri" w:hAnsi="Calibri" w:cs="Calibri"/>
          <w:sz w:val="22"/>
          <w:szCs w:val="22"/>
        </w:rPr>
      </w:pPr>
    </w:p>
    <w:p w14:paraId="65502B29" w14:textId="59925FD9" w:rsidR="00736342" w:rsidRDefault="005A46BB" w:rsidP="005A46BB">
      <w:pPr>
        <w:spacing w:after="0" w:line="240" w:lineRule="auto"/>
        <w:rPr>
          <w:rFonts w:ascii="Calibri" w:hAnsi="Calibri" w:cs="Calibri"/>
          <w:sz w:val="22"/>
          <w:szCs w:val="22"/>
        </w:rPr>
      </w:pPr>
      <w:r w:rsidRPr="005A46BB">
        <w:rPr>
          <w:rFonts w:ascii="Calibri" w:hAnsi="Calibri" w:cs="Calibri"/>
          <w:sz w:val="22"/>
          <w:szCs w:val="22"/>
        </w:rPr>
        <w:t>Watson, T. J. (2011). Ethnography, reality, and truth: The vital need for studies of 'how things work' in organizations and management. Journal of Management Studies, 48(1), 202-217.</w:t>
      </w:r>
    </w:p>
    <w:p w14:paraId="1BDAF30B" w14:textId="77777777" w:rsidR="00EB5E68" w:rsidRDefault="00EB5E68" w:rsidP="005A46BB">
      <w:pPr>
        <w:spacing w:after="0" w:line="240" w:lineRule="auto"/>
        <w:rPr>
          <w:rFonts w:ascii="Calibri" w:hAnsi="Calibri" w:cs="Calibri"/>
          <w:sz w:val="22"/>
          <w:szCs w:val="22"/>
        </w:rPr>
      </w:pPr>
    </w:p>
    <w:p w14:paraId="7790A4D9" w14:textId="77777777" w:rsidR="00EB5E68" w:rsidRDefault="00EB5E68" w:rsidP="005A46BB">
      <w:pPr>
        <w:spacing w:after="0" w:line="240" w:lineRule="auto"/>
        <w:rPr>
          <w:rFonts w:ascii="Calibri" w:hAnsi="Calibri" w:cs="Calibri"/>
          <w:sz w:val="22"/>
          <w:szCs w:val="22"/>
        </w:rPr>
      </w:pPr>
    </w:p>
    <w:p w14:paraId="3FD81897" w14:textId="77777777" w:rsidR="00EB5E68" w:rsidRDefault="00EB5E68" w:rsidP="005A46BB">
      <w:pPr>
        <w:spacing w:after="0" w:line="240" w:lineRule="auto"/>
        <w:rPr>
          <w:rFonts w:ascii="Calibri" w:hAnsi="Calibri" w:cs="Calibri"/>
          <w:sz w:val="22"/>
          <w:szCs w:val="22"/>
        </w:rPr>
      </w:pPr>
    </w:p>
    <w:p w14:paraId="4B1FBB25" w14:textId="77777777" w:rsidR="00EB5E68" w:rsidRDefault="00EB5E68" w:rsidP="005A46BB">
      <w:pPr>
        <w:spacing w:after="0" w:line="240" w:lineRule="auto"/>
        <w:rPr>
          <w:rFonts w:ascii="Calibri" w:hAnsi="Calibri" w:cs="Calibri"/>
          <w:sz w:val="22"/>
          <w:szCs w:val="22"/>
        </w:rPr>
      </w:pPr>
    </w:p>
    <w:tbl>
      <w:tblPr>
        <w:tblW w:w="905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63"/>
        <w:gridCol w:w="2333"/>
        <w:gridCol w:w="2643"/>
        <w:gridCol w:w="2318"/>
      </w:tblGrid>
      <w:tr w:rsidR="00EB5E68" w:rsidRPr="00EB5E68" w14:paraId="57933036" w14:textId="77777777" w:rsidTr="00EB5E68">
        <w:trPr>
          <w:tblHeader/>
          <w:tblCellSpacing w:w="15" w:type="dxa"/>
        </w:trPr>
        <w:tc>
          <w:tcPr>
            <w:tcW w:w="8997" w:type="dxa"/>
            <w:gridSpan w:val="4"/>
            <w:vAlign w:val="center"/>
          </w:tcPr>
          <w:p w14:paraId="731C6ED2" w14:textId="77777777" w:rsidR="00563B7B" w:rsidRDefault="00563B7B" w:rsidP="00EB5E68">
            <w:pPr>
              <w:spacing w:after="0" w:line="240" w:lineRule="auto"/>
              <w:jc w:val="center"/>
              <w:rPr>
                <w:rFonts w:ascii="Calibri" w:eastAsia="Times New Roman" w:hAnsi="Calibri" w:cs="Calibri"/>
                <w:b/>
                <w:bCs/>
                <w:kern w:val="0"/>
                <w:sz w:val="22"/>
                <w:szCs w:val="22"/>
                <w14:ligatures w14:val="none"/>
              </w:rPr>
            </w:pPr>
          </w:p>
          <w:p w14:paraId="0149F002" w14:textId="77777777" w:rsidR="00EB5E68" w:rsidRDefault="00563B7B" w:rsidP="00EB5E68">
            <w:pPr>
              <w:spacing w:after="0" w:line="240" w:lineRule="auto"/>
              <w:jc w:val="center"/>
              <w:rPr>
                <w:rFonts w:ascii="Calibri" w:eastAsia="Times New Roman" w:hAnsi="Calibri" w:cs="Calibri"/>
                <w:b/>
                <w:bCs/>
                <w:kern w:val="0"/>
                <w:sz w:val="22"/>
                <w:szCs w:val="22"/>
                <w14:ligatures w14:val="none"/>
              </w:rPr>
            </w:pPr>
            <w:r>
              <w:rPr>
                <w:rFonts w:ascii="Calibri" w:eastAsia="Times New Roman" w:hAnsi="Calibri" w:cs="Calibri"/>
                <w:b/>
                <w:bCs/>
                <w:kern w:val="0"/>
                <w:sz w:val="22"/>
                <w:szCs w:val="22"/>
                <w14:ligatures w14:val="none"/>
              </w:rPr>
              <w:t xml:space="preserve">Comparison Of </w:t>
            </w:r>
            <w:proofErr w:type="gramStart"/>
            <w:r>
              <w:rPr>
                <w:rFonts w:ascii="Calibri" w:eastAsia="Times New Roman" w:hAnsi="Calibri" w:cs="Calibri"/>
                <w:b/>
                <w:bCs/>
                <w:kern w:val="0"/>
                <w:sz w:val="22"/>
                <w:szCs w:val="22"/>
                <w14:ligatures w14:val="none"/>
              </w:rPr>
              <w:t>The</w:t>
            </w:r>
            <w:proofErr w:type="gramEnd"/>
            <w:r>
              <w:rPr>
                <w:rFonts w:ascii="Calibri" w:eastAsia="Times New Roman" w:hAnsi="Calibri" w:cs="Calibri"/>
                <w:b/>
                <w:bCs/>
                <w:kern w:val="0"/>
                <w:sz w:val="22"/>
                <w:szCs w:val="22"/>
                <w14:ligatures w14:val="none"/>
              </w:rPr>
              <w:t xml:space="preserve"> Structure Of Quantitative, Qualitative And Mixed Methods Research</w:t>
            </w:r>
          </w:p>
          <w:p w14:paraId="1B423FB8" w14:textId="0D3631AD" w:rsidR="00563B7B" w:rsidRPr="00EB5E68" w:rsidRDefault="00563B7B" w:rsidP="00EB5E68">
            <w:pPr>
              <w:spacing w:after="0" w:line="240" w:lineRule="auto"/>
              <w:jc w:val="center"/>
              <w:rPr>
                <w:rFonts w:ascii="Calibri" w:eastAsia="Times New Roman" w:hAnsi="Calibri" w:cs="Calibri"/>
                <w:b/>
                <w:bCs/>
                <w:kern w:val="0"/>
                <w:sz w:val="22"/>
                <w:szCs w:val="22"/>
                <w14:ligatures w14:val="none"/>
              </w:rPr>
            </w:pPr>
          </w:p>
        </w:tc>
      </w:tr>
      <w:tr w:rsidR="00EB5E68" w:rsidRPr="00EB5E68" w14:paraId="29489301" w14:textId="77777777" w:rsidTr="00EB5E68">
        <w:trPr>
          <w:tblHeader/>
          <w:tblCellSpacing w:w="15" w:type="dxa"/>
        </w:trPr>
        <w:tc>
          <w:tcPr>
            <w:tcW w:w="1718" w:type="dxa"/>
            <w:vAlign w:val="center"/>
            <w:hideMark/>
          </w:tcPr>
          <w:p w14:paraId="59EAB35F" w14:textId="77777777" w:rsidR="00EB5E68" w:rsidRPr="00EB5E68" w:rsidRDefault="00EB5E68" w:rsidP="00EB5E68">
            <w:pPr>
              <w:spacing w:after="0" w:line="240" w:lineRule="auto"/>
              <w:jc w:val="center"/>
              <w:rPr>
                <w:rFonts w:ascii="Calibri" w:eastAsia="Times New Roman" w:hAnsi="Calibri" w:cs="Calibri"/>
                <w:b/>
                <w:bCs/>
                <w:kern w:val="0"/>
                <w:sz w:val="22"/>
                <w:szCs w:val="22"/>
                <w14:ligatures w14:val="none"/>
              </w:rPr>
            </w:pPr>
            <w:r w:rsidRPr="00EB5E68">
              <w:rPr>
                <w:rFonts w:ascii="Calibri" w:eastAsia="Times New Roman" w:hAnsi="Calibri" w:cs="Calibri"/>
                <w:b/>
                <w:bCs/>
                <w:kern w:val="0"/>
                <w:sz w:val="22"/>
                <w:szCs w:val="22"/>
                <w14:ligatures w14:val="none"/>
              </w:rPr>
              <w:t>Section</w:t>
            </w:r>
          </w:p>
        </w:tc>
        <w:tc>
          <w:tcPr>
            <w:tcW w:w="2303" w:type="dxa"/>
            <w:vAlign w:val="center"/>
            <w:hideMark/>
          </w:tcPr>
          <w:p w14:paraId="1BF01928" w14:textId="77777777" w:rsidR="00EB5E68" w:rsidRPr="00EB5E68" w:rsidRDefault="00EB5E68" w:rsidP="00EB5E68">
            <w:pPr>
              <w:spacing w:after="0" w:line="240" w:lineRule="auto"/>
              <w:jc w:val="center"/>
              <w:rPr>
                <w:rFonts w:ascii="Calibri" w:eastAsia="Times New Roman" w:hAnsi="Calibri" w:cs="Calibri"/>
                <w:b/>
                <w:bCs/>
                <w:kern w:val="0"/>
                <w:sz w:val="22"/>
                <w:szCs w:val="22"/>
                <w14:ligatures w14:val="none"/>
              </w:rPr>
            </w:pPr>
            <w:r w:rsidRPr="00EB5E68">
              <w:rPr>
                <w:rFonts w:ascii="Calibri" w:eastAsia="Times New Roman" w:hAnsi="Calibri" w:cs="Calibri"/>
                <w:b/>
                <w:bCs/>
                <w:kern w:val="0"/>
                <w:sz w:val="22"/>
                <w:szCs w:val="22"/>
                <w14:ligatures w14:val="none"/>
              </w:rPr>
              <w:t>Quantitative Research</w:t>
            </w:r>
          </w:p>
        </w:tc>
        <w:tc>
          <w:tcPr>
            <w:tcW w:w="2613" w:type="dxa"/>
            <w:vAlign w:val="center"/>
            <w:hideMark/>
          </w:tcPr>
          <w:p w14:paraId="6501DE9C" w14:textId="77777777" w:rsidR="00EB5E68" w:rsidRPr="00EB5E68" w:rsidRDefault="00EB5E68" w:rsidP="00EB5E68">
            <w:pPr>
              <w:spacing w:after="0" w:line="240" w:lineRule="auto"/>
              <w:jc w:val="center"/>
              <w:rPr>
                <w:rFonts w:ascii="Calibri" w:eastAsia="Times New Roman" w:hAnsi="Calibri" w:cs="Calibri"/>
                <w:b/>
                <w:bCs/>
                <w:kern w:val="0"/>
                <w:sz w:val="22"/>
                <w:szCs w:val="22"/>
                <w14:ligatures w14:val="none"/>
              </w:rPr>
            </w:pPr>
            <w:r w:rsidRPr="00EB5E68">
              <w:rPr>
                <w:rFonts w:ascii="Calibri" w:eastAsia="Times New Roman" w:hAnsi="Calibri" w:cs="Calibri"/>
                <w:b/>
                <w:bCs/>
                <w:kern w:val="0"/>
                <w:sz w:val="22"/>
                <w:szCs w:val="22"/>
                <w14:ligatures w14:val="none"/>
              </w:rPr>
              <w:t>Qualitative Research</w:t>
            </w:r>
          </w:p>
        </w:tc>
        <w:tc>
          <w:tcPr>
            <w:tcW w:w="2273" w:type="dxa"/>
            <w:vAlign w:val="center"/>
            <w:hideMark/>
          </w:tcPr>
          <w:p w14:paraId="13C5E0AA" w14:textId="77777777" w:rsidR="00EB5E68" w:rsidRPr="00EB5E68" w:rsidRDefault="00EB5E68" w:rsidP="00EB5E68">
            <w:pPr>
              <w:spacing w:after="0" w:line="240" w:lineRule="auto"/>
              <w:jc w:val="center"/>
              <w:rPr>
                <w:rFonts w:ascii="Calibri" w:eastAsia="Times New Roman" w:hAnsi="Calibri" w:cs="Calibri"/>
                <w:b/>
                <w:bCs/>
                <w:kern w:val="0"/>
                <w:sz w:val="22"/>
                <w:szCs w:val="22"/>
                <w14:ligatures w14:val="none"/>
              </w:rPr>
            </w:pPr>
            <w:r w:rsidRPr="00EB5E68">
              <w:rPr>
                <w:rFonts w:ascii="Calibri" w:eastAsia="Times New Roman" w:hAnsi="Calibri" w:cs="Calibri"/>
                <w:b/>
                <w:bCs/>
                <w:kern w:val="0"/>
                <w:sz w:val="22"/>
                <w:szCs w:val="22"/>
                <w14:ligatures w14:val="none"/>
              </w:rPr>
              <w:t>Mixed Methods Research</w:t>
            </w:r>
          </w:p>
        </w:tc>
      </w:tr>
      <w:tr w:rsidR="00EB5E68" w:rsidRPr="00EB5E68" w14:paraId="5EC8E559" w14:textId="77777777" w:rsidTr="00EB5E68">
        <w:trPr>
          <w:tblCellSpacing w:w="15" w:type="dxa"/>
        </w:trPr>
        <w:tc>
          <w:tcPr>
            <w:tcW w:w="1718" w:type="dxa"/>
            <w:vAlign w:val="center"/>
            <w:hideMark/>
          </w:tcPr>
          <w:p w14:paraId="603C5E82"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Abstract</w:t>
            </w:r>
          </w:p>
        </w:tc>
        <w:tc>
          <w:tcPr>
            <w:tcW w:w="2303" w:type="dxa"/>
            <w:vAlign w:val="center"/>
            <w:hideMark/>
          </w:tcPr>
          <w:p w14:paraId="07029691"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Structured: Objectives, Methods, Results, Conclusions</w:t>
            </w:r>
          </w:p>
        </w:tc>
        <w:tc>
          <w:tcPr>
            <w:tcW w:w="2613" w:type="dxa"/>
            <w:vAlign w:val="center"/>
            <w:hideMark/>
          </w:tcPr>
          <w:p w14:paraId="0956FD64"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Narrative style: Context, Aims, Findings, Meanings</w:t>
            </w:r>
          </w:p>
        </w:tc>
        <w:tc>
          <w:tcPr>
            <w:tcW w:w="2273" w:type="dxa"/>
            <w:vAlign w:val="center"/>
            <w:hideMark/>
          </w:tcPr>
          <w:p w14:paraId="69438818"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Integrated: Both approaches + Integration rationale</w:t>
            </w:r>
          </w:p>
        </w:tc>
      </w:tr>
      <w:tr w:rsidR="00EB5E68" w:rsidRPr="00EB5E68" w14:paraId="3386F1EB" w14:textId="77777777" w:rsidTr="00EB5E68">
        <w:trPr>
          <w:tblCellSpacing w:w="15" w:type="dxa"/>
        </w:trPr>
        <w:tc>
          <w:tcPr>
            <w:tcW w:w="1718" w:type="dxa"/>
            <w:vAlign w:val="center"/>
            <w:hideMark/>
          </w:tcPr>
          <w:p w14:paraId="5C135EFF"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Introduction</w:t>
            </w:r>
          </w:p>
        </w:tc>
        <w:tc>
          <w:tcPr>
            <w:tcW w:w="2303" w:type="dxa"/>
            <w:vAlign w:val="center"/>
            <w:hideMark/>
          </w:tcPr>
          <w:p w14:paraId="6E304A67"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Problem statement, Research gap</w:t>
            </w:r>
          </w:p>
        </w:tc>
        <w:tc>
          <w:tcPr>
            <w:tcW w:w="2613" w:type="dxa"/>
            <w:vAlign w:val="center"/>
            <w:hideMark/>
          </w:tcPr>
          <w:p w14:paraId="4DA35597"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Research context, Phenomenon</w:t>
            </w:r>
          </w:p>
        </w:tc>
        <w:tc>
          <w:tcPr>
            <w:tcW w:w="2273" w:type="dxa"/>
            <w:vAlign w:val="center"/>
            <w:hideMark/>
          </w:tcPr>
          <w:p w14:paraId="0E176B95"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Complex problems requiring multiple approaches</w:t>
            </w:r>
          </w:p>
        </w:tc>
      </w:tr>
      <w:tr w:rsidR="00EB5E68" w:rsidRPr="00EB5E68" w14:paraId="6F44D45D" w14:textId="77777777" w:rsidTr="00EB5E68">
        <w:trPr>
          <w:tblCellSpacing w:w="15" w:type="dxa"/>
        </w:trPr>
        <w:tc>
          <w:tcPr>
            <w:tcW w:w="1718" w:type="dxa"/>
            <w:vAlign w:val="center"/>
            <w:hideMark/>
          </w:tcPr>
          <w:p w14:paraId="5AFBA673"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Conceptual Framework</w:t>
            </w:r>
          </w:p>
        </w:tc>
        <w:tc>
          <w:tcPr>
            <w:tcW w:w="2303" w:type="dxa"/>
            <w:vAlign w:val="center"/>
            <w:hideMark/>
          </w:tcPr>
          <w:p w14:paraId="032D8111"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Theoretical framework testing, Variables relationship</w:t>
            </w:r>
          </w:p>
        </w:tc>
        <w:tc>
          <w:tcPr>
            <w:tcW w:w="2613" w:type="dxa"/>
            <w:vAlign w:val="center"/>
            <w:hideMark/>
          </w:tcPr>
          <w:p w14:paraId="03BD2340"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Emergent conceptual framework</w:t>
            </w:r>
          </w:p>
        </w:tc>
        <w:tc>
          <w:tcPr>
            <w:tcW w:w="2273" w:type="dxa"/>
            <w:vAlign w:val="center"/>
            <w:hideMark/>
          </w:tcPr>
          <w:p w14:paraId="09FDF8F7"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Integration of multiple frameworks</w:t>
            </w:r>
          </w:p>
        </w:tc>
      </w:tr>
      <w:tr w:rsidR="00EB5E68" w:rsidRPr="00EB5E68" w14:paraId="5E2D7F47" w14:textId="77777777" w:rsidTr="00EB5E68">
        <w:trPr>
          <w:tblCellSpacing w:w="15" w:type="dxa"/>
        </w:trPr>
        <w:tc>
          <w:tcPr>
            <w:tcW w:w="1718" w:type="dxa"/>
            <w:vAlign w:val="center"/>
            <w:hideMark/>
          </w:tcPr>
          <w:p w14:paraId="3E93F105"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Literature Review</w:t>
            </w:r>
          </w:p>
        </w:tc>
        <w:tc>
          <w:tcPr>
            <w:tcW w:w="2303" w:type="dxa"/>
            <w:vAlign w:val="center"/>
            <w:hideMark/>
          </w:tcPr>
          <w:p w14:paraId="4C921BB7"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Systematic, Hypothesis development</w:t>
            </w:r>
          </w:p>
        </w:tc>
        <w:tc>
          <w:tcPr>
            <w:tcW w:w="2613" w:type="dxa"/>
            <w:vAlign w:val="center"/>
            <w:hideMark/>
          </w:tcPr>
          <w:p w14:paraId="1C3E1F96"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Thematic, Contextual, May be iterative</w:t>
            </w:r>
          </w:p>
        </w:tc>
        <w:tc>
          <w:tcPr>
            <w:tcW w:w="2273" w:type="dxa"/>
            <w:vAlign w:val="center"/>
            <w:hideMark/>
          </w:tcPr>
          <w:p w14:paraId="164E8ABF"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Both systematic and thematic approaches</w:t>
            </w:r>
          </w:p>
        </w:tc>
      </w:tr>
      <w:tr w:rsidR="00EB5E68" w:rsidRPr="00EB5E68" w14:paraId="49FFC599" w14:textId="77777777" w:rsidTr="00EB5E68">
        <w:trPr>
          <w:tblCellSpacing w:w="15" w:type="dxa"/>
        </w:trPr>
        <w:tc>
          <w:tcPr>
            <w:tcW w:w="1718" w:type="dxa"/>
            <w:vAlign w:val="center"/>
            <w:hideMark/>
          </w:tcPr>
          <w:p w14:paraId="1278A1FC"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Conceptual Model</w:t>
            </w:r>
          </w:p>
        </w:tc>
        <w:tc>
          <w:tcPr>
            <w:tcW w:w="2303" w:type="dxa"/>
            <w:vAlign w:val="center"/>
            <w:hideMark/>
          </w:tcPr>
          <w:p w14:paraId="38EAF632"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Visual model showing variable relationships</w:t>
            </w:r>
          </w:p>
        </w:tc>
        <w:tc>
          <w:tcPr>
            <w:tcW w:w="2613" w:type="dxa"/>
            <w:vAlign w:val="center"/>
            <w:hideMark/>
          </w:tcPr>
          <w:p w14:paraId="28F3B81A"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Process model or theoretical constructs</w:t>
            </w:r>
          </w:p>
        </w:tc>
        <w:tc>
          <w:tcPr>
            <w:tcW w:w="2273" w:type="dxa"/>
            <w:vAlign w:val="center"/>
            <w:hideMark/>
          </w:tcPr>
          <w:p w14:paraId="28EA926A"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Interactive model showing method integration</w:t>
            </w:r>
          </w:p>
        </w:tc>
      </w:tr>
      <w:tr w:rsidR="00EB5E68" w:rsidRPr="00EB5E68" w14:paraId="3895BE3A" w14:textId="77777777" w:rsidTr="00EB5E68">
        <w:trPr>
          <w:tblCellSpacing w:w="15" w:type="dxa"/>
        </w:trPr>
        <w:tc>
          <w:tcPr>
            <w:tcW w:w="1718" w:type="dxa"/>
            <w:vAlign w:val="center"/>
            <w:hideMark/>
          </w:tcPr>
          <w:p w14:paraId="744C574B"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Research Questions</w:t>
            </w:r>
          </w:p>
        </w:tc>
        <w:tc>
          <w:tcPr>
            <w:tcW w:w="2303" w:type="dxa"/>
            <w:vAlign w:val="center"/>
            <w:hideMark/>
          </w:tcPr>
          <w:p w14:paraId="2FBDDAD9"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Hypotheses, Measurable variables</w:t>
            </w:r>
          </w:p>
        </w:tc>
        <w:tc>
          <w:tcPr>
            <w:tcW w:w="2613" w:type="dxa"/>
            <w:vAlign w:val="center"/>
            <w:hideMark/>
          </w:tcPr>
          <w:p w14:paraId="21818163"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Exploratory questions</w:t>
            </w:r>
          </w:p>
        </w:tc>
        <w:tc>
          <w:tcPr>
            <w:tcW w:w="2273" w:type="dxa"/>
            <w:vAlign w:val="center"/>
            <w:hideMark/>
          </w:tcPr>
          <w:p w14:paraId="004D828B"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Both + Integration questions</w:t>
            </w:r>
          </w:p>
        </w:tc>
      </w:tr>
      <w:tr w:rsidR="00EB5E68" w:rsidRPr="00EB5E68" w14:paraId="1FF47A23" w14:textId="77777777" w:rsidTr="00EB5E68">
        <w:trPr>
          <w:tblCellSpacing w:w="15" w:type="dxa"/>
        </w:trPr>
        <w:tc>
          <w:tcPr>
            <w:tcW w:w="1718" w:type="dxa"/>
            <w:vAlign w:val="center"/>
            <w:hideMark/>
          </w:tcPr>
          <w:p w14:paraId="63AF8598"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Methodology</w:t>
            </w:r>
          </w:p>
        </w:tc>
        <w:tc>
          <w:tcPr>
            <w:tcW w:w="2303" w:type="dxa"/>
            <w:vAlign w:val="center"/>
            <w:hideMark/>
          </w:tcPr>
          <w:p w14:paraId="5FA50E3B"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Research design, Variables, Sampling strategy, Instruments, Statistical procedures</w:t>
            </w:r>
          </w:p>
        </w:tc>
        <w:tc>
          <w:tcPr>
            <w:tcW w:w="2613" w:type="dxa"/>
            <w:vAlign w:val="center"/>
            <w:hideMark/>
          </w:tcPr>
          <w:p w14:paraId="5A1FCA7E"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Philosophical stance, Researcher positionality, Participant selection, Data collection methods, Analysis approach</w:t>
            </w:r>
          </w:p>
        </w:tc>
        <w:tc>
          <w:tcPr>
            <w:tcW w:w="2273" w:type="dxa"/>
            <w:vAlign w:val="center"/>
            <w:hideMark/>
          </w:tcPr>
          <w:p w14:paraId="10A8348B"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Mixed design rationale, Priority/timing, Integration points, Both Quan &amp; Qual procedures</w:t>
            </w:r>
          </w:p>
        </w:tc>
      </w:tr>
      <w:tr w:rsidR="00EB5E68" w:rsidRPr="00EB5E68" w14:paraId="0363F80F" w14:textId="77777777" w:rsidTr="00EB5E68">
        <w:trPr>
          <w:tblCellSpacing w:w="15" w:type="dxa"/>
        </w:trPr>
        <w:tc>
          <w:tcPr>
            <w:tcW w:w="1718" w:type="dxa"/>
            <w:vAlign w:val="center"/>
            <w:hideMark/>
          </w:tcPr>
          <w:p w14:paraId="00FE48B1"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Results/Findings</w:t>
            </w:r>
          </w:p>
        </w:tc>
        <w:tc>
          <w:tcPr>
            <w:tcW w:w="2303" w:type="dxa"/>
            <w:vAlign w:val="center"/>
            <w:hideMark/>
          </w:tcPr>
          <w:p w14:paraId="363755B7"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Statistical analysis, Hypothesis testing, Tables/charts</w:t>
            </w:r>
          </w:p>
        </w:tc>
        <w:tc>
          <w:tcPr>
            <w:tcW w:w="2613" w:type="dxa"/>
            <w:vAlign w:val="center"/>
            <w:hideMark/>
          </w:tcPr>
          <w:p w14:paraId="03E015CB"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Thematic presentation, Rich description, Participant quotes</w:t>
            </w:r>
          </w:p>
        </w:tc>
        <w:tc>
          <w:tcPr>
            <w:tcW w:w="2273" w:type="dxa"/>
            <w:vAlign w:val="center"/>
            <w:hideMark/>
          </w:tcPr>
          <w:p w14:paraId="46B0B030"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Quan results, Qual findings, Integration analysis, Joint displays</w:t>
            </w:r>
          </w:p>
        </w:tc>
      </w:tr>
      <w:tr w:rsidR="00EB5E68" w:rsidRPr="00EB5E68" w14:paraId="15887CC3" w14:textId="77777777" w:rsidTr="00EB5E68">
        <w:trPr>
          <w:tblCellSpacing w:w="15" w:type="dxa"/>
        </w:trPr>
        <w:tc>
          <w:tcPr>
            <w:tcW w:w="1718" w:type="dxa"/>
            <w:vAlign w:val="center"/>
            <w:hideMark/>
          </w:tcPr>
          <w:p w14:paraId="2D300A07"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Discussion</w:t>
            </w:r>
          </w:p>
        </w:tc>
        <w:tc>
          <w:tcPr>
            <w:tcW w:w="2303" w:type="dxa"/>
            <w:vAlign w:val="center"/>
            <w:hideMark/>
          </w:tcPr>
          <w:p w14:paraId="26FD7953"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Statistical significance, Generalizability, Theory confirmation</w:t>
            </w:r>
          </w:p>
        </w:tc>
        <w:tc>
          <w:tcPr>
            <w:tcW w:w="2613" w:type="dxa"/>
            <w:vAlign w:val="center"/>
            <w:hideMark/>
          </w:tcPr>
          <w:p w14:paraId="65242344"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Interpretation, Meaning-making, Theory generation</w:t>
            </w:r>
          </w:p>
        </w:tc>
        <w:tc>
          <w:tcPr>
            <w:tcW w:w="2273" w:type="dxa"/>
            <w:vAlign w:val="center"/>
            <w:hideMark/>
          </w:tcPr>
          <w:p w14:paraId="3669D7CC"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Meta-inferences, Integration insights, Theory expansion</w:t>
            </w:r>
          </w:p>
        </w:tc>
      </w:tr>
      <w:tr w:rsidR="00EB5E68" w:rsidRPr="00EB5E68" w14:paraId="05B1CCB3" w14:textId="77777777" w:rsidTr="00EB5E68">
        <w:trPr>
          <w:tblCellSpacing w:w="15" w:type="dxa"/>
        </w:trPr>
        <w:tc>
          <w:tcPr>
            <w:tcW w:w="1718" w:type="dxa"/>
            <w:vAlign w:val="center"/>
            <w:hideMark/>
          </w:tcPr>
          <w:p w14:paraId="3026FB8A"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Quality Criteria</w:t>
            </w:r>
          </w:p>
        </w:tc>
        <w:tc>
          <w:tcPr>
            <w:tcW w:w="2303" w:type="dxa"/>
            <w:vAlign w:val="center"/>
            <w:hideMark/>
          </w:tcPr>
          <w:p w14:paraId="628CA789"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Validity, Reliability</w:t>
            </w:r>
          </w:p>
        </w:tc>
        <w:tc>
          <w:tcPr>
            <w:tcW w:w="2613" w:type="dxa"/>
            <w:vAlign w:val="center"/>
            <w:hideMark/>
          </w:tcPr>
          <w:p w14:paraId="49041AC5"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Trustworthiness, Credibility</w:t>
            </w:r>
          </w:p>
        </w:tc>
        <w:tc>
          <w:tcPr>
            <w:tcW w:w="2273" w:type="dxa"/>
            <w:vAlign w:val="center"/>
            <w:hideMark/>
          </w:tcPr>
          <w:p w14:paraId="3D83D5E7"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Mixed methods legitimation</w:t>
            </w:r>
          </w:p>
        </w:tc>
      </w:tr>
      <w:tr w:rsidR="00EB5E68" w:rsidRPr="00EB5E68" w14:paraId="4BBC04AB" w14:textId="77777777" w:rsidTr="00EB5E68">
        <w:trPr>
          <w:tblCellSpacing w:w="15" w:type="dxa"/>
        </w:trPr>
        <w:tc>
          <w:tcPr>
            <w:tcW w:w="1718" w:type="dxa"/>
            <w:vAlign w:val="center"/>
            <w:hideMark/>
          </w:tcPr>
          <w:p w14:paraId="110690F9"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Conclusion</w:t>
            </w:r>
          </w:p>
        </w:tc>
        <w:tc>
          <w:tcPr>
            <w:tcW w:w="2303" w:type="dxa"/>
            <w:vAlign w:val="center"/>
            <w:hideMark/>
          </w:tcPr>
          <w:p w14:paraId="43F45ECC"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Generalizable findings</w:t>
            </w:r>
          </w:p>
        </w:tc>
        <w:tc>
          <w:tcPr>
            <w:tcW w:w="2613" w:type="dxa"/>
            <w:vAlign w:val="center"/>
            <w:hideMark/>
          </w:tcPr>
          <w:p w14:paraId="10E596BF"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Contextual insights</w:t>
            </w:r>
          </w:p>
        </w:tc>
        <w:tc>
          <w:tcPr>
            <w:tcW w:w="2273" w:type="dxa"/>
            <w:vAlign w:val="center"/>
            <w:hideMark/>
          </w:tcPr>
          <w:p w14:paraId="52D4E0AC"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Integrated understanding</w:t>
            </w:r>
          </w:p>
        </w:tc>
      </w:tr>
      <w:tr w:rsidR="00EB5E68" w:rsidRPr="00EB5E68" w14:paraId="3D401E29" w14:textId="77777777" w:rsidTr="00EB5E68">
        <w:trPr>
          <w:tblCellSpacing w:w="15" w:type="dxa"/>
        </w:trPr>
        <w:tc>
          <w:tcPr>
            <w:tcW w:w="1718" w:type="dxa"/>
            <w:vAlign w:val="center"/>
            <w:hideMark/>
          </w:tcPr>
          <w:p w14:paraId="070BFA54"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Limitations</w:t>
            </w:r>
          </w:p>
        </w:tc>
        <w:tc>
          <w:tcPr>
            <w:tcW w:w="2303" w:type="dxa"/>
            <w:vAlign w:val="center"/>
            <w:hideMark/>
          </w:tcPr>
          <w:p w14:paraId="718F12B3"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Statistical limitations</w:t>
            </w:r>
          </w:p>
        </w:tc>
        <w:tc>
          <w:tcPr>
            <w:tcW w:w="2613" w:type="dxa"/>
            <w:vAlign w:val="center"/>
            <w:hideMark/>
          </w:tcPr>
          <w:p w14:paraId="18CD40FC"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Contextual boundaries</w:t>
            </w:r>
          </w:p>
        </w:tc>
        <w:tc>
          <w:tcPr>
            <w:tcW w:w="2273" w:type="dxa"/>
            <w:vAlign w:val="center"/>
            <w:hideMark/>
          </w:tcPr>
          <w:p w14:paraId="1542C304"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Integration challenges</w:t>
            </w:r>
          </w:p>
        </w:tc>
      </w:tr>
      <w:tr w:rsidR="00EB5E68" w:rsidRPr="00EB5E68" w14:paraId="3F21E0B2" w14:textId="77777777" w:rsidTr="00EB5E68">
        <w:trPr>
          <w:tblCellSpacing w:w="15" w:type="dxa"/>
        </w:trPr>
        <w:tc>
          <w:tcPr>
            <w:tcW w:w="1718" w:type="dxa"/>
            <w:vAlign w:val="center"/>
            <w:hideMark/>
          </w:tcPr>
          <w:p w14:paraId="5FD1DD17"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Future Research</w:t>
            </w:r>
          </w:p>
        </w:tc>
        <w:tc>
          <w:tcPr>
            <w:tcW w:w="2303" w:type="dxa"/>
            <w:vAlign w:val="center"/>
            <w:hideMark/>
          </w:tcPr>
          <w:p w14:paraId="111B9F2A"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Replication studies</w:t>
            </w:r>
          </w:p>
        </w:tc>
        <w:tc>
          <w:tcPr>
            <w:tcW w:w="2613" w:type="dxa"/>
            <w:vAlign w:val="center"/>
            <w:hideMark/>
          </w:tcPr>
          <w:p w14:paraId="6BB5BFA2"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Deeper exploration</w:t>
            </w:r>
          </w:p>
        </w:tc>
        <w:tc>
          <w:tcPr>
            <w:tcW w:w="2273" w:type="dxa"/>
            <w:vAlign w:val="center"/>
            <w:hideMark/>
          </w:tcPr>
          <w:p w14:paraId="36859E97" w14:textId="77777777" w:rsidR="00EB5E68" w:rsidRPr="00EB5E68" w:rsidRDefault="00EB5E68" w:rsidP="00EB5E68">
            <w:pPr>
              <w:spacing w:after="0" w:line="240" w:lineRule="auto"/>
              <w:rPr>
                <w:rFonts w:ascii="Calibri" w:eastAsia="Times New Roman" w:hAnsi="Calibri" w:cs="Calibri"/>
                <w:kern w:val="0"/>
                <w:sz w:val="22"/>
                <w:szCs w:val="22"/>
                <w14:ligatures w14:val="none"/>
              </w:rPr>
            </w:pPr>
            <w:r w:rsidRPr="00EB5E68">
              <w:rPr>
                <w:rFonts w:ascii="Calibri" w:eastAsia="Times New Roman" w:hAnsi="Calibri" w:cs="Calibri"/>
                <w:kern w:val="0"/>
                <w:sz w:val="22"/>
                <w:szCs w:val="22"/>
                <w14:ligatures w14:val="none"/>
              </w:rPr>
              <w:t>Mixed method refinement</w:t>
            </w:r>
          </w:p>
        </w:tc>
      </w:tr>
    </w:tbl>
    <w:p w14:paraId="65396CD4" w14:textId="77777777" w:rsidR="00EB5E68" w:rsidRPr="005A46BB" w:rsidRDefault="00EB5E68" w:rsidP="005A46BB">
      <w:pPr>
        <w:spacing w:after="0" w:line="240" w:lineRule="auto"/>
        <w:rPr>
          <w:rFonts w:ascii="Calibri" w:hAnsi="Calibri" w:cs="Calibri"/>
          <w:sz w:val="22"/>
          <w:szCs w:val="22"/>
        </w:rPr>
      </w:pPr>
    </w:p>
    <w:sectPr w:rsidR="00EB5E68" w:rsidRPr="005A46BB">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686A89" w14:textId="77777777" w:rsidR="00781728" w:rsidRDefault="00781728" w:rsidP="00781728">
      <w:pPr>
        <w:spacing w:after="0" w:line="240" w:lineRule="auto"/>
      </w:pPr>
      <w:r>
        <w:separator/>
      </w:r>
    </w:p>
  </w:endnote>
  <w:endnote w:type="continuationSeparator" w:id="0">
    <w:p w14:paraId="4F1C949D" w14:textId="77777777" w:rsidR="00781728" w:rsidRDefault="00781728" w:rsidP="00781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4868111"/>
      <w:docPartObj>
        <w:docPartGallery w:val="Page Numbers (Bottom of Page)"/>
        <w:docPartUnique/>
      </w:docPartObj>
    </w:sdtPr>
    <w:sdtEndPr>
      <w:rPr>
        <w:noProof/>
      </w:rPr>
    </w:sdtEndPr>
    <w:sdtContent>
      <w:p w14:paraId="1151AB94" w14:textId="1DF63727" w:rsidR="00781728" w:rsidRDefault="007817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972F01" w14:textId="77777777" w:rsidR="00781728" w:rsidRDefault="007817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DB4C4D" w14:textId="77777777" w:rsidR="00781728" w:rsidRDefault="00781728" w:rsidP="00781728">
      <w:pPr>
        <w:spacing w:after="0" w:line="240" w:lineRule="auto"/>
      </w:pPr>
      <w:r>
        <w:separator/>
      </w:r>
    </w:p>
  </w:footnote>
  <w:footnote w:type="continuationSeparator" w:id="0">
    <w:p w14:paraId="2379EC66" w14:textId="77777777" w:rsidR="00781728" w:rsidRDefault="00781728" w:rsidP="007817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2ADA22" w14:textId="2444EEAE" w:rsidR="00781728" w:rsidRPr="00781728" w:rsidRDefault="00781728">
    <w:pPr>
      <w:pStyle w:val="Header"/>
      <w:rPr>
        <w:rFonts w:ascii="Calibri" w:hAnsi="Calibri" w:cs="Calibri"/>
        <w:b/>
        <w:bCs/>
      </w:rPr>
    </w:pPr>
    <w:r w:rsidRPr="00781728">
      <w:rPr>
        <w:rFonts w:ascii="Calibri" w:hAnsi="Calibri" w:cs="Calibri"/>
        <w:b/>
        <w:bCs/>
      </w:rPr>
      <w:t>Dr Caroline Jawad, 2024, Overview of Creswell’s Five Qualitative Approaches</w:t>
    </w:r>
  </w:p>
  <w:p w14:paraId="048E608D" w14:textId="77777777" w:rsidR="00781728" w:rsidRDefault="007817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728"/>
    <w:rsid w:val="0000089A"/>
    <w:rsid w:val="0003160C"/>
    <w:rsid w:val="000532B3"/>
    <w:rsid w:val="000A2936"/>
    <w:rsid w:val="001D230E"/>
    <w:rsid w:val="00232C5B"/>
    <w:rsid w:val="00315E6C"/>
    <w:rsid w:val="0033705D"/>
    <w:rsid w:val="004737E0"/>
    <w:rsid w:val="00563B7B"/>
    <w:rsid w:val="0057506A"/>
    <w:rsid w:val="00593127"/>
    <w:rsid w:val="005A46BB"/>
    <w:rsid w:val="00642CAA"/>
    <w:rsid w:val="00686C7F"/>
    <w:rsid w:val="00690338"/>
    <w:rsid w:val="006B7AFC"/>
    <w:rsid w:val="006E0837"/>
    <w:rsid w:val="00736342"/>
    <w:rsid w:val="007576A7"/>
    <w:rsid w:val="00781728"/>
    <w:rsid w:val="007A4563"/>
    <w:rsid w:val="007E203B"/>
    <w:rsid w:val="007E775E"/>
    <w:rsid w:val="0089372B"/>
    <w:rsid w:val="009510CE"/>
    <w:rsid w:val="009914CF"/>
    <w:rsid w:val="00994482"/>
    <w:rsid w:val="009C6AEE"/>
    <w:rsid w:val="00CB0553"/>
    <w:rsid w:val="00D5665B"/>
    <w:rsid w:val="00DB7B7B"/>
    <w:rsid w:val="00EB5E68"/>
    <w:rsid w:val="00FF3C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70E4C"/>
  <w15:chartTrackingRefBased/>
  <w15:docId w15:val="{C700B79F-06BC-45B4-8287-678C39C55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728"/>
  </w:style>
  <w:style w:type="paragraph" w:styleId="Heading1">
    <w:name w:val="heading 1"/>
    <w:basedOn w:val="Normal"/>
    <w:next w:val="Normal"/>
    <w:link w:val="Heading1Char"/>
    <w:uiPriority w:val="9"/>
    <w:qFormat/>
    <w:rsid w:val="007817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17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17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17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17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17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17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17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17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7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17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17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17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17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17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17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17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1728"/>
    <w:rPr>
      <w:rFonts w:eastAsiaTheme="majorEastAsia" w:cstheme="majorBidi"/>
      <w:color w:val="272727" w:themeColor="text1" w:themeTint="D8"/>
    </w:rPr>
  </w:style>
  <w:style w:type="paragraph" w:styleId="Title">
    <w:name w:val="Title"/>
    <w:basedOn w:val="Normal"/>
    <w:next w:val="Normal"/>
    <w:link w:val="TitleChar"/>
    <w:uiPriority w:val="10"/>
    <w:qFormat/>
    <w:rsid w:val="007817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17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17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17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1728"/>
    <w:pPr>
      <w:spacing w:before="160"/>
      <w:jc w:val="center"/>
    </w:pPr>
    <w:rPr>
      <w:i/>
      <w:iCs/>
      <w:color w:val="404040" w:themeColor="text1" w:themeTint="BF"/>
    </w:rPr>
  </w:style>
  <w:style w:type="character" w:customStyle="1" w:styleId="QuoteChar">
    <w:name w:val="Quote Char"/>
    <w:basedOn w:val="DefaultParagraphFont"/>
    <w:link w:val="Quote"/>
    <w:uiPriority w:val="29"/>
    <w:rsid w:val="00781728"/>
    <w:rPr>
      <w:i/>
      <w:iCs/>
      <w:color w:val="404040" w:themeColor="text1" w:themeTint="BF"/>
    </w:rPr>
  </w:style>
  <w:style w:type="paragraph" w:styleId="ListParagraph">
    <w:name w:val="List Paragraph"/>
    <w:basedOn w:val="Normal"/>
    <w:uiPriority w:val="34"/>
    <w:qFormat/>
    <w:rsid w:val="00781728"/>
    <w:pPr>
      <w:ind w:left="720"/>
      <w:contextualSpacing/>
    </w:pPr>
  </w:style>
  <w:style w:type="character" w:styleId="IntenseEmphasis">
    <w:name w:val="Intense Emphasis"/>
    <w:basedOn w:val="DefaultParagraphFont"/>
    <w:uiPriority w:val="21"/>
    <w:qFormat/>
    <w:rsid w:val="00781728"/>
    <w:rPr>
      <w:i/>
      <w:iCs/>
      <w:color w:val="0F4761" w:themeColor="accent1" w:themeShade="BF"/>
    </w:rPr>
  </w:style>
  <w:style w:type="paragraph" w:styleId="IntenseQuote">
    <w:name w:val="Intense Quote"/>
    <w:basedOn w:val="Normal"/>
    <w:next w:val="Normal"/>
    <w:link w:val="IntenseQuoteChar"/>
    <w:uiPriority w:val="30"/>
    <w:qFormat/>
    <w:rsid w:val="007817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1728"/>
    <w:rPr>
      <w:i/>
      <w:iCs/>
      <w:color w:val="0F4761" w:themeColor="accent1" w:themeShade="BF"/>
    </w:rPr>
  </w:style>
  <w:style w:type="character" w:styleId="IntenseReference">
    <w:name w:val="Intense Reference"/>
    <w:basedOn w:val="DefaultParagraphFont"/>
    <w:uiPriority w:val="32"/>
    <w:qFormat/>
    <w:rsid w:val="00781728"/>
    <w:rPr>
      <w:b/>
      <w:bCs/>
      <w:smallCaps/>
      <w:color w:val="0F4761" w:themeColor="accent1" w:themeShade="BF"/>
      <w:spacing w:val="5"/>
    </w:rPr>
  </w:style>
  <w:style w:type="paragraph" w:styleId="Header">
    <w:name w:val="header"/>
    <w:basedOn w:val="Normal"/>
    <w:link w:val="HeaderChar"/>
    <w:uiPriority w:val="99"/>
    <w:unhideWhenUsed/>
    <w:rsid w:val="007817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728"/>
  </w:style>
  <w:style w:type="paragraph" w:styleId="Footer">
    <w:name w:val="footer"/>
    <w:basedOn w:val="Normal"/>
    <w:link w:val="FooterChar"/>
    <w:uiPriority w:val="99"/>
    <w:unhideWhenUsed/>
    <w:rsid w:val="007817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728"/>
  </w:style>
  <w:style w:type="paragraph" w:styleId="NormalWeb">
    <w:name w:val="Normal (Web)"/>
    <w:basedOn w:val="Normal"/>
    <w:uiPriority w:val="99"/>
    <w:semiHidden/>
    <w:unhideWhenUsed/>
    <w:rsid w:val="004737E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737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340081">
      <w:bodyDiv w:val="1"/>
      <w:marLeft w:val="0"/>
      <w:marRight w:val="0"/>
      <w:marTop w:val="0"/>
      <w:marBottom w:val="0"/>
      <w:divBdr>
        <w:top w:val="none" w:sz="0" w:space="0" w:color="auto"/>
        <w:left w:val="none" w:sz="0" w:space="0" w:color="auto"/>
        <w:bottom w:val="none" w:sz="0" w:space="0" w:color="auto"/>
        <w:right w:val="none" w:sz="0" w:space="0" w:color="auto"/>
      </w:divBdr>
    </w:div>
    <w:div w:id="117799268">
      <w:bodyDiv w:val="1"/>
      <w:marLeft w:val="0"/>
      <w:marRight w:val="0"/>
      <w:marTop w:val="0"/>
      <w:marBottom w:val="0"/>
      <w:divBdr>
        <w:top w:val="none" w:sz="0" w:space="0" w:color="auto"/>
        <w:left w:val="none" w:sz="0" w:space="0" w:color="auto"/>
        <w:bottom w:val="none" w:sz="0" w:space="0" w:color="auto"/>
        <w:right w:val="none" w:sz="0" w:space="0" w:color="auto"/>
      </w:divBdr>
      <w:divsChild>
        <w:div w:id="1015427307">
          <w:marLeft w:val="0"/>
          <w:marRight w:val="0"/>
          <w:marTop w:val="0"/>
          <w:marBottom w:val="0"/>
          <w:divBdr>
            <w:top w:val="single" w:sz="2" w:space="0" w:color="auto"/>
            <w:left w:val="single" w:sz="2" w:space="0" w:color="auto"/>
            <w:bottom w:val="single" w:sz="2" w:space="0" w:color="auto"/>
            <w:right w:val="single" w:sz="2" w:space="0" w:color="auto"/>
          </w:divBdr>
          <w:divsChild>
            <w:div w:id="910849818">
              <w:marLeft w:val="0"/>
              <w:marRight w:val="0"/>
              <w:marTop w:val="0"/>
              <w:marBottom w:val="0"/>
              <w:divBdr>
                <w:top w:val="single" w:sz="2" w:space="0" w:color="auto"/>
                <w:left w:val="single" w:sz="2" w:space="0" w:color="auto"/>
                <w:bottom w:val="single" w:sz="2" w:space="0" w:color="auto"/>
                <w:right w:val="single" w:sz="2" w:space="0" w:color="auto"/>
              </w:divBdr>
              <w:divsChild>
                <w:div w:id="6202586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030374943">
          <w:marLeft w:val="0"/>
          <w:marRight w:val="0"/>
          <w:marTop w:val="0"/>
          <w:marBottom w:val="0"/>
          <w:divBdr>
            <w:top w:val="single" w:sz="2" w:space="0" w:color="auto"/>
            <w:left w:val="single" w:sz="2" w:space="0" w:color="auto"/>
            <w:bottom w:val="single" w:sz="2" w:space="0" w:color="auto"/>
            <w:right w:val="single" w:sz="2" w:space="0" w:color="auto"/>
          </w:divBdr>
          <w:divsChild>
            <w:div w:id="1839272110">
              <w:marLeft w:val="0"/>
              <w:marRight w:val="0"/>
              <w:marTop w:val="0"/>
              <w:marBottom w:val="0"/>
              <w:divBdr>
                <w:top w:val="single" w:sz="2" w:space="0" w:color="auto"/>
                <w:left w:val="single" w:sz="2" w:space="0" w:color="auto"/>
                <w:bottom w:val="single" w:sz="2" w:space="0" w:color="auto"/>
                <w:right w:val="single" w:sz="2" w:space="0" w:color="auto"/>
              </w:divBdr>
              <w:divsChild>
                <w:div w:id="1390424791">
                  <w:marLeft w:val="0"/>
                  <w:marRight w:val="0"/>
                  <w:marTop w:val="0"/>
                  <w:marBottom w:val="0"/>
                  <w:divBdr>
                    <w:top w:val="single" w:sz="2" w:space="0" w:color="auto"/>
                    <w:left w:val="single" w:sz="2" w:space="0" w:color="auto"/>
                    <w:bottom w:val="single" w:sz="2" w:space="0" w:color="auto"/>
                    <w:right w:val="single" w:sz="2" w:space="0" w:color="auto"/>
                  </w:divBdr>
                  <w:divsChild>
                    <w:div w:id="9749886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64702268">
      <w:bodyDiv w:val="1"/>
      <w:marLeft w:val="0"/>
      <w:marRight w:val="0"/>
      <w:marTop w:val="0"/>
      <w:marBottom w:val="0"/>
      <w:divBdr>
        <w:top w:val="none" w:sz="0" w:space="0" w:color="auto"/>
        <w:left w:val="none" w:sz="0" w:space="0" w:color="auto"/>
        <w:bottom w:val="none" w:sz="0" w:space="0" w:color="auto"/>
        <w:right w:val="none" w:sz="0" w:space="0" w:color="auto"/>
      </w:divBdr>
    </w:div>
    <w:div w:id="283969084">
      <w:bodyDiv w:val="1"/>
      <w:marLeft w:val="0"/>
      <w:marRight w:val="0"/>
      <w:marTop w:val="0"/>
      <w:marBottom w:val="0"/>
      <w:divBdr>
        <w:top w:val="none" w:sz="0" w:space="0" w:color="auto"/>
        <w:left w:val="none" w:sz="0" w:space="0" w:color="auto"/>
        <w:bottom w:val="none" w:sz="0" w:space="0" w:color="auto"/>
        <w:right w:val="none" w:sz="0" w:space="0" w:color="auto"/>
      </w:divBdr>
    </w:div>
    <w:div w:id="339741840">
      <w:bodyDiv w:val="1"/>
      <w:marLeft w:val="0"/>
      <w:marRight w:val="0"/>
      <w:marTop w:val="0"/>
      <w:marBottom w:val="0"/>
      <w:divBdr>
        <w:top w:val="none" w:sz="0" w:space="0" w:color="auto"/>
        <w:left w:val="none" w:sz="0" w:space="0" w:color="auto"/>
        <w:bottom w:val="none" w:sz="0" w:space="0" w:color="auto"/>
        <w:right w:val="none" w:sz="0" w:space="0" w:color="auto"/>
      </w:divBdr>
    </w:div>
    <w:div w:id="470296322">
      <w:bodyDiv w:val="1"/>
      <w:marLeft w:val="0"/>
      <w:marRight w:val="0"/>
      <w:marTop w:val="0"/>
      <w:marBottom w:val="0"/>
      <w:divBdr>
        <w:top w:val="none" w:sz="0" w:space="0" w:color="auto"/>
        <w:left w:val="none" w:sz="0" w:space="0" w:color="auto"/>
        <w:bottom w:val="none" w:sz="0" w:space="0" w:color="auto"/>
        <w:right w:val="none" w:sz="0" w:space="0" w:color="auto"/>
      </w:divBdr>
    </w:div>
    <w:div w:id="1151752599">
      <w:bodyDiv w:val="1"/>
      <w:marLeft w:val="0"/>
      <w:marRight w:val="0"/>
      <w:marTop w:val="0"/>
      <w:marBottom w:val="0"/>
      <w:divBdr>
        <w:top w:val="none" w:sz="0" w:space="0" w:color="auto"/>
        <w:left w:val="none" w:sz="0" w:space="0" w:color="auto"/>
        <w:bottom w:val="none" w:sz="0" w:space="0" w:color="auto"/>
        <w:right w:val="none" w:sz="0" w:space="0" w:color="auto"/>
      </w:divBdr>
    </w:div>
    <w:div w:id="1637643298">
      <w:bodyDiv w:val="1"/>
      <w:marLeft w:val="0"/>
      <w:marRight w:val="0"/>
      <w:marTop w:val="0"/>
      <w:marBottom w:val="0"/>
      <w:divBdr>
        <w:top w:val="none" w:sz="0" w:space="0" w:color="auto"/>
        <w:left w:val="none" w:sz="0" w:space="0" w:color="auto"/>
        <w:bottom w:val="none" w:sz="0" w:space="0" w:color="auto"/>
        <w:right w:val="none" w:sz="0" w:space="0" w:color="auto"/>
      </w:divBdr>
    </w:div>
    <w:div w:id="1654597725">
      <w:bodyDiv w:val="1"/>
      <w:marLeft w:val="0"/>
      <w:marRight w:val="0"/>
      <w:marTop w:val="0"/>
      <w:marBottom w:val="0"/>
      <w:divBdr>
        <w:top w:val="none" w:sz="0" w:space="0" w:color="auto"/>
        <w:left w:val="none" w:sz="0" w:space="0" w:color="auto"/>
        <w:bottom w:val="none" w:sz="0" w:space="0" w:color="auto"/>
        <w:right w:val="none" w:sz="0" w:space="0" w:color="auto"/>
      </w:divBdr>
    </w:div>
    <w:div w:id="1698658000">
      <w:bodyDiv w:val="1"/>
      <w:marLeft w:val="0"/>
      <w:marRight w:val="0"/>
      <w:marTop w:val="0"/>
      <w:marBottom w:val="0"/>
      <w:divBdr>
        <w:top w:val="none" w:sz="0" w:space="0" w:color="auto"/>
        <w:left w:val="none" w:sz="0" w:space="0" w:color="auto"/>
        <w:bottom w:val="none" w:sz="0" w:space="0" w:color="auto"/>
        <w:right w:val="none" w:sz="0" w:space="0" w:color="auto"/>
      </w:divBdr>
    </w:div>
    <w:div w:id="1983264094">
      <w:bodyDiv w:val="1"/>
      <w:marLeft w:val="0"/>
      <w:marRight w:val="0"/>
      <w:marTop w:val="0"/>
      <w:marBottom w:val="0"/>
      <w:divBdr>
        <w:top w:val="none" w:sz="0" w:space="0" w:color="auto"/>
        <w:left w:val="none" w:sz="0" w:space="0" w:color="auto"/>
        <w:bottom w:val="none" w:sz="0" w:space="0" w:color="auto"/>
        <w:right w:val="none" w:sz="0" w:space="0" w:color="auto"/>
      </w:divBdr>
    </w:div>
    <w:div w:id="2135828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4168</Words>
  <Characters>23761</Characters>
  <Application>Microsoft Office Word</Application>
  <DocSecurity>0</DocSecurity>
  <Lines>198</Lines>
  <Paragraphs>55</Paragraphs>
  <ScaleCrop>false</ScaleCrop>
  <Company/>
  <LinksUpToDate>false</LinksUpToDate>
  <CharactersWithSpaces>27874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2</cp:revision>
  <cp:lastPrinted>2024-11-18T08:39:00Z</cp:lastPrinted>
  <dcterms:created xsi:type="dcterms:W3CDTF">2024-11-18T08:49:00Z</dcterms:created>
  <dcterms:modified xsi:type="dcterms:W3CDTF">2024-11-18T08:49:00Z</dcterms:modified>
</cp:coreProperties>
</file>