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7557F" w14:textId="2B113610" w:rsidR="00D322FC" w:rsidRPr="009A4927" w:rsidRDefault="00716699" w:rsidP="00716699">
      <w:pPr>
        <w:spacing w:line="360" w:lineRule="auto"/>
        <w:rPr>
          <w:rFonts w:ascii="Arial" w:hAnsi="Arial" w:cs="Arial"/>
        </w:rPr>
      </w:pPr>
      <w:r w:rsidRPr="00716699">
        <w:rPr>
          <w:rFonts w:ascii="Arial" w:hAnsi="Arial" w:cs="Arial"/>
        </w:rPr>
        <w:t>Script</w:t>
      </w:r>
    </w:p>
    <w:p w14:paraId="5E87BD5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Carys</w:t>
      </w:r>
      <w:r w:rsidRPr="009A4927">
        <w:rPr>
          <w:rStyle w:val="normaltextrun"/>
          <w:rFonts w:ascii="Arial" w:eastAsiaTheme="majorEastAsia" w:hAnsi="Arial" w:cs="Arial"/>
          <w:sz w:val="22"/>
          <w:szCs w:val="22"/>
        </w:rPr>
        <w:t>: Good evening, everyone. As we prepare for our upcoming Care Inspectorate Wales (CIW) inspection, it is essential that we critically evaluate our setting’s quality assurance processes. My focus today as Nursery Manager is on ensuring we meet and exceed the National Minimum Standards (NMS) (Welsh Government, 2023) in the areas of staff ratios, policies, staff appraisals, and qualifications.</w:t>
      </w:r>
      <w:r w:rsidRPr="009A4927">
        <w:rPr>
          <w:rStyle w:val="eop"/>
          <w:rFonts w:ascii="Arial" w:eastAsiaTheme="majorEastAsia" w:hAnsi="Arial" w:cs="Arial"/>
          <w:sz w:val="22"/>
          <w:szCs w:val="22"/>
        </w:rPr>
        <w:t> </w:t>
      </w:r>
    </w:p>
    <w:p w14:paraId="187821A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In addition to these structural aspects, we must also consider how these areas feed into the Self-Assessment of Service Statement (SASS), a legal requirement under The Childminding &amp; Day Care (Wales) Regulations 2010, Sections 16 &amp; 17. This evidences our compliance and commitment to quality improvement. Our goal is not just to meet inspection requirements but to embed a culture of continuous quality enhancement that aligns with both regulatory expectations and the best interests of the children and families we support (Care Inspectorate Wales, 2023).</w:t>
      </w:r>
      <w:r w:rsidRPr="009A4927">
        <w:rPr>
          <w:rStyle w:val="eop"/>
          <w:rFonts w:ascii="Arial" w:eastAsiaTheme="majorEastAsia" w:hAnsi="Arial" w:cs="Arial"/>
          <w:sz w:val="22"/>
          <w:szCs w:val="22"/>
        </w:rPr>
        <w:t> </w:t>
      </w:r>
    </w:p>
    <w:p w14:paraId="53AEE19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771188B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Lil</w:t>
      </w:r>
      <w:r w:rsidRPr="009A4927">
        <w:rPr>
          <w:rStyle w:val="normaltextrun"/>
          <w:rFonts w:ascii="Arial" w:eastAsiaTheme="majorEastAsia" w:hAnsi="Arial" w:cs="Arial"/>
          <w:sz w:val="22"/>
          <w:szCs w:val="22"/>
        </w:rPr>
        <w:t>: I’d like to take this opportunity to reflect on our progress since the last review and highlight the key changes we have implemented to enhance our quality of practice.  I am the Curriculum Lead in our setting. One of the most significant steps we have taken is adopting the Curiosity Approach, aligning with our commitment to delivering high-quality care and education.</w:t>
      </w:r>
      <w:r w:rsidRPr="009A4927">
        <w:rPr>
          <w:rStyle w:val="eop"/>
          <w:rFonts w:ascii="Arial" w:eastAsiaTheme="majorEastAsia" w:hAnsi="Arial" w:cs="Arial"/>
          <w:sz w:val="22"/>
          <w:szCs w:val="22"/>
        </w:rPr>
        <w:t> </w:t>
      </w:r>
    </w:p>
    <w:p w14:paraId="76B5CD8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379AD584"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Laura: </w:t>
      </w:r>
      <w:proofErr w:type="gramStart"/>
      <w:r w:rsidRPr="009A4927">
        <w:rPr>
          <w:rStyle w:val="normaltextrun"/>
          <w:rFonts w:ascii="Arial" w:eastAsiaTheme="majorEastAsia" w:hAnsi="Arial" w:cs="Arial"/>
          <w:sz w:val="22"/>
          <w:szCs w:val="22"/>
        </w:rPr>
        <w:t>Yes</w:t>
      </w:r>
      <w:proofErr w:type="gramEnd"/>
      <w:r w:rsidRPr="009A4927">
        <w:rPr>
          <w:rStyle w:val="normaltextrun"/>
          <w:rFonts w:ascii="Arial" w:eastAsiaTheme="majorEastAsia" w:hAnsi="Arial" w:cs="Arial"/>
          <w:sz w:val="22"/>
          <w:szCs w:val="22"/>
        </w:rPr>
        <w:t xml:space="preserve"> and to adhere to our legal requirement under the Childminding and Day Care (Wales) Regulations 2010 and aligning with the National Minimum Standards (2023), my role as the parent liaison officer has been to ensure that feedback particularly from parents, children and staff is gathered, analysed, and used to improve the quality of care within our nursery setting. I have specifically looked at feedback from suggestion boxes, staff meetings and mind mapping.</w:t>
      </w:r>
      <w:r w:rsidRPr="009A4927">
        <w:rPr>
          <w:rStyle w:val="eop"/>
          <w:rFonts w:ascii="Arial" w:eastAsiaTheme="majorEastAsia" w:hAnsi="Arial" w:cs="Arial"/>
          <w:sz w:val="22"/>
          <w:szCs w:val="22"/>
        </w:rPr>
        <w:t> </w:t>
      </w:r>
    </w:p>
    <w:p w14:paraId="49FDED36"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Gaining stakeholders perspectives on how well we meet children's developmental needs is essential for maintaining high-quality care. (National Minimum Standards, Section 6.1). This holistic approach and integrating both structural and process elements, is fundamental to achieving positive outcomes for all children (Eadie </w:t>
      </w:r>
      <w:r w:rsidRPr="009A4927">
        <w:rPr>
          <w:rStyle w:val="normaltextrun"/>
          <w:rFonts w:ascii="Arial" w:eastAsiaTheme="majorEastAsia" w:hAnsi="Arial" w:cs="Arial"/>
          <w:i/>
          <w:iCs/>
          <w:sz w:val="22"/>
          <w:szCs w:val="22"/>
        </w:rPr>
        <w:t>et al.</w:t>
      </w:r>
      <w:r w:rsidRPr="009A4927">
        <w:rPr>
          <w:rStyle w:val="normaltextrun"/>
          <w:rFonts w:ascii="Arial" w:eastAsiaTheme="majorEastAsia" w:hAnsi="Arial" w:cs="Arial"/>
          <w:sz w:val="22"/>
          <w:szCs w:val="22"/>
        </w:rPr>
        <w:t xml:space="preserve"> 2022).</w:t>
      </w:r>
      <w:r w:rsidRPr="009A4927">
        <w:rPr>
          <w:rStyle w:val="eop"/>
          <w:rFonts w:ascii="Arial" w:eastAsiaTheme="majorEastAsia" w:hAnsi="Arial" w:cs="Arial"/>
          <w:sz w:val="22"/>
          <w:szCs w:val="22"/>
        </w:rPr>
        <w:t> </w:t>
      </w:r>
    </w:p>
    <w:p w14:paraId="2D821CA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However, as highlighted by Tayler (2015) it is not enough to merely collect this data but instead we must use the findings to drive change and adopt new strategies to continually improve the quality of our care.  </w:t>
      </w:r>
      <w:r w:rsidRPr="009A4927">
        <w:rPr>
          <w:rStyle w:val="eop"/>
          <w:rFonts w:ascii="Arial" w:eastAsiaTheme="majorEastAsia" w:hAnsi="Arial" w:cs="Arial"/>
          <w:sz w:val="22"/>
          <w:szCs w:val="22"/>
        </w:rPr>
        <w:t> </w:t>
      </w:r>
    </w:p>
    <w:p w14:paraId="73927CBF"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55C8A72B"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Carys:</w:t>
      </w:r>
      <w:r w:rsidRPr="009A4927">
        <w:rPr>
          <w:rStyle w:val="normaltextrun"/>
          <w:rFonts w:ascii="Arial" w:eastAsiaTheme="majorEastAsia" w:hAnsi="Arial" w:cs="Arial"/>
          <w:sz w:val="22"/>
          <w:szCs w:val="22"/>
        </w:rPr>
        <w:t xml:space="preserve"> Building on what Laura and Lil have shared, I would like to begin by reviewing our staffing ratios. Staff ratios are fundamental to quality provision, influencing safety, </w:t>
      </w:r>
      <w:r w:rsidRPr="009A4927">
        <w:rPr>
          <w:rStyle w:val="normaltextrun"/>
          <w:rFonts w:ascii="Arial" w:eastAsiaTheme="majorEastAsia" w:hAnsi="Arial" w:cs="Arial"/>
          <w:sz w:val="22"/>
          <w:szCs w:val="22"/>
        </w:rPr>
        <w:lastRenderedPageBreak/>
        <w:t>engagement, and learning outcomes. The National Minimum Standards (NMS) (Welsh Government, 2023) provide clear guidance on the required ratios for different age groups. However, research highlights that simply meeting these minimum requirements is not enough to ensure the highest quality of care. Studies by Siraj et al. (2015) emphasise that lower child-to-staff ratios lead to stronger emotional well-being and richer language development, reinforcing the importance of staffing structures that prioritise meaningful interactions between practitioners and children.</w:t>
      </w:r>
      <w:r w:rsidRPr="009A4927">
        <w:rPr>
          <w:rStyle w:val="eop"/>
          <w:rFonts w:ascii="Arial" w:eastAsiaTheme="majorEastAsia" w:hAnsi="Arial" w:cs="Arial"/>
          <w:sz w:val="22"/>
          <w:szCs w:val="22"/>
        </w:rPr>
        <w:t> </w:t>
      </w:r>
    </w:p>
    <w:p w14:paraId="0DC1F92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To ensure compliance and maintain high standards, we conduct quarterly ratio audits, carefully tracking fluctuations due to breaks, absences, and training schedules. One of the key challenges identified through staff feedback is the difficulty of maintaining these ratios during peak times, which can impact child supervision and the quality of interactions. In response, we have introduced floating staff roles, </w:t>
      </w:r>
      <w:proofErr w:type="gramStart"/>
      <w:r w:rsidRPr="009A4927">
        <w:rPr>
          <w:rStyle w:val="normaltextrun"/>
          <w:rFonts w:ascii="Arial" w:eastAsiaTheme="majorEastAsia" w:hAnsi="Arial" w:cs="Arial"/>
          <w:sz w:val="22"/>
          <w:szCs w:val="22"/>
        </w:rPr>
        <w:t>ensuring</w:t>
      </w:r>
      <w:proofErr w:type="gramEnd"/>
      <w:r w:rsidRPr="009A4927">
        <w:rPr>
          <w:rStyle w:val="normaltextrun"/>
          <w:rFonts w:ascii="Arial" w:eastAsiaTheme="majorEastAsia" w:hAnsi="Arial" w:cs="Arial"/>
          <w:sz w:val="22"/>
          <w:szCs w:val="22"/>
        </w:rPr>
        <w:t xml:space="preserve"> flexibility while maintaining continuity of care. This initiative directly supports the Well-being and Care &amp; Development areas of the CIW Care Quality Review (CIW, 2023), demonstrating our commitment to improving outcomes through effective workforce management.</w:t>
      </w:r>
      <w:r w:rsidRPr="009A4927">
        <w:rPr>
          <w:rStyle w:val="eop"/>
          <w:rFonts w:ascii="Arial" w:eastAsiaTheme="majorEastAsia" w:hAnsi="Arial" w:cs="Arial"/>
          <w:sz w:val="22"/>
          <w:szCs w:val="22"/>
        </w:rPr>
        <w:t> </w:t>
      </w:r>
    </w:p>
    <w:p w14:paraId="658059E2"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08051197"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Laura</w:t>
      </w:r>
      <w:r w:rsidRPr="009A4927">
        <w:rPr>
          <w:rStyle w:val="normaltextrun"/>
          <w:rFonts w:ascii="Arial" w:eastAsiaTheme="majorEastAsia" w:hAnsi="Arial" w:cs="Arial"/>
          <w:sz w:val="22"/>
          <w:szCs w:val="22"/>
        </w:rPr>
        <w:t>: Feedback from Staff as we know, is through regular morning meetings and appraisals. While team meetings promote collaboration and open discussions, they may discourage honest criticism if staff feel uncomfortable voicing concerns in a group setting. </w:t>
      </w:r>
      <w:r w:rsidRPr="009A4927">
        <w:rPr>
          <w:rStyle w:val="eop"/>
          <w:rFonts w:ascii="Arial" w:eastAsiaTheme="majorEastAsia" w:hAnsi="Arial" w:cs="Arial"/>
          <w:sz w:val="22"/>
          <w:szCs w:val="22"/>
        </w:rPr>
        <w:t> </w:t>
      </w:r>
    </w:p>
    <w:p w14:paraId="45808334"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During staff meetings concerns about communication between team members during busy periods have come to light, particularly around children arriving and departing the setting. Staff have also fed back comments made by parents that important updates regarding their children's needs are being missed.</w:t>
      </w:r>
      <w:r w:rsidRPr="009A4927">
        <w:rPr>
          <w:rStyle w:val="eop"/>
          <w:rFonts w:ascii="Arial" w:eastAsiaTheme="majorEastAsia" w:hAnsi="Arial" w:cs="Arial"/>
          <w:sz w:val="22"/>
          <w:szCs w:val="22"/>
        </w:rPr>
        <w:t> </w:t>
      </w:r>
    </w:p>
    <w:p w14:paraId="6E36485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Effective communication and training are crucial for safety, teamwork, and maintaining high-quality care (Campbell-Barr, 2016). It also aligns with The National Minimum Standards (2023, Section 13) which require all staff to have appropriate qualifications, experience, skills, and abilities. To address communication challenges, I have adopted an egalitarian style of leadership (Sinusoid, 2021) and collectively we have decided to trial a What’s App group on mobile phones enabling instant communication instead of using the current white boards.</w:t>
      </w:r>
      <w:r w:rsidRPr="009A4927">
        <w:rPr>
          <w:rStyle w:val="eop"/>
          <w:rFonts w:ascii="Arial" w:eastAsiaTheme="majorEastAsia" w:hAnsi="Arial" w:cs="Arial"/>
          <w:sz w:val="22"/>
          <w:szCs w:val="22"/>
        </w:rPr>
        <w:t> </w:t>
      </w:r>
    </w:p>
    <w:p w14:paraId="338130E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Implementing a digital communication tool directly supports the CIW Quality of Care Review by enhancing collaboration, problem-solving and the trialling of new approaches, demonstrating strong reflective leadership to improve efficiency (Lindon </w:t>
      </w:r>
      <w:r w:rsidRPr="009A4927">
        <w:rPr>
          <w:rStyle w:val="normaltextrun"/>
          <w:rFonts w:ascii="Arial" w:eastAsiaTheme="majorEastAsia" w:hAnsi="Arial" w:cs="Arial"/>
          <w:i/>
          <w:iCs/>
          <w:sz w:val="22"/>
          <w:szCs w:val="22"/>
        </w:rPr>
        <w:t>et al.,</w:t>
      </w:r>
      <w:r w:rsidRPr="009A4927">
        <w:rPr>
          <w:rStyle w:val="normaltextrun"/>
          <w:rFonts w:ascii="Arial" w:eastAsiaTheme="majorEastAsia" w:hAnsi="Arial" w:cs="Arial"/>
          <w:sz w:val="22"/>
          <w:szCs w:val="22"/>
        </w:rPr>
        <w:t xml:space="preserve"> 2016). Instant communication contributes to a safer environment by enabling timely reporting of hazards and information. It strengthens staff coordination, promotes consistent care for children and regular updates enhance staff well-being creating a positive working environment. Children’s </w:t>
      </w:r>
      <w:r w:rsidRPr="009A4927">
        <w:rPr>
          <w:rStyle w:val="normaltextrun"/>
          <w:rFonts w:ascii="Arial" w:eastAsiaTheme="majorEastAsia" w:hAnsi="Arial" w:cs="Arial"/>
          <w:sz w:val="22"/>
          <w:szCs w:val="22"/>
        </w:rPr>
        <w:lastRenderedPageBreak/>
        <w:t>care and development benefit as staff share ideas and reminders regarding planned activities and learning objectives.</w:t>
      </w:r>
      <w:r w:rsidRPr="009A4927">
        <w:rPr>
          <w:rStyle w:val="eop"/>
          <w:rFonts w:ascii="Arial" w:eastAsiaTheme="majorEastAsia" w:hAnsi="Arial" w:cs="Arial"/>
          <w:sz w:val="22"/>
          <w:szCs w:val="22"/>
        </w:rPr>
        <w:t> </w:t>
      </w:r>
    </w:p>
    <w:p w14:paraId="7E3CFF7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Challenges may arise however, with the potential risk of staff becoming distracted with their phone during work time…. something to monitor. It will also be critical to enforce clear data protection and confidentiality rules (Data Protection Act 2018, Article 5), keeping child-specific details to a minimum with a no-photography policy to protect privacy, ……I think we’ll set up some training for this do you agree?  </w:t>
      </w:r>
      <w:r w:rsidRPr="009A4927">
        <w:rPr>
          <w:rStyle w:val="eop"/>
          <w:rFonts w:ascii="Arial" w:eastAsiaTheme="majorEastAsia" w:hAnsi="Arial" w:cs="Arial"/>
          <w:sz w:val="22"/>
          <w:szCs w:val="22"/>
        </w:rPr>
        <w:t> </w:t>
      </w:r>
    </w:p>
    <w:p w14:paraId="0521E01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7F9D794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ALL</w:t>
      </w:r>
      <w:r w:rsidRPr="009A4927">
        <w:rPr>
          <w:rStyle w:val="normaltextrun"/>
          <w:rFonts w:ascii="Arial" w:eastAsiaTheme="majorEastAsia" w:hAnsi="Arial" w:cs="Arial"/>
          <w:sz w:val="22"/>
          <w:szCs w:val="22"/>
        </w:rPr>
        <w:t>: YES</w:t>
      </w:r>
      <w:r w:rsidRPr="009A4927">
        <w:rPr>
          <w:rStyle w:val="scxw132562156"/>
          <w:rFonts w:ascii="Arial" w:eastAsiaTheme="majorEastAsia" w:hAnsi="Arial" w:cs="Arial"/>
          <w:sz w:val="22"/>
          <w:szCs w:val="22"/>
        </w:rPr>
        <w:t> </w:t>
      </w:r>
      <w:r w:rsidRPr="009A4927">
        <w:rPr>
          <w:rFonts w:ascii="Arial" w:hAnsi="Arial" w:cs="Arial"/>
          <w:sz w:val="22"/>
          <w:szCs w:val="22"/>
        </w:rPr>
        <w:br/>
      </w:r>
      <w:r w:rsidRPr="009A4927">
        <w:rPr>
          <w:rStyle w:val="eop"/>
          <w:rFonts w:ascii="Arial" w:eastAsiaTheme="majorEastAsia" w:hAnsi="Arial" w:cs="Arial"/>
          <w:sz w:val="22"/>
          <w:szCs w:val="22"/>
        </w:rPr>
        <w:t> </w:t>
      </w:r>
    </w:p>
    <w:p w14:paraId="5742DD8E"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Carys</w:t>
      </w:r>
      <w:r w:rsidRPr="009A4927">
        <w:rPr>
          <w:rStyle w:val="normaltextrun"/>
          <w:rFonts w:ascii="Arial" w:eastAsiaTheme="majorEastAsia" w:hAnsi="Arial" w:cs="Arial"/>
          <w:sz w:val="22"/>
          <w:szCs w:val="22"/>
        </w:rPr>
        <w:t>: Looping back to what you said about staff qualifications, they also play a key role in quality as well as being a requirement of the National Minimum Standards (2023, Section 13). CIW stipulates that at least 50% of childcare staff must hold a Level 3 qualification. While we currently exceed this, we actively encourage staff to work toward Level 4 and beyond.</w:t>
      </w:r>
      <w:r w:rsidRPr="009A4927">
        <w:rPr>
          <w:rStyle w:val="eop"/>
          <w:rFonts w:ascii="Arial" w:eastAsiaTheme="majorEastAsia" w:hAnsi="Arial" w:cs="Arial"/>
          <w:sz w:val="22"/>
          <w:szCs w:val="22"/>
        </w:rPr>
        <w:t> </w:t>
      </w:r>
    </w:p>
    <w:p w14:paraId="3B3A6A2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Research by Sylva et al. (2010) demonstrates that settings with more highly qualified staff show significantly better child outcomes, especially in language and cognitive development. To track and support progress, we’ve implemented a digital CPD log. This allows staff to record their training and reflect on their learning journeys. Staff have responded positively to this tool, and it’s helped us monitor engagement with professional development.</w:t>
      </w:r>
      <w:r w:rsidRPr="009A4927">
        <w:rPr>
          <w:rStyle w:val="eop"/>
          <w:rFonts w:ascii="Arial" w:eastAsiaTheme="majorEastAsia" w:hAnsi="Arial" w:cs="Arial"/>
          <w:sz w:val="22"/>
          <w:szCs w:val="22"/>
        </w:rPr>
        <w:t> </w:t>
      </w:r>
    </w:p>
    <w:p w14:paraId="4B0629C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Of course, CPD must be meaningful. Moss (2016) reminds us that quality is dynamic, shaped by the values and leadership within a setting. By embedding a culture of reflective learning, we promote not only individual growth but collective improvement. As Campbell-Barr (2016) highlights, investing in staff development is one of the most effective ways to improve children’s experiences.</w:t>
      </w:r>
      <w:r w:rsidRPr="009A4927">
        <w:rPr>
          <w:rStyle w:val="eop"/>
          <w:rFonts w:ascii="Arial" w:eastAsiaTheme="majorEastAsia" w:hAnsi="Arial" w:cs="Arial"/>
          <w:sz w:val="22"/>
          <w:szCs w:val="22"/>
        </w:rPr>
        <w:t> </w:t>
      </w:r>
    </w:p>
    <w:p w14:paraId="467DEDE5"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681C36E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Lil:</w:t>
      </w:r>
      <w:r w:rsidRPr="009A4927">
        <w:rPr>
          <w:rStyle w:val="normaltextrun"/>
          <w:rFonts w:ascii="Arial" w:eastAsiaTheme="majorEastAsia" w:hAnsi="Arial" w:cs="Arial"/>
          <w:sz w:val="22"/>
          <w:szCs w:val="22"/>
        </w:rPr>
        <w:t xml:space="preserve"> I agree as Moss (2016) suggests that quality is not a fixed standard but shaped by leadership and policy frameworks. This perspective encourages us to assess whether our reflective practices truly support staff development. Additionally, </w:t>
      </w:r>
      <w:r w:rsidRPr="009A4927">
        <w:rPr>
          <w:rStyle w:val="normaltextrun"/>
          <w:rFonts w:ascii="Arial" w:eastAsiaTheme="majorEastAsia" w:hAnsi="Arial" w:cs="Arial"/>
          <w:i/>
          <w:iCs/>
          <w:sz w:val="22"/>
          <w:szCs w:val="22"/>
        </w:rPr>
        <w:t>Eadie et al. (2022)</w:t>
      </w:r>
      <w:r w:rsidRPr="009A4927">
        <w:rPr>
          <w:rStyle w:val="normaltextrun"/>
          <w:rFonts w:ascii="Arial" w:eastAsiaTheme="majorEastAsia" w:hAnsi="Arial" w:cs="Arial"/>
          <w:sz w:val="22"/>
          <w:szCs w:val="22"/>
        </w:rPr>
        <w:t xml:space="preserve"> highlight the importance of leadership in structuring professional development, reinforcing the need for continuous learning and accountability. Tayler (2015) further emphasises that positive early learning experiences and relationships shape children's long-term well-being, reinforcing our focus on a high-quality curriculum.</w:t>
      </w:r>
      <w:r w:rsidRPr="009A4927">
        <w:rPr>
          <w:rStyle w:val="eop"/>
          <w:rFonts w:ascii="Arial" w:eastAsiaTheme="majorEastAsia" w:hAnsi="Arial" w:cs="Arial"/>
          <w:sz w:val="22"/>
          <w:szCs w:val="22"/>
        </w:rPr>
        <w:t> </w:t>
      </w:r>
    </w:p>
    <w:p w14:paraId="1D73AF36"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7A157C4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Carys</w:t>
      </w:r>
      <w:r w:rsidRPr="009A4927">
        <w:rPr>
          <w:rStyle w:val="normaltextrun"/>
          <w:rFonts w:ascii="Arial" w:eastAsiaTheme="majorEastAsia" w:hAnsi="Arial" w:cs="Arial"/>
          <w:sz w:val="22"/>
          <w:szCs w:val="22"/>
        </w:rPr>
        <w:t xml:space="preserve">: Building on our discussion of staff development, I’d now like to focus on appraisals. Under Regulation 36 of the Regulation and Inspection of Social Care (Wales) Act 2016, we are required to provide quarterly supervisions and annual appraisals. </w:t>
      </w:r>
      <w:proofErr w:type="gramStart"/>
      <w:r w:rsidRPr="009A4927">
        <w:rPr>
          <w:rStyle w:val="normaltextrun"/>
          <w:rFonts w:ascii="Arial" w:eastAsiaTheme="majorEastAsia" w:hAnsi="Arial" w:cs="Arial"/>
          <w:sz w:val="22"/>
          <w:szCs w:val="22"/>
        </w:rPr>
        <w:t>These help</w:t>
      </w:r>
      <w:proofErr w:type="gramEnd"/>
      <w:r w:rsidRPr="009A4927">
        <w:rPr>
          <w:rStyle w:val="normaltextrun"/>
          <w:rFonts w:ascii="Arial" w:eastAsiaTheme="majorEastAsia" w:hAnsi="Arial" w:cs="Arial"/>
          <w:sz w:val="22"/>
          <w:szCs w:val="22"/>
        </w:rPr>
        <w:t xml:space="preserve"> ensure </w:t>
      </w:r>
      <w:r w:rsidRPr="009A4927">
        <w:rPr>
          <w:rStyle w:val="normaltextrun"/>
          <w:rFonts w:ascii="Arial" w:eastAsiaTheme="majorEastAsia" w:hAnsi="Arial" w:cs="Arial"/>
          <w:sz w:val="22"/>
          <w:szCs w:val="22"/>
        </w:rPr>
        <w:lastRenderedPageBreak/>
        <w:t>staff receive timely support, opportunities for reflection, and the chance to identify further training needs.</w:t>
      </w:r>
      <w:r w:rsidRPr="009A4927">
        <w:rPr>
          <w:rStyle w:val="eop"/>
          <w:rFonts w:ascii="Arial" w:eastAsiaTheme="majorEastAsia" w:hAnsi="Arial" w:cs="Arial"/>
          <w:sz w:val="22"/>
          <w:szCs w:val="22"/>
        </w:rPr>
        <w:t> </w:t>
      </w:r>
    </w:p>
    <w:p w14:paraId="254DFC46"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Our appraisal process draws on multiple sources—staff self-assessment, peer observations, leadership observations, and feedback from parents. In our most recent cycle, staff raised interest in learning more about Sustained Shared Thinking (SSTEW), which they felt would enhance the depth of their interactions with children. In response, we organised targeted Continuous Professional Development (CPD) based on the SSTEW framework. Post-training evaluations and follow-up observations revealed a noticeable increase in high-quality questioning, turn-taking in conversations, and child-led inquiry. This reflects the findings of Siraj </w:t>
      </w:r>
      <w:r w:rsidRPr="009A4927">
        <w:rPr>
          <w:rStyle w:val="normaltextrun"/>
          <w:rFonts w:ascii="Arial" w:eastAsiaTheme="majorEastAsia" w:hAnsi="Arial" w:cs="Arial"/>
          <w:i/>
          <w:iCs/>
          <w:sz w:val="22"/>
          <w:szCs w:val="22"/>
        </w:rPr>
        <w:t>et al</w:t>
      </w:r>
      <w:r w:rsidRPr="009A4927">
        <w:rPr>
          <w:rStyle w:val="normaltextrun"/>
          <w:rFonts w:ascii="Arial" w:eastAsiaTheme="majorEastAsia" w:hAnsi="Arial" w:cs="Arial"/>
          <w:sz w:val="22"/>
          <w:szCs w:val="22"/>
        </w:rPr>
        <w:t>. (2015), who stress the value of sustained shared thinking in extending learning and supporting well-being.</w:t>
      </w:r>
      <w:r w:rsidRPr="009A4927">
        <w:rPr>
          <w:rStyle w:val="eop"/>
          <w:rFonts w:ascii="Arial" w:eastAsiaTheme="majorEastAsia" w:hAnsi="Arial" w:cs="Arial"/>
          <w:sz w:val="22"/>
          <w:szCs w:val="22"/>
        </w:rPr>
        <w:t> </w:t>
      </w:r>
    </w:p>
    <w:p w14:paraId="3BD3D7BB"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This approach also aligns with the Leadership and Management dimension of the CIW Care Quality Review, demonstrating how staff feedback directly informs strategic decisions and curriculum development.</w:t>
      </w:r>
      <w:r w:rsidRPr="009A4927">
        <w:rPr>
          <w:rStyle w:val="eop"/>
          <w:rFonts w:ascii="Arial" w:eastAsiaTheme="majorEastAsia" w:hAnsi="Arial" w:cs="Arial"/>
          <w:sz w:val="22"/>
          <w:szCs w:val="22"/>
        </w:rPr>
        <w:t> </w:t>
      </w:r>
    </w:p>
    <w:p w14:paraId="4907F3A7"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511B3BE3"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Lil</w:t>
      </w:r>
      <w:r w:rsidRPr="009A4927">
        <w:rPr>
          <w:rStyle w:val="normaltextrun"/>
          <w:rFonts w:ascii="Arial" w:eastAsiaTheme="majorEastAsia" w:hAnsi="Arial" w:cs="Arial"/>
          <w:sz w:val="22"/>
          <w:szCs w:val="22"/>
        </w:rPr>
        <w:t>: Speaking of Sustained Shared Thinking (SSTEW), following our SSTEW inspection, we reflected on feedback highlighting the need for deeper adult-child interactions, open-ended questioning, and opportunities to extend thinking. In response, we placed a stronger emphasis on sustained shared thinking, ensuring practitioners actively engage with children’s ideas, encourage problem-solving, and foster meaningful discussions (Siraj-Blatchford et al., 2015). This aligns with National Minimum Standards (NMS) guidelines, which advocate for high-quality adult-child interactions. </w:t>
      </w:r>
      <w:r w:rsidRPr="009A4927">
        <w:rPr>
          <w:rStyle w:val="eop"/>
          <w:rFonts w:ascii="Arial" w:eastAsiaTheme="majorEastAsia" w:hAnsi="Arial" w:cs="Arial"/>
          <w:sz w:val="22"/>
          <w:szCs w:val="22"/>
        </w:rPr>
        <w:t> </w:t>
      </w:r>
    </w:p>
    <w:p w14:paraId="1CD554B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Since implementing these changes, we have seen significant improvements in children’s engagement, confidence, and critical thinking skills. They are now immersed in extended play periods, demonstrating deeper problem-solving abilities and collaboration. Research by Bruce (2015) reinforces that play is central to higher-order thinking and communication development, which links directly to the Well-being of Future Generations (Wales) Act 2015 (Welsh Government, 2015). Vygotsky’s socio-cultural theory (1978) also underlines that social interactions and language play a crucial role in cognitive development, further validating our approach. Additionally, the Early Years Foundation Stage (EYFS) framework (UK Government, 2021) emphasises the role of high-quality interactions in supporting children's early development.</w:t>
      </w:r>
      <w:r w:rsidRPr="009A4927">
        <w:rPr>
          <w:rStyle w:val="eop"/>
          <w:rFonts w:ascii="Arial" w:eastAsiaTheme="majorEastAsia" w:hAnsi="Arial" w:cs="Arial"/>
          <w:sz w:val="22"/>
          <w:szCs w:val="22"/>
        </w:rPr>
        <w:t> </w:t>
      </w:r>
    </w:p>
    <w:p w14:paraId="3F200E34"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Following our last CIW inspection and the Quality-of-Care Report recommendations, we critically evaluated our practice and sought innovative ways to enhance children’s learning experiences. A key recommendation was to create a more engaging, stimulating environment that fosters curiosity, independence, and critical thinking (Welsh Government, 2023). In response, we fully embraced the Curiosity Approach, transforming our learning </w:t>
      </w:r>
      <w:r w:rsidRPr="009A4927">
        <w:rPr>
          <w:rStyle w:val="normaltextrun"/>
          <w:rFonts w:ascii="Arial" w:eastAsiaTheme="majorEastAsia" w:hAnsi="Arial" w:cs="Arial"/>
          <w:sz w:val="22"/>
          <w:szCs w:val="22"/>
        </w:rPr>
        <w:lastRenderedPageBreak/>
        <w:t>spaces into open-ended, natural environments rich in authentic resources. This directly supports the Care and Development, Well-being, Environment, and Leadership and Management areas outlined in the report (Care Inspectorate Wales, 2023).</w:t>
      </w:r>
      <w:r w:rsidRPr="009A4927">
        <w:rPr>
          <w:rStyle w:val="eop"/>
          <w:rFonts w:ascii="Arial" w:eastAsiaTheme="majorEastAsia" w:hAnsi="Arial" w:cs="Arial"/>
          <w:sz w:val="22"/>
          <w:szCs w:val="22"/>
        </w:rPr>
        <w:t> </w:t>
      </w:r>
    </w:p>
    <w:p w14:paraId="4BCDC84B"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We have replaced plastic toys with real-life, everyday objects like wooden utensils, metal pots and pans, and fabric materials, encouraging sensory exploration and imaginative play (Montessori, 1967). Loose parts play has been introduced, allowing children to engage with open-ended resources such as wooden blocks, shells, and pinecones, fostering creativity and problem-solving (Bruce, 2015). To enhance child-led learning, we have restructured routines to allow longer, uninterrupted play periods, enabling children to explore their interests at their own pace (The Curiosity Approach, n.d.).</w:t>
      </w:r>
      <w:r w:rsidRPr="009A4927">
        <w:rPr>
          <w:rStyle w:val="eop"/>
          <w:rFonts w:ascii="Arial" w:eastAsiaTheme="majorEastAsia" w:hAnsi="Arial" w:cs="Arial"/>
          <w:sz w:val="22"/>
          <w:szCs w:val="22"/>
        </w:rPr>
        <w:t> </w:t>
      </w:r>
    </w:p>
    <w:p w14:paraId="3089B233"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This shift aligns with CIW National Minimum Standards (NMS), which emphasise child-led exploration, meaningful interactions, and a well-planned learning environment (Care Inspectorate Wales, 2023). Research highlights that sensory-rich environments foster cognitive, social, and emotional growth, supporting holistic development (Whitebread et al., 2017). Additionally, the Welsh Government’s Curriculum for Non-Maintained Settings (2023) encourages exploratory, inquiry-based learning, which is at the heart of our approach. This approach is also supported by the United Nations Convention on the Rights of the Child (UNCRC, 1989, Article 31), which highlights children's rights to play, learn, and develop in environments that nurture their curiosity and well-being.</w:t>
      </w:r>
      <w:r w:rsidRPr="009A4927">
        <w:rPr>
          <w:rStyle w:val="eop"/>
          <w:rFonts w:ascii="Arial" w:eastAsiaTheme="majorEastAsia" w:hAnsi="Arial" w:cs="Arial"/>
          <w:sz w:val="22"/>
          <w:szCs w:val="22"/>
        </w:rPr>
        <w:t> </w:t>
      </w:r>
    </w:p>
    <w:p w14:paraId="2D8616E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0C29ADF5"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Laura: </w:t>
      </w:r>
      <w:r w:rsidRPr="009A4927">
        <w:rPr>
          <w:rStyle w:val="normaltextrun"/>
          <w:rFonts w:ascii="Arial" w:eastAsiaTheme="majorEastAsia" w:hAnsi="Arial" w:cs="Arial"/>
          <w:sz w:val="22"/>
          <w:szCs w:val="22"/>
        </w:rPr>
        <w:t>Thanks Lil, that links to the feedback from the parent suggestion box, where we receive anonymous feedback and ideas. This form of communication has both advantages and limitations. One key benefit is that it allows parents to share honest opinions without fear of judgment or confrontation, particularly when raising sensitive issues. It also promotes inclusivity for parents who may feel uncomfortable expressing concerns in person and provides ongoing feedback throughout the year. </w:t>
      </w:r>
      <w:r w:rsidRPr="009A4927">
        <w:rPr>
          <w:rStyle w:val="eop"/>
          <w:rFonts w:ascii="Arial" w:eastAsiaTheme="majorEastAsia" w:hAnsi="Arial" w:cs="Arial"/>
          <w:sz w:val="22"/>
          <w:szCs w:val="22"/>
        </w:rPr>
        <w:t> </w:t>
      </w:r>
    </w:p>
    <w:p w14:paraId="3603442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There are challenges, however to this method. Anonymous feedback is sometimes difficult to follow-up or gain further clarity on. Some responses may be vague or unconstructive, limiting meaningful change. Low participation is also an issue, perhaps due to parents’ low self-esteem or doubts that their input would lead to change, preferring methods that provide quicker response times. This underscores the importance for us to continue to offer multiple feedback options (Kubi, 2022).</w:t>
      </w:r>
      <w:r w:rsidRPr="009A4927">
        <w:rPr>
          <w:rStyle w:val="eop"/>
          <w:rFonts w:ascii="Arial" w:eastAsiaTheme="majorEastAsia" w:hAnsi="Arial" w:cs="Arial"/>
          <w:sz w:val="22"/>
          <w:szCs w:val="22"/>
        </w:rPr>
        <w:t> </w:t>
      </w:r>
    </w:p>
    <w:p w14:paraId="365A763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So, parents have highlighted concerns regarding the condition of our outdoor area which has been described as looking unkept and needing attention, with suggestions for additional outdoor resources to create a more stimulating environment. The National Minimum Standards (2023. Section 22.2) mandate that outdoor spaces should be well-maintained, accessible, and provide opportunities for active play and development. This improvement </w:t>
      </w:r>
      <w:r w:rsidRPr="009A4927">
        <w:rPr>
          <w:rStyle w:val="normaltextrun"/>
          <w:rFonts w:ascii="Arial" w:eastAsiaTheme="majorEastAsia" w:hAnsi="Arial" w:cs="Arial"/>
          <w:sz w:val="22"/>
          <w:szCs w:val="22"/>
        </w:rPr>
        <w:lastRenderedPageBreak/>
        <w:t>therefore is essential for our children's physical development, exploration and well-being to align also with ‘The Well-being of Future Generations (Wales) Act (2015)’, for a healthier and more resilient Wales.</w:t>
      </w:r>
      <w:r w:rsidRPr="009A4927">
        <w:rPr>
          <w:rStyle w:val="eop"/>
          <w:rFonts w:ascii="Arial" w:eastAsiaTheme="majorEastAsia" w:hAnsi="Arial" w:cs="Arial"/>
          <w:sz w:val="22"/>
          <w:szCs w:val="22"/>
        </w:rPr>
        <w:t> </w:t>
      </w:r>
    </w:p>
    <w:p w14:paraId="47751077"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To address this issue under the Children and Families (Wales) Measure 2010 (Section 30 </w:t>
      </w:r>
      <w:proofErr w:type="gramStart"/>
      <w:r w:rsidRPr="009A4927">
        <w:rPr>
          <w:rStyle w:val="normaltextrun"/>
          <w:rFonts w:ascii="Arial" w:eastAsiaTheme="majorEastAsia" w:hAnsi="Arial" w:cs="Arial"/>
          <w:sz w:val="22"/>
          <w:szCs w:val="22"/>
        </w:rPr>
        <w:t>2,e</w:t>
      </w:r>
      <w:proofErr w:type="gramEnd"/>
      <w:r w:rsidRPr="009A4927">
        <w:rPr>
          <w:rStyle w:val="normaltextrun"/>
          <w:rFonts w:ascii="Arial" w:eastAsiaTheme="majorEastAsia" w:hAnsi="Arial" w:cs="Arial"/>
          <w:sz w:val="22"/>
          <w:szCs w:val="22"/>
        </w:rPr>
        <w:t>) I as a catalytic leader (Connor, 2013) propose a scheduled maintenance plan. This includes replacing broken and worn-out play equipment, adding a sensory wall and where once a week children, parents and staff come together to weed the boarders, plant flowers and tidy the garden in preparation for the summer term. Consistent with Froebel's philosophy which emphasises that engagement with nature fosters understanding appreciation and responsibility (Tovey, ND).</w:t>
      </w:r>
      <w:r w:rsidRPr="009A4927">
        <w:rPr>
          <w:rStyle w:val="eop"/>
          <w:rFonts w:ascii="Arial" w:eastAsiaTheme="majorEastAsia" w:hAnsi="Arial" w:cs="Arial"/>
          <w:sz w:val="22"/>
          <w:szCs w:val="22"/>
        </w:rPr>
        <w:t> </w:t>
      </w:r>
    </w:p>
    <w:p w14:paraId="710576D3"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This approach strengthens the four areas within the CIW inspection framework by fostering parental involvement, enhancing service quality and supporting children’s happiness, health, and well-being (Cottle and Alexander, 2016). It also helps create a safer, more engaging learning environment while promoting physical, social, and emotional development through hands-on experiences that align with the Curriculum for Wales (2022) and supports care and development. Additionally, it demonstrates strong leadership, a commitment to continuous improvement and the sustainability and quality of our setting.</w:t>
      </w:r>
      <w:r w:rsidRPr="009A4927">
        <w:rPr>
          <w:rStyle w:val="eop"/>
          <w:rFonts w:ascii="Arial" w:eastAsiaTheme="majorEastAsia" w:hAnsi="Arial" w:cs="Arial"/>
          <w:sz w:val="22"/>
          <w:szCs w:val="22"/>
        </w:rPr>
        <w:t> </w:t>
      </w:r>
    </w:p>
    <w:p w14:paraId="79AC756F" w14:textId="77777777" w:rsidR="00716699" w:rsidRPr="009A4927" w:rsidRDefault="00716699" w:rsidP="00716699">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A4927">
        <w:rPr>
          <w:rStyle w:val="normaltextrun"/>
          <w:rFonts w:ascii="Arial" w:eastAsiaTheme="majorEastAsia" w:hAnsi="Arial" w:cs="Arial"/>
          <w:sz w:val="22"/>
          <w:szCs w:val="22"/>
        </w:rPr>
        <w:t>However, challenges may arise with having parents on site .... Firstly, health and safety risks including sharp tools, trips and falls and possible contact with animal waste or bacteria in the soil. Supervision and safeguarding are also concerns as parent’s are not DBS checked. Additionally, language barriers and past educational experiences may cause hesitations (Cottle &amp; Alexander, 2016). Therefore, we must ensure measures are in place, such as, risk assessments, supervision policies, hygiene protocols, safe equipment use and flexible engagement to ensure a safe and inclusive environment (Gov. Wales, 2021) (Gov. Wales, 2018) (Equality Act 2010, Section 149).</w:t>
      </w:r>
      <w:r w:rsidRPr="009A4927">
        <w:rPr>
          <w:rStyle w:val="eop"/>
          <w:rFonts w:ascii="Arial" w:eastAsiaTheme="majorEastAsia" w:hAnsi="Arial" w:cs="Arial"/>
          <w:sz w:val="22"/>
          <w:szCs w:val="22"/>
        </w:rPr>
        <w:t> </w:t>
      </w:r>
    </w:p>
    <w:p w14:paraId="1BC6C95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p>
    <w:p w14:paraId="68221C0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Lil: </w:t>
      </w:r>
      <w:r w:rsidRPr="009A4927">
        <w:rPr>
          <w:rStyle w:val="normaltextrun"/>
          <w:rFonts w:ascii="Arial" w:eastAsiaTheme="majorEastAsia" w:hAnsi="Arial" w:cs="Arial"/>
          <w:sz w:val="22"/>
          <w:szCs w:val="22"/>
        </w:rPr>
        <w:t>Some parents have also expressed concerns in the latest parents’ evening that their children are "playing all day" rather than learning. While gathering parental feedback is essential, informal discussions at events like parents’ evenings may not always provide a fully representative view. Verbal feedback also lacks the depth and anonymity that structured surveys offer (Bennett, 2018).</w:t>
      </w:r>
      <w:r w:rsidRPr="009A4927">
        <w:rPr>
          <w:rStyle w:val="eop"/>
          <w:rFonts w:ascii="Arial" w:eastAsiaTheme="majorEastAsia" w:hAnsi="Arial" w:cs="Arial"/>
          <w:sz w:val="22"/>
          <w:szCs w:val="22"/>
        </w:rPr>
        <w:t> </w:t>
      </w:r>
    </w:p>
    <w:p w14:paraId="7F9A50B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To address misconceptions about play-based learning, we have introduced open sessions, allowing parents to observe and engage in child-led activities. Additionally, we provide newsletters and learning journals linking play-based activities to key developmental outcomes (Miller &amp; Pound, 2019). Our approach aligns with NMS requirements, ensuring that families are engaged in their child's learning journey.</w:t>
      </w:r>
      <w:r w:rsidRPr="009A4927">
        <w:rPr>
          <w:rStyle w:val="eop"/>
          <w:rFonts w:ascii="Arial" w:eastAsiaTheme="majorEastAsia" w:hAnsi="Arial" w:cs="Arial"/>
          <w:sz w:val="22"/>
          <w:szCs w:val="22"/>
        </w:rPr>
        <w:t> </w:t>
      </w:r>
    </w:p>
    <w:p w14:paraId="5E179FAC"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lastRenderedPageBreak/>
        <w:t>To gather a broader range of perspectives, we have introduced an anonymous suggestion box which Laura has discussed, and we plan to implement informal drop-in sessions for open discussions. This approach aligns with the Well-being of Future Generations (Wales) Act 2015, which supports holistic, child-centred education (Welsh Government, 2015).</w:t>
      </w:r>
      <w:r w:rsidRPr="009A4927">
        <w:rPr>
          <w:rStyle w:val="eop"/>
          <w:rFonts w:ascii="Arial" w:eastAsiaTheme="majorEastAsia" w:hAnsi="Arial" w:cs="Arial"/>
          <w:sz w:val="22"/>
          <w:szCs w:val="22"/>
        </w:rPr>
        <w:t> </w:t>
      </w:r>
    </w:p>
    <w:p w14:paraId="4B557B0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295C8FF5"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Carys: </w:t>
      </w:r>
      <w:r w:rsidRPr="009A4927">
        <w:rPr>
          <w:rStyle w:val="normaltextrun"/>
          <w:rFonts w:ascii="Arial" w:eastAsiaTheme="majorEastAsia" w:hAnsi="Arial" w:cs="Arial"/>
          <w:sz w:val="22"/>
          <w:szCs w:val="22"/>
        </w:rPr>
        <w:t>I’d now like to talk about policies and how they support both compliance and quality assurance. Policies are foundational in guiding practice, ensuring accountability, and aligning with legislation such as the Children Act (1989, 2004), the Health and Safety at Work Act (1974), and the Regulation and Inspection of Social Care (Wales) Act 2016.</w:t>
      </w:r>
      <w:r w:rsidRPr="009A4927">
        <w:rPr>
          <w:rStyle w:val="eop"/>
          <w:rFonts w:ascii="Arial" w:eastAsiaTheme="majorEastAsia" w:hAnsi="Arial" w:cs="Arial"/>
          <w:sz w:val="22"/>
          <w:szCs w:val="22"/>
        </w:rPr>
        <w:t> </w:t>
      </w:r>
    </w:p>
    <w:p w14:paraId="5F0B857D"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In our setting, key policies include our Safeguarding Policy, Health and Safety Policy, and Supervision and Appraisals Policy. These are all directly tied to National Minimum Standards, such as Standard 20 (Child Protection) and Standard 13 (Staffing).</w:t>
      </w:r>
      <w:r w:rsidRPr="009A4927">
        <w:rPr>
          <w:rStyle w:val="eop"/>
          <w:rFonts w:ascii="Arial" w:eastAsiaTheme="majorEastAsia" w:hAnsi="Arial" w:cs="Arial"/>
          <w:sz w:val="22"/>
          <w:szCs w:val="22"/>
        </w:rPr>
        <w:t> </w:t>
      </w:r>
    </w:p>
    <w:p w14:paraId="580D044B"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Policies must be living documents, regularly reviewed in response to feedback and regulatory change. For example, following an internal audit and staff survey, we identified that new staff were unclear on safeguarding reporting procedures. As a result, we revised our induction policy to include shadowing and more scenario-based safeguarding training in the first two weeks. This improved early confidence and reduced errors in documentation.</w:t>
      </w:r>
      <w:r w:rsidRPr="009A4927">
        <w:rPr>
          <w:rStyle w:val="eop"/>
          <w:rFonts w:ascii="Arial" w:eastAsiaTheme="majorEastAsia" w:hAnsi="Arial" w:cs="Arial"/>
          <w:sz w:val="22"/>
          <w:szCs w:val="22"/>
        </w:rPr>
        <w:t> </w:t>
      </w:r>
    </w:p>
    <w:p w14:paraId="066AA31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Another example came from parental feedback during a group meeting where outdoor provision was discussed. In response, we revised our Outdoor Play Policy to better reflect real-life risk-benefit assessment practices and the use of authentic tools and loose parts. This links to both Lil’s focus on the learning environment and Laura’s insights on co-constructing improvements with families. Policy changes like these not only support legal compliance but also directly influence children’s experiences, reinforcing quality across all four CIW areas.</w:t>
      </w:r>
      <w:r w:rsidRPr="009A4927">
        <w:rPr>
          <w:rStyle w:val="eop"/>
          <w:rFonts w:ascii="Arial" w:eastAsiaTheme="majorEastAsia" w:hAnsi="Arial" w:cs="Arial"/>
          <w:sz w:val="22"/>
          <w:szCs w:val="22"/>
        </w:rPr>
        <w:t> </w:t>
      </w:r>
    </w:p>
    <w:p w14:paraId="43FE734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13995C2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Lil</w:t>
      </w:r>
      <w:r w:rsidRPr="009A4927">
        <w:rPr>
          <w:rStyle w:val="normaltextrun"/>
          <w:rFonts w:ascii="Arial" w:eastAsiaTheme="majorEastAsia" w:hAnsi="Arial" w:cs="Arial"/>
          <w:sz w:val="22"/>
          <w:szCs w:val="22"/>
        </w:rPr>
        <w:t>: Children’s perspectives are equally important, and we gather these through structured and informal observations. By actively engaging with children and understanding their unique interests, we can tailor our provision to better meet their needs. Bowlby’s attachment theory (1969) highlights that secure relationships with caregivers foster confidence and exploration, reinforcing the importance of responsive interactions.</w:t>
      </w:r>
      <w:r w:rsidRPr="009A4927">
        <w:rPr>
          <w:rStyle w:val="eop"/>
          <w:rFonts w:ascii="Arial" w:eastAsiaTheme="majorEastAsia" w:hAnsi="Arial" w:cs="Arial"/>
          <w:sz w:val="22"/>
          <w:szCs w:val="22"/>
        </w:rPr>
        <w:t> </w:t>
      </w:r>
    </w:p>
    <w:p w14:paraId="7D7163E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The Quality Care Report emphasises the need to assess children’s well-being and engagement through observation. Younger children often communicate their preferences through non-verbal cues, such as facial expressions and levels of engagement. For instance, we identified a strong interest in dinosaurs and fossils, which we then incorporated into activities, leading to increased engagement (Welsh Government, 2023). However, a study by Hayes et al. (2023) points out that the mere presence of an observer can lead to changes in children's behaviour, compromising the validity of the feedback gathered. This is </w:t>
      </w:r>
      <w:r w:rsidRPr="009A4927">
        <w:rPr>
          <w:rStyle w:val="normaltextrun"/>
          <w:rFonts w:ascii="Arial" w:eastAsiaTheme="majorEastAsia" w:hAnsi="Arial" w:cs="Arial"/>
          <w:sz w:val="22"/>
          <w:szCs w:val="22"/>
        </w:rPr>
        <w:lastRenderedPageBreak/>
        <w:t>particularly true in settings where children are still adjusting to their environment. The Hawthorne Effect suggests that people (or children, in this case) tend to modify their behaviour when they are aware they are being observed, often resulting in performance-oriented behaviour rather than natural, spontaneous actions. To mitigate this issue, we have worked to minimise our presence and employ unobtrusive observational techniques, such as video recordings, which have helped reduce the likelihood of children altering their behaviour (Barker &amp; Simpson, 2021). Additionally, repeated observations over time ensure that feedback reflects more typical behaviour, as children become more accustomed to the observer’s presence.</w:t>
      </w:r>
      <w:r w:rsidRPr="009A4927">
        <w:rPr>
          <w:rStyle w:val="eop"/>
          <w:rFonts w:ascii="Arial" w:eastAsiaTheme="majorEastAsia" w:hAnsi="Arial" w:cs="Arial"/>
          <w:sz w:val="22"/>
          <w:szCs w:val="22"/>
        </w:rPr>
        <w:t> </w:t>
      </w:r>
    </w:p>
    <w:p w14:paraId="0212EBBE"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For older children, we encourage participation in discussions, drawing, and storytelling to capture their thoughts and interests. This aligns with Vygotsky’s socio-cultural theory (1978), which underscores the role of language and social interaction in cognitive development. By providing opportunities for children to express themselves in various ways, we ensure their voices are valued in shaping our learning environment. This approach is supported by the Curriculum for Non-Maintained Settings (Welsh Government, 2023) and UNCRC (1989), which both advocate for children's rights to be heard and involved in decisions affecting their learning.</w:t>
      </w:r>
      <w:r w:rsidRPr="009A4927">
        <w:rPr>
          <w:rStyle w:val="eop"/>
          <w:rFonts w:ascii="Arial" w:eastAsiaTheme="majorEastAsia" w:hAnsi="Arial" w:cs="Arial"/>
          <w:sz w:val="22"/>
          <w:szCs w:val="22"/>
        </w:rPr>
        <w:t> </w:t>
      </w:r>
    </w:p>
    <w:p w14:paraId="2AEA8282"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019D8EB3"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Laura: </w:t>
      </w:r>
      <w:r w:rsidRPr="009A4927">
        <w:rPr>
          <w:rStyle w:val="normaltextrun"/>
          <w:rFonts w:ascii="Arial" w:eastAsiaTheme="majorEastAsia" w:hAnsi="Arial" w:cs="Arial"/>
          <w:sz w:val="22"/>
          <w:szCs w:val="22"/>
        </w:rPr>
        <w:t>Thanks Lil, I know through parent’s verbal feedback that an area of great strength in our setting is children’s enjoyment. To understand exactly what they valued most I introduced mind mapping. Through mind mapping children, regardless of their learning style or verbal ability, have been able to express themselves in a fun interactive way, fostering inclusive communication in line with the Additional Learning Needs and Education Tribunal (Wales) Act 2018 (Section 6). The children highlighted going ‘out and about’, particularly our recent beach walks, as their most enjoyable experiences. Mind mapping also aligns with UNCRC, Article 12 ensuring that their voices are valued in shaping their experiences. Given this positive feedback I would like to expand on this by arranging further outings and including mind mapping as a weekly feature. </w:t>
      </w:r>
      <w:r w:rsidRPr="009A4927">
        <w:rPr>
          <w:rStyle w:val="eop"/>
          <w:rFonts w:ascii="Arial" w:eastAsiaTheme="majorEastAsia" w:hAnsi="Arial" w:cs="Arial"/>
          <w:sz w:val="22"/>
          <w:szCs w:val="22"/>
        </w:rPr>
        <w:t> </w:t>
      </w:r>
    </w:p>
    <w:p w14:paraId="14780880"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It’s also important however, to acknowledge mind map’s limitations particularly peer influences and the cognitive abilities of young children which might affect their communication skills. We can reduce any bias by continuing with the observations, mentioned by Lil and talking mats.</w:t>
      </w:r>
      <w:r w:rsidRPr="009A4927">
        <w:rPr>
          <w:rStyle w:val="eop"/>
          <w:rFonts w:ascii="Arial" w:eastAsiaTheme="majorEastAsia" w:hAnsi="Arial" w:cs="Arial"/>
          <w:sz w:val="22"/>
          <w:szCs w:val="22"/>
        </w:rPr>
        <w:t> </w:t>
      </w:r>
    </w:p>
    <w:p w14:paraId="5BEAD511"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 xml:space="preserve">Therefore, as evidence for the CIW inspection, I recognise the need to refresh our outdoor space, enhance communication strategies and provide additional staff training on safeguarding and confidentiality. We will measure progress through ‘The Baby Effective Early Learning Programme’ (BEEL) (Bertram &amp; Pascal, 2006) focusing on reflective practice, </w:t>
      </w:r>
      <w:r w:rsidRPr="009A4927">
        <w:rPr>
          <w:rStyle w:val="normaltextrun"/>
          <w:rFonts w:ascii="Arial" w:eastAsiaTheme="majorEastAsia" w:hAnsi="Arial" w:cs="Arial"/>
          <w:sz w:val="22"/>
          <w:szCs w:val="22"/>
        </w:rPr>
        <w:lastRenderedPageBreak/>
        <w:t>observations, meetings and ongoing feedback from all stakeholders ensuring our setting continues to evolve and uphold the highest quality standards.</w:t>
      </w:r>
      <w:r w:rsidRPr="009A4927">
        <w:rPr>
          <w:rStyle w:val="eop"/>
          <w:rFonts w:ascii="Arial" w:eastAsiaTheme="majorEastAsia" w:hAnsi="Arial" w:cs="Arial"/>
          <w:sz w:val="22"/>
          <w:szCs w:val="22"/>
        </w:rPr>
        <w:t> </w:t>
      </w:r>
    </w:p>
    <w:p w14:paraId="5AFCC5D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eop"/>
          <w:rFonts w:ascii="Arial" w:eastAsiaTheme="majorEastAsia" w:hAnsi="Arial" w:cs="Arial"/>
          <w:sz w:val="22"/>
          <w:szCs w:val="22"/>
        </w:rPr>
        <w:t> </w:t>
      </w:r>
    </w:p>
    <w:p w14:paraId="2E3F281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u w:val="single"/>
        </w:rPr>
        <w:t xml:space="preserve">Carys: </w:t>
      </w:r>
      <w:r w:rsidRPr="009A4927">
        <w:rPr>
          <w:rStyle w:val="normaltextrun"/>
          <w:rFonts w:ascii="Arial" w:eastAsiaTheme="majorEastAsia" w:hAnsi="Arial" w:cs="Arial"/>
          <w:sz w:val="22"/>
          <w:szCs w:val="22"/>
        </w:rPr>
        <w:t>So how do we bring all of this together in a way that meets CIW expectations? The answer lies in the Self-Assessment of Service Statement—or SASS. This is a legal requirement under The Child Minding and Day Care (Wales) Regulations 2010 (Sections 16 &amp; 17). SASS is intended to help us evaluate our setting across three key areas: monitoring, reviewing, and implementing change.</w:t>
      </w:r>
      <w:r w:rsidRPr="009A4927">
        <w:rPr>
          <w:rStyle w:val="eop"/>
          <w:rFonts w:ascii="Arial" w:eastAsiaTheme="majorEastAsia" w:hAnsi="Arial" w:cs="Arial"/>
          <w:sz w:val="22"/>
          <w:szCs w:val="22"/>
        </w:rPr>
        <w:t> </w:t>
      </w:r>
    </w:p>
    <w:p w14:paraId="47F1E9C6"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To make this meaningful, we have embedded structured feedback cycles into our quality assurance processes. Internal audits are conducted quarterly and shared with team leaders to discuss areas of strength and improvement. Parental feedback is now collected using anonymous digital surveys, increasing both response rates and honesty. And finally, staff reflections are now formally integrated into our supervision process, so we can track emerging needs and plan ahead.</w:t>
      </w:r>
      <w:r w:rsidRPr="009A4927">
        <w:rPr>
          <w:rStyle w:val="eop"/>
          <w:rFonts w:ascii="Arial" w:eastAsiaTheme="majorEastAsia" w:hAnsi="Arial" w:cs="Arial"/>
          <w:sz w:val="22"/>
          <w:szCs w:val="22"/>
        </w:rPr>
        <w:t> </w:t>
      </w:r>
    </w:p>
    <w:p w14:paraId="26A22E98"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These steps ensure the SASS is not just a compliance form, but a strategic tool for improvement. They also support the Leadership and Management theme in the CIW framework, as well as broader policy drivers like the Well-being of Future Generations Act (Welsh Government, 2015).</w:t>
      </w:r>
      <w:r w:rsidRPr="009A4927">
        <w:rPr>
          <w:rStyle w:val="eop"/>
          <w:rFonts w:ascii="Arial" w:eastAsiaTheme="majorEastAsia" w:hAnsi="Arial" w:cs="Arial"/>
          <w:sz w:val="22"/>
          <w:szCs w:val="22"/>
        </w:rPr>
        <w:t> </w:t>
      </w:r>
    </w:p>
    <w:p w14:paraId="36E232A5"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To conclude, our nursery’s approach to quality is embedded in every aspect of practice—from staffing ratios and qualifications to policies, professional development, and feedback mechanisms. But quality doesn’t exist in isolation. It’s shaped by our ability to listen to children, parents, and staff, and to turn that insight into thoughtful, practical action.</w:t>
      </w:r>
      <w:r w:rsidRPr="009A4927">
        <w:rPr>
          <w:rStyle w:val="eop"/>
          <w:rFonts w:ascii="Arial" w:eastAsiaTheme="majorEastAsia" w:hAnsi="Arial" w:cs="Arial"/>
          <w:sz w:val="22"/>
          <w:szCs w:val="22"/>
        </w:rPr>
        <w:t> </w:t>
      </w:r>
    </w:p>
    <w:p w14:paraId="1EBDAAFA"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Laura’s focus on stakeholder voice and communication strategies shows the value of inclusive practice, while Lil’s insights into curriculum and environment highlight how theoretical frameworks and inspection feedback translate into real-world improvement. Together, these approaches support all four CIW review areas: Well-being, Care and Development, Environment, and Leadership &amp; Management.</w:t>
      </w:r>
      <w:r w:rsidRPr="009A4927">
        <w:rPr>
          <w:rStyle w:val="eop"/>
          <w:rFonts w:ascii="Arial" w:eastAsiaTheme="majorEastAsia" w:hAnsi="Arial" w:cs="Arial"/>
          <w:sz w:val="22"/>
          <w:szCs w:val="22"/>
        </w:rPr>
        <w:t> </w:t>
      </w:r>
    </w:p>
    <w:p w14:paraId="6D54F3C9" w14:textId="77777777" w:rsidR="00716699" w:rsidRPr="009A4927" w:rsidRDefault="00716699" w:rsidP="00716699">
      <w:pPr>
        <w:pStyle w:val="paragraph"/>
        <w:spacing w:before="0" w:beforeAutospacing="0" w:after="0" w:afterAutospacing="0" w:line="360" w:lineRule="auto"/>
        <w:textAlignment w:val="baseline"/>
        <w:rPr>
          <w:rFonts w:ascii="Arial" w:hAnsi="Arial" w:cs="Arial"/>
          <w:sz w:val="22"/>
          <w:szCs w:val="22"/>
        </w:rPr>
      </w:pPr>
      <w:r w:rsidRPr="009A4927">
        <w:rPr>
          <w:rStyle w:val="normaltextrun"/>
          <w:rFonts w:ascii="Arial" w:eastAsiaTheme="majorEastAsia" w:hAnsi="Arial" w:cs="Arial"/>
          <w:sz w:val="22"/>
          <w:szCs w:val="22"/>
        </w:rPr>
        <w:t>As we prepare for inspection, I feel confident that our setting not only complies with regulatory requirements, but champions the kind of reflective, evidence-based practice that leads to real and lasting impact for children and families.</w:t>
      </w:r>
      <w:r w:rsidRPr="009A4927">
        <w:rPr>
          <w:rStyle w:val="eop"/>
          <w:rFonts w:ascii="Arial" w:eastAsiaTheme="majorEastAsia" w:hAnsi="Arial" w:cs="Arial"/>
          <w:sz w:val="22"/>
          <w:szCs w:val="22"/>
        </w:rPr>
        <w:t> </w:t>
      </w:r>
    </w:p>
    <w:p w14:paraId="4C68565E" w14:textId="3425C5F3" w:rsidR="00716699" w:rsidRPr="009A4927" w:rsidRDefault="00716699" w:rsidP="00716699">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9A4927">
        <w:rPr>
          <w:rStyle w:val="normaltextrun"/>
          <w:rFonts w:ascii="Arial" w:eastAsiaTheme="majorEastAsia" w:hAnsi="Arial" w:cs="Arial"/>
          <w:sz w:val="22"/>
          <w:szCs w:val="22"/>
        </w:rPr>
        <w:t>Thank you all for your contributions. If there are no further questions or concerns, I’d suggest we finalise our SASS submission and continue working together to uphold the high-quality standards that define our setting. Let’s stay reflective, responsive, and ready—both for our upcoming inspection and the everyday opportunities we have to make a difference.</w:t>
      </w:r>
      <w:r w:rsidRPr="009A4927">
        <w:rPr>
          <w:rStyle w:val="eop"/>
          <w:rFonts w:ascii="Arial" w:eastAsiaTheme="majorEastAsia" w:hAnsi="Arial" w:cs="Arial"/>
          <w:sz w:val="22"/>
          <w:szCs w:val="22"/>
        </w:rPr>
        <w:t> </w:t>
      </w:r>
    </w:p>
    <w:p w14:paraId="18A98E49" w14:textId="77777777" w:rsidR="00716699" w:rsidRPr="00716699" w:rsidRDefault="00716699" w:rsidP="00716699">
      <w:pPr>
        <w:pStyle w:val="paragraph"/>
        <w:spacing w:before="0" w:beforeAutospacing="0" w:after="0" w:afterAutospacing="0" w:line="360" w:lineRule="auto"/>
        <w:textAlignment w:val="baseline"/>
        <w:rPr>
          <w:rFonts w:ascii="Arial" w:hAnsi="Arial" w:cs="Arial"/>
          <w:sz w:val="22"/>
          <w:szCs w:val="22"/>
        </w:rPr>
      </w:pPr>
    </w:p>
    <w:p w14:paraId="244C2429" w14:textId="77777777" w:rsidR="00716699" w:rsidRDefault="00716699"/>
    <w:p w14:paraId="294C857D" w14:textId="491CBD20" w:rsidR="00716699" w:rsidRPr="00716699" w:rsidRDefault="00716699" w:rsidP="00716699">
      <w:pPr>
        <w:spacing w:line="360" w:lineRule="auto"/>
        <w:rPr>
          <w:rFonts w:ascii="Arial" w:hAnsi="Arial" w:cs="Arial"/>
          <w:u w:val="single"/>
        </w:rPr>
      </w:pPr>
      <w:r w:rsidRPr="00716699">
        <w:rPr>
          <w:rFonts w:ascii="Arial" w:hAnsi="Arial" w:cs="Arial"/>
          <w:u w:val="single"/>
        </w:rPr>
        <w:lastRenderedPageBreak/>
        <w:t>References</w:t>
      </w:r>
    </w:p>
    <w:p w14:paraId="0C090EFB" w14:textId="63FD3E49"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Appiah-Kubi, J. and Amoako, E. O. (2022) 'Factors that motivate and encumber parental participation in children’s education in Ghana', </w:t>
      </w:r>
      <w:r w:rsidRPr="00716699">
        <w:rPr>
          <w:rFonts w:ascii="Arial" w:eastAsia="Times New Roman" w:hAnsi="Arial" w:cs="Arial"/>
          <w:i/>
          <w:iCs/>
          <w:kern w:val="0"/>
          <w:lang w:eastAsia="en-GB"/>
          <w14:ligatures w14:val="none"/>
        </w:rPr>
        <w:t>Cambridge Journal of Education</w:t>
      </w:r>
      <w:r w:rsidRPr="00716699">
        <w:rPr>
          <w:rFonts w:ascii="Arial" w:eastAsia="Times New Roman" w:hAnsi="Arial" w:cs="Arial"/>
          <w:kern w:val="0"/>
          <w:lang w:eastAsia="en-GB"/>
          <w14:ligatures w14:val="none"/>
        </w:rPr>
        <w:t xml:space="preserve">, 52(5), pp. 579–594. </w:t>
      </w:r>
      <w:hyperlink r:id="rId4" w:tgtFrame="_new" w:history="1">
        <w:r w:rsidRPr="00716699">
          <w:rPr>
            <w:rFonts w:ascii="Arial" w:eastAsia="Times New Roman" w:hAnsi="Arial" w:cs="Arial"/>
            <w:kern w:val="0"/>
            <w:u w:val="single"/>
            <w:lang w:eastAsia="en-GB"/>
            <w14:ligatures w14:val="none"/>
          </w:rPr>
          <w:t>https://doi.org/10.1080/0305764X.2022.2044758</w:t>
        </w:r>
      </w:hyperlink>
      <w:r w:rsidRPr="0071669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716699">
        <w:rPr>
          <w:rFonts w:ascii="Arial" w:eastAsia="Times New Roman" w:hAnsi="Arial" w:cs="Arial"/>
          <w:kern w:val="0"/>
          <w:lang w:eastAsia="en-GB"/>
          <w14:ligatures w14:val="none"/>
        </w:rPr>
        <w:t>(Accessed: 15 March 2025).</w:t>
      </w:r>
    </w:p>
    <w:p w14:paraId="5290747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Barker, E. and Simpson, J. (2021) 'Reducing observer effect through unobtrusive methods in early childhood settings', </w:t>
      </w:r>
      <w:r w:rsidRPr="00716699">
        <w:rPr>
          <w:rFonts w:ascii="Arial" w:eastAsia="Times New Roman" w:hAnsi="Arial" w:cs="Arial"/>
          <w:i/>
          <w:iCs/>
          <w:kern w:val="0"/>
          <w:lang w:eastAsia="en-GB"/>
          <w14:ligatures w14:val="none"/>
        </w:rPr>
        <w:t>Journal of Early Childhood Research</w:t>
      </w:r>
      <w:r w:rsidRPr="00716699">
        <w:rPr>
          <w:rFonts w:ascii="Arial" w:eastAsia="Times New Roman" w:hAnsi="Arial" w:cs="Arial"/>
          <w:kern w:val="0"/>
          <w:lang w:eastAsia="en-GB"/>
          <w14:ligatures w14:val="none"/>
        </w:rPr>
        <w:t>, 19(4), pp. 498–510.</w:t>
      </w:r>
    </w:p>
    <w:p w14:paraId="0AD01B46"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Bennett, J. (2018) </w:t>
      </w:r>
      <w:r w:rsidRPr="00716699">
        <w:rPr>
          <w:rFonts w:ascii="Arial" w:eastAsia="Times New Roman" w:hAnsi="Arial" w:cs="Arial"/>
          <w:i/>
          <w:iCs/>
          <w:kern w:val="0"/>
          <w:lang w:eastAsia="en-GB"/>
          <w14:ligatures w14:val="none"/>
        </w:rPr>
        <w:t>Parent engagement in early years education: A critical analysis</w:t>
      </w:r>
      <w:r w:rsidRPr="00716699">
        <w:rPr>
          <w:rFonts w:ascii="Arial" w:eastAsia="Times New Roman" w:hAnsi="Arial" w:cs="Arial"/>
          <w:kern w:val="0"/>
          <w:lang w:eastAsia="en-GB"/>
          <w14:ligatures w14:val="none"/>
        </w:rPr>
        <w:t>. Routledge.</w:t>
      </w:r>
    </w:p>
    <w:p w14:paraId="6CB3087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Bowlby, J. (1969) </w:t>
      </w:r>
      <w:r w:rsidRPr="00716699">
        <w:rPr>
          <w:rFonts w:ascii="Arial" w:eastAsia="Times New Roman" w:hAnsi="Arial" w:cs="Arial"/>
          <w:i/>
          <w:iCs/>
          <w:kern w:val="0"/>
          <w:lang w:eastAsia="en-GB"/>
          <w14:ligatures w14:val="none"/>
        </w:rPr>
        <w:t>Attachment and loss: Vol. 1. Attachment</w:t>
      </w:r>
      <w:r w:rsidRPr="00716699">
        <w:rPr>
          <w:rFonts w:ascii="Arial" w:eastAsia="Times New Roman" w:hAnsi="Arial" w:cs="Arial"/>
          <w:kern w:val="0"/>
          <w:lang w:eastAsia="en-GB"/>
          <w14:ligatures w14:val="none"/>
        </w:rPr>
        <w:t>. New York: Basic Books.</w:t>
      </w:r>
    </w:p>
    <w:p w14:paraId="2B57EA36"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Bruce, T. (2015) </w:t>
      </w:r>
      <w:r w:rsidRPr="00716699">
        <w:rPr>
          <w:rFonts w:ascii="Arial" w:eastAsia="Times New Roman" w:hAnsi="Arial" w:cs="Arial"/>
          <w:i/>
          <w:iCs/>
          <w:kern w:val="0"/>
          <w:lang w:eastAsia="en-GB"/>
          <w14:ligatures w14:val="none"/>
        </w:rPr>
        <w:t>Early childhood education</w:t>
      </w:r>
      <w:r w:rsidRPr="00716699">
        <w:rPr>
          <w:rFonts w:ascii="Arial" w:eastAsia="Times New Roman" w:hAnsi="Arial" w:cs="Arial"/>
          <w:kern w:val="0"/>
          <w:lang w:eastAsia="en-GB"/>
          <w14:ligatures w14:val="none"/>
        </w:rPr>
        <w:t xml:space="preserve">. 5th </w:t>
      </w:r>
      <w:proofErr w:type="spellStart"/>
      <w:r w:rsidRPr="00716699">
        <w:rPr>
          <w:rFonts w:ascii="Arial" w:eastAsia="Times New Roman" w:hAnsi="Arial" w:cs="Arial"/>
          <w:kern w:val="0"/>
          <w:lang w:eastAsia="en-GB"/>
          <w14:ligatures w14:val="none"/>
        </w:rPr>
        <w:t>edn</w:t>
      </w:r>
      <w:proofErr w:type="spellEnd"/>
      <w:r w:rsidRPr="00716699">
        <w:rPr>
          <w:rFonts w:ascii="Arial" w:eastAsia="Times New Roman" w:hAnsi="Arial" w:cs="Arial"/>
          <w:kern w:val="0"/>
          <w:lang w:eastAsia="en-GB"/>
          <w14:ligatures w14:val="none"/>
        </w:rPr>
        <w:t>. Hodder Education.</w:t>
      </w:r>
    </w:p>
    <w:p w14:paraId="66C0E990"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Campbell-Barr, V. (2016) 'Quality early childhood education and care – the role of attitudes and dispositions in professional practice', </w:t>
      </w:r>
      <w:r w:rsidRPr="00716699">
        <w:rPr>
          <w:rFonts w:ascii="Arial" w:eastAsia="Times New Roman" w:hAnsi="Arial" w:cs="Arial"/>
          <w:i/>
          <w:iCs/>
          <w:kern w:val="0"/>
          <w:lang w:eastAsia="en-GB"/>
          <w14:ligatures w14:val="none"/>
        </w:rPr>
        <w:t>Journal of Early Childhood Research</w:t>
      </w:r>
      <w:r w:rsidRPr="00716699">
        <w:rPr>
          <w:rFonts w:ascii="Arial" w:eastAsia="Times New Roman" w:hAnsi="Arial" w:cs="Arial"/>
          <w:kern w:val="0"/>
          <w:lang w:eastAsia="en-GB"/>
          <w14:ligatures w14:val="none"/>
        </w:rPr>
        <w:t>, 14(3), pp. 230–246.</w:t>
      </w:r>
    </w:p>
    <w:p w14:paraId="11CD3240"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Campbell-Barr, V. and Leeson, C. (2016) </w:t>
      </w:r>
      <w:r w:rsidRPr="00716699">
        <w:rPr>
          <w:rFonts w:ascii="Arial" w:eastAsia="Times New Roman" w:hAnsi="Arial" w:cs="Arial"/>
          <w:i/>
          <w:iCs/>
          <w:kern w:val="0"/>
          <w:lang w:eastAsia="en-GB"/>
          <w14:ligatures w14:val="none"/>
        </w:rPr>
        <w:t>Quality and Leadership in the Early Years: Research, Theory and Practice</w:t>
      </w:r>
      <w:r w:rsidRPr="00716699">
        <w:rPr>
          <w:rFonts w:ascii="Arial" w:eastAsia="Times New Roman" w:hAnsi="Arial" w:cs="Arial"/>
          <w:kern w:val="0"/>
          <w:lang w:eastAsia="en-GB"/>
          <w14:ligatures w14:val="none"/>
        </w:rPr>
        <w:t>. London: Sage Publications Limited.</w:t>
      </w:r>
    </w:p>
    <w:p w14:paraId="080D7B2C"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Care Inspectorate Wales (2023) </w:t>
      </w:r>
      <w:r w:rsidRPr="00716699">
        <w:rPr>
          <w:rFonts w:ascii="Arial" w:eastAsia="Times New Roman" w:hAnsi="Arial" w:cs="Arial"/>
          <w:i/>
          <w:iCs/>
          <w:kern w:val="0"/>
          <w:lang w:eastAsia="en-GB"/>
          <w14:ligatures w14:val="none"/>
        </w:rPr>
        <w:t>National minimum standards for regulated childcare</w:t>
      </w:r>
      <w:r w:rsidRPr="00716699">
        <w:rPr>
          <w:rFonts w:ascii="Arial" w:eastAsia="Times New Roman" w:hAnsi="Arial" w:cs="Arial"/>
          <w:kern w:val="0"/>
          <w:lang w:eastAsia="en-GB"/>
          <w14:ligatures w14:val="none"/>
        </w:rPr>
        <w:t xml:space="preserve">. Available at: </w:t>
      </w:r>
      <w:hyperlink r:id="rId5" w:tgtFrame="_new" w:history="1">
        <w:r w:rsidRPr="00716699">
          <w:rPr>
            <w:rFonts w:ascii="Arial" w:eastAsia="Times New Roman" w:hAnsi="Arial" w:cs="Arial"/>
            <w:kern w:val="0"/>
            <w:u w:val="single"/>
            <w:lang w:eastAsia="en-GB"/>
            <w14:ligatures w14:val="none"/>
          </w:rPr>
          <w:t>https://www.careinspectorate.wales</w:t>
        </w:r>
      </w:hyperlink>
      <w:r w:rsidRPr="00716699">
        <w:rPr>
          <w:rFonts w:ascii="Arial" w:eastAsia="Times New Roman" w:hAnsi="Arial" w:cs="Arial"/>
          <w:kern w:val="0"/>
          <w:lang w:eastAsia="en-GB"/>
          <w14:ligatures w14:val="none"/>
        </w:rPr>
        <w:t xml:space="preserve"> (Accessed: 15 March 2025).</w:t>
      </w:r>
    </w:p>
    <w:p w14:paraId="083B0A20"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Care Inspectorate Wales (2023) </w:t>
      </w:r>
      <w:r w:rsidRPr="00716699">
        <w:rPr>
          <w:rFonts w:ascii="Arial" w:eastAsia="Times New Roman" w:hAnsi="Arial" w:cs="Arial"/>
          <w:i/>
          <w:iCs/>
          <w:kern w:val="0"/>
          <w:lang w:eastAsia="en-GB"/>
          <w14:ligatures w14:val="none"/>
        </w:rPr>
        <w:t>Quality of Care Review Guidance for Providers</w:t>
      </w:r>
      <w:r w:rsidRPr="00716699">
        <w:rPr>
          <w:rFonts w:ascii="Arial" w:eastAsia="Times New Roman" w:hAnsi="Arial" w:cs="Arial"/>
          <w:kern w:val="0"/>
          <w:lang w:eastAsia="en-GB"/>
          <w14:ligatures w14:val="none"/>
        </w:rPr>
        <w:t>. Cardiff: CIW.</w:t>
      </w:r>
    </w:p>
    <w:p w14:paraId="5C00178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CIW’s Quality of Care Review (2016) </w:t>
      </w:r>
      <w:r w:rsidRPr="00716699">
        <w:rPr>
          <w:rFonts w:ascii="Arial" w:eastAsia="Times New Roman" w:hAnsi="Arial" w:cs="Arial"/>
          <w:i/>
          <w:iCs/>
          <w:kern w:val="0"/>
          <w:lang w:eastAsia="en-GB"/>
          <w14:ligatures w14:val="none"/>
        </w:rPr>
        <w:t>Childcare Factsheet. Important – Changes to Inspection of childcare from April 2016. The new Inspection Framework</w:t>
      </w:r>
      <w:r w:rsidRPr="00716699">
        <w:rPr>
          <w:rFonts w:ascii="Arial" w:eastAsia="Times New Roman" w:hAnsi="Arial" w:cs="Arial"/>
          <w:kern w:val="0"/>
          <w:lang w:eastAsia="en-GB"/>
          <w14:ligatures w14:val="none"/>
        </w:rPr>
        <w:t xml:space="preserve">. Available at: </w:t>
      </w:r>
      <w:hyperlink r:id="rId6" w:tgtFrame="_new" w:history="1">
        <w:r w:rsidRPr="00716699">
          <w:rPr>
            <w:rFonts w:ascii="Arial" w:eastAsia="Times New Roman" w:hAnsi="Arial" w:cs="Arial"/>
            <w:kern w:val="0"/>
            <w:u w:val="single"/>
            <w:lang w:eastAsia="en-GB"/>
            <w14:ligatures w14:val="none"/>
          </w:rPr>
          <w:t>https://www.careinspectorate.wales/sites/default/files/2018-02/160429factsheeten.pdf</w:t>
        </w:r>
      </w:hyperlink>
      <w:r w:rsidRPr="00716699">
        <w:rPr>
          <w:rFonts w:ascii="Arial" w:eastAsia="Times New Roman" w:hAnsi="Arial" w:cs="Arial"/>
          <w:kern w:val="0"/>
          <w:lang w:eastAsia="en-GB"/>
          <w14:ligatures w14:val="none"/>
        </w:rPr>
        <w:t xml:space="preserve"> (Accessed: 8 March 2025).</w:t>
      </w:r>
    </w:p>
    <w:p w14:paraId="0A92C4AD"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Children Act 1989 (c. 41). London: HMSO.</w:t>
      </w:r>
    </w:p>
    <w:p w14:paraId="3B8FCA49"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Children Act 2004 (c. 31). London: HMSO.</w:t>
      </w:r>
    </w:p>
    <w:p w14:paraId="16501728"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Childminding and Day Care (Wales) Regulations 2010. Available at: </w:t>
      </w:r>
      <w:hyperlink r:id="rId7" w:anchor=":~:text=These%20Regulations%20set%20out%20both%20the%20arrangements%20for,a%20local%20authority%20when%20certain%20steps%20are%20taken" w:tgtFrame="_new" w:history="1">
        <w:r w:rsidRPr="00716699">
          <w:rPr>
            <w:rFonts w:ascii="Arial" w:eastAsia="Times New Roman" w:hAnsi="Arial" w:cs="Arial"/>
            <w:kern w:val="0"/>
            <w:u w:val="single"/>
            <w:lang w:eastAsia="en-GB"/>
            <w14:ligatures w14:val="none"/>
          </w:rPr>
          <w:t>https://www.legislation.gov.uk/wsi/2010/2575/contents/made#:~:text=These%20Regulations</w:t>
        </w:r>
        <w:r w:rsidRPr="00716699">
          <w:rPr>
            <w:rFonts w:ascii="Arial" w:eastAsia="Times New Roman" w:hAnsi="Arial" w:cs="Arial"/>
            <w:kern w:val="0"/>
            <w:u w:val="single"/>
            <w:lang w:eastAsia="en-GB"/>
            <w14:ligatures w14:val="none"/>
          </w:rPr>
          <w:lastRenderedPageBreak/>
          <w:t>%20set%20out%20both%20the%20arrangements%20for,a%20local%20authority%20when%20certain%20steps%20are%20taken</w:t>
        </w:r>
      </w:hyperlink>
      <w:r w:rsidRPr="00716699">
        <w:rPr>
          <w:rFonts w:ascii="Arial" w:eastAsia="Times New Roman" w:hAnsi="Arial" w:cs="Arial"/>
          <w:kern w:val="0"/>
          <w:lang w:eastAsia="en-GB"/>
          <w14:ligatures w14:val="none"/>
        </w:rPr>
        <w:t xml:space="preserve"> (Accessed: 26 February 2025).</w:t>
      </w:r>
    </w:p>
    <w:p w14:paraId="19951BB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Connor, J. (2013) </w:t>
      </w:r>
      <w:r w:rsidRPr="00716699">
        <w:rPr>
          <w:rFonts w:ascii="Arial" w:eastAsia="Times New Roman" w:hAnsi="Arial" w:cs="Arial"/>
          <w:i/>
          <w:iCs/>
          <w:kern w:val="0"/>
          <w:lang w:eastAsia="en-GB"/>
          <w14:ligatures w14:val="none"/>
        </w:rPr>
        <w:t>Be Your Community’s Catalytic Leader</w:t>
      </w:r>
      <w:r w:rsidRPr="00716699">
        <w:rPr>
          <w:rFonts w:ascii="Arial" w:eastAsia="Times New Roman" w:hAnsi="Arial" w:cs="Arial"/>
          <w:kern w:val="0"/>
          <w:lang w:eastAsia="en-GB"/>
          <w14:ligatures w14:val="none"/>
        </w:rPr>
        <w:t>. Available at: Be Your Community’s Catalytic Leader - Working Differently (Accessed: 24 February 2025).</w:t>
      </w:r>
    </w:p>
    <w:p w14:paraId="08543E0E"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Cottle, M. and Alexander, E. (2016) 'Parent partnership and ‘quality’ early years services: practitioners’ perspectives', </w:t>
      </w:r>
      <w:r w:rsidRPr="00716699">
        <w:rPr>
          <w:rFonts w:ascii="Arial" w:eastAsia="Times New Roman" w:hAnsi="Arial" w:cs="Arial"/>
          <w:i/>
          <w:iCs/>
          <w:kern w:val="0"/>
          <w:lang w:eastAsia="en-GB"/>
          <w14:ligatures w14:val="none"/>
        </w:rPr>
        <w:t>European Early Childhood Education Research Journal</w:t>
      </w:r>
      <w:r w:rsidRPr="00716699">
        <w:rPr>
          <w:rFonts w:ascii="Arial" w:eastAsia="Times New Roman" w:hAnsi="Arial" w:cs="Arial"/>
          <w:kern w:val="0"/>
          <w:lang w:eastAsia="en-GB"/>
          <w14:ligatures w14:val="none"/>
        </w:rPr>
        <w:t>, 22(5), pp. 637–659. Available at: file:///C:/Users/Admin/Downloads/Parent%20partnership%20and%20quality,%20Cottle%20and%20Alexander%202014.pdf (Accessed: 21 February 2025).</w:t>
      </w:r>
    </w:p>
    <w:p w14:paraId="22DD5004"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Curriculum for Wales (2022) Available at: </w:t>
      </w:r>
      <w:hyperlink r:id="rId8" w:tgtFrame="_new" w:history="1">
        <w:r w:rsidRPr="00716699">
          <w:rPr>
            <w:rFonts w:ascii="Arial" w:eastAsia="Times New Roman" w:hAnsi="Arial" w:cs="Arial"/>
            <w:kern w:val="0"/>
            <w:u w:val="single"/>
            <w:lang w:eastAsia="en-GB"/>
            <w14:ligatures w14:val="none"/>
          </w:rPr>
          <w:t>https://hwb.gov.wales/curriculum-for-wales</w:t>
        </w:r>
      </w:hyperlink>
      <w:r w:rsidRPr="00716699">
        <w:rPr>
          <w:rFonts w:ascii="Arial" w:eastAsia="Times New Roman" w:hAnsi="Arial" w:cs="Arial"/>
          <w:kern w:val="0"/>
          <w:lang w:eastAsia="en-GB"/>
          <w14:ligatures w14:val="none"/>
        </w:rPr>
        <w:t xml:space="preserve"> (Accessed: 24 February 2025).</w:t>
      </w:r>
    </w:p>
    <w:p w14:paraId="1F53746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Data Protection Act (2018) Article 5 GDPR. Principles relating to processing of personal data. Available at: </w:t>
      </w:r>
      <w:hyperlink r:id="rId9" w:tgtFrame="_new" w:history="1">
        <w:r w:rsidRPr="00716699">
          <w:rPr>
            <w:rFonts w:ascii="Arial" w:eastAsia="Times New Roman" w:hAnsi="Arial" w:cs="Arial"/>
            <w:kern w:val="0"/>
            <w:u w:val="single"/>
            <w:lang w:eastAsia="en-GB"/>
            <w14:ligatures w14:val="none"/>
          </w:rPr>
          <w:t>https://gdpr-info.eu/art-5-gdpr/</w:t>
        </w:r>
      </w:hyperlink>
      <w:r w:rsidRPr="00716699">
        <w:rPr>
          <w:rFonts w:ascii="Arial" w:eastAsia="Times New Roman" w:hAnsi="Arial" w:cs="Arial"/>
          <w:kern w:val="0"/>
          <w:lang w:eastAsia="en-GB"/>
          <w14:ligatures w14:val="none"/>
        </w:rPr>
        <w:t xml:space="preserve"> (Accessed: 22 February 2025).</w:t>
      </w:r>
    </w:p>
    <w:p w14:paraId="5FA49FA7"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Eadie, P., Levickis, P., Murray, L. and Sciberras, E. (2022) 'Leadership in early childhood education: Supporting professional development and reflective practice', </w:t>
      </w:r>
      <w:r w:rsidRPr="00716699">
        <w:rPr>
          <w:rFonts w:ascii="Arial" w:eastAsia="Times New Roman" w:hAnsi="Arial" w:cs="Arial"/>
          <w:i/>
          <w:iCs/>
          <w:kern w:val="0"/>
          <w:lang w:eastAsia="en-GB"/>
          <w14:ligatures w14:val="none"/>
        </w:rPr>
        <w:t>Early Years</w:t>
      </w:r>
      <w:r w:rsidRPr="00716699">
        <w:rPr>
          <w:rFonts w:ascii="Arial" w:eastAsia="Times New Roman" w:hAnsi="Arial" w:cs="Arial"/>
          <w:kern w:val="0"/>
          <w:lang w:eastAsia="en-GB"/>
          <w14:ligatures w14:val="none"/>
        </w:rPr>
        <w:t>, 42(3), pp. 267–285. DOI: 10.1080/09575146.2020.1825141.</w:t>
      </w:r>
    </w:p>
    <w:p w14:paraId="498DB185"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Eadie, P. et al. (2022) 'Domains of quality in early childhood education and care: A scoping review of the extent and consistency of the literature', </w:t>
      </w:r>
      <w:r w:rsidRPr="00716699">
        <w:rPr>
          <w:rFonts w:ascii="Arial" w:eastAsia="Times New Roman" w:hAnsi="Arial" w:cs="Arial"/>
          <w:i/>
          <w:iCs/>
          <w:kern w:val="0"/>
          <w:lang w:eastAsia="en-GB"/>
          <w14:ligatures w14:val="none"/>
        </w:rPr>
        <w:t>Educational Review</w:t>
      </w:r>
      <w:r w:rsidRPr="00716699">
        <w:rPr>
          <w:rFonts w:ascii="Arial" w:eastAsia="Times New Roman" w:hAnsi="Arial" w:cs="Arial"/>
          <w:kern w:val="0"/>
          <w:lang w:eastAsia="en-GB"/>
          <w14:ligatures w14:val="none"/>
        </w:rPr>
        <w:t xml:space="preserve">. Available at: </w:t>
      </w:r>
      <w:hyperlink r:id="rId10" w:tgtFrame="_new" w:history="1">
        <w:r w:rsidRPr="00716699">
          <w:rPr>
            <w:rFonts w:ascii="Arial" w:eastAsia="Times New Roman" w:hAnsi="Arial" w:cs="Arial"/>
            <w:kern w:val="0"/>
            <w:u w:val="single"/>
            <w:lang w:eastAsia="en-GB"/>
            <w14:ligatures w14:val="none"/>
          </w:rPr>
          <w:t>https://www.tandfonline.com/doi/epdf/10.1080/00131911.2022.2077704?needAccess=true</w:t>
        </w:r>
      </w:hyperlink>
      <w:r w:rsidRPr="00716699">
        <w:rPr>
          <w:rFonts w:ascii="Arial" w:eastAsia="Times New Roman" w:hAnsi="Arial" w:cs="Arial"/>
          <w:kern w:val="0"/>
          <w:lang w:eastAsia="en-GB"/>
          <w14:ligatures w14:val="none"/>
        </w:rPr>
        <w:t xml:space="preserve"> (Accessed: 24 February 2025).</w:t>
      </w:r>
    </w:p>
    <w:p w14:paraId="5BE00BB7"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Equality Act (2010) Section 149 Public sector equality duty. Available at: </w:t>
      </w:r>
      <w:hyperlink r:id="rId11" w:tgtFrame="_new" w:history="1">
        <w:r w:rsidRPr="00716699">
          <w:rPr>
            <w:rFonts w:ascii="Arial" w:eastAsia="Times New Roman" w:hAnsi="Arial" w:cs="Arial"/>
            <w:kern w:val="0"/>
            <w:u w:val="single"/>
            <w:lang w:eastAsia="en-GB"/>
            <w14:ligatures w14:val="none"/>
          </w:rPr>
          <w:t>https://www.legislation.gov.uk/ukpga/2010/15/section/149</w:t>
        </w:r>
      </w:hyperlink>
      <w:r w:rsidRPr="00716699">
        <w:rPr>
          <w:rFonts w:ascii="Arial" w:eastAsia="Times New Roman" w:hAnsi="Arial" w:cs="Arial"/>
          <w:kern w:val="0"/>
          <w:lang w:eastAsia="en-GB"/>
          <w14:ligatures w14:val="none"/>
        </w:rPr>
        <w:t xml:space="preserve"> (Accessed: 21 February 2025).</w:t>
      </w:r>
    </w:p>
    <w:p w14:paraId="3D2E4180"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Gov. Wales (2018) </w:t>
      </w:r>
      <w:r w:rsidRPr="00716699">
        <w:rPr>
          <w:rFonts w:ascii="Arial" w:eastAsia="Times New Roman" w:hAnsi="Arial" w:cs="Arial"/>
          <w:i/>
          <w:iCs/>
          <w:kern w:val="0"/>
          <w:lang w:eastAsia="en-GB"/>
          <w14:ligatures w14:val="none"/>
        </w:rPr>
        <w:t>Health, Safety and Welfare</w:t>
      </w:r>
      <w:r w:rsidRPr="00716699">
        <w:rPr>
          <w:rFonts w:ascii="Arial" w:eastAsia="Times New Roman" w:hAnsi="Arial" w:cs="Arial"/>
          <w:kern w:val="0"/>
          <w:lang w:eastAsia="en-GB"/>
          <w14:ligatures w14:val="none"/>
        </w:rPr>
        <w:t xml:space="preserve">. Available at: </w:t>
      </w:r>
      <w:hyperlink r:id="rId12" w:tgtFrame="_new" w:history="1">
        <w:r w:rsidRPr="00716699">
          <w:rPr>
            <w:rFonts w:ascii="Arial" w:eastAsia="Times New Roman" w:hAnsi="Arial" w:cs="Arial"/>
            <w:kern w:val="0"/>
            <w:u w:val="single"/>
            <w:lang w:eastAsia="en-GB"/>
            <w14:ligatures w14:val="none"/>
          </w:rPr>
          <w:t>https://www.gov.wales/sites/default/files/publications/2018-03/25-health-safety-and-welfare.pdf</w:t>
        </w:r>
      </w:hyperlink>
      <w:r w:rsidRPr="00716699">
        <w:rPr>
          <w:rFonts w:ascii="Arial" w:eastAsia="Times New Roman" w:hAnsi="Arial" w:cs="Arial"/>
          <w:kern w:val="0"/>
          <w:lang w:eastAsia="en-GB"/>
          <w14:ligatures w14:val="none"/>
        </w:rPr>
        <w:t xml:space="preserve"> (Accessed: 25 February 2025).</w:t>
      </w:r>
    </w:p>
    <w:p w14:paraId="3293930F"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Gov. Wales (2021) </w:t>
      </w:r>
      <w:r w:rsidRPr="00716699">
        <w:rPr>
          <w:rFonts w:ascii="Arial" w:eastAsia="Times New Roman" w:hAnsi="Arial" w:cs="Arial"/>
          <w:i/>
          <w:iCs/>
          <w:kern w:val="0"/>
          <w:lang w:eastAsia="en-GB"/>
          <w14:ligatures w14:val="none"/>
        </w:rPr>
        <w:t>Keeping Learners Safe</w:t>
      </w:r>
      <w:r w:rsidRPr="00716699">
        <w:rPr>
          <w:rFonts w:ascii="Arial" w:eastAsia="Times New Roman" w:hAnsi="Arial" w:cs="Arial"/>
          <w:kern w:val="0"/>
          <w:lang w:eastAsia="en-GB"/>
          <w14:ligatures w14:val="none"/>
        </w:rPr>
        <w:t xml:space="preserve">. Available at: </w:t>
      </w:r>
      <w:hyperlink r:id="rId13" w:tgtFrame="_new" w:history="1">
        <w:r w:rsidRPr="00716699">
          <w:rPr>
            <w:rFonts w:ascii="Arial" w:eastAsia="Times New Roman" w:hAnsi="Arial" w:cs="Arial"/>
            <w:kern w:val="0"/>
            <w:u w:val="single"/>
            <w:lang w:eastAsia="en-GB"/>
            <w14:ligatures w14:val="none"/>
          </w:rPr>
          <w:t>https://www.gov.wales/sites/default/files/publications/2022-04/220401-keeping-learners-safe.pdf</w:t>
        </w:r>
      </w:hyperlink>
      <w:r w:rsidRPr="00716699">
        <w:rPr>
          <w:rFonts w:ascii="Arial" w:eastAsia="Times New Roman" w:hAnsi="Arial" w:cs="Arial"/>
          <w:kern w:val="0"/>
          <w:lang w:eastAsia="en-GB"/>
          <w14:ligatures w14:val="none"/>
        </w:rPr>
        <w:t xml:space="preserve"> (Accessed: 25 February 2025).</w:t>
      </w:r>
    </w:p>
    <w:p w14:paraId="627D6BD5"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Health and Safety at Work Act 1974 (c. 37). London: HMSO.</w:t>
      </w:r>
    </w:p>
    <w:p w14:paraId="009EABDD"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lastRenderedPageBreak/>
        <w:t xml:space="preserve">Legislation. Gov. UK (2010) </w:t>
      </w:r>
      <w:r w:rsidRPr="00716699">
        <w:rPr>
          <w:rFonts w:ascii="Arial" w:eastAsia="Times New Roman" w:hAnsi="Arial" w:cs="Arial"/>
          <w:i/>
          <w:iCs/>
          <w:kern w:val="0"/>
          <w:lang w:eastAsia="en-GB"/>
          <w14:ligatures w14:val="none"/>
        </w:rPr>
        <w:t xml:space="preserve">Children and Families (Wales) Measure 2010 (Section 30 </w:t>
      </w:r>
      <w:proofErr w:type="gramStart"/>
      <w:r w:rsidRPr="00716699">
        <w:rPr>
          <w:rFonts w:ascii="Arial" w:eastAsia="Times New Roman" w:hAnsi="Arial" w:cs="Arial"/>
          <w:i/>
          <w:iCs/>
          <w:kern w:val="0"/>
          <w:lang w:eastAsia="en-GB"/>
          <w14:ligatures w14:val="none"/>
        </w:rPr>
        <w:t>2,e</w:t>
      </w:r>
      <w:proofErr w:type="gramEnd"/>
      <w:r w:rsidRPr="00716699">
        <w:rPr>
          <w:rFonts w:ascii="Arial" w:eastAsia="Times New Roman" w:hAnsi="Arial" w:cs="Arial"/>
          <w:i/>
          <w:iCs/>
          <w:kern w:val="0"/>
          <w:lang w:eastAsia="en-GB"/>
          <w14:ligatures w14:val="none"/>
        </w:rPr>
        <w:t>)</w:t>
      </w:r>
      <w:r w:rsidRPr="00716699">
        <w:rPr>
          <w:rFonts w:ascii="Arial" w:eastAsia="Times New Roman" w:hAnsi="Arial" w:cs="Arial"/>
          <w:kern w:val="0"/>
          <w:lang w:eastAsia="en-GB"/>
          <w14:ligatures w14:val="none"/>
        </w:rPr>
        <w:t xml:space="preserve">. Available at: </w:t>
      </w:r>
      <w:hyperlink r:id="rId14" w:tgtFrame="_new" w:history="1">
        <w:r w:rsidRPr="00716699">
          <w:rPr>
            <w:rFonts w:ascii="Arial" w:eastAsia="Times New Roman" w:hAnsi="Arial" w:cs="Arial"/>
            <w:kern w:val="0"/>
            <w:u w:val="single"/>
            <w:lang w:eastAsia="en-GB"/>
            <w14:ligatures w14:val="none"/>
          </w:rPr>
          <w:t>https://www.legislation.gov.uk/mwa/2010/1/contents</w:t>
        </w:r>
      </w:hyperlink>
      <w:r w:rsidRPr="00716699">
        <w:rPr>
          <w:rFonts w:ascii="Arial" w:eastAsia="Times New Roman" w:hAnsi="Arial" w:cs="Arial"/>
          <w:kern w:val="0"/>
          <w:lang w:eastAsia="en-GB"/>
          <w14:ligatures w14:val="none"/>
        </w:rPr>
        <w:t xml:space="preserve"> (Accessed: 8 March 2025).</w:t>
      </w:r>
    </w:p>
    <w:p w14:paraId="6233FCD3"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Legislation. Gov. UK </w:t>
      </w:r>
      <w:r w:rsidRPr="00716699">
        <w:rPr>
          <w:rFonts w:ascii="Arial" w:eastAsia="Times New Roman" w:hAnsi="Arial" w:cs="Arial"/>
          <w:i/>
          <w:iCs/>
          <w:kern w:val="0"/>
          <w:lang w:eastAsia="en-GB"/>
          <w14:ligatures w14:val="none"/>
        </w:rPr>
        <w:t>Additional Learning Needs and Education Tribunal (Wales) Act 2018</w:t>
      </w:r>
      <w:r w:rsidRPr="00716699">
        <w:rPr>
          <w:rFonts w:ascii="Arial" w:eastAsia="Times New Roman" w:hAnsi="Arial" w:cs="Arial"/>
          <w:kern w:val="0"/>
          <w:lang w:eastAsia="en-GB"/>
          <w14:ligatures w14:val="none"/>
        </w:rPr>
        <w:t xml:space="preserve">. Available at: </w:t>
      </w:r>
      <w:hyperlink r:id="rId15" w:tgtFrame="_new" w:history="1">
        <w:r w:rsidRPr="00716699">
          <w:rPr>
            <w:rFonts w:ascii="Arial" w:eastAsia="Times New Roman" w:hAnsi="Arial" w:cs="Arial"/>
            <w:kern w:val="0"/>
            <w:u w:val="single"/>
            <w:lang w:eastAsia="en-GB"/>
            <w14:ligatures w14:val="none"/>
          </w:rPr>
          <w:t>https://www.legislation.gov.uk/anaw/2018/2/contents</w:t>
        </w:r>
      </w:hyperlink>
      <w:r w:rsidRPr="00716699">
        <w:rPr>
          <w:rFonts w:ascii="Arial" w:eastAsia="Times New Roman" w:hAnsi="Arial" w:cs="Arial"/>
          <w:kern w:val="0"/>
          <w:lang w:eastAsia="en-GB"/>
          <w14:ligatures w14:val="none"/>
        </w:rPr>
        <w:t xml:space="preserve"> (Accessed: 26 February 2025).</w:t>
      </w:r>
    </w:p>
    <w:p w14:paraId="7F7705B0"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Lindon, J., Lindon, L. and Beckley, P. (2016) </w:t>
      </w:r>
      <w:r w:rsidRPr="00716699">
        <w:rPr>
          <w:rFonts w:ascii="Arial" w:eastAsia="Times New Roman" w:hAnsi="Arial" w:cs="Arial"/>
          <w:i/>
          <w:iCs/>
          <w:kern w:val="0"/>
          <w:lang w:eastAsia="en-GB"/>
          <w14:ligatures w14:val="none"/>
        </w:rPr>
        <w:t>Leadership in the Early Years</w:t>
      </w:r>
      <w:r w:rsidRPr="00716699">
        <w:rPr>
          <w:rFonts w:ascii="Arial" w:eastAsia="Times New Roman" w:hAnsi="Arial" w:cs="Arial"/>
          <w:kern w:val="0"/>
          <w:lang w:eastAsia="en-GB"/>
          <w14:ligatures w14:val="none"/>
        </w:rPr>
        <w:t xml:space="preserve">. 2nd </w:t>
      </w:r>
      <w:proofErr w:type="spellStart"/>
      <w:r w:rsidRPr="00716699">
        <w:rPr>
          <w:rFonts w:ascii="Arial" w:eastAsia="Times New Roman" w:hAnsi="Arial" w:cs="Arial"/>
          <w:kern w:val="0"/>
          <w:lang w:eastAsia="en-GB"/>
          <w14:ligatures w14:val="none"/>
        </w:rPr>
        <w:t>edn</w:t>
      </w:r>
      <w:proofErr w:type="spellEnd"/>
      <w:r w:rsidRPr="00716699">
        <w:rPr>
          <w:rFonts w:ascii="Arial" w:eastAsia="Times New Roman" w:hAnsi="Arial" w:cs="Arial"/>
          <w:kern w:val="0"/>
          <w:lang w:eastAsia="en-GB"/>
          <w14:ligatures w14:val="none"/>
        </w:rPr>
        <w:t>. London: Hodder Education.</w:t>
      </w:r>
    </w:p>
    <w:p w14:paraId="142230D8"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Miller, L. and Pound, L. (2019) </w:t>
      </w:r>
      <w:r w:rsidRPr="00716699">
        <w:rPr>
          <w:rFonts w:ascii="Arial" w:eastAsia="Times New Roman" w:hAnsi="Arial" w:cs="Arial"/>
          <w:i/>
          <w:iCs/>
          <w:kern w:val="0"/>
          <w:lang w:eastAsia="en-GB"/>
          <w14:ligatures w14:val="none"/>
        </w:rPr>
        <w:t>Theories and approaches to learning in the early years</w:t>
      </w:r>
      <w:r w:rsidRPr="00716699">
        <w:rPr>
          <w:rFonts w:ascii="Arial" w:eastAsia="Times New Roman" w:hAnsi="Arial" w:cs="Arial"/>
          <w:kern w:val="0"/>
          <w:lang w:eastAsia="en-GB"/>
          <w14:ligatures w14:val="none"/>
        </w:rPr>
        <w:t xml:space="preserve">. 2nd </w:t>
      </w:r>
      <w:proofErr w:type="spellStart"/>
      <w:r w:rsidRPr="00716699">
        <w:rPr>
          <w:rFonts w:ascii="Arial" w:eastAsia="Times New Roman" w:hAnsi="Arial" w:cs="Arial"/>
          <w:kern w:val="0"/>
          <w:lang w:eastAsia="en-GB"/>
          <w14:ligatures w14:val="none"/>
        </w:rPr>
        <w:t>edn</w:t>
      </w:r>
      <w:proofErr w:type="spellEnd"/>
      <w:r w:rsidRPr="00716699">
        <w:rPr>
          <w:rFonts w:ascii="Arial" w:eastAsia="Times New Roman" w:hAnsi="Arial" w:cs="Arial"/>
          <w:kern w:val="0"/>
          <w:lang w:eastAsia="en-GB"/>
          <w14:ligatures w14:val="none"/>
        </w:rPr>
        <w:t>. SAGE Publications.</w:t>
      </w:r>
    </w:p>
    <w:p w14:paraId="7EB88457"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Montessori, M. (1967) </w:t>
      </w:r>
      <w:r w:rsidRPr="00716699">
        <w:rPr>
          <w:rFonts w:ascii="Arial" w:eastAsia="Times New Roman" w:hAnsi="Arial" w:cs="Arial"/>
          <w:i/>
          <w:iCs/>
          <w:kern w:val="0"/>
          <w:lang w:eastAsia="en-GB"/>
          <w14:ligatures w14:val="none"/>
        </w:rPr>
        <w:t>The Discovery of the Child</w:t>
      </w:r>
      <w:r w:rsidRPr="00716699">
        <w:rPr>
          <w:rFonts w:ascii="Arial" w:eastAsia="Times New Roman" w:hAnsi="Arial" w:cs="Arial"/>
          <w:kern w:val="0"/>
          <w:lang w:eastAsia="en-GB"/>
          <w14:ligatures w14:val="none"/>
        </w:rPr>
        <w:t>. New York: Ballantine Books.</w:t>
      </w:r>
    </w:p>
    <w:p w14:paraId="07B9EE74"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Moss, P. (2016) </w:t>
      </w:r>
      <w:r w:rsidRPr="00716699">
        <w:rPr>
          <w:rFonts w:ascii="Arial" w:eastAsia="Times New Roman" w:hAnsi="Arial" w:cs="Arial"/>
          <w:i/>
          <w:iCs/>
          <w:kern w:val="0"/>
          <w:lang w:eastAsia="en-GB"/>
          <w14:ligatures w14:val="none"/>
        </w:rPr>
        <w:t>Why can't we get beyond quality?</w:t>
      </w:r>
      <w:r w:rsidRPr="00716699">
        <w:rPr>
          <w:rFonts w:ascii="Arial" w:eastAsia="Times New Roman" w:hAnsi="Arial" w:cs="Arial"/>
          <w:kern w:val="0"/>
          <w:lang w:eastAsia="en-GB"/>
          <w14:ligatures w14:val="none"/>
        </w:rPr>
        <w:t xml:space="preserve"> London: Routledge.</w:t>
      </w:r>
    </w:p>
    <w:p w14:paraId="02FD7A89"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Moss, P. (2016) </w:t>
      </w:r>
      <w:r w:rsidRPr="00716699">
        <w:rPr>
          <w:rFonts w:ascii="Arial" w:eastAsia="Times New Roman" w:hAnsi="Arial" w:cs="Arial"/>
          <w:i/>
          <w:iCs/>
          <w:kern w:val="0"/>
          <w:lang w:eastAsia="en-GB"/>
          <w14:ligatures w14:val="none"/>
        </w:rPr>
        <w:t>Alternative narratives in early childhood: An introduction for students and practitioners</w:t>
      </w:r>
      <w:r w:rsidRPr="00716699">
        <w:rPr>
          <w:rFonts w:ascii="Arial" w:eastAsia="Times New Roman" w:hAnsi="Arial" w:cs="Arial"/>
          <w:kern w:val="0"/>
          <w:lang w:eastAsia="en-GB"/>
          <w14:ligatures w14:val="none"/>
        </w:rPr>
        <w:t>. Routledge.</w:t>
      </w:r>
    </w:p>
    <w:p w14:paraId="51529B8E"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Regulation and Inspection of Social Care (Wales) Act 2016 (</w:t>
      </w:r>
      <w:proofErr w:type="spellStart"/>
      <w:r w:rsidRPr="00716699">
        <w:rPr>
          <w:rFonts w:ascii="Arial" w:eastAsia="Times New Roman" w:hAnsi="Arial" w:cs="Arial"/>
          <w:kern w:val="0"/>
          <w:lang w:eastAsia="en-GB"/>
          <w14:ligatures w14:val="none"/>
        </w:rPr>
        <w:t>anaw</w:t>
      </w:r>
      <w:proofErr w:type="spellEnd"/>
      <w:r w:rsidRPr="00716699">
        <w:rPr>
          <w:rFonts w:ascii="Arial" w:eastAsia="Times New Roman" w:hAnsi="Arial" w:cs="Arial"/>
          <w:kern w:val="0"/>
          <w:lang w:eastAsia="en-GB"/>
          <w14:ligatures w14:val="none"/>
        </w:rPr>
        <w:t xml:space="preserve"> 2). Cardiff: Welsh Government.</w:t>
      </w:r>
    </w:p>
    <w:p w14:paraId="692682DC"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Siraj, I., Kingston, D. and Melhuish, E. (2015) </w:t>
      </w:r>
      <w:r w:rsidRPr="00716699">
        <w:rPr>
          <w:rFonts w:ascii="Arial" w:eastAsia="Times New Roman" w:hAnsi="Arial" w:cs="Arial"/>
          <w:i/>
          <w:iCs/>
          <w:kern w:val="0"/>
          <w:lang w:eastAsia="en-GB"/>
          <w14:ligatures w14:val="none"/>
        </w:rPr>
        <w:t xml:space="preserve">Assessing Quality in Early Childhood Education and Care: Sustained Shared Thinking and Emotional Wellbeing (SSTEW) Scale for </w:t>
      </w:r>
      <w:proofErr w:type="gramStart"/>
      <w:r w:rsidRPr="00716699">
        <w:rPr>
          <w:rFonts w:ascii="Arial" w:eastAsia="Times New Roman" w:hAnsi="Arial" w:cs="Arial"/>
          <w:i/>
          <w:iCs/>
          <w:kern w:val="0"/>
          <w:lang w:eastAsia="en-GB"/>
          <w14:ligatures w14:val="none"/>
        </w:rPr>
        <w:t>2-5 year olds</w:t>
      </w:r>
      <w:proofErr w:type="gramEnd"/>
      <w:r w:rsidRPr="00716699">
        <w:rPr>
          <w:rFonts w:ascii="Arial" w:eastAsia="Times New Roman" w:hAnsi="Arial" w:cs="Arial"/>
          <w:i/>
          <w:iCs/>
          <w:kern w:val="0"/>
          <w:lang w:eastAsia="en-GB"/>
          <w14:ligatures w14:val="none"/>
        </w:rPr>
        <w:t xml:space="preserve"> provision</w:t>
      </w:r>
      <w:r w:rsidRPr="00716699">
        <w:rPr>
          <w:rFonts w:ascii="Arial" w:eastAsia="Times New Roman" w:hAnsi="Arial" w:cs="Arial"/>
          <w:kern w:val="0"/>
          <w:lang w:eastAsia="en-GB"/>
          <w14:ligatures w14:val="none"/>
        </w:rPr>
        <w:t>. London: UCL IOE Press.</w:t>
      </w:r>
    </w:p>
    <w:p w14:paraId="05770E76"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Siraj-Blatchford, I., Sylva, K., </w:t>
      </w:r>
      <w:proofErr w:type="spellStart"/>
      <w:r w:rsidRPr="00716699">
        <w:rPr>
          <w:rFonts w:ascii="Arial" w:eastAsia="Times New Roman" w:hAnsi="Arial" w:cs="Arial"/>
          <w:kern w:val="0"/>
          <w:lang w:eastAsia="en-GB"/>
          <w14:ligatures w14:val="none"/>
        </w:rPr>
        <w:t>Muttock</w:t>
      </w:r>
      <w:proofErr w:type="spellEnd"/>
      <w:r w:rsidRPr="00716699">
        <w:rPr>
          <w:rFonts w:ascii="Arial" w:eastAsia="Times New Roman" w:hAnsi="Arial" w:cs="Arial"/>
          <w:kern w:val="0"/>
          <w:lang w:eastAsia="en-GB"/>
          <w14:ligatures w14:val="none"/>
        </w:rPr>
        <w:t xml:space="preserve">, S., Gilden, R. and Bell, D. (2015) </w:t>
      </w:r>
      <w:r w:rsidRPr="00716699">
        <w:rPr>
          <w:rFonts w:ascii="Arial" w:eastAsia="Times New Roman" w:hAnsi="Arial" w:cs="Arial"/>
          <w:i/>
          <w:iCs/>
          <w:kern w:val="0"/>
          <w:lang w:eastAsia="en-GB"/>
          <w14:ligatures w14:val="none"/>
        </w:rPr>
        <w:t>Sustained shared thinking and emotional well-being scale (SSTEW)</w:t>
      </w:r>
      <w:r w:rsidRPr="00716699">
        <w:rPr>
          <w:rFonts w:ascii="Arial" w:eastAsia="Times New Roman" w:hAnsi="Arial" w:cs="Arial"/>
          <w:kern w:val="0"/>
          <w:lang w:eastAsia="en-GB"/>
          <w14:ligatures w14:val="none"/>
        </w:rPr>
        <w:t>. Trentham Books.</w:t>
      </w:r>
    </w:p>
    <w:p w14:paraId="437284DB"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Sylva, K., Melhuish, E., Sammons, P., Siraj-Blatchford, I. and Taggart, B. (2010) </w:t>
      </w:r>
      <w:r w:rsidRPr="00716699">
        <w:rPr>
          <w:rFonts w:ascii="Arial" w:eastAsia="Times New Roman" w:hAnsi="Arial" w:cs="Arial"/>
          <w:i/>
          <w:iCs/>
          <w:kern w:val="0"/>
          <w:lang w:eastAsia="en-GB"/>
          <w14:ligatures w14:val="none"/>
        </w:rPr>
        <w:t>Early Childhood Matters: Evidence from the Effective Pre-school and Primary Education Project</w:t>
      </w:r>
      <w:r w:rsidRPr="00716699">
        <w:rPr>
          <w:rFonts w:ascii="Arial" w:eastAsia="Times New Roman" w:hAnsi="Arial" w:cs="Arial"/>
          <w:kern w:val="0"/>
          <w:lang w:eastAsia="en-GB"/>
          <w14:ligatures w14:val="none"/>
        </w:rPr>
        <w:t>. London: Routledge.</w:t>
      </w:r>
    </w:p>
    <w:p w14:paraId="1B5FA40C"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Tayler, C. (2015) 'Learning in early childhood: Experiences, relationships and “learning to be”', </w:t>
      </w:r>
      <w:r w:rsidRPr="00716699">
        <w:rPr>
          <w:rFonts w:ascii="Arial" w:eastAsia="Times New Roman" w:hAnsi="Arial" w:cs="Arial"/>
          <w:i/>
          <w:iCs/>
          <w:kern w:val="0"/>
          <w:lang w:eastAsia="en-GB"/>
          <w14:ligatures w14:val="none"/>
        </w:rPr>
        <w:t>European Journal of Education</w:t>
      </w:r>
      <w:r w:rsidRPr="00716699">
        <w:rPr>
          <w:rFonts w:ascii="Arial" w:eastAsia="Times New Roman" w:hAnsi="Arial" w:cs="Arial"/>
          <w:kern w:val="0"/>
          <w:lang w:eastAsia="en-GB"/>
          <w14:ligatures w14:val="none"/>
        </w:rPr>
        <w:t>, 50(2), pp. 160–174. DOI: 10.1111/ejed.12117.</w:t>
      </w:r>
    </w:p>
    <w:p w14:paraId="3F2515B5"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The Curiosity Approach (n.d.) </w:t>
      </w:r>
      <w:r w:rsidRPr="00716699">
        <w:rPr>
          <w:rFonts w:ascii="Arial" w:eastAsia="Times New Roman" w:hAnsi="Arial" w:cs="Arial"/>
          <w:i/>
          <w:iCs/>
          <w:kern w:val="0"/>
          <w:lang w:eastAsia="en-GB"/>
          <w14:ligatures w14:val="none"/>
        </w:rPr>
        <w:t>The curiosity approach to early learning</w:t>
      </w:r>
      <w:r w:rsidRPr="00716699">
        <w:rPr>
          <w:rFonts w:ascii="Arial" w:eastAsia="Times New Roman" w:hAnsi="Arial" w:cs="Arial"/>
          <w:kern w:val="0"/>
          <w:lang w:eastAsia="en-GB"/>
          <w14:ligatures w14:val="none"/>
        </w:rPr>
        <w:t xml:space="preserve">. Available at: </w:t>
      </w:r>
      <w:hyperlink r:id="rId16" w:tgtFrame="_new" w:history="1">
        <w:r w:rsidRPr="00716699">
          <w:rPr>
            <w:rFonts w:ascii="Arial" w:eastAsia="Times New Roman" w:hAnsi="Arial" w:cs="Arial"/>
            <w:kern w:val="0"/>
            <w:u w:val="single"/>
            <w:lang w:eastAsia="en-GB"/>
            <w14:ligatures w14:val="none"/>
          </w:rPr>
          <w:t>https://www.thecuriosityapproach.com</w:t>
        </w:r>
      </w:hyperlink>
      <w:r w:rsidRPr="00716699">
        <w:rPr>
          <w:rFonts w:ascii="Arial" w:eastAsia="Times New Roman" w:hAnsi="Arial" w:cs="Arial"/>
          <w:kern w:val="0"/>
          <w:lang w:eastAsia="en-GB"/>
          <w14:ligatures w14:val="none"/>
        </w:rPr>
        <w:t xml:space="preserve"> (Accessed: 15 March 2025).</w:t>
      </w:r>
    </w:p>
    <w:p w14:paraId="0CBEA72F"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lastRenderedPageBreak/>
        <w:t>The Child Minding and Day Care (Wales) Regulations 2010 (SI 2010/2574 (W.213)). Cardiff: Welsh Government.</w:t>
      </w:r>
    </w:p>
    <w:p w14:paraId="0920752B"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The Well-being of Future Generations (Wales) Act (2015) </w:t>
      </w:r>
      <w:r w:rsidRPr="00716699">
        <w:rPr>
          <w:rFonts w:ascii="Arial" w:eastAsia="Times New Roman" w:hAnsi="Arial" w:cs="Arial"/>
          <w:i/>
          <w:iCs/>
          <w:kern w:val="0"/>
          <w:lang w:eastAsia="en-GB"/>
          <w14:ligatures w14:val="none"/>
        </w:rPr>
        <w:t>Guidance on our law to improve social, economic, environmental and cultural well-being</w:t>
      </w:r>
      <w:r w:rsidRPr="00716699">
        <w:rPr>
          <w:rFonts w:ascii="Arial" w:eastAsia="Times New Roman" w:hAnsi="Arial" w:cs="Arial"/>
          <w:kern w:val="0"/>
          <w:lang w:eastAsia="en-GB"/>
          <w14:ligatures w14:val="none"/>
        </w:rPr>
        <w:t xml:space="preserve">. Available at: </w:t>
      </w:r>
      <w:hyperlink r:id="rId17" w:tgtFrame="_new" w:history="1">
        <w:r w:rsidRPr="00716699">
          <w:rPr>
            <w:rFonts w:ascii="Arial" w:eastAsia="Times New Roman" w:hAnsi="Arial" w:cs="Arial"/>
            <w:kern w:val="0"/>
            <w:u w:val="single"/>
            <w:lang w:eastAsia="en-GB"/>
            <w14:ligatures w14:val="none"/>
          </w:rPr>
          <w:t>https://www.gov.wales/sites/default/files/pdf-versions/2025/2/2/1740501518/well-being-future-generations-act-essentials.pdf</w:t>
        </w:r>
      </w:hyperlink>
      <w:r w:rsidRPr="00716699">
        <w:rPr>
          <w:rFonts w:ascii="Arial" w:eastAsia="Times New Roman" w:hAnsi="Arial" w:cs="Arial"/>
          <w:kern w:val="0"/>
          <w:lang w:eastAsia="en-GB"/>
          <w14:ligatures w14:val="none"/>
        </w:rPr>
        <w:t xml:space="preserve"> (Accessed: 8 March 2025).</w:t>
      </w:r>
    </w:p>
    <w:p w14:paraId="3D3BA3D9"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United Nations General Assembly (1989) </w:t>
      </w:r>
      <w:r w:rsidRPr="00716699">
        <w:rPr>
          <w:rFonts w:ascii="Arial" w:eastAsia="Times New Roman" w:hAnsi="Arial" w:cs="Arial"/>
          <w:i/>
          <w:iCs/>
          <w:kern w:val="0"/>
          <w:lang w:eastAsia="en-GB"/>
          <w14:ligatures w14:val="none"/>
        </w:rPr>
        <w:t>Convention on the Rights of the Child</w:t>
      </w:r>
      <w:r w:rsidRPr="00716699">
        <w:rPr>
          <w:rFonts w:ascii="Arial" w:eastAsia="Times New Roman" w:hAnsi="Arial" w:cs="Arial"/>
          <w:kern w:val="0"/>
          <w:lang w:eastAsia="en-GB"/>
          <w14:ligatures w14:val="none"/>
        </w:rPr>
        <w:t xml:space="preserve">, Treaty Series, 1577, p. 3. Available at: </w:t>
      </w:r>
      <w:hyperlink r:id="rId18" w:tgtFrame="_new" w:history="1">
        <w:r w:rsidRPr="00716699">
          <w:rPr>
            <w:rFonts w:ascii="Arial" w:eastAsia="Times New Roman" w:hAnsi="Arial" w:cs="Arial"/>
            <w:kern w:val="0"/>
            <w:u w:val="single"/>
            <w:lang w:eastAsia="en-GB"/>
            <w14:ligatures w14:val="none"/>
          </w:rPr>
          <w:t>https://www.ohchr.org</w:t>
        </w:r>
      </w:hyperlink>
      <w:r w:rsidRPr="00716699">
        <w:rPr>
          <w:rFonts w:ascii="Arial" w:eastAsia="Times New Roman" w:hAnsi="Arial" w:cs="Arial"/>
          <w:kern w:val="0"/>
          <w:lang w:eastAsia="en-GB"/>
          <w14:ligatures w14:val="none"/>
        </w:rPr>
        <w:t xml:space="preserve"> (Accessed: 24 March 2025).</w:t>
      </w:r>
    </w:p>
    <w:p w14:paraId="3409A2A2"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Vygotsky, L. (1978) </w:t>
      </w:r>
      <w:r w:rsidRPr="00716699">
        <w:rPr>
          <w:rFonts w:ascii="Arial" w:eastAsia="Times New Roman" w:hAnsi="Arial" w:cs="Arial"/>
          <w:i/>
          <w:iCs/>
          <w:kern w:val="0"/>
          <w:lang w:eastAsia="en-GB"/>
          <w14:ligatures w14:val="none"/>
        </w:rPr>
        <w:t>Mind in society: The development of higher psychological processes</w:t>
      </w:r>
      <w:r w:rsidRPr="00716699">
        <w:rPr>
          <w:rFonts w:ascii="Arial" w:eastAsia="Times New Roman" w:hAnsi="Arial" w:cs="Arial"/>
          <w:kern w:val="0"/>
          <w:lang w:eastAsia="en-GB"/>
          <w14:ligatures w14:val="none"/>
        </w:rPr>
        <w:t>. Harvard University Press.</w:t>
      </w:r>
    </w:p>
    <w:p w14:paraId="70B102C8"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Welsh Government (2015) </w:t>
      </w:r>
      <w:r w:rsidRPr="00716699">
        <w:rPr>
          <w:rFonts w:ascii="Arial" w:eastAsia="Times New Roman" w:hAnsi="Arial" w:cs="Arial"/>
          <w:i/>
          <w:iCs/>
          <w:kern w:val="0"/>
          <w:lang w:eastAsia="en-GB"/>
          <w14:ligatures w14:val="none"/>
        </w:rPr>
        <w:t>Well-being of Future Generations (Wales) Act 2015</w:t>
      </w:r>
      <w:r w:rsidRPr="00716699">
        <w:rPr>
          <w:rFonts w:ascii="Arial" w:eastAsia="Times New Roman" w:hAnsi="Arial" w:cs="Arial"/>
          <w:kern w:val="0"/>
          <w:lang w:eastAsia="en-GB"/>
          <w14:ligatures w14:val="none"/>
        </w:rPr>
        <w:t>. Cardiff: Welsh Government.</w:t>
      </w:r>
    </w:p>
    <w:p w14:paraId="51C49C01"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Welsh Government (2023) </w:t>
      </w:r>
      <w:r w:rsidRPr="00716699">
        <w:rPr>
          <w:rFonts w:ascii="Arial" w:eastAsia="Times New Roman" w:hAnsi="Arial" w:cs="Arial"/>
          <w:i/>
          <w:iCs/>
          <w:kern w:val="0"/>
          <w:lang w:eastAsia="en-GB"/>
          <w14:ligatures w14:val="none"/>
        </w:rPr>
        <w:t>National Minimum Standards for Regulated Childcare for children up to the age of 12 years</w:t>
      </w:r>
      <w:r w:rsidRPr="00716699">
        <w:rPr>
          <w:rFonts w:ascii="Arial" w:eastAsia="Times New Roman" w:hAnsi="Arial" w:cs="Arial"/>
          <w:kern w:val="0"/>
          <w:lang w:eastAsia="en-GB"/>
          <w14:ligatures w14:val="none"/>
        </w:rPr>
        <w:t xml:space="preserve">. Available at: </w:t>
      </w:r>
      <w:hyperlink r:id="rId19" w:tgtFrame="_new" w:history="1">
        <w:r w:rsidRPr="00716699">
          <w:rPr>
            <w:rFonts w:ascii="Arial" w:eastAsia="Times New Roman" w:hAnsi="Arial" w:cs="Arial"/>
            <w:kern w:val="0"/>
            <w:u w:val="single"/>
            <w:lang w:eastAsia="en-GB"/>
            <w14:ligatures w14:val="none"/>
          </w:rPr>
          <w:t>https://www.gov.wales/sites/default/files/publications/2023-11/national-minimum-standards-for-regulated-childcare_0.pdf</w:t>
        </w:r>
      </w:hyperlink>
      <w:r w:rsidRPr="00716699">
        <w:rPr>
          <w:rFonts w:ascii="Arial" w:eastAsia="Times New Roman" w:hAnsi="Arial" w:cs="Arial"/>
          <w:kern w:val="0"/>
          <w:lang w:eastAsia="en-GB"/>
          <w14:ligatures w14:val="none"/>
        </w:rPr>
        <w:t xml:space="preserve"> (Accessed: 9 March 2025).</w:t>
      </w:r>
    </w:p>
    <w:p w14:paraId="7EA1BB2F"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Welsh Government (2023) </w:t>
      </w:r>
      <w:r w:rsidRPr="00716699">
        <w:rPr>
          <w:rFonts w:ascii="Arial" w:eastAsia="Times New Roman" w:hAnsi="Arial" w:cs="Arial"/>
          <w:i/>
          <w:iCs/>
          <w:kern w:val="0"/>
          <w:lang w:eastAsia="en-GB"/>
          <w14:ligatures w14:val="none"/>
        </w:rPr>
        <w:t>Curriculum for non-maintained settings: Guidance for early years education</w:t>
      </w:r>
      <w:r w:rsidRPr="00716699">
        <w:rPr>
          <w:rFonts w:ascii="Arial" w:eastAsia="Times New Roman" w:hAnsi="Arial" w:cs="Arial"/>
          <w:kern w:val="0"/>
          <w:lang w:eastAsia="en-GB"/>
          <w14:ligatures w14:val="none"/>
        </w:rPr>
        <w:t xml:space="preserve">. Available at: </w:t>
      </w:r>
      <w:hyperlink r:id="rId20" w:tgtFrame="_new" w:history="1">
        <w:r w:rsidRPr="00716699">
          <w:rPr>
            <w:rFonts w:ascii="Arial" w:eastAsia="Times New Roman" w:hAnsi="Arial" w:cs="Arial"/>
            <w:kern w:val="0"/>
            <w:u w:val="single"/>
            <w:lang w:eastAsia="en-GB"/>
            <w14:ligatures w14:val="none"/>
          </w:rPr>
          <w:t>https://gov.wales/curriculum-for-wales</w:t>
        </w:r>
      </w:hyperlink>
      <w:r w:rsidRPr="00716699">
        <w:rPr>
          <w:rFonts w:ascii="Arial" w:eastAsia="Times New Roman" w:hAnsi="Arial" w:cs="Arial"/>
          <w:kern w:val="0"/>
          <w:lang w:eastAsia="en-GB"/>
          <w14:ligatures w14:val="none"/>
        </w:rPr>
        <w:t xml:space="preserve"> (Accessed: 15 March 2025).</w:t>
      </w:r>
    </w:p>
    <w:p w14:paraId="1D96FEB3"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Welsh Government (2023) </w:t>
      </w:r>
      <w:r w:rsidRPr="00716699">
        <w:rPr>
          <w:rFonts w:ascii="Arial" w:eastAsia="Times New Roman" w:hAnsi="Arial" w:cs="Arial"/>
          <w:i/>
          <w:iCs/>
          <w:kern w:val="0"/>
          <w:lang w:eastAsia="en-GB"/>
          <w14:ligatures w14:val="none"/>
        </w:rPr>
        <w:t>Quality of Care Report: Early Years and Childcare Settings</w:t>
      </w:r>
      <w:r w:rsidRPr="00716699">
        <w:rPr>
          <w:rFonts w:ascii="Arial" w:eastAsia="Times New Roman" w:hAnsi="Arial" w:cs="Arial"/>
          <w:kern w:val="0"/>
          <w:lang w:eastAsia="en-GB"/>
          <w14:ligatures w14:val="none"/>
        </w:rPr>
        <w:t xml:space="preserve">. Available at: </w:t>
      </w:r>
      <w:hyperlink r:id="rId21" w:tgtFrame="_new" w:history="1">
        <w:r w:rsidRPr="00716699">
          <w:rPr>
            <w:rFonts w:ascii="Arial" w:eastAsia="Times New Roman" w:hAnsi="Arial" w:cs="Arial"/>
            <w:kern w:val="0"/>
            <w:u w:val="single"/>
            <w:lang w:eastAsia="en-GB"/>
            <w14:ligatures w14:val="none"/>
          </w:rPr>
          <w:t>https://gov.wales/early-years-childcare-inspection</w:t>
        </w:r>
      </w:hyperlink>
      <w:r w:rsidRPr="00716699">
        <w:rPr>
          <w:rFonts w:ascii="Arial" w:eastAsia="Times New Roman" w:hAnsi="Arial" w:cs="Arial"/>
          <w:kern w:val="0"/>
          <w:lang w:eastAsia="en-GB"/>
          <w14:ligatures w14:val="none"/>
        </w:rPr>
        <w:t xml:space="preserve"> (Accessed: 15 March 2025).</w:t>
      </w:r>
    </w:p>
    <w:p w14:paraId="44B5DFFC" w14:textId="77777777" w:rsidR="00716699" w:rsidRPr="00716699" w:rsidRDefault="00716699" w:rsidP="00716699">
      <w:pPr>
        <w:spacing w:before="100" w:beforeAutospacing="1" w:after="100" w:afterAutospacing="1" w:line="360" w:lineRule="auto"/>
        <w:rPr>
          <w:rFonts w:ascii="Arial" w:eastAsia="Times New Roman" w:hAnsi="Arial" w:cs="Arial"/>
          <w:kern w:val="0"/>
          <w:lang w:eastAsia="en-GB"/>
          <w14:ligatures w14:val="none"/>
        </w:rPr>
      </w:pPr>
      <w:r w:rsidRPr="00716699">
        <w:rPr>
          <w:rFonts w:ascii="Arial" w:eastAsia="Times New Roman" w:hAnsi="Arial" w:cs="Arial"/>
          <w:kern w:val="0"/>
          <w:lang w:eastAsia="en-GB"/>
          <w14:ligatures w14:val="none"/>
        </w:rPr>
        <w:t xml:space="preserve">Whitebread, D., Basilio, M., </w:t>
      </w:r>
      <w:proofErr w:type="spellStart"/>
      <w:r w:rsidRPr="00716699">
        <w:rPr>
          <w:rFonts w:ascii="Arial" w:eastAsia="Times New Roman" w:hAnsi="Arial" w:cs="Arial"/>
          <w:kern w:val="0"/>
          <w:lang w:eastAsia="en-GB"/>
          <w14:ligatures w14:val="none"/>
        </w:rPr>
        <w:t>Kuvalja</w:t>
      </w:r>
      <w:proofErr w:type="spellEnd"/>
      <w:r w:rsidRPr="00716699">
        <w:rPr>
          <w:rFonts w:ascii="Arial" w:eastAsia="Times New Roman" w:hAnsi="Arial" w:cs="Arial"/>
          <w:kern w:val="0"/>
          <w:lang w:eastAsia="en-GB"/>
          <w14:ligatures w14:val="none"/>
        </w:rPr>
        <w:t xml:space="preserve">, M. and Verma, M. (2017) </w:t>
      </w:r>
      <w:r w:rsidRPr="00716699">
        <w:rPr>
          <w:rFonts w:ascii="Arial" w:eastAsia="Times New Roman" w:hAnsi="Arial" w:cs="Arial"/>
          <w:i/>
          <w:iCs/>
          <w:kern w:val="0"/>
          <w:lang w:eastAsia="en-GB"/>
          <w14:ligatures w14:val="none"/>
        </w:rPr>
        <w:t>The importance of play in early childhood development</w:t>
      </w:r>
      <w:r w:rsidRPr="00716699">
        <w:rPr>
          <w:rFonts w:ascii="Arial" w:eastAsia="Times New Roman" w:hAnsi="Arial" w:cs="Arial"/>
          <w:kern w:val="0"/>
          <w:lang w:eastAsia="en-GB"/>
          <w14:ligatures w14:val="none"/>
        </w:rPr>
        <w:t>. University of Cambridge.</w:t>
      </w:r>
    </w:p>
    <w:p w14:paraId="02EE14C5" w14:textId="77777777" w:rsidR="00716699" w:rsidRPr="00716699" w:rsidRDefault="00716699">
      <w:pPr>
        <w:rPr>
          <w:rFonts w:ascii="Arial" w:hAnsi="Arial" w:cs="Arial"/>
          <w:u w:val="single"/>
        </w:rPr>
      </w:pPr>
    </w:p>
    <w:sectPr w:rsidR="00716699" w:rsidRPr="007166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99"/>
    <w:rsid w:val="001E35EB"/>
    <w:rsid w:val="00246F0B"/>
    <w:rsid w:val="00716699"/>
    <w:rsid w:val="008262FC"/>
    <w:rsid w:val="009640B1"/>
    <w:rsid w:val="009A4927"/>
    <w:rsid w:val="00D32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1D409"/>
  <w15:chartTrackingRefBased/>
  <w15:docId w15:val="{F255B705-4149-42A2-87AD-2133FAD6C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6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66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6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6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6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6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6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6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6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6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6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6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6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6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6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6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6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699"/>
    <w:rPr>
      <w:rFonts w:eastAsiaTheme="majorEastAsia" w:cstheme="majorBidi"/>
      <w:color w:val="272727" w:themeColor="text1" w:themeTint="D8"/>
    </w:rPr>
  </w:style>
  <w:style w:type="paragraph" w:styleId="Title">
    <w:name w:val="Title"/>
    <w:basedOn w:val="Normal"/>
    <w:next w:val="Normal"/>
    <w:link w:val="TitleChar"/>
    <w:uiPriority w:val="10"/>
    <w:qFormat/>
    <w:rsid w:val="007166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6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6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6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699"/>
    <w:pPr>
      <w:spacing w:before="160"/>
      <w:jc w:val="center"/>
    </w:pPr>
    <w:rPr>
      <w:i/>
      <w:iCs/>
      <w:color w:val="404040" w:themeColor="text1" w:themeTint="BF"/>
    </w:rPr>
  </w:style>
  <w:style w:type="character" w:customStyle="1" w:styleId="QuoteChar">
    <w:name w:val="Quote Char"/>
    <w:basedOn w:val="DefaultParagraphFont"/>
    <w:link w:val="Quote"/>
    <w:uiPriority w:val="29"/>
    <w:rsid w:val="00716699"/>
    <w:rPr>
      <w:i/>
      <w:iCs/>
      <w:color w:val="404040" w:themeColor="text1" w:themeTint="BF"/>
    </w:rPr>
  </w:style>
  <w:style w:type="paragraph" w:styleId="ListParagraph">
    <w:name w:val="List Paragraph"/>
    <w:basedOn w:val="Normal"/>
    <w:uiPriority w:val="34"/>
    <w:qFormat/>
    <w:rsid w:val="00716699"/>
    <w:pPr>
      <w:ind w:left="720"/>
      <w:contextualSpacing/>
    </w:pPr>
  </w:style>
  <w:style w:type="character" w:styleId="IntenseEmphasis">
    <w:name w:val="Intense Emphasis"/>
    <w:basedOn w:val="DefaultParagraphFont"/>
    <w:uiPriority w:val="21"/>
    <w:qFormat/>
    <w:rsid w:val="00716699"/>
    <w:rPr>
      <w:i/>
      <w:iCs/>
      <w:color w:val="0F4761" w:themeColor="accent1" w:themeShade="BF"/>
    </w:rPr>
  </w:style>
  <w:style w:type="paragraph" w:styleId="IntenseQuote">
    <w:name w:val="Intense Quote"/>
    <w:basedOn w:val="Normal"/>
    <w:next w:val="Normal"/>
    <w:link w:val="IntenseQuoteChar"/>
    <w:uiPriority w:val="30"/>
    <w:qFormat/>
    <w:rsid w:val="007166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699"/>
    <w:rPr>
      <w:i/>
      <w:iCs/>
      <w:color w:val="0F4761" w:themeColor="accent1" w:themeShade="BF"/>
    </w:rPr>
  </w:style>
  <w:style w:type="character" w:styleId="IntenseReference">
    <w:name w:val="Intense Reference"/>
    <w:basedOn w:val="DefaultParagraphFont"/>
    <w:uiPriority w:val="32"/>
    <w:qFormat/>
    <w:rsid w:val="00716699"/>
    <w:rPr>
      <w:b/>
      <w:bCs/>
      <w:smallCaps/>
      <w:color w:val="0F4761" w:themeColor="accent1" w:themeShade="BF"/>
      <w:spacing w:val="5"/>
    </w:rPr>
  </w:style>
  <w:style w:type="paragraph" w:customStyle="1" w:styleId="paragraph">
    <w:name w:val="paragraph"/>
    <w:basedOn w:val="Normal"/>
    <w:rsid w:val="007166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16699"/>
  </w:style>
  <w:style w:type="character" w:customStyle="1" w:styleId="eop">
    <w:name w:val="eop"/>
    <w:basedOn w:val="DefaultParagraphFont"/>
    <w:rsid w:val="00716699"/>
  </w:style>
  <w:style w:type="character" w:customStyle="1" w:styleId="scxw132562156">
    <w:name w:val="scxw132562156"/>
    <w:basedOn w:val="DefaultParagraphFont"/>
    <w:rsid w:val="00716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353269">
      <w:bodyDiv w:val="1"/>
      <w:marLeft w:val="0"/>
      <w:marRight w:val="0"/>
      <w:marTop w:val="0"/>
      <w:marBottom w:val="0"/>
      <w:divBdr>
        <w:top w:val="none" w:sz="0" w:space="0" w:color="auto"/>
        <w:left w:val="none" w:sz="0" w:space="0" w:color="auto"/>
        <w:bottom w:val="none" w:sz="0" w:space="0" w:color="auto"/>
        <w:right w:val="none" w:sz="0" w:space="0" w:color="auto"/>
      </w:divBdr>
      <w:divsChild>
        <w:div w:id="1628004704">
          <w:marLeft w:val="0"/>
          <w:marRight w:val="0"/>
          <w:marTop w:val="0"/>
          <w:marBottom w:val="0"/>
          <w:divBdr>
            <w:top w:val="none" w:sz="0" w:space="0" w:color="auto"/>
            <w:left w:val="none" w:sz="0" w:space="0" w:color="auto"/>
            <w:bottom w:val="none" w:sz="0" w:space="0" w:color="auto"/>
            <w:right w:val="none" w:sz="0" w:space="0" w:color="auto"/>
          </w:divBdr>
        </w:div>
        <w:div w:id="1152452939">
          <w:marLeft w:val="0"/>
          <w:marRight w:val="0"/>
          <w:marTop w:val="0"/>
          <w:marBottom w:val="0"/>
          <w:divBdr>
            <w:top w:val="none" w:sz="0" w:space="0" w:color="auto"/>
            <w:left w:val="none" w:sz="0" w:space="0" w:color="auto"/>
            <w:bottom w:val="none" w:sz="0" w:space="0" w:color="auto"/>
            <w:right w:val="none" w:sz="0" w:space="0" w:color="auto"/>
          </w:divBdr>
        </w:div>
        <w:div w:id="354887964">
          <w:marLeft w:val="0"/>
          <w:marRight w:val="0"/>
          <w:marTop w:val="0"/>
          <w:marBottom w:val="0"/>
          <w:divBdr>
            <w:top w:val="none" w:sz="0" w:space="0" w:color="auto"/>
            <w:left w:val="none" w:sz="0" w:space="0" w:color="auto"/>
            <w:bottom w:val="none" w:sz="0" w:space="0" w:color="auto"/>
            <w:right w:val="none" w:sz="0" w:space="0" w:color="auto"/>
          </w:divBdr>
        </w:div>
        <w:div w:id="600140641">
          <w:marLeft w:val="0"/>
          <w:marRight w:val="0"/>
          <w:marTop w:val="0"/>
          <w:marBottom w:val="0"/>
          <w:divBdr>
            <w:top w:val="none" w:sz="0" w:space="0" w:color="auto"/>
            <w:left w:val="none" w:sz="0" w:space="0" w:color="auto"/>
            <w:bottom w:val="none" w:sz="0" w:space="0" w:color="auto"/>
            <w:right w:val="none" w:sz="0" w:space="0" w:color="auto"/>
          </w:divBdr>
        </w:div>
        <w:div w:id="2142381997">
          <w:marLeft w:val="0"/>
          <w:marRight w:val="0"/>
          <w:marTop w:val="0"/>
          <w:marBottom w:val="0"/>
          <w:divBdr>
            <w:top w:val="none" w:sz="0" w:space="0" w:color="auto"/>
            <w:left w:val="none" w:sz="0" w:space="0" w:color="auto"/>
            <w:bottom w:val="none" w:sz="0" w:space="0" w:color="auto"/>
            <w:right w:val="none" w:sz="0" w:space="0" w:color="auto"/>
          </w:divBdr>
        </w:div>
        <w:div w:id="555434447">
          <w:marLeft w:val="0"/>
          <w:marRight w:val="0"/>
          <w:marTop w:val="0"/>
          <w:marBottom w:val="0"/>
          <w:divBdr>
            <w:top w:val="none" w:sz="0" w:space="0" w:color="auto"/>
            <w:left w:val="none" w:sz="0" w:space="0" w:color="auto"/>
            <w:bottom w:val="none" w:sz="0" w:space="0" w:color="auto"/>
            <w:right w:val="none" w:sz="0" w:space="0" w:color="auto"/>
          </w:divBdr>
        </w:div>
        <w:div w:id="978727759">
          <w:marLeft w:val="0"/>
          <w:marRight w:val="0"/>
          <w:marTop w:val="0"/>
          <w:marBottom w:val="0"/>
          <w:divBdr>
            <w:top w:val="none" w:sz="0" w:space="0" w:color="auto"/>
            <w:left w:val="none" w:sz="0" w:space="0" w:color="auto"/>
            <w:bottom w:val="none" w:sz="0" w:space="0" w:color="auto"/>
            <w:right w:val="none" w:sz="0" w:space="0" w:color="auto"/>
          </w:divBdr>
        </w:div>
        <w:div w:id="2109426400">
          <w:marLeft w:val="0"/>
          <w:marRight w:val="0"/>
          <w:marTop w:val="0"/>
          <w:marBottom w:val="0"/>
          <w:divBdr>
            <w:top w:val="none" w:sz="0" w:space="0" w:color="auto"/>
            <w:left w:val="none" w:sz="0" w:space="0" w:color="auto"/>
            <w:bottom w:val="none" w:sz="0" w:space="0" w:color="auto"/>
            <w:right w:val="none" w:sz="0" w:space="0" w:color="auto"/>
          </w:divBdr>
        </w:div>
        <w:div w:id="434639004">
          <w:marLeft w:val="0"/>
          <w:marRight w:val="0"/>
          <w:marTop w:val="0"/>
          <w:marBottom w:val="0"/>
          <w:divBdr>
            <w:top w:val="none" w:sz="0" w:space="0" w:color="auto"/>
            <w:left w:val="none" w:sz="0" w:space="0" w:color="auto"/>
            <w:bottom w:val="none" w:sz="0" w:space="0" w:color="auto"/>
            <w:right w:val="none" w:sz="0" w:space="0" w:color="auto"/>
          </w:divBdr>
        </w:div>
        <w:div w:id="1038974214">
          <w:marLeft w:val="0"/>
          <w:marRight w:val="0"/>
          <w:marTop w:val="0"/>
          <w:marBottom w:val="0"/>
          <w:divBdr>
            <w:top w:val="none" w:sz="0" w:space="0" w:color="auto"/>
            <w:left w:val="none" w:sz="0" w:space="0" w:color="auto"/>
            <w:bottom w:val="none" w:sz="0" w:space="0" w:color="auto"/>
            <w:right w:val="none" w:sz="0" w:space="0" w:color="auto"/>
          </w:divBdr>
        </w:div>
        <w:div w:id="1910535602">
          <w:marLeft w:val="0"/>
          <w:marRight w:val="0"/>
          <w:marTop w:val="0"/>
          <w:marBottom w:val="0"/>
          <w:divBdr>
            <w:top w:val="none" w:sz="0" w:space="0" w:color="auto"/>
            <w:left w:val="none" w:sz="0" w:space="0" w:color="auto"/>
            <w:bottom w:val="none" w:sz="0" w:space="0" w:color="auto"/>
            <w:right w:val="none" w:sz="0" w:space="0" w:color="auto"/>
          </w:divBdr>
        </w:div>
        <w:div w:id="1624534027">
          <w:marLeft w:val="0"/>
          <w:marRight w:val="0"/>
          <w:marTop w:val="0"/>
          <w:marBottom w:val="0"/>
          <w:divBdr>
            <w:top w:val="none" w:sz="0" w:space="0" w:color="auto"/>
            <w:left w:val="none" w:sz="0" w:space="0" w:color="auto"/>
            <w:bottom w:val="none" w:sz="0" w:space="0" w:color="auto"/>
            <w:right w:val="none" w:sz="0" w:space="0" w:color="auto"/>
          </w:divBdr>
        </w:div>
        <w:div w:id="314377819">
          <w:marLeft w:val="0"/>
          <w:marRight w:val="0"/>
          <w:marTop w:val="0"/>
          <w:marBottom w:val="0"/>
          <w:divBdr>
            <w:top w:val="none" w:sz="0" w:space="0" w:color="auto"/>
            <w:left w:val="none" w:sz="0" w:space="0" w:color="auto"/>
            <w:bottom w:val="none" w:sz="0" w:space="0" w:color="auto"/>
            <w:right w:val="none" w:sz="0" w:space="0" w:color="auto"/>
          </w:divBdr>
        </w:div>
        <w:div w:id="1252349967">
          <w:marLeft w:val="0"/>
          <w:marRight w:val="0"/>
          <w:marTop w:val="0"/>
          <w:marBottom w:val="0"/>
          <w:divBdr>
            <w:top w:val="none" w:sz="0" w:space="0" w:color="auto"/>
            <w:left w:val="none" w:sz="0" w:space="0" w:color="auto"/>
            <w:bottom w:val="none" w:sz="0" w:space="0" w:color="auto"/>
            <w:right w:val="none" w:sz="0" w:space="0" w:color="auto"/>
          </w:divBdr>
        </w:div>
        <w:div w:id="1288858492">
          <w:marLeft w:val="0"/>
          <w:marRight w:val="0"/>
          <w:marTop w:val="0"/>
          <w:marBottom w:val="0"/>
          <w:divBdr>
            <w:top w:val="none" w:sz="0" w:space="0" w:color="auto"/>
            <w:left w:val="none" w:sz="0" w:space="0" w:color="auto"/>
            <w:bottom w:val="none" w:sz="0" w:space="0" w:color="auto"/>
            <w:right w:val="none" w:sz="0" w:space="0" w:color="auto"/>
          </w:divBdr>
        </w:div>
        <w:div w:id="497233995">
          <w:marLeft w:val="0"/>
          <w:marRight w:val="0"/>
          <w:marTop w:val="0"/>
          <w:marBottom w:val="0"/>
          <w:divBdr>
            <w:top w:val="none" w:sz="0" w:space="0" w:color="auto"/>
            <w:left w:val="none" w:sz="0" w:space="0" w:color="auto"/>
            <w:bottom w:val="none" w:sz="0" w:space="0" w:color="auto"/>
            <w:right w:val="none" w:sz="0" w:space="0" w:color="auto"/>
          </w:divBdr>
        </w:div>
        <w:div w:id="1012072519">
          <w:marLeft w:val="0"/>
          <w:marRight w:val="0"/>
          <w:marTop w:val="0"/>
          <w:marBottom w:val="0"/>
          <w:divBdr>
            <w:top w:val="none" w:sz="0" w:space="0" w:color="auto"/>
            <w:left w:val="none" w:sz="0" w:space="0" w:color="auto"/>
            <w:bottom w:val="none" w:sz="0" w:space="0" w:color="auto"/>
            <w:right w:val="none" w:sz="0" w:space="0" w:color="auto"/>
          </w:divBdr>
        </w:div>
        <w:div w:id="452985447">
          <w:marLeft w:val="0"/>
          <w:marRight w:val="0"/>
          <w:marTop w:val="0"/>
          <w:marBottom w:val="0"/>
          <w:divBdr>
            <w:top w:val="none" w:sz="0" w:space="0" w:color="auto"/>
            <w:left w:val="none" w:sz="0" w:space="0" w:color="auto"/>
            <w:bottom w:val="none" w:sz="0" w:space="0" w:color="auto"/>
            <w:right w:val="none" w:sz="0" w:space="0" w:color="auto"/>
          </w:divBdr>
        </w:div>
        <w:div w:id="585840855">
          <w:marLeft w:val="0"/>
          <w:marRight w:val="0"/>
          <w:marTop w:val="0"/>
          <w:marBottom w:val="0"/>
          <w:divBdr>
            <w:top w:val="none" w:sz="0" w:space="0" w:color="auto"/>
            <w:left w:val="none" w:sz="0" w:space="0" w:color="auto"/>
            <w:bottom w:val="none" w:sz="0" w:space="0" w:color="auto"/>
            <w:right w:val="none" w:sz="0" w:space="0" w:color="auto"/>
          </w:divBdr>
        </w:div>
        <w:div w:id="886798830">
          <w:marLeft w:val="0"/>
          <w:marRight w:val="0"/>
          <w:marTop w:val="0"/>
          <w:marBottom w:val="0"/>
          <w:divBdr>
            <w:top w:val="none" w:sz="0" w:space="0" w:color="auto"/>
            <w:left w:val="none" w:sz="0" w:space="0" w:color="auto"/>
            <w:bottom w:val="none" w:sz="0" w:space="0" w:color="auto"/>
            <w:right w:val="none" w:sz="0" w:space="0" w:color="auto"/>
          </w:divBdr>
        </w:div>
        <w:div w:id="1050769941">
          <w:marLeft w:val="0"/>
          <w:marRight w:val="0"/>
          <w:marTop w:val="0"/>
          <w:marBottom w:val="0"/>
          <w:divBdr>
            <w:top w:val="none" w:sz="0" w:space="0" w:color="auto"/>
            <w:left w:val="none" w:sz="0" w:space="0" w:color="auto"/>
            <w:bottom w:val="none" w:sz="0" w:space="0" w:color="auto"/>
            <w:right w:val="none" w:sz="0" w:space="0" w:color="auto"/>
          </w:divBdr>
        </w:div>
        <w:div w:id="712464651">
          <w:marLeft w:val="0"/>
          <w:marRight w:val="0"/>
          <w:marTop w:val="0"/>
          <w:marBottom w:val="0"/>
          <w:divBdr>
            <w:top w:val="none" w:sz="0" w:space="0" w:color="auto"/>
            <w:left w:val="none" w:sz="0" w:space="0" w:color="auto"/>
            <w:bottom w:val="none" w:sz="0" w:space="0" w:color="auto"/>
            <w:right w:val="none" w:sz="0" w:space="0" w:color="auto"/>
          </w:divBdr>
        </w:div>
        <w:div w:id="471866808">
          <w:marLeft w:val="0"/>
          <w:marRight w:val="0"/>
          <w:marTop w:val="0"/>
          <w:marBottom w:val="0"/>
          <w:divBdr>
            <w:top w:val="none" w:sz="0" w:space="0" w:color="auto"/>
            <w:left w:val="none" w:sz="0" w:space="0" w:color="auto"/>
            <w:bottom w:val="none" w:sz="0" w:space="0" w:color="auto"/>
            <w:right w:val="none" w:sz="0" w:space="0" w:color="auto"/>
          </w:divBdr>
        </w:div>
        <w:div w:id="980381345">
          <w:marLeft w:val="0"/>
          <w:marRight w:val="0"/>
          <w:marTop w:val="0"/>
          <w:marBottom w:val="0"/>
          <w:divBdr>
            <w:top w:val="none" w:sz="0" w:space="0" w:color="auto"/>
            <w:left w:val="none" w:sz="0" w:space="0" w:color="auto"/>
            <w:bottom w:val="none" w:sz="0" w:space="0" w:color="auto"/>
            <w:right w:val="none" w:sz="0" w:space="0" w:color="auto"/>
          </w:divBdr>
        </w:div>
        <w:div w:id="1365207711">
          <w:marLeft w:val="0"/>
          <w:marRight w:val="0"/>
          <w:marTop w:val="0"/>
          <w:marBottom w:val="0"/>
          <w:divBdr>
            <w:top w:val="none" w:sz="0" w:space="0" w:color="auto"/>
            <w:left w:val="none" w:sz="0" w:space="0" w:color="auto"/>
            <w:bottom w:val="none" w:sz="0" w:space="0" w:color="auto"/>
            <w:right w:val="none" w:sz="0" w:space="0" w:color="auto"/>
          </w:divBdr>
        </w:div>
        <w:div w:id="1822040537">
          <w:marLeft w:val="0"/>
          <w:marRight w:val="0"/>
          <w:marTop w:val="0"/>
          <w:marBottom w:val="0"/>
          <w:divBdr>
            <w:top w:val="none" w:sz="0" w:space="0" w:color="auto"/>
            <w:left w:val="none" w:sz="0" w:space="0" w:color="auto"/>
            <w:bottom w:val="none" w:sz="0" w:space="0" w:color="auto"/>
            <w:right w:val="none" w:sz="0" w:space="0" w:color="auto"/>
          </w:divBdr>
        </w:div>
        <w:div w:id="93945701">
          <w:marLeft w:val="0"/>
          <w:marRight w:val="0"/>
          <w:marTop w:val="0"/>
          <w:marBottom w:val="0"/>
          <w:divBdr>
            <w:top w:val="none" w:sz="0" w:space="0" w:color="auto"/>
            <w:left w:val="none" w:sz="0" w:space="0" w:color="auto"/>
            <w:bottom w:val="none" w:sz="0" w:space="0" w:color="auto"/>
            <w:right w:val="none" w:sz="0" w:space="0" w:color="auto"/>
          </w:divBdr>
        </w:div>
        <w:div w:id="4527000">
          <w:marLeft w:val="0"/>
          <w:marRight w:val="0"/>
          <w:marTop w:val="0"/>
          <w:marBottom w:val="0"/>
          <w:divBdr>
            <w:top w:val="none" w:sz="0" w:space="0" w:color="auto"/>
            <w:left w:val="none" w:sz="0" w:space="0" w:color="auto"/>
            <w:bottom w:val="none" w:sz="0" w:space="0" w:color="auto"/>
            <w:right w:val="none" w:sz="0" w:space="0" w:color="auto"/>
          </w:divBdr>
        </w:div>
        <w:div w:id="971058976">
          <w:marLeft w:val="0"/>
          <w:marRight w:val="0"/>
          <w:marTop w:val="0"/>
          <w:marBottom w:val="0"/>
          <w:divBdr>
            <w:top w:val="none" w:sz="0" w:space="0" w:color="auto"/>
            <w:left w:val="none" w:sz="0" w:space="0" w:color="auto"/>
            <w:bottom w:val="none" w:sz="0" w:space="0" w:color="auto"/>
            <w:right w:val="none" w:sz="0" w:space="0" w:color="auto"/>
          </w:divBdr>
        </w:div>
        <w:div w:id="1684669567">
          <w:marLeft w:val="0"/>
          <w:marRight w:val="0"/>
          <w:marTop w:val="0"/>
          <w:marBottom w:val="0"/>
          <w:divBdr>
            <w:top w:val="none" w:sz="0" w:space="0" w:color="auto"/>
            <w:left w:val="none" w:sz="0" w:space="0" w:color="auto"/>
            <w:bottom w:val="none" w:sz="0" w:space="0" w:color="auto"/>
            <w:right w:val="none" w:sz="0" w:space="0" w:color="auto"/>
          </w:divBdr>
        </w:div>
        <w:div w:id="172573742">
          <w:marLeft w:val="0"/>
          <w:marRight w:val="0"/>
          <w:marTop w:val="0"/>
          <w:marBottom w:val="0"/>
          <w:divBdr>
            <w:top w:val="none" w:sz="0" w:space="0" w:color="auto"/>
            <w:left w:val="none" w:sz="0" w:space="0" w:color="auto"/>
            <w:bottom w:val="none" w:sz="0" w:space="0" w:color="auto"/>
            <w:right w:val="none" w:sz="0" w:space="0" w:color="auto"/>
          </w:divBdr>
        </w:div>
        <w:div w:id="905839218">
          <w:marLeft w:val="0"/>
          <w:marRight w:val="0"/>
          <w:marTop w:val="0"/>
          <w:marBottom w:val="0"/>
          <w:divBdr>
            <w:top w:val="none" w:sz="0" w:space="0" w:color="auto"/>
            <w:left w:val="none" w:sz="0" w:space="0" w:color="auto"/>
            <w:bottom w:val="none" w:sz="0" w:space="0" w:color="auto"/>
            <w:right w:val="none" w:sz="0" w:space="0" w:color="auto"/>
          </w:divBdr>
        </w:div>
        <w:div w:id="1351299852">
          <w:marLeft w:val="0"/>
          <w:marRight w:val="0"/>
          <w:marTop w:val="0"/>
          <w:marBottom w:val="0"/>
          <w:divBdr>
            <w:top w:val="none" w:sz="0" w:space="0" w:color="auto"/>
            <w:left w:val="none" w:sz="0" w:space="0" w:color="auto"/>
            <w:bottom w:val="none" w:sz="0" w:space="0" w:color="auto"/>
            <w:right w:val="none" w:sz="0" w:space="0" w:color="auto"/>
          </w:divBdr>
        </w:div>
        <w:div w:id="1852799126">
          <w:marLeft w:val="0"/>
          <w:marRight w:val="0"/>
          <w:marTop w:val="0"/>
          <w:marBottom w:val="0"/>
          <w:divBdr>
            <w:top w:val="none" w:sz="0" w:space="0" w:color="auto"/>
            <w:left w:val="none" w:sz="0" w:space="0" w:color="auto"/>
            <w:bottom w:val="none" w:sz="0" w:space="0" w:color="auto"/>
            <w:right w:val="none" w:sz="0" w:space="0" w:color="auto"/>
          </w:divBdr>
        </w:div>
        <w:div w:id="1097407455">
          <w:marLeft w:val="0"/>
          <w:marRight w:val="0"/>
          <w:marTop w:val="0"/>
          <w:marBottom w:val="0"/>
          <w:divBdr>
            <w:top w:val="none" w:sz="0" w:space="0" w:color="auto"/>
            <w:left w:val="none" w:sz="0" w:space="0" w:color="auto"/>
            <w:bottom w:val="none" w:sz="0" w:space="0" w:color="auto"/>
            <w:right w:val="none" w:sz="0" w:space="0" w:color="auto"/>
          </w:divBdr>
        </w:div>
        <w:div w:id="1051229080">
          <w:marLeft w:val="0"/>
          <w:marRight w:val="0"/>
          <w:marTop w:val="0"/>
          <w:marBottom w:val="0"/>
          <w:divBdr>
            <w:top w:val="none" w:sz="0" w:space="0" w:color="auto"/>
            <w:left w:val="none" w:sz="0" w:space="0" w:color="auto"/>
            <w:bottom w:val="none" w:sz="0" w:space="0" w:color="auto"/>
            <w:right w:val="none" w:sz="0" w:space="0" w:color="auto"/>
          </w:divBdr>
        </w:div>
        <w:div w:id="289358888">
          <w:marLeft w:val="0"/>
          <w:marRight w:val="0"/>
          <w:marTop w:val="0"/>
          <w:marBottom w:val="0"/>
          <w:divBdr>
            <w:top w:val="none" w:sz="0" w:space="0" w:color="auto"/>
            <w:left w:val="none" w:sz="0" w:space="0" w:color="auto"/>
            <w:bottom w:val="none" w:sz="0" w:space="0" w:color="auto"/>
            <w:right w:val="none" w:sz="0" w:space="0" w:color="auto"/>
          </w:divBdr>
        </w:div>
        <w:div w:id="1519807672">
          <w:marLeft w:val="0"/>
          <w:marRight w:val="0"/>
          <w:marTop w:val="0"/>
          <w:marBottom w:val="0"/>
          <w:divBdr>
            <w:top w:val="none" w:sz="0" w:space="0" w:color="auto"/>
            <w:left w:val="none" w:sz="0" w:space="0" w:color="auto"/>
            <w:bottom w:val="none" w:sz="0" w:space="0" w:color="auto"/>
            <w:right w:val="none" w:sz="0" w:space="0" w:color="auto"/>
          </w:divBdr>
        </w:div>
        <w:div w:id="96876312">
          <w:marLeft w:val="0"/>
          <w:marRight w:val="0"/>
          <w:marTop w:val="0"/>
          <w:marBottom w:val="0"/>
          <w:divBdr>
            <w:top w:val="none" w:sz="0" w:space="0" w:color="auto"/>
            <w:left w:val="none" w:sz="0" w:space="0" w:color="auto"/>
            <w:bottom w:val="none" w:sz="0" w:space="0" w:color="auto"/>
            <w:right w:val="none" w:sz="0" w:space="0" w:color="auto"/>
          </w:divBdr>
        </w:div>
        <w:div w:id="887230067">
          <w:marLeft w:val="0"/>
          <w:marRight w:val="0"/>
          <w:marTop w:val="0"/>
          <w:marBottom w:val="0"/>
          <w:divBdr>
            <w:top w:val="none" w:sz="0" w:space="0" w:color="auto"/>
            <w:left w:val="none" w:sz="0" w:space="0" w:color="auto"/>
            <w:bottom w:val="none" w:sz="0" w:space="0" w:color="auto"/>
            <w:right w:val="none" w:sz="0" w:space="0" w:color="auto"/>
          </w:divBdr>
        </w:div>
        <w:div w:id="1399356443">
          <w:marLeft w:val="0"/>
          <w:marRight w:val="0"/>
          <w:marTop w:val="0"/>
          <w:marBottom w:val="0"/>
          <w:divBdr>
            <w:top w:val="none" w:sz="0" w:space="0" w:color="auto"/>
            <w:left w:val="none" w:sz="0" w:space="0" w:color="auto"/>
            <w:bottom w:val="none" w:sz="0" w:space="0" w:color="auto"/>
            <w:right w:val="none" w:sz="0" w:space="0" w:color="auto"/>
          </w:divBdr>
        </w:div>
        <w:div w:id="1260869067">
          <w:marLeft w:val="0"/>
          <w:marRight w:val="0"/>
          <w:marTop w:val="0"/>
          <w:marBottom w:val="0"/>
          <w:divBdr>
            <w:top w:val="none" w:sz="0" w:space="0" w:color="auto"/>
            <w:left w:val="none" w:sz="0" w:space="0" w:color="auto"/>
            <w:bottom w:val="none" w:sz="0" w:space="0" w:color="auto"/>
            <w:right w:val="none" w:sz="0" w:space="0" w:color="auto"/>
          </w:divBdr>
        </w:div>
        <w:div w:id="1530990457">
          <w:marLeft w:val="0"/>
          <w:marRight w:val="0"/>
          <w:marTop w:val="0"/>
          <w:marBottom w:val="0"/>
          <w:divBdr>
            <w:top w:val="none" w:sz="0" w:space="0" w:color="auto"/>
            <w:left w:val="none" w:sz="0" w:space="0" w:color="auto"/>
            <w:bottom w:val="none" w:sz="0" w:space="0" w:color="auto"/>
            <w:right w:val="none" w:sz="0" w:space="0" w:color="auto"/>
          </w:divBdr>
        </w:div>
        <w:div w:id="881212333">
          <w:marLeft w:val="0"/>
          <w:marRight w:val="0"/>
          <w:marTop w:val="0"/>
          <w:marBottom w:val="0"/>
          <w:divBdr>
            <w:top w:val="none" w:sz="0" w:space="0" w:color="auto"/>
            <w:left w:val="none" w:sz="0" w:space="0" w:color="auto"/>
            <w:bottom w:val="none" w:sz="0" w:space="0" w:color="auto"/>
            <w:right w:val="none" w:sz="0" w:space="0" w:color="auto"/>
          </w:divBdr>
        </w:div>
        <w:div w:id="130488321">
          <w:marLeft w:val="0"/>
          <w:marRight w:val="0"/>
          <w:marTop w:val="0"/>
          <w:marBottom w:val="0"/>
          <w:divBdr>
            <w:top w:val="none" w:sz="0" w:space="0" w:color="auto"/>
            <w:left w:val="none" w:sz="0" w:space="0" w:color="auto"/>
            <w:bottom w:val="none" w:sz="0" w:space="0" w:color="auto"/>
            <w:right w:val="none" w:sz="0" w:space="0" w:color="auto"/>
          </w:divBdr>
        </w:div>
        <w:div w:id="1900286906">
          <w:marLeft w:val="0"/>
          <w:marRight w:val="0"/>
          <w:marTop w:val="0"/>
          <w:marBottom w:val="0"/>
          <w:divBdr>
            <w:top w:val="none" w:sz="0" w:space="0" w:color="auto"/>
            <w:left w:val="none" w:sz="0" w:space="0" w:color="auto"/>
            <w:bottom w:val="none" w:sz="0" w:space="0" w:color="auto"/>
            <w:right w:val="none" w:sz="0" w:space="0" w:color="auto"/>
          </w:divBdr>
        </w:div>
        <w:div w:id="1483888006">
          <w:marLeft w:val="0"/>
          <w:marRight w:val="0"/>
          <w:marTop w:val="0"/>
          <w:marBottom w:val="0"/>
          <w:divBdr>
            <w:top w:val="none" w:sz="0" w:space="0" w:color="auto"/>
            <w:left w:val="none" w:sz="0" w:space="0" w:color="auto"/>
            <w:bottom w:val="none" w:sz="0" w:space="0" w:color="auto"/>
            <w:right w:val="none" w:sz="0" w:space="0" w:color="auto"/>
          </w:divBdr>
        </w:div>
        <w:div w:id="247621826">
          <w:marLeft w:val="0"/>
          <w:marRight w:val="0"/>
          <w:marTop w:val="0"/>
          <w:marBottom w:val="0"/>
          <w:divBdr>
            <w:top w:val="none" w:sz="0" w:space="0" w:color="auto"/>
            <w:left w:val="none" w:sz="0" w:space="0" w:color="auto"/>
            <w:bottom w:val="none" w:sz="0" w:space="0" w:color="auto"/>
            <w:right w:val="none" w:sz="0" w:space="0" w:color="auto"/>
          </w:divBdr>
        </w:div>
        <w:div w:id="27269082">
          <w:marLeft w:val="0"/>
          <w:marRight w:val="0"/>
          <w:marTop w:val="0"/>
          <w:marBottom w:val="0"/>
          <w:divBdr>
            <w:top w:val="none" w:sz="0" w:space="0" w:color="auto"/>
            <w:left w:val="none" w:sz="0" w:space="0" w:color="auto"/>
            <w:bottom w:val="none" w:sz="0" w:space="0" w:color="auto"/>
            <w:right w:val="none" w:sz="0" w:space="0" w:color="auto"/>
          </w:divBdr>
        </w:div>
        <w:div w:id="564412065">
          <w:marLeft w:val="0"/>
          <w:marRight w:val="0"/>
          <w:marTop w:val="0"/>
          <w:marBottom w:val="0"/>
          <w:divBdr>
            <w:top w:val="none" w:sz="0" w:space="0" w:color="auto"/>
            <w:left w:val="none" w:sz="0" w:space="0" w:color="auto"/>
            <w:bottom w:val="none" w:sz="0" w:space="0" w:color="auto"/>
            <w:right w:val="none" w:sz="0" w:space="0" w:color="auto"/>
          </w:divBdr>
        </w:div>
        <w:div w:id="924148524">
          <w:marLeft w:val="0"/>
          <w:marRight w:val="0"/>
          <w:marTop w:val="0"/>
          <w:marBottom w:val="0"/>
          <w:divBdr>
            <w:top w:val="none" w:sz="0" w:space="0" w:color="auto"/>
            <w:left w:val="none" w:sz="0" w:space="0" w:color="auto"/>
            <w:bottom w:val="none" w:sz="0" w:space="0" w:color="auto"/>
            <w:right w:val="none" w:sz="0" w:space="0" w:color="auto"/>
          </w:divBdr>
        </w:div>
        <w:div w:id="955021146">
          <w:marLeft w:val="0"/>
          <w:marRight w:val="0"/>
          <w:marTop w:val="0"/>
          <w:marBottom w:val="0"/>
          <w:divBdr>
            <w:top w:val="none" w:sz="0" w:space="0" w:color="auto"/>
            <w:left w:val="none" w:sz="0" w:space="0" w:color="auto"/>
            <w:bottom w:val="none" w:sz="0" w:space="0" w:color="auto"/>
            <w:right w:val="none" w:sz="0" w:space="0" w:color="auto"/>
          </w:divBdr>
        </w:div>
        <w:div w:id="1458720441">
          <w:marLeft w:val="0"/>
          <w:marRight w:val="0"/>
          <w:marTop w:val="0"/>
          <w:marBottom w:val="0"/>
          <w:divBdr>
            <w:top w:val="none" w:sz="0" w:space="0" w:color="auto"/>
            <w:left w:val="none" w:sz="0" w:space="0" w:color="auto"/>
            <w:bottom w:val="none" w:sz="0" w:space="0" w:color="auto"/>
            <w:right w:val="none" w:sz="0" w:space="0" w:color="auto"/>
          </w:divBdr>
        </w:div>
        <w:div w:id="502743592">
          <w:marLeft w:val="0"/>
          <w:marRight w:val="0"/>
          <w:marTop w:val="0"/>
          <w:marBottom w:val="0"/>
          <w:divBdr>
            <w:top w:val="none" w:sz="0" w:space="0" w:color="auto"/>
            <w:left w:val="none" w:sz="0" w:space="0" w:color="auto"/>
            <w:bottom w:val="none" w:sz="0" w:space="0" w:color="auto"/>
            <w:right w:val="none" w:sz="0" w:space="0" w:color="auto"/>
          </w:divBdr>
        </w:div>
        <w:div w:id="333996118">
          <w:marLeft w:val="0"/>
          <w:marRight w:val="0"/>
          <w:marTop w:val="0"/>
          <w:marBottom w:val="0"/>
          <w:divBdr>
            <w:top w:val="none" w:sz="0" w:space="0" w:color="auto"/>
            <w:left w:val="none" w:sz="0" w:space="0" w:color="auto"/>
            <w:bottom w:val="none" w:sz="0" w:space="0" w:color="auto"/>
            <w:right w:val="none" w:sz="0" w:space="0" w:color="auto"/>
          </w:divBdr>
        </w:div>
        <w:div w:id="1459907550">
          <w:marLeft w:val="0"/>
          <w:marRight w:val="0"/>
          <w:marTop w:val="0"/>
          <w:marBottom w:val="0"/>
          <w:divBdr>
            <w:top w:val="none" w:sz="0" w:space="0" w:color="auto"/>
            <w:left w:val="none" w:sz="0" w:space="0" w:color="auto"/>
            <w:bottom w:val="none" w:sz="0" w:space="0" w:color="auto"/>
            <w:right w:val="none" w:sz="0" w:space="0" w:color="auto"/>
          </w:divBdr>
        </w:div>
        <w:div w:id="1206989660">
          <w:marLeft w:val="0"/>
          <w:marRight w:val="0"/>
          <w:marTop w:val="0"/>
          <w:marBottom w:val="0"/>
          <w:divBdr>
            <w:top w:val="none" w:sz="0" w:space="0" w:color="auto"/>
            <w:left w:val="none" w:sz="0" w:space="0" w:color="auto"/>
            <w:bottom w:val="none" w:sz="0" w:space="0" w:color="auto"/>
            <w:right w:val="none" w:sz="0" w:space="0" w:color="auto"/>
          </w:divBdr>
        </w:div>
        <w:div w:id="1728920973">
          <w:marLeft w:val="0"/>
          <w:marRight w:val="0"/>
          <w:marTop w:val="0"/>
          <w:marBottom w:val="0"/>
          <w:divBdr>
            <w:top w:val="none" w:sz="0" w:space="0" w:color="auto"/>
            <w:left w:val="none" w:sz="0" w:space="0" w:color="auto"/>
            <w:bottom w:val="none" w:sz="0" w:space="0" w:color="auto"/>
            <w:right w:val="none" w:sz="0" w:space="0" w:color="auto"/>
          </w:divBdr>
        </w:div>
        <w:div w:id="1679884364">
          <w:marLeft w:val="0"/>
          <w:marRight w:val="0"/>
          <w:marTop w:val="0"/>
          <w:marBottom w:val="0"/>
          <w:divBdr>
            <w:top w:val="none" w:sz="0" w:space="0" w:color="auto"/>
            <w:left w:val="none" w:sz="0" w:space="0" w:color="auto"/>
            <w:bottom w:val="none" w:sz="0" w:space="0" w:color="auto"/>
            <w:right w:val="none" w:sz="0" w:space="0" w:color="auto"/>
          </w:divBdr>
        </w:div>
        <w:div w:id="1673332634">
          <w:marLeft w:val="0"/>
          <w:marRight w:val="0"/>
          <w:marTop w:val="0"/>
          <w:marBottom w:val="0"/>
          <w:divBdr>
            <w:top w:val="none" w:sz="0" w:space="0" w:color="auto"/>
            <w:left w:val="none" w:sz="0" w:space="0" w:color="auto"/>
            <w:bottom w:val="none" w:sz="0" w:space="0" w:color="auto"/>
            <w:right w:val="none" w:sz="0" w:space="0" w:color="auto"/>
          </w:divBdr>
        </w:div>
        <w:div w:id="797840454">
          <w:marLeft w:val="0"/>
          <w:marRight w:val="0"/>
          <w:marTop w:val="0"/>
          <w:marBottom w:val="0"/>
          <w:divBdr>
            <w:top w:val="none" w:sz="0" w:space="0" w:color="auto"/>
            <w:left w:val="none" w:sz="0" w:space="0" w:color="auto"/>
            <w:bottom w:val="none" w:sz="0" w:space="0" w:color="auto"/>
            <w:right w:val="none" w:sz="0" w:space="0" w:color="auto"/>
          </w:divBdr>
        </w:div>
        <w:div w:id="1355229636">
          <w:marLeft w:val="0"/>
          <w:marRight w:val="0"/>
          <w:marTop w:val="0"/>
          <w:marBottom w:val="0"/>
          <w:divBdr>
            <w:top w:val="none" w:sz="0" w:space="0" w:color="auto"/>
            <w:left w:val="none" w:sz="0" w:space="0" w:color="auto"/>
            <w:bottom w:val="none" w:sz="0" w:space="0" w:color="auto"/>
            <w:right w:val="none" w:sz="0" w:space="0" w:color="auto"/>
          </w:divBdr>
        </w:div>
        <w:div w:id="1804738496">
          <w:marLeft w:val="0"/>
          <w:marRight w:val="0"/>
          <w:marTop w:val="0"/>
          <w:marBottom w:val="0"/>
          <w:divBdr>
            <w:top w:val="none" w:sz="0" w:space="0" w:color="auto"/>
            <w:left w:val="none" w:sz="0" w:space="0" w:color="auto"/>
            <w:bottom w:val="none" w:sz="0" w:space="0" w:color="auto"/>
            <w:right w:val="none" w:sz="0" w:space="0" w:color="auto"/>
          </w:divBdr>
        </w:div>
        <w:div w:id="494803960">
          <w:marLeft w:val="0"/>
          <w:marRight w:val="0"/>
          <w:marTop w:val="0"/>
          <w:marBottom w:val="0"/>
          <w:divBdr>
            <w:top w:val="none" w:sz="0" w:space="0" w:color="auto"/>
            <w:left w:val="none" w:sz="0" w:space="0" w:color="auto"/>
            <w:bottom w:val="none" w:sz="0" w:space="0" w:color="auto"/>
            <w:right w:val="none" w:sz="0" w:space="0" w:color="auto"/>
          </w:divBdr>
        </w:div>
        <w:div w:id="401679086">
          <w:marLeft w:val="0"/>
          <w:marRight w:val="0"/>
          <w:marTop w:val="0"/>
          <w:marBottom w:val="0"/>
          <w:divBdr>
            <w:top w:val="none" w:sz="0" w:space="0" w:color="auto"/>
            <w:left w:val="none" w:sz="0" w:space="0" w:color="auto"/>
            <w:bottom w:val="none" w:sz="0" w:space="0" w:color="auto"/>
            <w:right w:val="none" w:sz="0" w:space="0" w:color="auto"/>
          </w:divBdr>
        </w:div>
      </w:divsChild>
    </w:div>
    <w:div w:id="1975334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hyperlink" Target="https://www.gov.wales/sites/default/files/publications/2022-04/220401-keeping-learners-safe.pdf" TargetMode="External"/><Relationship Id="rId18" Type="http://schemas.openxmlformats.org/officeDocument/2006/relationships/hyperlink" Target="https://www.ohchr.org" TargetMode="External"/><Relationship Id="rId3" Type="http://schemas.openxmlformats.org/officeDocument/2006/relationships/webSettings" Target="webSettings.xml"/><Relationship Id="rId21" Type="http://schemas.openxmlformats.org/officeDocument/2006/relationships/hyperlink" Target="https://gov.wales/early-years-childcare-inspection" TargetMode="External"/><Relationship Id="rId7" Type="http://schemas.openxmlformats.org/officeDocument/2006/relationships/hyperlink" Target="https://www.legislation.gov.uk/wsi/2010/2575/contents/made" TargetMode="External"/><Relationship Id="rId12" Type="http://schemas.openxmlformats.org/officeDocument/2006/relationships/hyperlink" Target="https://www.gov.wales/sites/default/files/publications/2018-03/25-health-safety-and-welfare.pdf" TargetMode="External"/><Relationship Id="rId17" Type="http://schemas.openxmlformats.org/officeDocument/2006/relationships/hyperlink" Target="https://www.gov.wales/sites/default/files/pdf-versions/2025/2/2/1740501518/well-being-future-generations-act-essentials.pdf" TargetMode="External"/><Relationship Id="rId2" Type="http://schemas.openxmlformats.org/officeDocument/2006/relationships/settings" Target="settings.xml"/><Relationship Id="rId16" Type="http://schemas.openxmlformats.org/officeDocument/2006/relationships/hyperlink" Target="https://www.thecuriosityapproach.com" TargetMode="External"/><Relationship Id="rId20" Type="http://schemas.openxmlformats.org/officeDocument/2006/relationships/hyperlink" Target="https://gov.wales/curriculum-for-wales" TargetMode="External"/><Relationship Id="rId1" Type="http://schemas.openxmlformats.org/officeDocument/2006/relationships/styles" Target="styles.xml"/><Relationship Id="rId6" Type="http://schemas.openxmlformats.org/officeDocument/2006/relationships/hyperlink" Target="https://www.careinspectorate.wales/sites/default/files/2018-02/160429factsheeten.pdf" TargetMode="External"/><Relationship Id="rId11" Type="http://schemas.openxmlformats.org/officeDocument/2006/relationships/hyperlink" Target="https://www.legislation.gov.uk/ukpga/2010/15/section/149" TargetMode="External"/><Relationship Id="rId5" Type="http://schemas.openxmlformats.org/officeDocument/2006/relationships/hyperlink" Target="https://www.careinspectorate.wales" TargetMode="External"/><Relationship Id="rId15" Type="http://schemas.openxmlformats.org/officeDocument/2006/relationships/hyperlink" Target="https://www.legislation.gov.uk/anaw/2018/2/contents" TargetMode="External"/><Relationship Id="rId23" Type="http://schemas.openxmlformats.org/officeDocument/2006/relationships/theme" Target="theme/theme1.xml"/><Relationship Id="rId10" Type="http://schemas.openxmlformats.org/officeDocument/2006/relationships/hyperlink" Target="https://www.tandfonline.com/doi/epdf/10.1080/00131911.2022.2077704?needAccess=true" TargetMode="External"/><Relationship Id="rId19" Type="http://schemas.openxmlformats.org/officeDocument/2006/relationships/hyperlink" Target="https://www.gov.wales/sites/default/files/publications/2023-11/national-minimum-standards-for-regulated-childcare_0.pdf" TargetMode="External"/><Relationship Id="rId4" Type="http://schemas.openxmlformats.org/officeDocument/2006/relationships/hyperlink" Target="https://doi.org/10.1080/0305764X.2022.2044758" TargetMode="External"/><Relationship Id="rId9" Type="http://schemas.openxmlformats.org/officeDocument/2006/relationships/hyperlink" Target="https://gdpr-info.eu/art-5-gdpr/" TargetMode="External"/><Relationship Id="rId14" Type="http://schemas.openxmlformats.org/officeDocument/2006/relationships/hyperlink" Target="https://www.legislation.gov.uk/mwa/2010/1/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5130</Words>
  <Characters>29246</Characters>
  <Application>Microsoft Office Word</Application>
  <DocSecurity>0</DocSecurity>
  <Lines>243</Lines>
  <Paragraphs>68</Paragraphs>
  <ScaleCrop>false</ScaleCrop>
  <Company/>
  <LinksUpToDate>false</LinksUpToDate>
  <CharactersWithSpaces>34308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2</cp:revision>
  <dcterms:created xsi:type="dcterms:W3CDTF">2025-03-26T18:42:00Z</dcterms:created>
  <dcterms:modified xsi:type="dcterms:W3CDTF">2025-03-29T17:22:00Z</dcterms:modified>
</cp:coreProperties>
</file>