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2986A" w14:textId="0AD8A102" w:rsidR="007F0AB1" w:rsidRPr="007F0AB1" w:rsidRDefault="007F0AB1" w:rsidP="004B132D">
      <w:pPr>
        <w:pStyle w:val="Heading1"/>
        <w:jc w:val="center"/>
      </w:pPr>
      <w:r w:rsidRPr="007F0AB1">
        <w:t>AstraZeneca Wearable Health Device</w:t>
      </w:r>
      <w:r w:rsidR="009B06B8">
        <w:t xml:space="preserve"> Report</w:t>
      </w:r>
    </w:p>
    <w:p w14:paraId="20ADF9F8" w14:textId="195AE1CF" w:rsidR="007F0AB1" w:rsidRPr="007F0AB1" w:rsidRDefault="007F0AB1" w:rsidP="004B132D">
      <w:pPr>
        <w:jc w:val="center"/>
      </w:pPr>
    </w:p>
    <w:p w14:paraId="4D5B624E" w14:textId="16DD474F" w:rsidR="007F0AB1" w:rsidRPr="007F0AB1" w:rsidRDefault="007F0AB1" w:rsidP="00890620">
      <w:pPr>
        <w:jc w:val="center"/>
      </w:pPr>
      <w:r w:rsidRPr="007F0AB1">
        <w:rPr>
          <w:b/>
          <w:bCs/>
        </w:rPr>
        <w:t>Student Name:</w:t>
      </w:r>
      <w:r w:rsidRPr="007F0AB1">
        <w:t xml:space="preserve"> </w:t>
      </w:r>
      <w:r w:rsidR="009B06B8">
        <w:t>Durga Bai</w:t>
      </w:r>
    </w:p>
    <w:p w14:paraId="45D7218D" w14:textId="5397020E" w:rsidR="007F0AB1" w:rsidRPr="007F0AB1" w:rsidRDefault="007F0AB1" w:rsidP="00890620">
      <w:pPr>
        <w:jc w:val="center"/>
      </w:pPr>
      <w:r w:rsidRPr="007F0AB1">
        <w:rPr>
          <w:b/>
          <w:bCs/>
        </w:rPr>
        <w:t>Student Number:</w:t>
      </w:r>
      <w:r w:rsidRPr="007F0AB1">
        <w:t xml:space="preserve"> </w:t>
      </w:r>
      <w:r w:rsidR="00E84AD4">
        <w:t>2407124</w:t>
      </w:r>
    </w:p>
    <w:p w14:paraId="692F088B" w14:textId="77777777" w:rsidR="007F0AB1" w:rsidRPr="007F0AB1" w:rsidRDefault="007F0AB1" w:rsidP="00890620">
      <w:pPr>
        <w:jc w:val="center"/>
      </w:pPr>
      <w:r w:rsidRPr="007F0AB1">
        <w:rPr>
          <w:b/>
          <w:bCs/>
        </w:rPr>
        <w:t>Module Code:</w:t>
      </w:r>
      <w:r w:rsidRPr="007F0AB1">
        <w:t xml:space="preserve"> LCLM5001</w:t>
      </w:r>
    </w:p>
    <w:p w14:paraId="4C67B308" w14:textId="200621C0" w:rsidR="007F0AB1" w:rsidRPr="007F0AB1" w:rsidRDefault="007F0AB1" w:rsidP="00890620">
      <w:pPr>
        <w:jc w:val="center"/>
      </w:pPr>
      <w:r w:rsidRPr="007F0AB1">
        <w:rPr>
          <w:b/>
          <w:bCs/>
        </w:rPr>
        <w:t>Module Title:</w:t>
      </w:r>
      <w:r w:rsidRPr="007F0AB1">
        <w:t xml:space="preserve"> </w:t>
      </w:r>
      <w:r w:rsidR="003A39C0" w:rsidRPr="003A39C0">
        <w:rPr>
          <w:rFonts w:ascii="Arial" w:hAnsi="Arial" w:cs="Arial"/>
          <w:sz w:val="22"/>
          <w:szCs w:val="22"/>
        </w:rPr>
        <w:t>Understanding and Engaging Stakeholders  </w:t>
      </w:r>
      <w:r w:rsidR="003A39C0" w:rsidRPr="00931C50">
        <w:rPr>
          <w:rFonts w:ascii="Arial" w:hAnsi="Arial" w:cs="Arial"/>
          <w:sz w:val="22"/>
          <w:szCs w:val="22"/>
        </w:rPr>
        <w:t> </w:t>
      </w:r>
    </w:p>
    <w:p w14:paraId="414C2162" w14:textId="40E0C387" w:rsidR="007F0AB1" w:rsidRPr="007F0AB1" w:rsidRDefault="007F0AB1" w:rsidP="00890620">
      <w:pPr>
        <w:jc w:val="center"/>
      </w:pPr>
      <w:r w:rsidRPr="007F0AB1">
        <w:rPr>
          <w:b/>
          <w:bCs/>
        </w:rPr>
        <w:t>Lecturer Name:</w:t>
      </w:r>
      <w:r w:rsidR="00890620">
        <w:t xml:space="preserve"> </w:t>
      </w:r>
      <w:r w:rsidR="00890620" w:rsidRPr="00890620">
        <w:rPr>
          <w:rFonts w:ascii="Arial" w:hAnsi="Arial" w:cs="Arial"/>
          <w:sz w:val="22"/>
          <w:szCs w:val="22"/>
        </w:rPr>
        <w:t>Nishi Ramsurrun</w:t>
      </w:r>
    </w:p>
    <w:p w14:paraId="20A98086" w14:textId="5D7610E6" w:rsidR="007F0AB1" w:rsidRPr="007F0AB1" w:rsidRDefault="007F0AB1" w:rsidP="00890620">
      <w:pPr>
        <w:jc w:val="center"/>
      </w:pPr>
      <w:r w:rsidRPr="007F0AB1">
        <w:rPr>
          <w:b/>
          <w:bCs/>
        </w:rPr>
        <w:t>Assignment Title:</w:t>
      </w:r>
      <w:r w:rsidRPr="007F0AB1">
        <w:t xml:space="preserve"> </w:t>
      </w:r>
      <w:r w:rsidR="00F6670B" w:rsidRPr="00F6670B">
        <w:rPr>
          <w:rFonts w:ascii="Arial" w:hAnsi="Arial" w:cs="Arial"/>
        </w:rPr>
        <w:t>Understanding the importance of Stakeholder Engagement in successful commencement and completion of project.</w:t>
      </w:r>
    </w:p>
    <w:p w14:paraId="46E1D757" w14:textId="77777777" w:rsidR="00780E36" w:rsidRPr="007F0AB1" w:rsidRDefault="00780E36" w:rsidP="00B96FAE"/>
    <w:p w14:paraId="1638D91E" w14:textId="77777777" w:rsidR="00780E36" w:rsidRDefault="00780E36" w:rsidP="00B96FAE"/>
    <w:p w14:paraId="4F7E20F8" w14:textId="77777777" w:rsidR="00780E36" w:rsidRDefault="00780E36" w:rsidP="00B96FAE"/>
    <w:p w14:paraId="516EEE3E" w14:textId="77777777" w:rsidR="00780E36" w:rsidRDefault="00780E36" w:rsidP="00B96FAE"/>
    <w:p w14:paraId="26FE68E9" w14:textId="77777777" w:rsidR="00780E36" w:rsidRDefault="00780E36" w:rsidP="00B96FAE"/>
    <w:p w14:paraId="1910FA21" w14:textId="77777777" w:rsidR="00780E36" w:rsidRDefault="00780E36" w:rsidP="00B96FAE"/>
    <w:p w14:paraId="4E672552" w14:textId="77777777" w:rsidR="00780E36" w:rsidRDefault="00780E36" w:rsidP="00B96FAE"/>
    <w:p w14:paraId="0032C5BD" w14:textId="77777777" w:rsidR="00780E36" w:rsidRDefault="00780E36" w:rsidP="00B96FAE"/>
    <w:p w14:paraId="3027B480" w14:textId="77777777" w:rsidR="00780E36" w:rsidRDefault="00780E36" w:rsidP="00B96FAE"/>
    <w:p w14:paraId="1E3FE258" w14:textId="77777777" w:rsidR="00780E36" w:rsidRDefault="00780E36" w:rsidP="00B96FAE"/>
    <w:p w14:paraId="579ADDA6" w14:textId="77777777" w:rsidR="00780E36" w:rsidRDefault="00780E36" w:rsidP="00B96FAE"/>
    <w:p w14:paraId="12AD6DE9" w14:textId="77777777" w:rsidR="00780E36" w:rsidRDefault="00780E36" w:rsidP="00B96FAE"/>
    <w:p w14:paraId="1283FCCD" w14:textId="77777777" w:rsidR="00780E36" w:rsidRDefault="00780E36" w:rsidP="00B96FAE"/>
    <w:p w14:paraId="6A97362C" w14:textId="77777777" w:rsidR="00780E36" w:rsidRDefault="00780E36" w:rsidP="00B96FAE"/>
    <w:p w14:paraId="7393CC8F" w14:textId="77777777" w:rsidR="00780E36" w:rsidRDefault="00780E36" w:rsidP="00B96FAE"/>
    <w:p w14:paraId="2408867C" w14:textId="77777777" w:rsidR="00780E36" w:rsidRDefault="00780E36" w:rsidP="00B96FAE"/>
    <w:p w14:paraId="3377BC32" w14:textId="77777777" w:rsidR="00780E36" w:rsidRDefault="00780E36" w:rsidP="00B96FAE"/>
    <w:p w14:paraId="09388D13" w14:textId="59B7A60B" w:rsidR="00780E36" w:rsidRPr="00E466B2" w:rsidRDefault="00780E36" w:rsidP="00780E36">
      <w:pPr>
        <w:pStyle w:val="Heading1"/>
        <w:rPr>
          <w:rFonts w:ascii="Arial" w:hAnsi="Arial" w:cs="Arial"/>
          <w:sz w:val="32"/>
          <w:szCs w:val="32"/>
        </w:rPr>
      </w:pPr>
      <w:r w:rsidRPr="00E466B2">
        <w:rPr>
          <w:rFonts w:ascii="Arial" w:hAnsi="Arial" w:cs="Arial"/>
          <w:sz w:val="32"/>
          <w:szCs w:val="32"/>
        </w:rPr>
        <w:lastRenderedPageBreak/>
        <w:t>Introduction</w:t>
      </w:r>
    </w:p>
    <w:p w14:paraId="2A71F424" w14:textId="3008BAFB" w:rsidR="00B96FAE" w:rsidRPr="00E466B2" w:rsidRDefault="00B96FAE" w:rsidP="00B96FAE">
      <w:pPr>
        <w:rPr>
          <w:rFonts w:ascii="Arial" w:hAnsi="Arial" w:cs="Arial"/>
          <w:sz w:val="22"/>
          <w:szCs w:val="22"/>
        </w:rPr>
      </w:pPr>
      <w:r w:rsidRPr="00E466B2">
        <w:rPr>
          <w:rFonts w:ascii="Arial" w:hAnsi="Arial" w:cs="Arial"/>
          <w:sz w:val="22"/>
          <w:szCs w:val="22"/>
        </w:rPr>
        <w:t xml:space="preserve">Stakeholder engagement has become a core discipline in today's project management, and it is particularly important for industries with high risks, such as pharmaceuticals and digital health. With organizations facing technological disruption, more knowledgeable consumers, and changing regulatory environments, the ability to effectively engage stakeholders has now become critical in driving project performance and long-term strategic success. This essay examines the value of stakeholder engagement in the proposed project by AstraZeneca to design and launch a wearable health device capable of monitoring heart rate, blood oxygen saturation, and sleeping patterns. Being one of the world's leading biopharmaceutical companies based on its leading role in therapeutic discovery and clinical innovation, AstraZeneca's entry into digital wearables both </w:t>
      </w:r>
      <w:r w:rsidR="00780E36" w:rsidRPr="00E466B2">
        <w:rPr>
          <w:rFonts w:ascii="Arial" w:hAnsi="Arial" w:cs="Arial"/>
          <w:sz w:val="22"/>
          <w:szCs w:val="22"/>
        </w:rPr>
        <w:t>opens</w:t>
      </w:r>
      <w:r w:rsidRPr="00E466B2">
        <w:rPr>
          <w:rFonts w:ascii="Arial" w:hAnsi="Arial" w:cs="Arial"/>
          <w:sz w:val="22"/>
          <w:szCs w:val="22"/>
        </w:rPr>
        <w:t xml:space="preserve"> very significant opportunities and poses major challenges. Successfully diversifying requires aligning a wide range of stakeholders who come with diverse expertise, interests, and expectations. The quality of the engagement process will impact the project's capability to meet the regulatory requirements, to achieve market readiness within six months, and to deliver a clinically relevant and user-friendly product that is commercially viable.</w:t>
      </w:r>
    </w:p>
    <w:p w14:paraId="70AFCB3D" w14:textId="491DFC4E" w:rsidR="00B96FAE" w:rsidRPr="00E466B2" w:rsidRDefault="00B96FAE" w:rsidP="00B96FAE">
      <w:pPr>
        <w:rPr>
          <w:rFonts w:ascii="Arial" w:hAnsi="Arial" w:cs="Arial"/>
          <w:sz w:val="22"/>
          <w:szCs w:val="22"/>
        </w:rPr>
      </w:pPr>
      <w:r w:rsidRPr="00E466B2">
        <w:rPr>
          <w:rFonts w:ascii="Arial" w:hAnsi="Arial" w:cs="Arial"/>
          <w:sz w:val="22"/>
          <w:szCs w:val="22"/>
        </w:rPr>
        <w:t xml:space="preserve">AstraZeneca's move into digital health is reflective of broader transformations across the healthcare sector, </w:t>
      </w:r>
      <w:r w:rsidR="00780E36" w:rsidRPr="00E466B2">
        <w:rPr>
          <w:rFonts w:ascii="Arial" w:hAnsi="Arial" w:cs="Arial"/>
          <w:sz w:val="22"/>
          <w:szCs w:val="22"/>
        </w:rPr>
        <w:t>catalysed</w:t>
      </w:r>
      <w:r w:rsidRPr="00E466B2">
        <w:rPr>
          <w:rFonts w:ascii="Arial" w:hAnsi="Arial" w:cs="Arial"/>
          <w:sz w:val="22"/>
          <w:szCs w:val="22"/>
        </w:rPr>
        <w:t xml:space="preserve"> by data analytics, remote monitoring, and personalized care. Wearable devices are increasingly becoming important as they allow for continuous biometric monitoring that supports early diagnosis, chronic disease management, and self-care. The demand for such technologies has been strengthened by COVID-19, with governments and health providers seeking cost-effective means by which to extend care beyond clinical settings. AstraZeneca's financial resources, scientific reputation, and established partnerships provide a strong foundation for entering this market. The development of a consumer-facing device with medical implications requires capabilities outside those of traditional pharmaceutical operations, such as hardware engineering, user experience design, digital platform integration, cybersecurity, data governance compliance, retail distribution, and post-market support. Each area implies a stakeholder whose expectations need to be understood and managed through deliberate engagement strategies.</w:t>
      </w:r>
    </w:p>
    <w:p w14:paraId="2314CBE9" w14:textId="77777777" w:rsidR="00B96FAE" w:rsidRPr="00E466B2" w:rsidRDefault="00B96FAE" w:rsidP="00B96FAE">
      <w:pPr>
        <w:rPr>
          <w:rFonts w:ascii="Arial" w:hAnsi="Arial" w:cs="Arial"/>
          <w:sz w:val="22"/>
          <w:szCs w:val="22"/>
        </w:rPr>
      </w:pPr>
      <w:r w:rsidRPr="00E466B2">
        <w:rPr>
          <w:rFonts w:ascii="Arial" w:hAnsi="Arial" w:cs="Arial"/>
          <w:sz w:val="22"/>
          <w:szCs w:val="22"/>
        </w:rPr>
        <w:t>Engagement with stakeholders is not a communication task; rather, it involves building productive relations with individuals and groups who can impact or be impacted by project outcomes (Freeman, 1984). In the development of this project, internal stakeholders include senior management, regulatory specialists, R&amp;D scientists, marketing professionals, and supply-chain teams. Clinicians, patients, regulators, insurers, technology partners, and manufacturers are all examples of external stakeholders. These would have varying levels of influence, interest, and potential impact. Regulators hold high power and interest since approval is required for market access. Consumers have high interest and less power but determine commercial success through adoption choices. The technology partners have great resource power through the control of either hardware or cloud infrastructure. Without proper engagement with these stakeholders, AstraZeneca can risk misalignment, delays, cost escalations, and compliance failures.</w:t>
      </w:r>
    </w:p>
    <w:p w14:paraId="6FDF8115" w14:textId="04C54DE4" w:rsidR="00B96FAE" w:rsidRPr="00E466B2" w:rsidRDefault="00B96FAE" w:rsidP="00B96FAE">
      <w:pPr>
        <w:rPr>
          <w:rFonts w:ascii="Arial" w:hAnsi="Arial" w:cs="Arial"/>
          <w:sz w:val="22"/>
          <w:szCs w:val="22"/>
        </w:rPr>
      </w:pPr>
      <w:r w:rsidRPr="00E466B2">
        <w:rPr>
          <w:rFonts w:ascii="Arial" w:hAnsi="Arial" w:cs="Arial"/>
          <w:sz w:val="22"/>
          <w:szCs w:val="22"/>
        </w:rPr>
        <w:t>It also involves an organizational shift from a product-</w:t>
      </w:r>
      <w:r w:rsidR="005F4CBB" w:rsidRPr="00E466B2">
        <w:rPr>
          <w:rFonts w:ascii="Arial" w:hAnsi="Arial" w:cs="Arial"/>
          <w:sz w:val="22"/>
          <w:szCs w:val="22"/>
        </w:rPr>
        <w:t>centred</w:t>
      </w:r>
      <w:r w:rsidRPr="00E466B2">
        <w:rPr>
          <w:rFonts w:ascii="Arial" w:hAnsi="Arial" w:cs="Arial"/>
          <w:sz w:val="22"/>
          <w:szCs w:val="22"/>
        </w:rPr>
        <w:t xml:space="preserve"> pharmaceutical mentality to a user-centric digital health approach. Stakeholder engagement enables this transition through codesign, interdisciplinary decision-making, and continuous feedback to balance clinical </w:t>
      </w:r>
      <w:r w:rsidRPr="00E466B2">
        <w:rPr>
          <w:rFonts w:ascii="Arial" w:hAnsi="Arial" w:cs="Arial"/>
          <w:sz w:val="22"/>
          <w:szCs w:val="22"/>
        </w:rPr>
        <w:lastRenderedPageBreak/>
        <w:t>accuracy with usability, convenience, and data transparency. Engagement enables early identification of technical, regulatory, and ethical risks, reducing the likelihood of escalation and improving responsiveness.</w:t>
      </w:r>
    </w:p>
    <w:p w14:paraId="6C6801DB" w14:textId="580C1E43" w:rsidR="00B96FAE" w:rsidRPr="00E466B2" w:rsidRDefault="00B96FAE" w:rsidP="00B96FAE">
      <w:pPr>
        <w:rPr>
          <w:rFonts w:ascii="Arial" w:hAnsi="Arial" w:cs="Arial"/>
          <w:sz w:val="22"/>
          <w:szCs w:val="22"/>
        </w:rPr>
      </w:pPr>
      <w:r w:rsidRPr="00E466B2">
        <w:rPr>
          <w:rFonts w:ascii="Arial" w:hAnsi="Arial" w:cs="Arial"/>
          <w:sz w:val="22"/>
          <w:szCs w:val="22"/>
        </w:rPr>
        <w:t xml:space="preserve">This essay examines these issues through a situational analysis using SWOT and PESTLE frameworks to contextualize internal capabilities and external pressures shaping stakeholder expectations. It then evaluates internal and external stakeholder roles and challenges, applying frameworks such as Mendelow's Matrix, communication strategies, and RACI </w:t>
      </w:r>
      <w:r w:rsidR="00C24E38" w:rsidRPr="00E466B2">
        <w:rPr>
          <w:rFonts w:ascii="Arial" w:hAnsi="Arial" w:cs="Arial"/>
          <w:sz w:val="22"/>
          <w:szCs w:val="22"/>
        </w:rPr>
        <w:t>modelling</w:t>
      </w:r>
      <w:r w:rsidRPr="00E466B2">
        <w:rPr>
          <w:rFonts w:ascii="Arial" w:hAnsi="Arial" w:cs="Arial"/>
          <w:sz w:val="22"/>
          <w:szCs w:val="22"/>
        </w:rPr>
        <w:t xml:space="preserve"> to demonstrate how structured engagement supports project delivery. The Four Cs model is used to assess engagement quality before concluding with an evaluation of stakeholder engagement's impact on organizational performance and recommendations for strengthening AstraZeneca's long-term engagement strategy. Situational analysis is integral to understanding the environment in which the wearable-device project will be developed and shapes the engagement required throughout the project life cycle. SWOT and PESTLE frameworks highlight opportunities, constraints, and the strategic direction provided through SMART objectives.</w:t>
      </w:r>
    </w:p>
    <w:p w14:paraId="78A89FB8" w14:textId="32A8F5C3" w:rsidR="00CF205C" w:rsidRPr="00E466B2" w:rsidRDefault="00CF205C" w:rsidP="00CF205C">
      <w:pPr>
        <w:pStyle w:val="Heading1"/>
        <w:rPr>
          <w:rFonts w:ascii="Arial" w:hAnsi="Arial" w:cs="Arial"/>
          <w:sz w:val="32"/>
          <w:szCs w:val="32"/>
        </w:rPr>
      </w:pPr>
      <w:r w:rsidRPr="00E466B2">
        <w:rPr>
          <w:rFonts w:ascii="Arial" w:hAnsi="Arial" w:cs="Arial"/>
          <w:sz w:val="32"/>
          <w:szCs w:val="32"/>
        </w:rPr>
        <w:t>Situational Analysis</w:t>
      </w:r>
    </w:p>
    <w:p w14:paraId="6D1C18E1" w14:textId="162731A7" w:rsidR="00B96FAE" w:rsidRPr="00E466B2" w:rsidRDefault="00B96FAE" w:rsidP="00B96FAE">
      <w:pPr>
        <w:rPr>
          <w:rFonts w:ascii="Arial" w:hAnsi="Arial" w:cs="Arial"/>
          <w:sz w:val="22"/>
          <w:szCs w:val="22"/>
        </w:rPr>
      </w:pPr>
      <w:r w:rsidRPr="00E466B2">
        <w:rPr>
          <w:rFonts w:ascii="Arial" w:hAnsi="Arial" w:cs="Arial"/>
          <w:sz w:val="22"/>
          <w:szCs w:val="22"/>
        </w:rPr>
        <w:t xml:space="preserve">AstraZeneca has </w:t>
      </w:r>
      <w:r w:rsidR="00780E36" w:rsidRPr="00E466B2">
        <w:rPr>
          <w:rFonts w:ascii="Arial" w:hAnsi="Arial" w:cs="Arial"/>
          <w:sz w:val="22"/>
          <w:szCs w:val="22"/>
        </w:rPr>
        <w:t>several</w:t>
      </w:r>
      <w:r w:rsidRPr="00E466B2">
        <w:rPr>
          <w:rFonts w:ascii="Arial" w:hAnsi="Arial" w:cs="Arial"/>
          <w:sz w:val="22"/>
          <w:szCs w:val="22"/>
        </w:rPr>
        <w:t xml:space="preserve"> significant strengths which act as a strong platform to enter the digital health technology market. The company's decades-long scientific experience combined with a heavy R&amp;D base enables the development of a wearable device based on clinical evidence, high measurement accuracy and validated algorithms. This scientific credibility sets the organization apart from many consumer-grade technology competitors. The company's global brand reputation further reinforces trust among clinicians, consumers and healthcare systems - an essential element when introducing devices that manage sensitive biometric data. AstraZeneca has considerable financial resources, which facilitate investment in advanced biosensors, specialized digital talent and secure data infrastructure. Long-established collaborations with NHS institutions, universities and global health organizations offer valuable opportunities for clinical testing and real-world validation. The </w:t>
      </w:r>
      <w:r w:rsidR="00780E36" w:rsidRPr="00E466B2">
        <w:rPr>
          <w:rFonts w:ascii="Arial" w:hAnsi="Arial" w:cs="Arial"/>
          <w:sz w:val="22"/>
          <w:szCs w:val="22"/>
        </w:rPr>
        <w:t>organizations</w:t>
      </w:r>
      <w:r w:rsidRPr="00E466B2">
        <w:rPr>
          <w:rFonts w:ascii="Arial" w:hAnsi="Arial" w:cs="Arial"/>
          <w:sz w:val="22"/>
          <w:szCs w:val="22"/>
        </w:rPr>
        <w:t xml:space="preserve"> deeply embedded regulatory culture, while shaped by pharmaceutical norms, contributes a disciplined approach to compliance and risk management.</w:t>
      </w:r>
    </w:p>
    <w:p w14:paraId="69F36659" w14:textId="77777777" w:rsidR="00B96FAE" w:rsidRPr="00E466B2" w:rsidRDefault="00B96FAE" w:rsidP="00B96FAE">
      <w:pPr>
        <w:rPr>
          <w:rFonts w:ascii="Arial" w:hAnsi="Arial" w:cs="Arial"/>
          <w:sz w:val="22"/>
          <w:szCs w:val="22"/>
        </w:rPr>
      </w:pPr>
      <w:r w:rsidRPr="00E466B2">
        <w:rPr>
          <w:rFonts w:ascii="Arial" w:hAnsi="Arial" w:cs="Arial"/>
          <w:sz w:val="22"/>
          <w:szCs w:val="22"/>
        </w:rPr>
        <w:t>Despite these advantages, AstraZeneca has clear weaknesses in the transition into digital hardware markets. Unlike established technology players like Apple or Samsung, the company lacks experience in designing and developing consumer-oriented devices and managing electronics supply chains. This unfamiliarity brings risks associated with learning curves, inefficiencies, and potential development delays. Organizational culture also creates barriers; traditional pharmaceutical companies rely on hierarchical decision-making and long development cycles, which contrast sharply with the fast, iterative processes required in wearable technology innovation. Internal digital engineering expertise may be sparse, further constraining progress, with heightened reliance on external partners and a subsequent elevation of dependence risks, integration complexity, and intellectual property management issues.</w:t>
      </w:r>
    </w:p>
    <w:p w14:paraId="39AA52DA" w14:textId="77777777" w:rsidR="00B96FAE" w:rsidRPr="00E466B2" w:rsidRDefault="00B96FAE" w:rsidP="00B96FAE">
      <w:pPr>
        <w:rPr>
          <w:rFonts w:ascii="Arial" w:hAnsi="Arial" w:cs="Arial"/>
          <w:sz w:val="22"/>
          <w:szCs w:val="22"/>
        </w:rPr>
      </w:pPr>
      <w:r w:rsidRPr="00E466B2">
        <w:rPr>
          <w:rFonts w:ascii="Arial" w:hAnsi="Arial" w:cs="Arial"/>
          <w:sz w:val="22"/>
          <w:szCs w:val="22"/>
        </w:rPr>
        <w:t xml:space="preserve">But there are ample opportunities for AstraZeneca in today's digital health. The global wearable-health market is growing fast, driven by demand for preventive monitoring, personalized health data, and remote care solutions. The pandemic accelerated acceptance of digital tools for monitoring chronic conditions and supporting self-management. </w:t>
      </w:r>
      <w:r w:rsidRPr="00E466B2">
        <w:rPr>
          <w:rFonts w:ascii="Arial" w:hAnsi="Arial" w:cs="Arial"/>
          <w:sz w:val="22"/>
          <w:szCs w:val="22"/>
        </w:rPr>
        <w:lastRenderedPageBreak/>
        <w:t>AstraZeneca's device can be integrated into clinical pathways for the management of respiratory, cardiovascular, and metabolic diseases-all areas aligned with its therapeutic strengths. Other opportunities include partnerships with insurers, employer wellness initiatives, and telehealth platforms. Moreover, emerging technologies like artificial intelligence, machine learning, and cloud analytics can offer predictive health insights-a domain in which AstraZeneca's strong data capabilities give it significant advantage.</w:t>
      </w:r>
    </w:p>
    <w:p w14:paraId="56394BF6" w14:textId="77777777" w:rsidR="00B96FAE" w:rsidRPr="00E466B2" w:rsidRDefault="00B96FAE" w:rsidP="00B96FAE">
      <w:pPr>
        <w:rPr>
          <w:rFonts w:ascii="Arial" w:hAnsi="Arial" w:cs="Arial"/>
          <w:sz w:val="22"/>
          <w:szCs w:val="22"/>
        </w:rPr>
      </w:pPr>
      <w:r w:rsidRPr="00E466B2">
        <w:rPr>
          <w:rFonts w:ascii="Arial" w:hAnsi="Arial" w:cs="Arial"/>
          <w:sz w:val="22"/>
          <w:szCs w:val="22"/>
        </w:rPr>
        <w:t>The company also has to overcome numerous external threats. Competition from technology giants with established ecosystems, superior design capabilities, and vast consumer bases is intense. Regulatory requirements under MHRA, EU MDR, and GDPR place a high burden for safety, cybersecurity, and data governance, adding complexity to the development process. Broader economic uncertainties, such as inflation and disruption of global supply chains, further threaten production timelines and component availability. Finally, the fast pace of technological innovation raises the risk of product obsolescence if AstraZeneca does not commit to ongoing development and iterative upgrades.</w:t>
      </w:r>
    </w:p>
    <w:p w14:paraId="543CF676" w14:textId="77777777" w:rsidR="00B96FAE" w:rsidRPr="00E466B2" w:rsidRDefault="00B96FAE" w:rsidP="00B96FAE">
      <w:pPr>
        <w:rPr>
          <w:rFonts w:ascii="Arial" w:hAnsi="Arial" w:cs="Arial"/>
          <w:sz w:val="22"/>
          <w:szCs w:val="22"/>
        </w:rPr>
      </w:pPr>
      <w:r w:rsidRPr="00E466B2">
        <w:rPr>
          <w:rFonts w:ascii="Arial" w:hAnsi="Arial" w:cs="Arial"/>
          <w:sz w:val="22"/>
          <w:szCs w:val="22"/>
        </w:rPr>
        <w:t>The political setting in the UK is overall supportive of digital health innovation, with policies like the Life Sciences Vision and NHS digital transformation programmes paving the way for collaboration and early testing opportunities. On the other hand, post-Brexit regulatory divergence and geopolitical volatility pose risks to supply-chain stability and cross-border certification processes.</w:t>
      </w:r>
    </w:p>
    <w:p w14:paraId="41C7F5EB" w14:textId="2972B661" w:rsidR="00B96FAE" w:rsidRPr="00E466B2" w:rsidRDefault="00B96FAE" w:rsidP="00B96FAE">
      <w:pPr>
        <w:rPr>
          <w:rFonts w:ascii="Arial" w:hAnsi="Arial" w:cs="Arial"/>
          <w:sz w:val="22"/>
          <w:szCs w:val="22"/>
        </w:rPr>
      </w:pPr>
      <w:r w:rsidRPr="00E466B2">
        <w:rPr>
          <w:rFonts w:ascii="Arial" w:hAnsi="Arial" w:cs="Arial"/>
          <w:sz w:val="22"/>
          <w:szCs w:val="22"/>
        </w:rPr>
        <w:t xml:space="preserve">From an economic perspective, the inflationary pressures, volatile exchange rates, and rising manufacturing costs may impact the financial viability of device production. However, long-term economic trends </w:t>
      </w:r>
      <w:r w:rsidR="00C24E38" w:rsidRPr="00E466B2">
        <w:rPr>
          <w:rFonts w:ascii="Arial" w:hAnsi="Arial" w:cs="Arial"/>
          <w:sz w:val="22"/>
          <w:szCs w:val="22"/>
        </w:rPr>
        <w:t>Favor</w:t>
      </w:r>
      <w:r w:rsidRPr="00E466B2">
        <w:rPr>
          <w:rFonts w:ascii="Arial" w:hAnsi="Arial" w:cs="Arial"/>
          <w:sz w:val="22"/>
          <w:szCs w:val="22"/>
        </w:rPr>
        <w:t xml:space="preserve"> technologies that reduce healthcare expenditure by enabling early detection and remote monitoring; hence, wearables are attractive to health systems and insurers.</w:t>
      </w:r>
    </w:p>
    <w:p w14:paraId="2F32052D" w14:textId="77777777" w:rsidR="00B96FAE" w:rsidRPr="00E466B2" w:rsidRDefault="00B96FAE" w:rsidP="00B96FAE">
      <w:pPr>
        <w:rPr>
          <w:rFonts w:ascii="Arial" w:hAnsi="Arial" w:cs="Arial"/>
          <w:sz w:val="22"/>
          <w:szCs w:val="22"/>
        </w:rPr>
      </w:pPr>
      <w:r w:rsidRPr="00E466B2">
        <w:rPr>
          <w:rFonts w:ascii="Arial" w:hAnsi="Arial" w:cs="Arial"/>
          <w:sz w:val="22"/>
          <w:szCs w:val="22"/>
        </w:rPr>
        <w:t>Social factors further reinforce the attractiveness of the sector. Increasing public interest in personalised health data, combined with ageing populations and increasing awareness of preventive care, has boosted demand for wearable devices. The COVID-19 pandemic accelerated the cultural acceptance of digital health tools, normalising routine biometric tracking and remote consultations.</w:t>
      </w:r>
    </w:p>
    <w:p w14:paraId="2CFD49CB" w14:textId="77777777" w:rsidR="00B96FAE" w:rsidRPr="00E466B2" w:rsidRDefault="00B96FAE" w:rsidP="00B96FAE">
      <w:pPr>
        <w:rPr>
          <w:rFonts w:ascii="Arial" w:hAnsi="Arial" w:cs="Arial"/>
          <w:sz w:val="22"/>
          <w:szCs w:val="22"/>
        </w:rPr>
      </w:pPr>
      <w:r w:rsidRPr="00E466B2">
        <w:rPr>
          <w:rFonts w:ascii="Arial" w:hAnsi="Arial" w:cs="Arial"/>
          <w:sz w:val="22"/>
          <w:szCs w:val="22"/>
        </w:rPr>
        <w:t>Technological advances offer great opportunities yet create new challenges. Improved biosensors, together with better connectivity through mobile applications and artificial intelligence, can deliver more sophisticated devices, yet such innovation requires ongoing investment, highly specialized expertise, and careful integration between hardware and digital platforms.</w:t>
      </w:r>
    </w:p>
    <w:p w14:paraId="0C04BE4D" w14:textId="77777777" w:rsidR="00B96FAE" w:rsidRPr="00E466B2" w:rsidRDefault="00B96FAE" w:rsidP="00B96FAE">
      <w:pPr>
        <w:rPr>
          <w:rFonts w:ascii="Arial" w:hAnsi="Arial" w:cs="Arial"/>
          <w:sz w:val="22"/>
          <w:szCs w:val="22"/>
        </w:rPr>
      </w:pPr>
      <w:r w:rsidRPr="00E466B2">
        <w:rPr>
          <w:rFonts w:ascii="Arial" w:hAnsi="Arial" w:cs="Arial"/>
          <w:sz w:val="22"/>
          <w:szCs w:val="22"/>
        </w:rPr>
        <w:t>Because medical wearables are considered regulated medical devices, legal considerations are of paramount importance. Regulations such as the GDPR, MHRA requirements, and standards for cybersecurity must be complied with. The implication of not adhering to these expectations includes legal consequences, reputational damage, and delays to market entry; thus, sound governance and early regulatory engagement are particularly important.</w:t>
      </w:r>
    </w:p>
    <w:p w14:paraId="2D054360" w14:textId="77777777" w:rsidR="00B96FAE" w:rsidRPr="00E466B2" w:rsidRDefault="00B96FAE" w:rsidP="00B96FAE">
      <w:pPr>
        <w:rPr>
          <w:rFonts w:ascii="Arial" w:hAnsi="Arial" w:cs="Arial"/>
          <w:sz w:val="22"/>
          <w:szCs w:val="22"/>
        </w:rPr>
      </w:pPr>
      <w:r w:rsidRPr="00E466B2">
        <w:rPr>
          <w:rFonts w:ascii="Arial" w:hAnsi="Arial" w:cs="Arial"/>
          <w:sz w:val="22"/>
          <w:szCs w:val="22"/>
        </w:rPr>
        <w:t xml:space="preserve">With product development, environmental considerations are increasingly important. Consumers and regulators would expect an organization to prioritize sustainable manufacturing practices, minimize electronic waste, and use recyclable materials. </w:t>
      </w:r>
      <w:r w:rsidRPr="00E466B2">
        <w:rPr>
          <w:rFonts w:ascii="Arial" w:hAnsi="Arial" w:cs="Arial"/>
          <w:sz w:val="22"/>
          <w:szCs w:val="22"/>
        </w:rPr>
        <w:lastRenderedPageBreak/>
        <w:t>AstraZeneca should, therefore, ensure that its supply chain and production processes are in line with broader environmental expectations and corporate sustainability commitments.</w:t>
      </w:r>
    </w:p>
    <w:p w14:paraId="4C7614A5" w14:textId="0F261E3E" w:rsidR="00B96FAE" w:rsidRPr="00E466B2" w:rsidRDefault="00B96FAE" w:rsidP="00B96FAE">
      <w:pPr>
        <w:rPr>
          <w:rFonts w:ascii="Arial" w:hAnsi="Arial" w:cs="Arial"/>
          <w:sz w:val="22"/>
          <w:szCs w:val="22"/>
        </w:rPr>
      </w:pPr>
      <w:r w:rsidRPr="00E466B2">
        <w:rPr>
          <w:rFonts w:ascii="Arial" w:hAnsi="Arial" w:cs="Arial"/>
          <w:sz w:val="22"/>
          <w:szCs w:val="22"/>
        </w:rPr>
        <w:t xml:space="preserve">AstraZeneca's project objectives are influenced by the requirements for clarity, accountability, and cross-functional alignment. The project will be designed to develop and launch a clinically validated wearable device that can measure heart rate, oxygen saturation, and sleep patterns, with an integrated mobile application and secure cloud analytics. Success will be ensured through regulatory approval, technical verification, manufacturing readiness, and the production of an initial batch of 10,000 units. These can be realistically achieved given AstraZeneca's scientific, regulatory, and financial strengths. They are pertinent to the organization's strategic ambition to expand into digital health and diversify its revenue streams. The project is time-bound to a six-month delivery window, with clear milestones on design, testing, regulatory submission, and production. Setting SMART objectives gives it structure, clears ambiguity, </w:t>
      </w:r>
      <w:r w:rsidR="00780E36" w:rsidRPr="00E466B2">
        <w:rPr>
          <w:rFonts w:ascii="Arial" w:hAnsi="Arial" w:cs="Arial"/>
          <w:sz w:val="22"/>
          <w:szCs w:val="22"/>
        </w:rPr>
        <w:t>and</w:t>
      </w:r>
      <w:r w:rsidRPr="00E466B2">
        <w:rPr>
          <w:rFonts w:ascii="Arial" w:hAnsi="Arial" w:cs="Arial"/>
          <w:sz w:val="22"/>
          <w:szCs w:val="22"/>
        </w:rPr>
        <w:t xml:space="preserve"> aids in effective stakeholder engagement through the creation of shared expectations.</w:t>
      </w:r>
    </w:p>
    <w:p w14:paraId="23848C77" w14:textId="5894BDB5" w:rsidR="00894F40" w:rsidRPr="00E466B2" w:rsidRDefault="00894F40" w:rsidP="00894F40">
      <w:pPr>
        <w:pStyle w:val="Heading1"/>
        <w:rPr>
          <w:rFonts w:ascii="Arial" w:hAnsi="Arial" w:cs="Arial"/>
          <w:sz w:val="32"/>
          <w:szCs w:val="32"/>
        </w:rPr>
      </w:pPr>
      <w:r w:rsidRPr="00E466B2">
        <w:rPr>
          <w:rFonts w:ascii="Arial" w:hAnsi="Arial" w:cs="Arial"/>
          <w:sz w:val="32"/>
          <w:szCs w:val="32"/>
        </w:rPr>
        <w:t>Stakeholders</w:t>
      </w:r>
      <w:r w:rsidRPr="00E466B2">
        <w:rPr>
          <w:rFonts w:ascii="Arial" w:hAnsi="Arial" w:cs="Arial"/>
          <w:sz w:val="32"/>
          <w:szCs w:val="32"/>
        </w:rPr>
        <w:t xml:space="preserve"> – Key Roles and Responsibilities</w:t>
      </w:r>
    </w:p>
    <w:p w14:paraId="2B879791" w14:textId="449F04B6" w:rsidR="00B96FAE" w:rsidRPr="00E466B2" w:rsidRDefault="00B96FAE" w:rsidP="00B96FAE">
      <w:pPr>
        <w:rPr>
          <w:rFonts w:ascii="Arial" w:hAnsi="Arial" w:cs="Arial"/>
          <w:sz w:val="22"/>
          <w:szCs w:val="22"/>
        </w:rPr>
      </w:pPr>
      <w:r w:rsidRPr="00E466B2">
        <w:rPr>
          <w:rFonts w:ascii="Arial" w:hAnsi="Arial" w:cs="Arial"/>
          <w:sz w:val="22"/>
          <w:szCs w:val="22"/>
        </w:rPr>
        <w:t>Senior management and the executive board represent the highest strategic authority, responsible for budgeting, risk thresholds and the extent to which the wearable-device project aligns with AstraZeneca's broader ambitions in digital health. Their influence is huge, since they can accelerate, reshape or completely stop the direction of a project. These stakeholders expect brief performance updates, risk analyses and evidence-based justifications of major decisions. The main challenge in engaging this group is competing organisational priorities; therefore, structured briefings and clear reporting mechanisms are key to holding commitment.</w:t>
      </w:r>
    </w:p>
    <w:p w14:paraId="0BCE4E53" w14:textId="77777777" w:rsidR="00B96FAE" w:rsidRPr="00E466B2" w:rsidRDefault="00B96FAE" w:rsidP="00B96FAE">
      <w:pPr>
        <w:rPr>
          <w:rFonts w:ascii="Arial" w:hAnsi="Arial" w:cs="Arial"/>
          <w:sz w:val="22"/>
          <w:szCs w:val="22"/>
        </w:rPr>
      </w:pPr>
      <w:r w:rsidRPr="00E466B2">
        <w:rPr>
          <w:rFonts w:ascii="Arial" w:hAnsi="Arial" w:cs="Arial"/>
          <w:sz w:val="22"/>
          <w:szCs w:val="22"/>
        </w:rPr>
        <w:t>The project manager functions to coordinate centrally with planning, stakeholder liaison, resource allocation, and communication management. Clarity of role responsibilities and conflict resolution and interdependency monitoring across technical, regulatory, clinical, and commercial disciplines are other important activities of the project manager. The importance of navigating up and across the hierarchy ensures timely decision-making to preclude delay.</w:t>
      </w:r>
    </w:p>
    <w:p w14:paraId="049F85EC" w14:textId="302E50DC" w:rsidR="00B96FAE" w:rsidRPr="00E466B2" w:rsidRDefault="00B96FAE" w:rsidP="00B96FAE">
      <w:pPr>
        <w:rPr>
          <w:rFonts w:ascii="Arial" w:hAnsi="Arial" w:cs="Arial"/>
          <w:sz w:val="22"/>
          <w:szCs w:val="22"/>
        </w:rPr>
      </w:pPr>
      <w:r w:rsidRPr="00E466B2">
        <w:rPr>
          <w:rFonts w:ascii="Arial" w:hAnsi="Arial" w:cs="Arial"/>
          <w:sz w:val="22"/>
          <w:szCs w:val="22"/>
        </w:rPr>
        <w:t xml:space="preserve">The device's biosensors, digital interfaces, and analytical components are designed and tested by the product development team, which includes biomedical engineers, hardware developers, software specialists, and data scientists. Their work ensures that the device is safe, reliable, and usable. Features need continuous feedback from clinical, regulatory, and user stakeholders </w:t>
      </w:r>
      <w:r w:rsidR="00780E36" w:rsidRPr="00E466B2">
        <w:rPr>
          <w:rFonts w:ascii="Arial" w:hAnsi="Arial" w:cs="Arial"/>
          <w:sz w:val="22"/>
          <w:szCs w:val="22"/>
        </w:rPr>
        <w:t>to</w:t>
      </w:r>
      <w:r w:rsidRPr="00E466B2">
        <w:rPr>
          <w:rFonts w:ascii="Arial" w:hAnsi="Arial" w:cs="Arial"/>
          <w:sz w:val="22"/>
          <w:szCs w:val="22"/>
        </w:rPr>
        <w:t xml:space="preserve"> be refined. Major challenges include time pressure, integrating multiple technologies, and adapting to evolving requirements.</w:t>
      </w:r>
    </w:p>
    <w:p w14:paraId="76E151F3" w14:textId="77777777" w:rsidR="00B96FAE" w:rsidRPr="00E466B2" w:rsidRDefault="00B96FAE" w:rsidP="00B96FAE">
      <w:pPr>
        <w:rPr>
          <w:rFonts w:ascii="Arial" w:hAnsi="Arial" w:cs="Arial"/>
          <w:sz w:val="22"/>
          <w:szCs w:val="22"/>
        </w:rPr>
      </w:pPr>
      <w:r w:rsidRPr="00E466B2">
        <w:rPr>
          <w:rFonts w:ascii="Arial" w:hAnsi="Arial" w:cs="Arial"/>
          <w:sz w:val="22"/>
          <w:szCs w:val="22"/>
        </w:rPr>
        <w:t>Regulatory and compliance teams ensure adherence to MHRA classification rules, GDPR obligations, and cybersecurity standards. They oversee technical documentation, risk assessments, and interactions with regulators. Their role is crucial since regulatory approval can have a direct impact on market access. The biggest challenge in this context seems to be interpreting ever-evolving guidance while trying to maintain quality documentation under tight deadlines.</w:t>
      </w:r>
    </w:p>
    <w:p w14:paraId="3D11BF5A" w14:textId="77777777" w:rsidR="00B96FAE" w:rsidRPr="00E466B2" w:rsidRDefault="00B96FAE" w:rsidP="00B96FAE">
      <w:pPr>
        <w:rPr>
          <w:rFonts w:ascii="Arial" w:hAnsi="Arial" w:cs="Arial"/>
          <w:sz w:val="22"/>
          <w:szCs w:val="22"/>
        </w:rPr>
      </w:pPr>
      <w:r w:rsidRPr="00E466B2">
        <w:rPr>
          <w:rFonts w:ascii="Arial" w:hAnsi="Arial" w:cs="Arial"/>
          <w:sz w:val="22"/>
          <w:szCs w:val="22"/>
        </w:rPr>
        <w:t xml:space="preserve">Marketing, branding, and sales teams translate technical features into commercially viable propositions and develop strategies for segmentation, pricing, and launch. They need to balance consumer expectations with technical feasibility, and often the development and </w:t>
      </w:r>
      <w:r w:rsidRPr="00E466B2">
        <w:rPr>
          <w:rFonts w:ascii="Arial" w:hAnsi="Arial" w:cs="Arial"/>
          <w:sz w:val="22"/>
          <w:szCs w:val="22"/>
        </w:rPr>
        <w:lastRenderedPageBreak/>
        <w:t>commercial priorities come with a negotiated trade-off. Supply chain and procurement teams manage supplier relationships, source components, and place manufacturing contracts to ensure continuity and quality across global logistic networks; their work has a direct impact on time-to-market and production reliability.</w:t>
      </w:r>
    </w:p>
    <w:p w14:paraId="6CE6C512" w14:textId="77777777" w:rsidR="00B96FAE" w:rsidRPr="00E466B2" w:rsidRDefault="00B96FAE" w:rsidP="00B96FAE">
      <w:pPr>
        <w:rPr>
          <w:rFonts w:ascii="Arial" w:hAnsi="Arial" w:cs="Arial"/>
          <w:sz w:val="22"/>
          <w:szCs w:val="22"/>
        </w:rPr>
      </w:pPr>
      <w:r w:rsidRPr="00E466B2">
        <w:rPr>
          <w:rFonts w:ascii="Arial" w:hAnsi="Arial" w:cs="Arial"/>
          <w:sz w:val="22"/>
          <w:szCs w:val="22"/>
        </w:rPr>
        <w:t>While customer support and post-market service teams are usually downstream participants, they contribute vitally important information about user onboarding, troubleshooting, and long-term product performance. Early involvement in device design will help to anticipate user challenges and inform post-market safety monitoring.</w:t>
      </w:r>
    </w:p>
    <w:p w14:paraId="0B752295" w14:textId="77777777" w:rsidR="00B96FAE" w:rsidRPr="00E466B2" w:rsidRDefault="00B96FAE" w:rsidP="00B96FAE">
      <w:pPr>
        <w:rPr>
          <w:rFonts w:ascii="Arial" w:hAnsi="Arial" w:cs="Arial"/>
          <w:sz w:val="22"/>
          <w:szCs w:val="22"/>
        </w:rPr>
      </w:pPr>
      <w:r w:rsidRPr="00E466B2">
        <w:rPr>
          <w:rFonts w:ascii="Arial" w:hAnsi="Arial" w:cs="Arial"/>
          <w:sz w:val="22"/>
          <w:szCs w:val="22"/>
        </w:rPr>
        <w:t>Consumers and patients, the ultimate end-users, are the ones who determine commercial viability through acceptance. They have expectations for usability, comfort, accuracy, and transparency of data. Engagement-in the form of usability testing or pilot studies-is a great way to understand concerns over privacy, functionality, or perceived clinical value.</w:t>
      </w:r>
    </w:p>
    <w:p w14:paraId="27BC553E" w14:textId="77777777" w:rsidR="00B96FAE" w:rsidRPr="00E466B2" w:rsidRDefault="00B96FAE" w:rsidP="00B96FAE">
      <w:pPr>
        <w:rPr>
          <w:rFonts w:ascii="Arial" w:hAnsi="Arial" w:cs="Arial"/>
          <w:sz w:val="22"/>
          <w:szCs w:val="22"/>
        </w:rPr>
      </w:pPr>
      <w:r w:rsidRPr="00E466B2">
        <w:rPr>
          <w:rFonts w:ascii="Arial" w:hAnsi="Arial" w:cs="Arial"/>
          <w:sz w:val="22"/>
          <w:szCs w:val="22"/>
        </w:rPr>
        <w:t>Clinicians and healthcare providers, including NHS clinicians and disease specialists, play a decisive role in validating device accuracy and assessing clinical relevance. Clinician input will assure that the device supports meaningful outcomes and integrates effectively into care pathways. Resistance may come from clinician scepticism and potential workflow and data-management burdens.</w:t>
      </w:r>
    </w:p>
    <w:p w14:paraId="7F1EFE51" w14:textId="77777777" w:rsidR="00B96FAE" w:rsidRPr="00E466B2" w:rsidRDefault="00B96FAE" w:rsidP="00B96FAE">
      <w:pPr>
        <w:rPr>
          <w:rFonts w:ascii="Arial" w:hAnsi="Arial" w:cs="Arial"/>
          <w:sz w:val="22"/>
          <w:szCs w:val="22"/>
        </w:rPr>
      </w:pPr>
      <w:r w:rsidRPr="00E466B2">
        <w:rPr>
          <w:rFonts w:ascii="Arial" w:hAnsi="Arial" w:cs="Arial"/>
          <w:sz w:val="22"/>
          <w:szCs w:val="22"/>
        </w:rPr>
        <w:t>The MHRA and ICO are both very powerful regulators in terms of device classification, standards of required evidence, and data governance compliance. Effective engagement requires transparency, timely submissions, and proactive risk management. Challenges exist within regulatory timelines, evolving guidance, and stringent safety expectations.</w:t>
      </w:r>
    </w:p>
    <w:p w14:paraId="630F5E9D" w14:textId="77777777" w:rsidR="00B96FAE" w:rsidRPr="00E466B2" w:rsidRDefault="00B96FAE" w:rsidP="00B96FAE">
      <w:pPr>
        <w:rPr>
          <w:rFonts w:ascii="Arial" w:hAnsi="Arial" w:cs="Arial"/>
          <w:sz w:val="22"/>
          <w:szCs w:val="22"/>
        </w:rPr>
      </w:pPr>
      <w:r w:rsidRPr="00E466B2">
        <w:rPr>
          <w:rFonts w:ascii="Arial" w:hAnsi="Arial" w:cs="Arial"/>
          <w:sz w:val="22"/>
          <w:szCs w:val="22"/>
        </w:rPr>
        <w:t>Technology partners provide the necessary building blocks, including sensors, cloud architecture, firmware, and cybersecurity solutions. Their collaboration demands explicit contracts, mutually agreed-upon milestones, and close coordination. Risks include mutual dependence, technical integration, and infringement on intellectual property rights.</w:t>
      </w:r>
    </w:p>
    <w:p w14:paraId="5FAD8A2B" w14:textId="77777777" w:rsidR="00B96FAE" w:rsidRPr="00E466B2" w:rsidRDefault="00B96FAE" w:rsidP="00B96FAE">
      <w:pPr>
        <w:rPr>
          <w:rFonts w:ascii="Arial" w:hAnsi="Arial" w:cs="Arial"/>
          <w:sz w:val="22"/>
          <w:szCs w:val="22"/>
        </w:rPr>
      </w:pPr>
      <w:r w:rsidRPr="00E466B2">
        <w:rPr>
          <w:rFonts w:ascii="Arial" w:hAnsi="Arial" w:cs="Arial"/>
          <w:sz w:val="22"/>
          <w:szCs w:val="22"/>
        </w:rPr>
        <w:t>Manufacturing and quality assurance partners will create and test the physical device. They address performance, durability, and adherence to manufacturing regulations. Challenges involve production scalability, inspection failures, and supply-chain delays. Insurers are potential partners for reimbursement or preventive care integration, while retailers help gain access to the market and its distribution. Each provides specific logistical or commercial consideration.</w:t>
      </w:r>
    </w:p>
    <w:p w14:paraId="5FCA8D96" w14:textId="7E428F2C" w:rsidR="00B96FAE" w:rsidRPr="00B96FAE" w:rsidRDefault="00B96FAE" w:rsidP="00B96FAE">
      <w:pPr>
        <w:rPr>
          <w:rFonts w:ascii="Arial" w:hAnsi="Arial" w:cs="Arial"/>
          <w:sz w:val="22"/>
          <w:szCs w:val="22"/>
        </w:rPr>
      </w:pPr>
      <w:r w:rsidRPr="00E466B2">
        <w:rPr>
          <w:rFonts w:ascii="Arial" w:hAnsi="Arial" w:cs="Arial"/>
          <w:sz w:val="22"/>
          <w:szCs w:val="22"/>
        </w:rPr>
        <w:t>The distinct needs, influence and contributions of each stakeholder group should provide AstraZeneca with a targeted engagement strategy for enhancing alignment and reducing project risk. Delays, compliance failures, or reduced user adoption may result from the failure to engage a critical stakeholder. The effective identification of stakeholders forms the very foundation of structured communication, coordinated decision-making, and successful project execution.</w:t>
      </w:r>
    </w:p>
    <w:p w14:paraId="5C474A0F" w14:textId="77777777" w:rsidR="00894F40" w:rsidRPr="00E466B2" w:rsidRDefault="00894F40" w:rsidP="008136F7">
      <w:pPr>
        <w:rPr>
          <w:rFonts w:ascii="Arial" w:hAnsi="Arial" w:cs="Arial"/>
          <w:sz w:val="22"/>
          <w:szCs w:val="22"/>
        </w:rPr>
      </w:pPr>
    </w:p>
    <w:p w14:paraId="7946D328" w14:textId="4B7F3BB5" w:rsidR="00894F40" w:rsidRPr="00E466B2" w:rsidRDefault="00894F40" w:rsidP="00894F40">
      <w:pPr>
        <w:pStyle w:val="Heading1"/>
        <w:rPr>
          <w:rFonts w:ascii="Arial" w:hAnsi="Arial" w:cs="Arial"/>
          <w:sz w:val="32"/>
          <w:szCs w:val="32"/>
        </w:rPr>
      </w:pPr>
      <w:r w:rsidRPr="00E466B2">
        <w:rPr>
          <w:rFonts w:ascii="Arial" w:hAnsi="Arial" w:cs="Arial"/>
          <w:sz w:val="32"/>
          <w:szCs w:val="32"/>
        </w:rPr>
        <w:t>Stakeholder Engagement Frameworks and Tools</w:t>
      </w:r>
    </w:p>
    <w:p w14:paraId="5CE37ED3" w14:textId="35F0FDD6" w:rsidR="008136F7" w:rsidRPr="00E466B2" w:rsidRDefault="008136F7" w:rsidP="008136F7">
      <w:pPr>
        <w:rPr>
          <w:rFonts w:ascii="Arial" w:hAnsi="Arial" w:cs="Arial"/>
          <w:sz w:val="22"/>
          <w:szCs w:val="22"/>
        </w:rPr>
      </w:pPr>
      <w:r w:rsidRPr="00E466B2">
        <w:rPr>
          <w:rFonts w:ascii="Arial" w:hAnsi="Arial" w:cs="Arial"/>
          <w:sz w:val="22"/>
          <w:szCs w:val="22"/>
        </w:rPr>
        <w:t xml:space="preserve">Mendelow's Matrix remains one of the most widely used tools for prioritizing stakeholders in terms of influence and interest. This was developed by Mendelow in 1991. In AstraZeneca's </w:t>
      </w:r>
      <w:r w:rsidRPr="00E466B2">
        <w:rPr>
          <w:rFonts w:ascii="Arial" w:hAnsi="Arial" w:cs="Arial"/>
          <w:sz w:val="22"/>
          <w:szCs w:val="22"/>
        </w:rPr>
        <w:lastRenderedPageBreak/>
        <w:t>wearable-device project, it enables the project team to focus its engagement where it matters most.</w:t>
      </w:r>
    </w:p>
    <w:p w14:paraId="28368185" w14:textId="77777777" w:rsidR="00B47174" w:rsidRPr="00E466B2" w:rsidRDefault="00B47174" w:rsidP="00B47174">
      <w:pPr>
        <w:rPr>
          <w:rFonts w:ascii="Arial" w:hAnsi="Arial" w:cs="Arial"/>
          <w:sz w:val="22"/>
          <w:szCs w:val="22"/>
        </w:rPr>
      </w:pPr>
      <w:r w:rsidRPr="00E466B2">
        <w:rPr>
          <w:rFonts w:ascii="Arial" w:hAnsi="Arial" w:cs="Arial"/>
          <w:sz w:val="22"/>
          <w:szCs w:val="22"/>
        </w:rPr>
        <w:t>High Power – High Interest (Manage Closely)</w:t>
      </w:r>
    </w:p>
    <w:p w14:paraId="4E13A322" w14:textId="77777777" w:rsidR="00B47174" w:rsidRPr="00E466B2" w:rsidRDefault="00B47174" w:rsidP="00B47174">
      <w:pPr>
        <w:rPr>
          <w:rFonts w:ascii="Arial" w:hAnsi="Arial" w:cs="Arial"/>
          <w:sz w:val="22"/>
          <w:szCs w:val="22"/>
        </w:rPr>
      </w:pPr>
      <w:r w:rsidRPr="00E466B2">
        <w:rPr>
          <w:rFonts w:ascii="Arial" w:hAnsi="Arial" w:cs="Arial"/>
          <w:sz w:val="22"/>
          <w:szCs w:val="22"/>
        </w:rPr>
        <w:t>Significant stakeholders with a high level of interest and influence should be informed. Regulators such as MHRA and ICO fall into this group, as well as the senior management who provide funding and strategic direction, product development teams responsible for technical feasibility, and compliance specialists who ensure safety and data standards. These will need to be regularly informed through scheduled meetings, progress reviews, and compliance checks.</w:t>
      </w:r>
    </w:p>
    <w:p w14:paraId="626624B1" w14:textId="77777777" w:rsidR="00B47174" w:rsidRPr="00E466B2" w:rsidRDefault="00B47174" w:rsidP="00B47174">
      <w:pPr>
        <w:rPr>
          <w:rFonts w:ascii="Arial" w:hAnsi="Arial" w:cs="Arial"/>
          <w:sz w:val="22"/>
          <w:szCs w:val="22"/>
        </w:rPr>
      </w:pPr>
      <w:r w:rsidRPr="00E466B2">
        <w:rPr>
          <w:rFonts w:ascii="Arial" w:hAnsi="Arial" w:cs="Arial"/>
          <w:sz w:val="22"/>
          <w:szCs w:val="22"/>
        </w:rPr>
        <w:t>High Power - Low Interest (Keep Satisfied)</w:t>
      </w:r>
    </w:p>
    <w:p w14:paraId="039A963C" w14:textId="74D710EC" w:rsidR="00B47174" w:rsidRPr="00E466B2" w:rsidRDefault="00B47174" w:rsidP="00B47174">
      <w:pPr>
        <w:rPr>
          <w:rFonts w:ascii="Arial" w:hAnsi="Arial" w:cs="Arial"/>
          <w:sz w:val="22"/>
          <w:szCs w:val="22"/>
        </w:rPr>
      </w:pPr>
      <w:r w:rsidRPr="00E466B2">
        <w:rPr>
          <w:rFonts w:ascii="Arial" w:hAnsi="Arial" w:cs="Arial"/>
          <w:sz w:val="22"/>
          <w:szCs w:val="22"/>
        </w:rPr>
        <w:t xml:space="preserve">The insurance partners and large-scale suppliers are the actors who possess the ability to influence the project but do not participate in </w:t>
      </w:r>
      <w:r w:rsidR="00780E36" w:rsidRPr="00E466B2">
        <w:rPr>
          <w:rFonts w:ascii="Arial" w:hAnsi="Arial" w:cs="Arial"/>
          <w:sz w:val="22"/>
          <w:szCs w:val="22"/>
        </w:rPr>
        <w:t>its</w:t>
      </w:r>
      <w:r w:rsidRPr="00E466B2">
        <w:rPr>
          <w:rFonts w:ascii="Arial" w:hAnsi="Arial" w:cs="Arial"/>
          <w:sz w:val="22"/>
          <w:szCs w:val="22"/>
        </w:rPr>
        <w:t xml:space="preserve"> daily. They require periodic updates on the progress, relationship management, and maintaining their reliability </w:t>
      </w:r>
      <w:r w:rsidR="00780E36" w:rsidRPr="00E466B2">
        <w:rPr>
          <w:rFonts w:ascii="Arial" w:hAnsi="Arial" w:cs="Arial"/>
          <w:sz w:val="22"/>
          <w:szCs w:val="22"/>
        </w:rPr>
        <w:t>to</w:t>
      </w:r>
      <w:r w:rsidRPr="00E466B2">
        <w:rPr>
          <w:rFonts w:ascii="Arial" w:hAnsi="Arial" w:cs="Arial"/>
          <w:sz w:val="22"/>
          <w:szCs w:val="22"/>
        </w:rPr>
        <w:t xml:space="preserve"> keep them aligned.</w:t>
      </w:r>
    </w:p>
    <w:p w14:paraId="5C823FE8" w14:textId="77777777" w:rsidR="00B47174" w:rsidRPr="00E466B2" w:rsidRDefault="00B47174" w:rsidP="00B47174">
      <w:pPr>
        <w:rPr>
          <w:rFonts w:ascii="Arial" w:hAnsi="Arial" w:cs="Arial"/>
          <w:sz w:val="22"/>
          <w:szCs w:val="22"/>
        </w:rPr>
      </w:pPr>
      <w:r w:rsidRPr="00E466B2">
        <w:rPr>
          <w:rFonts w:ascii="Arial" w:hAnsi="Arial" w:cs="Arial"/>
          <w:sz w:val="22"/>
          <w:szCs w:val="22"/>
        </w:rPr>
        <w:t>Low Power – High Interest (Keep Informed)</w:t>
      </w:r>
    </w:p>
    <w:p w14:paraId="0BDA8565" w14:textId="799E7169" w:rsidR="00B47174" w:rsidRPr="00E466B2" w:rsidRDefault="00B47174" w:rsidP="00B47174">
      <w:pPr>
        <w:rPr>
          <w:rFonts w:ascii="Arial" w:hAnsi="Arial" w:cs="Arial"/>
          <w:sz w:val="22"/>
          <w:szCs w:val="22"/>
        </w:rPr>
      </w:pPr>
      <w:r w:rsidRPr="00E466B2">
        <w:rPr>
          <w:rFonts w:ascii="Arial" w:hAnsi="Arial" w:cs="Arial"/>
          <w:sz w:val="22"/>
          <w:szCs w:val="22"/>
        </w:rPr>
        <w:t xml:space="preserve">This stakeholder quadrant values the project </w:t>
      </w:r>
      <w:r w:rsidR="00780E36" w:rsidRPr="00E466B2">
        <w:rPr>
          <w:rFonts w:ascii="Arial" w:hAnsi="Arial" w:cs="Arial"/>
          <w:sz w:val="22"/>
          <w:szCs w:val="22"/>
        </w:rPr>
        <w:t>greatly but</w:t>
      </w:r>
      <w:r w:rsidRPr="00E466B2">
        <w:rPr>
          <w:rFonts w:ascii="Arial" w:hAnsi="Arial" w:cs="Arial"/>
          <w:sz w:val="22"/>
          <w:szCs w:val="22"/>
        </w:rPr>
        <w:t xml:space="preserve"> has limited control over it. This includes consumers, clinicians, and customer-service teams. Their contribution will be fundamental to the usability, clinical relevance, and support in post-launch. Here, the engagement needs to focus on user testing, pilot trials, and iterative feedback.</w:t>
      </w:r>
    </w:p>
    <w:p w14:paraId="593C2C90" w14:textId="77777777" w:rsidR="00B47174" w:rsidRPr="00E466B2" w:rsidRDefault="00B47174" w:rsidP="00B47174">
      <w:pPr>
        <w:rPr>
          <w:rFonts w:ascii="Arial" w:hAnsi="Arial" w:cs="Arial"/>
          <w:sz w:val="22"/>
          <w:szCs w:val="22"/>
        </w:rPr>
      </w:pPr>
      <w:r w:rsidRPr="00E466B2">
        <w:rPr>
          <w:rFonts w:ascii="Arial" w:hAnsi="Arial" w:cs="Arial"/>
          <w:sz w:val="22"/>
          <w:szCs w:val="22"/>
        </w:rPr>
        <w:t>Low Power – Low Interest (Monitor)</w:t>
      </w:r>
    </w:p>
    <w:p w14:paraId="748664FB" w14:textId="1E5B9501" w:rsidR="00B47174" w:rsidRPr="00E466B2" w:rsidRDefault="00B47174" w:rsidP="00B47174">
      <w:pPr>
        <w:rPr>
          <w:rFonts w:ascii="Arial" w:hAnsi="Arial" w:cs="Arial"/>
          <w:sz w:val="22"/>
          <w:szCs w:val="22"/>
        </w:rPr>
      </w:pPr>
      <w:r w:rsidRPr="00E466B2">
        <w:rPr>
          <w:rFonts w:ascii="Arial" w:hAnsi="Arial" w:cs="Arial"/>
          <w:sz w:val="22"/>
          <w:szCs w:val="22"/>
        </w:rPr>
        <w:t xml:space="preserve">These are the stakeholders who have minimal influence at this stage. They include the </w:t>
      </w:r>
      <w:r w:rsidR="00780E36" w:rsidRPr="00E466B2">
        <w:rPr>
          <w:rFonts w:ascii="Arial" w:hAnsi="Arial" w:cs="Arial"/>
          <w:sz w:val="22"/>
          <w:szCs w:val="22"/>
        </w:rPr>
        <w:t>public</w:t>
      </w:r>
      <w:r w:rsidRPr="00E466B2">
        <w:rPr>
          <w:rFonts w:ascii="Arial" w:hAnsi="Arial" w:cs="Arial"/>
          <w:sz w:val="22"/>
          <w:szCs w:val="22"/>
        </w:rPr>
        <w:t xml:space="preserve"> and retailers not yet contracted. Occasional monitoring is sufficient unless their relevance increases.</w:t>
      </w:r>
    </w:p>
    <w:p w14:paraId="62DCD4C3" w14:textId="1F1F067C" w:rsidR="00B47174" w:rsidRPr="00E466B2" w:rsidRDefault="00780E36" w:rsidP="00B47174">
      <w:pPr>
        <w:rPr>
          <w:rFonts w:ascii="Arial" w:hAnsi="Arial" w:cs="Arial"/>
          <w:sz w:val="22"/>
          <w:szCs w:val="22"/>
        </w:rPr>
      </w:pPr>
      <w:r w:rsidRPr="00E466B2">
        <w:rPr>
          <w:rFonts w:ascii="Arial" w:hAnsi="Arial" w:cs="Arial"/>
          <w:sz w:val="22"/>
          <w:szCs w:val="22"/>
        </w:rPr>
        <w:t>Using</w:t>
      </w:r>
      <w:r w:rsidR="00B47174" w:rsidRPr="00E466B2">
        <w:rPr>
          <w:rFonts w:ascii="Arial" w:hAnsi="Arial" w:cs="Arial"/>
          <w:sz w:val="22"/>
          <w:szCs w:val="22"/>
        </w:rPr>
        <w:t xml:space="preserve"> Mendelow's Matrix, AstraZeneca can distribute resources effectively </w:t>
      </w:r>
      <w:r w:rsidRPr="00E466B2">
        <w:rPr>
          <w:rFonts w:ascii="Arial" w:hAnsi="Arial" w:cs="Arial"/>
          <w:sz w:val="22"/>
          <w:szCs w:val="22"/>
        </w:rPr>
        <w:t>to</w:t>
      </w:r>
      <w:r w:rsidR="00B47174" w:rsidRPr="00E466B2">
        <w:rPr>
          <w:rFonts w:ascii="Arial" w:hAnsi="Arial" w:cs="Arial"/>
          <w:sz w:val="22"/>
          <w:szCs w:val="22"/>
        </w:rPr>
        <w:t xml:space="preserve"> secure priority attention from influential stakeholders while continuing to have appropriate contact with lower-impact groups.</w:t>
      </w:r>
    </w:p>
    <w:p w14:paraId="4CDB261D" w14:textId="77777777" w:rsidR="00B47174" w:rsidRPr="00E466B2" w:rsidRDefault="00B47174" w:rsidP="00B47174">
      <w:pPr>
        <w:rPr>
          <w:rFonts w:ascii="Arial" w:hAnsi="Arial" w:cs="Arial"/>
          <w:sz w:val="22"/>
          <w:szCs w:val="22"/>
        </w:rPr>
      </w:pPr>
      <w:r w:rsidRPr="00E466B2">
        <w:rPr>
          <w:rFonts w:ascii="Arial" w:hAnsi="Arial" w:cs="Arial"/>
          <w:sz w:val="22"/>
          <w:szCs w:val="22"/>
        </w:rPr>
        <w:t>A structured engagement plan describes how stakeholders are communicated with and involved.</w:t>
      </w:r>
    </w:p>
    <w:p w14:paraId="0E52083F" w14:textId="77777777" w:rsidR="00B47174" w:rsidRPr="00E466B2" w:rsidRDefault="00B47174" w:rsidP="00B47174">
      <w:pPr>
        <w:rPr>
          <w:rFonts w:ascii="Arial" w:hAnsi="Arial" w:cs="Arial"/>
          <w:sz w:val="22"/>
          <w:szCs w:val="22"/>
        </w:rPr>
      </w:pPr>
      <w:r w:rsidRPr="00E466B2">
        <w:rPr>
          <w:rFonts w:ascii="Arial" w:hAnsi="Arial" w:cs="Arial"/>
          <w:sz w:val="22"/>
          <w:szCs w:val="22"/>
        </w:rPr>
        <w:t>1. Identifying Stakeholder Needs</w:t>
      </w:r>
    </w:p>
    <w:p w14:paraId="7C1306F7" w14:textId="77777777" w:rsidR="00B47174" w:rsidRPr="00E466B2" w:rsidRDefault="00B47174" w:rsidP="00B47174">
      <w:pPr>
        <w:rPr>
          <w:rFonts w:ascii="Arial" w:hAnsi="Arial" w:cs="Arial"/>
          <w:sz w:val="22"/>
          <w:szCs w:val="22"/>
        </w:rPr>
      </w:pPr>
      <w:r w:rsidRPr="00E466B2">
        <w:rPr>
          <w:rFonts w:ascii="Arial" w:hAnsi="Arial" w:cs="Arial"/>
          <w:sz w:val="22"/>
          <w:szCs w:val="22"/>
        </w:rPr>
        <w:t>Regulators demand extensive compliance documentation. Clinicians seek clinical accuracy and usability. Consumers want intuitive design, data privacy, and affordability. Internal teams require clarity on roles and responsibilities with timelines. Such diverse needs being met inform effective engagement.</w:t>
      </w:r>
    </w:p>
    <w:p w14:paraId="00FF26C6" w14:textId="77777777" w:rsidR="00B47174" w:rsidRPr="00E466B2" w:rsidRDefault="00B47174" w:rsidP="00B47174">
      <w:pPr>
        <w:rPr>
          <w:rFonts w:ascii="Arial" w:hAnsi="Arial" w:cs="Arial"/>
          <w:sz w:val="22"/>
          <w:szCs w:val="22"/>
        </w:rPr>
      </w:pPr>
      <w:r w:rsidRPr="00E466B2">
        <w:rPr>
          <w:rFonts w:ascii="Arial" w:hAnsi="Arial" w:cs="Arial"/>
          <w:sz w:val="22"/>
          <w:szCs w:val="22"/>
        </w:rPr>
        <w:t>2. Engagement Activities</w:t>
      </w:r>
    </w:p>
    <w:p w14:paraId="577F22EA" w14:textId="77777777" w:rsidR="00B47174" w:rsidRPr="00E466B2" w:rsidRDefault="00B47174" w:rsidP="00B47174">
      <w:pPr>
        <w:rPr>
          <w:rFonts w:ascii="Arial" w:hAnsi="Arial" w:cs="Arial"/>
          <w:sz w:val="22"/>
          <w:szCs w:val="22"/>
        </w:rPr>
      </w:pPr>
      <w:r w:rsidRPr="00E466B2">
        <w:rPr>
          <w:rFonts w:ascii="Arial" w:hAnsi="Arial" w:cs="Arial"/>
          <w:sz w:val="22"/>
          <w:szCs w:val="22"/>
        </w:rPr>
        <w:t>Approaches include prototype demonstrations, workshops, clinical trials, supplier meetings, and cross-functional reviews that ensure continuous feedback and a shared understanding.</w:t>
      </w:r>
    </w:p>
    <w:p w14:paraId="436B528F" w14:textId="77777777" w:rsidR="00B47174" w:rsidRPr="00E466B2" w:rsidRDefault="00B47174" w:rsidP="00B47174">
      <w:pPr>
        <w:rPr>
          <w:rFonts w:ascii="Arial" w:hAnsi="Arial" w:cs="Arial"/>
          <w:sz w:val="22"/>
          <w:szCs w:val="22"/>
        </w:rPr>
      </w:pPr>
      <w:r w:rsidRPr="00E466B2">
        <w:rPr>
          <w:rFonts w:ascii="Arial" w:hAnsi="Arial" w:cs="Arial"/>
          <w:sz w:val="22"/>
          <w:szCs w:val="22"/>
        </w:rPr>
        <w:t>3. Frequency and Mode of Engagement</w:t>
      </w:r>
    </w:p>
    <w:p w14:paraId="074B1E4E" w14:textId="77777777" w:rsidR="00B47174" w:rsidRPr="00E466B2" w:rsidRDefault="00B47174" w:rsidP="00B47174">
      <w:pPr>
        <w:rPr>
          <w:rFonts w:ascii="Arial" w:hAnsi="Arial" w:cs="Arial"/>
          <w:sz w:val="22"/>
          <w:szCs w:val="22"/>
        </w:rPr>
      </w:pPr>
      <w:r w:rsidRPr="00E466B2">
        <w:rPr>
          <w:rFonts w:ascii="Arial" w:hAnsi="Arial" w:cs="Arial"/>
          <w:sz w:val="22"/>
          <w:szCs w:val="22"/>
        </w:rPr>
        <w:t>This would involve weekly or biweekly progress meetings and formal documents for high-power stakeholders, while those with lower interest may require milestone-based communication only. Tailoring the frequency avoids overload while maintaining alignment.</w:t>
      </w:r>
    </w:p>
    <w:p w14:paraId="67D64E75" w14:textId="77777777" w:rsidR="00B47174" w:rsidRPr="00E466B2" w:rsidRDefault="00B47174" w:rsidP="00B47174">
      <w:pPr>
        <w:rPr>
          <w:rFonts w:ascii="Arial" w:hAnsi="Arial" w:cs="Arial"/>
          <w:sz w:val="22"/>
          <w:szCs w:val="22"/>
        </w:rPr>
      </w:pPr>
      <w:r w:rsidRPr="00E466B2">
        <w:rPr>
          <w:rFonts w:ascii="Arial" w:hAnsi="Arial" w:cs="Arial"/>
          <w:sz w:val="22"/>
          <w:szCs w:val="22"/>
        </w:rPr>
        <w:lastRenderedPageBreak/>
        <w:t>4. KPIs</w:t>
      </w:r>
    </w:p>
    <w:p w14:paraId="238CBA38" w14:textId="77777777" w:rsidR="00B47174" w:rsidRPr="00E466B2" w:rsidRDefault="00B47174" w:rsidP="00B47174">
      <w:pPr>
        <w:rPr>
          <w:rFonts w:ascii="Arial" w:hAnsi="Arial" w:cs="Arial"/>
          <w:sz w:val="22"/>
          <w:szCs w:val="22"/>
        </w:rPr>
      </w:pPr>
      <w:r w:rsidRPr="00E466B2">
        <w:rPr>
          <w:rFonts w:ascii="Arial" w:hAnsi="Arial" w:cs="Arial"/>
          <w:sz w:val="22"/>
          <w:szCs w:val="22"/>
        </w:rPr>
        <w:t>Regulatory milestones met, integration of feedback from users, reliability of suppliers, and stakeholder satisfaction-all are examples of KPIs. Such metrics ensure engagement efforts support project goals.</w:t>
      </w:r>
    </w:p>
    <w:p w14:paraId="68D0B668" w14:textId="77777777" w:rsidR="00B47174" w:rsidRPr="00E466B2" w:rsidRDefault="00B47174" w:rsidP="00B47174">
      <w:pPr>
        <w:rPr>
          <w:rFonts w:ascii="Arial" w:hAnsi="Arial" w:cs="Arial"/>
          <w:sz w:val="22"/>
          <w:szCs w:val="22"/>
        </w:rPr>
      </w:pPr>
      <w:r w:rsidRPr="00E466B2">
        <w:rPr>
          <w:rFonts w:ascii="Arial" w:hAnsi="Arial" w:cs="Arial"/>
          <w:sz w:val="22"/>
          <w:szCs w:val="22"/>
        </w:rPr>
        <w:t>AstraZeneca's plan ensures that the engagement will be systematic, with alignment to regulatory and technical expectations.</w:t>
      </w:r>
    </w:p>
    <w:p w14:paraId="29F2993C" w14:textId="77777777" w:rsidR="00B47174" w:rsidRPr="00E466B2" w:rsidRDefault="00B47174" w:rsidP="00B47174">
      <w:pPr>
        <w:rPr>
          <w:rFonts w:ascii="Arial" w:hAnsi="Arial" w:cs="Arial"/>
          <w:sz w:val="22"/>
          <w:szCs w:val="22"/>
        </w:rPr>
      </w:pPr>
      <w:r w:rsidRPr="00E466B2">
        <w:rPr>
          <w:rFonts w:ascii="Arial" w:hAnsi="Arial" w:cs="Arial"/>
          <w:sz w:val="22"/>
          <w:szCs w:val="22"/>
        </w:rPr>
        <w:t>Communication gaps result in misalignment, further causing delays. According to Kerzner (2017), a communication plan aids in defining what information flows to whom and when.</w:t>
      </w:r>
    </w:p>
    <w:p w14:paraId="5AED6A63" w14:textId="77777777" w:rsidR="00B47174" w:rsidRPr="00E466B2" w:rsidRDefault="00B47174" w:rsidP="00B47174">
      <w:pPr>
        <w:rPr>
          <w:rFonts w:ascii="Arial" w:hAnsi="Arial" w:cs="Arial"/>
          <w:sz w:val="22"/>
          <w:szCs w:val="22"/>
        </w:rPr>
      </w:pPr>
      <w:r w:rsidRPr="00E466B2">
        <w:rPr>
          <w:rFonts w:ascii="Arial" w:hAnsi="Arial" w:cs="Arial"/>
          <w:sz w:val="22"/>
          <w:szCs w:val="22"/>
        </w:rPr>
        <w:t>Communication Channels</w:t>
      </w:r>
    </w:p>
    <w:p w14:paraId="61173EC4" w14:textId="77777777" w:rsidR="00B47174" w:rsidRPr="00E466B2" w:rsidRDefault="00B47174" w:rsidP="00B47174">
      <w:pPr>
        <w:rPr>
          <w:rFonts w:ascii="Arial" w:hAnsi="Arial" w:cs="Arial"/>
          <w:sz w:val="22"/>
          <w:szCs w:val="22"/>
        </w:rPr>
      </w:pPr>
      <w:r w:rsidRPr="00E466B2">
        <w:rPr>
          <w:rFonts w:ascii="Arial" w:hAnsi="Arial" w:cs="Arial"/>
          <w:sz w:val="22"/>
          <w:szCs w:val="22"/>
        </w:rPr>
        <w:t>Internal collaboration is done via Teams or Slack, while task tracking is enabled by Jira or Asana. Email will support formal updates, workshops enable co-creation, and clinical meetings ensure that medical insight is gathered. Compliance submissions will be handled via regulatory portals.</w:t>
      </w:r>
    </w:p>
    <w:p w14:paraId="53CFC722" w14:textId="77777777" w:rsidR="00B47174" w:rsidRPr="00E466B2" w:rsidRDefault="00B47174" w:rsidP="00B47174">
      <w:pPr>
        <w:rPr>
          <w:rFonts w:ascii="Arial" w:hAnsi="Arial" w:cs="Arial"/>
          <w:sz w:val="22"/>
          <w:szCs w:val="22"/>
        </w:rPr>
      </w:pPr>
      <w:r w:rsidRPr="00E466B2">
        <w:rPr>
          <w:rFonts w:ascii="Arial" w:hAnsi="Arial" w:cs="Arial"/>
          <w:sz w:val="22"/>
          <w:szCs w:val="22"/>
        </w:rPr>
        <w:t>Types of Communication</w:t>
      </w:r>
    </w:p>
    <w:p w14:paraId="65174CB3" w14:textId="77777777" w:rsidR="00B47174" w:rsidRPr="00E466B2" w:rsidRDefault="00B47174" w:rsidP="00B47174">
      <w:pPr>
        <w:rPr>
          <w:rFonts w:ascii="Arial" w:hAnsi="Arial" w:cs="Arial"/>
          <w:sz w:val="22"/>
          <w:szCs w:val="22"/>
        </w:rPr>
      </w:pPr>
      <w:r w:rsidRPr="00E466B2">
        <w:rPr>
          <w:rFonts w:ascii="Arial" w:hAnsi="Arial" w:cs="Arial"/>
          <w:sz w:val="22"/>
          <w:szCs w:val="22"/>
        </w:rPr>
        <w:t>Operational communication involves stand-ups and sprint reviews, whereas strategic communications happen in steering-committee meetings. Regulatory communication focuses on the accuracy of documentation, while external communication gathers consumer and clinician insights.</w:t>
      </w:r>
    </w:p>
    <w:p w14:paraId="700FC8FD" w14:textId="141E9525" w:rsidR="00DE1FFD" w:rsidRPr="00E466B2" w:rsidRDefault="00B47174" w:rsidP="00B47174">
      <w:pPr>
        <w:rPr>
          <w:rFonts w:ascii="Arial" w:hAnsi="Arial" w:cs="Arial"/>
          <w:sz w:val="22"/>
          <w:szCs w:val="22"/>
        </w:rPr>
      </w:pPr>
      <w:r w:rsidRPr="00E466B2">
        <w:rPr>
          <w:rFonts w:ascii="Arial" w:hAnsi="Arial" w:cs="Arial"/>
          <w:sz w:val="22"/>
          <w:szCs w:val="22"/>
        </w:rPr>
        <w:t>The effective communication plan brings transparency, builds trust, and drives seamless cross-team collaboration.</w:t>
      </w:r>
    </w:p>
    <w:p w14:paraId="24BF64B7" w14:textId="27046E7F" w:rsidR="00B47174" w:rsidRPr="00E466B2" w:rsidRDefault="00B47174" w:rsidP="00B47174">
      <w:pPr>
        <w:rPr>
          <w:rFonts w:ascii="Arial" w:hAnsi="Arial" w:cs="Arial"/>
          <w:sz w:val="22"/>
          <w:szCs w:val="22"/>
        </w:rPr>
      </w:pPr>
      <w:r w:rsidRPr="00E466B2">
        <w:rPr>
          <w:rFonts w:ascii="Arial" w:hAnsi="Arial" w:cs="Arial"/>
          <w:sz w:val="22"/>
          <w:szCs w:val="22"/>
        </w:rPr>
        <w:t xml:space="preserve">RACI clearly outlines who is responsible, accountable, consulted, and informed in matters concerning each </w:t>
      </w:r>
      <w:r w:rsidR="00780E36" w:rsidRPr="00E466B2">
        <w:rPr>
          <w:rFonts w:ascii="Arial" w:hAnsi="Arial" w:cs="Arial"/>
          <w:sz w:val="22"/>
          <w:szCs w:val="22"/>
        </w:rPr>
        <w:t>task</w:t>
      </w:r>
      <w:r w:rsidRPr="00E466B2">
        <w:rPr>
          <w:rFonts w:ascii="Arial" w:hAnsi="Arial" w:cs="Arial"/>
          <w:sz w:val="22"/>
          <w:szCs w:val="22"/>
        </w:rPr>
        <w:t>. This hence reduces ambiguity and duplication of work and results in effective decision-making. On projects that range from engineering to clinical insight, regulation, and commercial strategy, the RACI model enhances coordination and avoids accountability gaps.</w:t>
      </w:r>
    </w:p>
    <w:tbl>
      <w:tblPr>
        <w:tblStyle w:val="TableGrid"/>
        <w:tblW w:w="0" w:type="auto"/>
        <w:tblLook w:val="04A0" w:firstRow="1" w:lastRow="0" w:firstColumn="1" w:lastColumn="0" w:noHBand="0" w:noVBand="1"/>
      </w:tblPr>
      <w:tblGrid>
        <w:gridCol w:w="1586"/>
        <w:gridCol w:w="1461"/>
        <w:gridCol w:w="1513"/>
        <w:gridCol w:w="1481"/>
        <w:gridCol w:w="1472"/>
        <w:gridCol w:w="1503"/>
      </w:tblGrid>
      <w:tr w:rsidR="00DE1FFD" w:rsidRPr="00E466B2" w14:paraId="3EAC2401" w14:textId="77777777">
        <w:tc>
          <w:tcPr>
            <w:tcW w:w="1502" w:type="dxa"/>
          </w:tcPr>
          <w:p w14:paraId="056DD027" w14:textId="77777777" w:rsidR="00DE1FFD" w:rsidRPr="00E466B2" w:rsidRDefault="00DE1FFD" w:rsidP="000145CD">
            <w:pPr>
              <w:rPr>
                <w:rFonts w:ascii="Arial" w:hAnsi="Arial" w:cs="Arial"/>
                <w:sz w:val="22"/>
                <w:szCs w:val="22"/>
              </w:rPr>
            </w:pPr>
            <w:r w:rsidRPr="00E466B2">
              <w:rPr>
                <w:rFonts w:ascii="Arial" w:hAnsi="Arial" w:cs="Arial"/>
                <w:sz w:val="22"/>
                <w:szCs w:val="22"/>
              </w:rPr>
              <w:t>Task</w:t>
            </w:r>
          </w:p>
        </w:tc>
        <w:tc>
          <w:tcPr>
            <w:tcW w:w="1502" w:type="dxa"/>
          </w:tcPr>
          <w:p w14:paraId="60D726A8" w14:textId="77777777" w:rsidR="00DE1FFD" w:rsidRPr="00E466B2" w:rsidRDefault="00DE1FFD" w:rsidP="000145CD">
            <w:pPr>
              <w:rPr>
                <w:rFonts w:ascii="Arial" w:hAnsi="Arial" w:cs="Arial"/>
                <w:sz w:val="22"/>
                <w:szCs w:val="22"/>
              </w:rPr>
            </w:pPr>
            <w:r w:rsidRPr="00E466B2">
              <w:rPr>
                <w:rFonts w:ascii="Arial" w:hAnsi="Arial" w:cs="Arial"/>
                <w:sz w:val="22"/>
                <w:szCs w:val="22"/>
              </w:rPr>
              <w:t>Project Manager</w:t>
            </w:r>
          </w:p>
        </w:tc>
        <w:tc>
          <w:tcPr>
            <w:tcW w:w="1503" w:type="dxa"/>
          </w:tcPr>
          <w:p w14:paraId="38F2E79A" w14:textId="77777777" w:rsidR="00DE1FFD" w:rsidRPr="00E466B2" w:rsidRDefault="00DE1FFD" w:rsidP="000145CD">
            <w:pPr>
              <w:rPr>
                <w:rFonts w:ascii="Arial" w:hAnsi="Arial" w:cs="Arial"/>
                <w:sz w:val="22"/>
                <w:szCs w:val="22"/>
              </w:rPr>
            </w:pPr>
            <w:r w:rsidRPr="00E466B2">
              <w:rPr>
                <w:rFonts w:ascii="Arial" w:hAnsi="Arial" w:cs="Arial"/>
                <w:sz w:val="22"/>
                <w:szCs w:val="22"/>
              </w:rPr>
              <w:t>Development Team</w:t>
            </w:r>
          </w:p>
        </w:tc>
        <w:tc>
          <w:tcPr>
            <w:tcW w:w="1503" w:type="dxa"/>
          </w:tcPr>
          <w:p w14:paraId="59ABE05A" w14:textId="77777777" w:rsidR="00DE1FFD" w:rsidRPr="00E466B2" w:rsidRDefault="00DE1FFD" w:rsidP="000145CD">
            <w:pPr>
              <w:rPr>
                <w:rFonts w:ascii="Arial" w:hAnsi="Arial" w:cs="Arial"/>
                <w:sz w:val="22"/>
                <w:szCs w:val="22"/>
              </w:rPr>
            </w:pPr>
            <w:r w:rsidRPr="00E466B2">
              <w:rPr>
                <w:rFonts w:ascii="Arial" w:hAnsi="Arial" w:cs="Arial"/>
                <w:sz w:val="22"/>
                <w:szCs w:val="22"/>
              </w:rPr>
              <w:t>Regulatory Team</w:t>
            </w:r>
          </w:p>
        </w:tc>
        <w:tc>
          <w:tcPr>
            <w:tcW w:w="1503" w:type="dxa"/>
          </w:tcPr>
          <w:p w14:paraId="31CABBA1" w14:textId="77777777" w:rsidR="00DE1FFD" w:rsidRPr="00E466B2" w:rsidRDefault="00DE1FFD" w:rsidP="000145CD">
            <w:pPr>
              <w:rPr>
                <w:rFonts w:ascii="Arial" w:hAnsi="Arial" w:cs="Arial"/>
                <w:sz w:val="22"/>
                <w:szCs w:val="22"/>
              </w:rPr>
            </w:pPr>
            <w:r w:rsidRPr="00E466B2">
              <w:rPr>
                <w:rFonts w:ascii="Arial" w:hAnsi="Arial" w:cs="Arial"/>
                <w:sz w:val="22"/>
                <w:szCs w:val="22"/>
              </w:rPr>
              <w:t>Marketing Team</w:t>
            </w:r>
          </w:p>
        </w:tc>
        <w:tc>
          <w:tcPr>
            <w:tcW w:w="1503" w:type="dxa"/>
          </w:tcPr>
          <w:p w14:paraId="498CEEA6" w14:textId="77777777" w:rsidR="00DE1FFD" w:rsidRPr="00E466B2" w:rsidRDefault="00DE1FFD" w:rsidP="000145CD">
            <w:pPr>
              <w:rPr>
                <w:rFonts w:ascii="Arial" w:hAnsi="Arial" w:cs="Arial"/>
                <w:sz w:val="22"/>
                <w:szCs w:val="22"/>
              </w:rPr>
            </w:pPr>
            <w:r w:rsidRPr="00E466B2">
              <w:rPr>
                <w:rFonts w:ascii="Arial" w:hAnsi="Arial" w:cs="Arial"/>
                <w:sz w:val="22"/>
                <w:szCs w:val="22"/>
              </w:rPr>
              <w:t>Senior Management</w:t>
            </w:r>
          </w:p>
        </w:tc>
      </w:tr>
      <w:tr w:rsidR="00DE1FFD" w:rsidRPr="00E466B2" w14:paraId="2723D524" w14:textId="77777777">
        <w:tc>
          <w:tcPr>
            <w:tcW w:w="1502" w:type="dxa"/>
          </w:tcPr>
          <w:p w14:paraId="6CEE2210" w14:textId="77777777" w:rsidR="00DE1FFD" w:rsidRPr="00E466B2" w:rsidRDefault="00DE1FFD" w:rsidP="000145CD">
            <w:pPr>
              <w:rPr>
                <w:rFonts w:ascii="Arial" w:hAnsi="Arial" w:cs="Arial"/>
                <w:sz w:val="22"/>
                <w:szCs w:val="22"/>
              </w:rPr>
            </w:pPr>
            <w:r w:rsidRPr="00E466B2">
              <w:rPr>
                <w:rFonts w:ascii="Arial" w:hAnsi="Arial" w:cs="Arial"/>
                <w:sz w:val="22"/>
                <w:szCs w:val="22"/>
              </w:rPr>
              <w:t>Requirements Gathering</w:t>
            </w:r>
          </w:p>
        </w:tc>
        <w:tc>
          <w:tcPr>
            <w:tcW w:w="1502" w:type="dxa"/>
          </w:tcPr>
          <w:p w14:paraId="069DA8A4" w14:textId="77777777" w:rsidR="00DE1FFD" w:rsidRPr="00E466B2" w:rsidRDefault="00DE1FFD" w:rsidP="000145CD">
            <w:pPr>
              <w:rPr>
                <w:rFonts w:ascii="Arial" w:hAnsi="Arial" w:cs="Arial"/>
                <w:sz w:val="22"/>
                <w:szCs w:val="22"/>
              </w:rPr>
            </w:pPr>
            <w:r w:rsidRPr="00E466B2">
              <w:rPr>
                <w:rFonts w:ascii="Arial" w:hAnsi="Arial" w:cs="Arial"/>
                <w:sz w:val="22"/>
                <w:szCs w:val="22"/>
              </w:rPr>
              <w:t>A/R</w:t>
            </w:r>
          </w:p>
        </w:tc>
        <w:tc>
          <w:tcPr>
            <w:tcW w:w="1503" w:type="dxa"/>
          </w:tcPr>
          <w:p w14:paraId="695B538C"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6FA115FF"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11D5C64F"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5125831D"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r>
      <w:tr w:rsidR="00DE1FFD" w:rsidRPr="00E466B2" w14:paraId="33A15F36" w14:textId="77777777">
        <w:tc>
          <w:tcPr>
            <w:tcW w:w="1502" w:type="dxa"/>
          </w:tcPr>
          <w:p w14:paraId="24B4853F" w14:textId="77777777" w:rsidR="00DE1FFD" w:rsidRPr="00E466B2" w:rsidRDefault="00DE1FFD" w:rsidP="000145CD">
            <w:pPr>
              <w:rPr>
                <w:rFonts w:ascii="Arial" w:hAnsi="Arial" w:cs="Arial"/>
                <w:sz w:val="22"/>
                <w:szCs w:val="22"/>
              </w:rPr>
            </w:pPr>
            <w:r w:rsidRPr="00E466B2">
              <w:rPr>
                <w:rFonts w:ascii="Arial" w:hAnsi="Arial" w:cs="Arial"/>
                <w:sz w:val="22"/>
                <w:szCs w:val="22"/>
              </w:rPr>
              <w:t>Prototype Development</w:t>
            </w:r>
          </w:p>
        </w:tc>
        <w:tc>
          <w:tcPr>
            <w:tcW w:w="1502" w:type="dxa"/>
          </w:tcPr>
          <w:p w14:paraId="3C687A15"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0F205A50" w14:textId="77777777" w:rsidR="00DE1FFD" w:rsidRPr="00E466B2" w:rsidRDefault="00DE1FFD" w:rsidP="000145CD">
            <w:pPr>
              <w:rPr>
                <w:rFonts w:ascii="Arial" w:hAnsi="Arial" w:cs="Arial"/>
                <w:sz w:val="22"/>
                <w:szCs w:val="22"/>
              </w:rPr>
            </w:pPr>
            <w:r w:rsidRPr="00E466B2">
              <w:rPr>
                <w:rFonts w:ascii="Arial" w:hAnsi="Arial" w:cs="Arial"/>
                <w:sz w:val="22"/>
                <w:szCs w:val="22"/>
              </w:rPr>
              <w:t>A/R</w:t>
            </w:r>
          </w:p>
        </w:tc>
        <w:tc>
          <w:tcPr>
            <w:tcW w:w="1503" w:type="dxa"/>
          </w:tcPr>
          <w:p w14:paraId="67356B01"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c>
          <w:tcPr>
            <w:tcW w:w="1503" w:type="dxa"/>
          </w:tcPr>
          <w:p w14:paraId="0756EB32"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c>
          <w:tcPr>
            <w:tcW w:w="1503" w:type="dxa"/>
          </w:tcPr>
          <w:p w14:paraId="2C898ADF"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r>
      <w:tr w:rsidR="00DE1FFD" w:rsidRPr="00E466B2" w14:paraId="53ABFD22" w14:textId="77777777">
        <w:tc>
          <w:tcPr>
            <w:tcW w:w="1502" w:type="dxa"/>
          </w:tcPr>
          <w:p w14:paraId="50CE580F" w14:textId="77777777" w:rsidR="00DE1FFD" w:rsidRPr="00E466B2" w:rsidRDefault="00DE1FFD" w:rsidP="000145CD">
            <w:pPr>
              <w:rPr>
                <w:rFonts w:ascii="Arial" w:hAnsi="Arial" w:cs="Arial"/>
                <w:sz w:val="22"/>
                <w:szCs w:val="22"/>
              </w:rPr>
            </w:pPr>
            <w:r w:rsidRPr="00E466B2">
              <w:rPr>
                <w:rFonts w:ascii="Arial" w:hAnsi="Arial" w:cs="Arial"/>
                <w:sz w:val="22"/>
                <w:szCs w:val="22"/>
              </w:rPr>
              <w:t>Regulatory Submission</w:t>
            </w:r>
          </w:p>
        </w:tc>
        <w:tc>
          <w:tcPr>
            <w:tcW w:w="1502" w:type="dxa"/>
          </w:tcPr>
          <w:p w14:paraId="17150F31"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1DF4992E"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4BA52D09" w14:textId="77777777" w:rsidR="00DE1FFD" w:rsidRPr="00E466B2" w:rsidRDefault="00DE1FFD" w:rsidP="000145CD">
            <w:pPr>
              <w:rPr>
                <w:rFonts w:ascii="Arial" w:hAnsi="Arial" w:cs="Arial"/>
                <w:sz w:val="22"/>
                <w:szCs w:val="22"/>
              </w:rPr>
            </w:pPr>
            <w:r w:rsidRPr="00E466B2">
              <w:rPr>
                <w:rFonts w:ascii="Arial" w:hAnsi="Arial" w:cs="Arial"/>
                <w:sz w:val="22"/>
                <w:szCs w:val="22"/>
              </w:rPr>
              <w:t>A/R</w:t>
            </w:r>
          </w:p>
        </w:tc>
        <w:tc>
          <w:tcPr>
            <w:tcW w:w="1503" w:type="dxa"/>
          </w:tcPr>
          <w:p w14:paraId="1ABD9C5F"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c>
          <w:tcPr>
            <w:tcW w:w="1503" w:type="dxa"/>
          </w:tcPr>
          <w:p w14:paraId="7724A3C7"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r>
      <w:tr w:rsidR="00DE1FFD" w:rsidRPr="00E466B2" w14:paraId="798A31D1" w14:textId="77777777">
        <w:tc>
          <w:tcPr>
            <w:tcW w:w="1502" w:type="dxa"/>
          </w:tcPr>
          <w:p w14:paraId="081AD44D" w14:textId="77777777" w:rsidR="00DE1FFD" w:rsidRPr="00E466B2" w:rsidRDefault="00DE1FFD" w:rsidP="000145CD">
            <w:pPr>
              <w:rPr>
                <w:rFonts w:ascii="Arial" w:hAnsi="Arial" w:cs="Arial"/>
                <w:sz w:val="22"/>
                <w:szCs w:val="22"/>
              </w:rPr>
            </w:pPr>
            <w:r w:rsidRPr="00E466B2">
              <w:rPr>
                <w:rFonts w:ascii="Arial" w:hAnsi="Arial" w:cs="Arial"/>
                <w:sz w:val="22"/>
                <w:szCs w:val="22"/>
              </w:rPr>
              <w:t>Clinical Pilot Testing</w:t>
            </w:r>
          </w:p>
        </w:tc>
        <w:tc>
          <w:tcPr>
            <w:tcW w:w="1502" w:type="dxa"/>
          </w:tcPr>
          <w:p w14:paraId="084F4460" w14:textId="77777777" w:rsidR="00DE1FFD" w:rsidRPr="00E466B2" w:rsidRDefault="00DE1FFD" w:rsidP="000145CD">
            <w:pPr>
              <w:rPr>
                <w:rFonts w:ascii="Arial" w:hAnsi="Arial" w:cs="Arial"/>
                <w:sz w:val="22"/>
                <w:szCs w:val="22"/>
              </w:rPr>
            </w:pPr>
            <w:r w:rsidRPr="00E466B2">
              <w:rPr>
                <w:rFonts w:ascii="Arial" w:hAnsi="Arial" w:cs="Arial"/>
                <w:sz w:val="22"/>
                <w:szCs w:val="22"/>
              </w:rPr>
              <w:t>A</w:t>
            </w:r>
          </w:p>
        </w:tc>
        <w:tc>
          <w:tcPr>
            <w:tcW w:w="1503" w:type="dxa"/>
          </w:tcPr>
          <w:p w14:paraId="63FEC567" w14:textId="77777777" w:rsidR="00DE1FFD" w:rsidRPr="00E466B2" w:rsidRDefault="00DE1FFD" w:rsidP="000145CD">
            <w:pPr>
              <w:rPr>
                <w:rFonts w:ascii="Arial" w:hAnsi="Arial" w:cs="Arial"/>
                <w:sz w:val="22"/>
                <w:szCs w:val="22"/>
              </w:rPr>
            </w:pPr>
            <w:r w:rsidRPr="00E466B2">
              <w:rPr>
                <w:rFonts w:ascii="Arial" w:hAnsi="Arial" w:cs="Arial"/>
                <w:sz w:val="22"/>
                <w:szCs w:val="22"/>
              </w:rPr>
              <w:t>R</w:t>
            </w:r>
          </w:p>
        </w:tc>
        <w:tc>
          <w:tcPr>
            <w:tcW w:w="1503" w:type="dxa"/>
          </w:tcPr>
          <w:p w14:paraId="3FE7F8E7"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414492C1"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c>
          <w:tcPr>
            <w:tcW w:w="1503" w:type="dxa"/>
          </w:tcPr>
          <w:p w14:paraId="7EBED1F9"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r>
      <w:tr w:rsidR="00DE1FFD" w:rsidRPr="00E466B2" w14:paraId="509CAC7B" w14:textId="77777777">
        <w:tc>
          <w:tcPr>
            <w:tcW w:w="1502" w:type="dxa"/>
          </w:tcPr>
          <w:p w14:paraId="45A62293" w14:textId="77777777" w:rsidR="00DE1FFD" w:rsidRPr="00E466B2" w:rsidRDefault="00DE1FFD" w:rsidP="000145CD">
            <w:pPr>
              <w:rPr>
                <w:rFonts w:ascii="Arial" w:hAnsi="Arial" w:cs="Arial"/>
                <w:sz w:val="22"/>
                <w:szCs w:val="22"/>
              </w:rPr>
            </w:pPr>
            <w:r w:rsidRPr="00E466B2">
              <w:rPr>
                <w:rFonts w:ascii="Arial" w:hAnsi="Arial" w:cs="Arial"/>
                <w:sz w:val="22"/>
                <w:szCs w:val="22"/>
              </w:rPr>
              <w:t>Marketing Strategy Development</w:t>
            </w:r>
          </w:p>
        </w:tc>
        <w:tc>
          <w:tcPr>
            <w:tcW w:w="1502" w:type="dxa"/>
          </w:tcPr>
          <w:p w14:paraId="118940CA"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598741A0"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c>
          <w:tcPr>
            <w:tcW w:w="1503" w:type="dxa"/>
          </w:tcPr>
          <w:p w14:paraId="34ED7277"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c>
          <w:tcPr>
            <w:tcW w:w="1503" w:type="dxa"/>
          </w:tcPr>
          <w:p w14:paraId="144D02D2" w14:textId="77777777" w:rsidR="00DE1FFD" w:rsidRPr="00E466B2" w:rsidRDefault="00DE1FFD" w:rsidP="000145CD">
            <w:pPr>
              <w:rPr>
                <w:rFonts w:ascii="Arial" w:hAnsi="Arial" w:cs="Arial"/>
                <w:sz w:val="22"/>
                <w:szCs w:val="22"/>
              </w:rPr>
            </w:pPr>
            <w:r w:rsidRPr="00E466B2">
              <w:rPr>
                <w:rFonts w:ascii="Arial" w:hAnsi="Arial" w:cs="Arial"/>
                <w:sz w:val="22"/>
                <w:szCs w:val="22"/>
              </w:rPr>
              <w:t>A/R</w:t>
            </w:r>
          </w:p>
        </w:tc>
        <w:tc>
          <w:tcPr>
            <w:tcW w:w="1503" w:type="dxa"/>
          </w:tcPr>
          <w:p w14:paraId="6971DF9E"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r>
      <w:tr w:rsidR="00DE1FFD" w:rsidRPr="00E466B2" w14:paraId="27EC0945" w14:textId="77777777">
        <w:tc>
          <w:tcPr>
            <w:tcW w:w="1502" w:type="dxa"/>
          </w:tcPr>
          <w:p w14:paraId="2591BCBB" w14:textId="77777777" w:rsidR="00DE1FFD" w:rsidRPr="00E466B2" w:rsidRDefault="00DE1FFD" w:rsidP="000145CD">
            <w:pPr>
              <w:rPr>
                <w:rFonts w:ascii="Arial" w:hAnsi="Arial" w:cs="Arial"/>
                <w:sz w:val="22"/>
                <w:szCs w:val="22"/>
              </w:rPr>
            </w:pPr>
            <w:r w:rsidRPr="00E466B2">
              <w:rPr>
                <w:rFonts w:ascii="Arial" w:hAnsi="Arial" w:cs="Arial"/>
                <w:sz w:val="22"/>
                <w:szCs w:val="22"/>
              </w:rPr>
              <w:t>Product Launch Execution</w:t>
            </w:r>
          </w:p>
        </w:tc>
        <w:tc>
          <w:tcPr>
            <w:tcW w:w="1502" w:type="dxa"/>
          </w:tcPr>
          <w:p w14:paraId="630227CD" w14:textId="77777777" w:rsidR="00DE1FFD" w:rsidRPr="00E466B2" w:rsidRDefault="00DE1FFD" w:rsidP="000145CD">
            <w:pPr>
              <w:rPr>
                <w:rFonts w:ascii="Arial" w:hAnsi="Arial" w:cs="Arial"/>
                <w:sz w:val="22"/>
                <w:szCs w:val="22"/>
              </w:rPr>
            </w:pPr>
            <w:r w:rsidRPr="00E466B2">
              <w:rPr>
                <w:rFonts w:ascii="Arial" w:hAnsi="Arial" w:cs="Arial"/>
                <w:sz w:val="22"/>
                <w:szCs w:val="22"/>
              </w:rPr>
              <w:t>A/R</w:t>
            </w:r>
          </w:p>
        </w:tc>
        <w:tc>
          <w:tcPr>
            <w:tcW w:w="1503" w:type="dxa"/>
          </w:tcPr>
          <w:p w14:paraId="64BDC374"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5F002D21" w14:textId="77777777" w:rsidR="00DE1FFD" w:rsidRPr="00E466B2" w:rsidRDefault="00DE1FFD" w:rsidP="000145CD">
            <w:pPr>
              <w:rPr>
                <w:rFonts w:ascii="Arial" w:hAnsi="Arial" w:cs="Arial"/>
                <w:sz w:val="22"/>
                <w:szCs w:val="22"/>
              </w:rPr>
            </w:pPr>
            <w:r w:rsidRPr="00E466B2">
              <w:rPr>
                <w:rFonts w:ascii="Arial" w:hAnsi="Arial" w:cs="Arial"/>
                <w:sz w:val="22"/>
                <w:szCs w:val="22"/>
              </w:rPr>
              <w:t>C</w:t>
            </w:r>
          </w:p>
        </w:tc>
        <w:tc>
          <w:tcPr>
            <w:tcW w:w="1503" w:type="dxa"/>
          </w:tcPr>
          <w:p w14:paraId="24D02BB9" w14:textId="77777777" w:rsidR="00DE1FFD" w:rsidRPr="00E466B2" w:rsidRDefault="00DE1FFD" w:rsidP="000145CD">
            <w:pPr>
              <w:rPr>
                <w:rFonts w:ascii="Arial" w:hAnsi="Arial" w:cs="Arial"/>
                <w:sz w:val="22"/>
                <w:szCs w:val="22"/>
              </w:rPr>
            </w:pPr>
            <w:r w:rsidRPr="00E466B2">
              <w:rPr>
                <w:rFonts w:ascii="Arial" w:hAnsi="Arial" w:cs="Arial"/>
                <w:sz w:val="22"/>
                <w:szCs w:val="22"/>
              </w:rPr>
              <w:t>A/R</w:t>
            </w:r>
          </w:p>
        </w:tc>
        <w:tc>
          <w:tcPr>
            <w:tcW w:w="1503" w:type="dxa"/>
          </w:tcPr>
          <w:p w14:paraId="612A1ECA" w14:textId="77777777" w:rsidR="00DE1FFD" w:rsidRPr="00E466B2" w:rsidRDefault="00DE1FFD" w:rsidP="000145CD">
            <w:pPr>
              <w:rPr>
                <w:rFonts w:ascii="Arial" w:hAnsi="Arial" w:cs="Arial"/>
                <w:sz w:val="22"/>
                <w:szCs w:val="22"/>
              </w:rPr>
            </w:pPr>
            <w:r w:rsidRPr="00E466B2">
              <w:rPr>
                <w:rFonts w:ascii="Arial" w:hAnsi="Arial" w:cs="Arial"/>
                <w:sz w:val="22"/>
                <w:szCs w:val="22"/>
              </w:rPr>
              <w:t>I</w:t>
            </w:r>
          </w:p>
        </w:tc>
      </w:tr>
    </w:tbl>
    <w:p w14:paraId="0A2B4A6B" w14:textId="77777777" w:rsidR="00DE1FFD" w:rsidRPr="00E466B2" w:rsidRDefault="00DE1FFD" w:rsidP="00B47174">
      <w:pPr>
        <w:rPr>
          <w:rFonts w:ascii="Arial" w:hAnsi="Arial" w:cs="Arial"/>
          <w:sz w:val="22"/>
          <w:szCs w:val="22"/>
        </w:rPr>
      </w:pPr>
    </w:p>
    <w:p w14:paraId="5D878F87" w14:textId="1EC1C18F" w:rsidR="00B47174" w:rsidRPr="00E466B2" w:rsidRDefault="00B47174" w:rsidP="00B47174">
      <w:pPr>
        <w:rPr>
          <w:rFonts w:ascii="Arial" w:hAnsi="Arial" w:cs="Arial"/>
          <w:sz w:val="22"/>
          <w:szCs w:val="22"/>
        </w:rPr>
      </w:pPr>
      <w:r w:rsidRPr="00E466B2">
        <w:rPr>
          <w:rFonts w:ascii="Arial" w:hAnsi="Arial" w:cs="Arial"/>
          <w:sz w:val="22"/>
          <w:szCs w:val="22"/>
        </w:rPr>
        <w:lastRenderedPageBreak/>
        <w:t>In all, Mendelow's Matrix, stakeholder-planning tools, communication frameworks, and the RACI model bring order and clarity. They ensure that high-power stakeholders are prioritized, interdisciplinary teams are aligned, and regulatory compliance proceeds accordingly. These analytic tools provide a foundation for the more relational processes involved with the Four Cs model.</w:t>
      </w:r>
    </w:p>
    <w:p w14:paraId="20FF6D4F" w14:textId="3D32416A" w:rsidR="00894F40" w:rsidRPr="00E466B2" w:rsidRDefault="00894F40" w:rsidP="00894F40">
      <w:pPr>
        <w:pStyle w:val="Heading1"/>
        <w:rPr>
          <w:rFonts w:ascii="Arial" w:hAnsi="Arial" w:cs="Arial"/>
          <w:sz w:val="32"/>
          <w:szCs w:val="32"/>
        </w:rPr>
      </w:pPr>
      <w:r w:rsidRPr="00E466B2">
        <w:rPr>
          <w:rFonts w:ascii="Arial" w:hAnsi="Arial" w:cs="Arial"/>
          <w:sz w:val="32"/>
          <w:szCs w:val="32"/>
        </w:rPr>
        <w:t xml:space="preserve">Discussion Using </w:t>
      </w:r>
      <w:r w:rsidR="001A5603" w:rsidRPr="00E466B2">
        <w:rPr>
          <w:rFonts w:ascii="Arial" w:hAnsi="Arial" w:cs="Arial"/>
          <w:sz w:val="32"/>
          <w:szCs w:val="32"/>
        </w:rPr>
        <w:t>the</w:t>
      </w:r>
      <w:r w:rsidRPr="00E466B2">
        <w:rPr>
          <w:rFonts w:ascii="Arial" w:hAnsi="Arial" w:cs="Arial"/>
          <w:sz w:val="32"/>
          <w:szCs w:val="32"/>
        </w:rPr>
        <w:t xml:space="preserve"> Four C’s Model</w:t>
      </w:r>
    </w:p>
    <w:p w14:paraId="349A2016" w14:textId="6B226166" w:rsidR="00B47174" w:rsidRPr="00E466B2" w:rsidRDefault="00B47174" w:rsidP="00B47174">
      <w:pPr>
        <w:rPr>
          <w:rFonts w:ascii="Arial" w:hAnsi="Arial" w:cs="Arial"/>
          <w:sz w:val="22"/>
          <w:szCs w:val="22"/>
        </w:rPr>
      </w:pPr>
      <w:r w:rsidRPr="00E466B2">
        <w:rPr>
          <w:rFonts w:ascii="Arial" w:hAnsi="Arial" w:cs="Arial"/>
          <w:sz w:val="22"/>
          <w:szCs w:val="22"/>
        </w:rPr>
        <w:t xml:space="preserve">The Four Cs, Communication, Coordination, Cooperation and Collaboration, offer a </w:t>
      </w:r>
      <w:r w:rsidR="00780E36" w:rsidRPr="00E466B2">
        <w:rPr>
          <w:rFonts w:ascii="Arial" w:hAnsi="Arial" w:cs="Arial"/>
          <w:sz w:val="22"/>
          <w:szCs w:val="22"/>
        </w:rPr>
        <w:t>behavioural</w:t>
      </w:r>
      <w:r w:rsidRPr="00E466B2">
        <w:rPr>
          <w:rFonts w:ascii="Arial" w:hAnsi="Arial" w:cs="Arial"/>
          <w:sz w:val="22"/>
          <w:szCs w:val="22"/>
        </w:rPr>
        <w:t xml:space="preserve"> lens through which stakeholder engagement can be understood, by Ellis, Gibbs &amp; Rein, 1991. Through these principles, the application makes clear how engagement supports technical development, compliance, user acceptance, and innovation.</w:t>
      </w:r>
    </w:p>
    <w:p w14:paraId="17CDB101" w14:textId="77777777" w:rsidR="00B47174" w:rsidRPr="00E466B2" w:rsidRDefault="00B47174" w:rsidP="00B47174">
      <w:pPr>
        <w:rPr>
          <w:rFonts w:ascii="Arial" w:hAnsi="Arial" w:cs="Arial"/>
          <w:sz w:val="22"/>
          <w:szCs w:val="22"/>
        </w:rPr>
      </w:pPr>
      <w:r w:rsidRPr="00E466B2">
        <w:rPr>
          <w:rFonts w:ascii="Arial" w:hAnsi="Arial" w:cs="Arial"/>
          <w:sz w:val="22"/>
          <w:szCs w:val="22"/>
        </w:rPr>
        <w:t>Communication is at the heart of stakeholder engagement, forming a mutual understanding that can help avoid conflict. In the AstraZeneca project:</w:t>
      </w:r>
    </w:p>
    <w:p w14:paraId="490C3201" w14:textId="77777777" w:rsidR="00B47174" w:rsidRPr="00E466B2" w:rsidRDefault="00B47174" w:rsidP="00B47174">
      <w:pPr>
        <w:rPr>
          <w:rFonts w:ascii="Arial" w:hAnsi="Arial" w:cs="Arial"/>
          <w:sz w:val="22"/>
          <w:szCs w:val="22"/>
        </w:rPr>
      </w:pPr>
      <w:r w:rsidRPr="00E466B2">
        <w:rPr>
          <w:rFonts w:ascii="Arial" w:hAnsi="Arial" w:cs="Arial"/>
          <w:sz w:val="22"/>
          <w:szCs w:val="22"/>
        </w:rPr>
        <w:t>• Strategic communication keeps senior leaders informed about risk and progress.</w:t>
      </w:r>
    </w:p>
    <w:p w14:paraId="73E72481" w14:textId="77777777" w:rsidR="00B47174" w:rsidRPr="00E466B2" w:rsidRDefault="00B47174" w:rsidP="00B47174">
      <w:pPr>
        <w:rPr>
          <w:rFonts w:ascii="Arial" w:hAnsi="Arial" w:cs="Arial"/>
          <w:sz w:val="22"/>
          <w:szCs w:val="22"/>
        </w:rPr>
      </w:pPr>
      <w:r w:rsidRPr="00E466B2">
        <w:rPr>
          <w:rFonts w:ascii="Arial" w:hAnsi="Arial" w:cs="Arial"/>
          <w:sz w:val="22"/>
          <w:szCs w:val="22"/>
        </w:rPr>
        <w:t>Operational communication aligns day-to-day work across technical teams.</w:t>
      </w:r>
    </w:p>
    <w:p w14:paraId="05706865" w14:textId="77777777" w:rsidR="00B47174" w:rsidRPr="00E466B2" w:rsidRDefault="00B47174" w:rsidP="00B47174">
      <w:pPr>
        <w:rPr>
          <w:rFonts w:ascii="Arial" w:hAnsi="Arial" w:cs="Arial"/>
          <w:sz w:val="22"/>
          <w:szCs w:val="22"/>
        </w:rPr>
      </w:pPr>
      <w:r w:rsidRPr="00E466B2">
        <w:rPr>
          <w:rFonts w:ascii="Arial" w:hAnsi="Arial" w:cs="Arial"/>
          <w:sz w:val="22"/>
          <w:szCs w:val="22"/>
        </w:rPr>
        <w:t>• Regulatory communication maintains documentation quality.</w:t>
      </w:r>
    </w:p>
    <w:p w14:paraId="4461A429" w14:textId="77777777" w:rsidR="00B47174" w:rsidRPr="00E466B2" w:rsidRDefault="00B47174" w:rsidP="00B47174">
      <w:pPr>
        <w:rPr>
          <w:rFonts w:ascii="Arial" w:hAnsi="Arial" w:cs="Arial"/>
          <w:sz w:val="22"/>
          <w:szCs w:val="22"/>
        </w:rPr>
      </w:pPr>
      <w:r w:rsidRPr="00E466B2">
        <w:rPr>
          <w:rFonts w:ascii="Arial" w:hAnsi="Arial" w:cs="Arial"/>
          <w:sz w:val="22"/>
          <w:szCs w:val="22"/>
        </w:rPr>
        <w:t>• User communication retrieves feedback about usability and accuracy.</w:t>
      </w:r>
    </w:p>
    <w:p w14:paraId="70E39EF2" w14:textId="77777777" w:rsidR="00B47174" w:rsidRPr="00E466B2" w:rsidRDefault="00B47174" w:rsidP="00B47174">
      <w:pPr>
        <w:rPr>
          <w:rFonts w:ascii="Arial" w:hAnsi="Arial" w:cs="Arial"/>
          <w:sz w:val="22"/>
          <w:szCs w:val="22"/>
        </w:rPr>
      </w:pPr>
      <w:r w:rsidRPr="00E466B2">
        <w:rPr>
          <w:rFonts w:ascii="Arial" w:hAnsi="Arial" w:cs="Arial"/>
          <w:sz w:val="22"/>
          <w:szCs w:val="22"/>
        </w:rPr>
        <w:t>• Communication with suppliers provides coordination on procurement and readiness of manufacturing.</w:t>
      </w:r>
    </w:p>
    <w:p w14:paraId="675592E3" w14:textId="77777777" w:rsidR="00B47174" w:rsidRPr="00E466B2" w:rsidRDefault="00B47174" w:rsidP="00B47174">
      <w:pPr>
        <w:rPr>
          <w:rFonts w:ascii="Arial" w:hAnsi="Arial" w:cs="Arial"/>
          <w:sz w:val="22"/>
          <w:szCs w:val="22"/>
        </w:rPr>
      </w:pPr>
      <w:r w:rsidRPr="00E466B2">
        <w:rPr>
          <w:rFonts w:ascii="Arial" w:hAnsi="Arial" w:cs="Arial"/>
          <w:sz w:val="22"/>
          <w:szCs w:val="22"/>
        </w:rPr>
        <w:t>Challenges arise due to differences in vocabularies, expectations, and time pressures. Poor communications lead to regulatory delays, incorrect specifications, and user dissatisfaction.</w:t>
      </w:r>
    </w:p>
    <w:p w14:paraId="58F0FABC" w14:textId="77777777" w:rsidR="00B47174" w:rsidRPr="00E466B2" w:rsidRDefault="00B47174" w:rsidP="00B47174">
      <w:pPr>
        <w:rPr>
          <w:rFonts w:ascii="Arial" w:hAnsi="Arial" w:cs="Arial"/>
          <w:sz w:val="22"/>
          <w:szCs w:val="22"/>
        </w:rPr>
      </w:pPr>
      <w:r w:rsidRPr="00E466B2">
        <w:rPr>
          <w:rFonts w:ascii="Arial" w:hAnsi="Arial" w:cs="Arial"/>
          <w:sz w:val="22"/>
          <w:szCs w:val="22"/>
        </w:rPr>
        <w:t>Communication could thus become a two-way process, instead of mere top-down briefings. The communication loops within AstraZeneca should make sure that the feedback from the clinicians and consumers shapes their decisions. The communications build trust, according to Bourne (2016).</w:t>
      </w:r>
    </w:p>
    <w:p w14:paraId="2FCFEA32" w14:textId="77777777" w:rsidR="00B47174" w:rsidRPr="00E466B2" w:rsidRDefault="00B47174" w:rsidP="00B47174">
      <w:pPr>
        <w:rPr>
          <w:rFonts w:ascii="Arial" w:hAnsi="Arial" w:cs="Arial"/>
          <w:sz w:val="22"/>
          <w:szCs w:val="22"/>
        </w:rPr>
      </w:pPr>
      <w:r w:rsidRPr="00E466B2">
        <w:rPr>
          <w:rFonts w:ascii="Arial" w:hAnsi="Arial" w:cs="Arial"/>
          <w:sz w:val="22"/>
          <w:szCs w:val="22"/>
        </w:rPr>
        <w:t>Coordination ensures that interdependent tasks occur in synchrony. A wearable-device project involves many parallel streams related to hardware, software, clinical validation, regulatory submissions, supply chain, and marketing.</w:t>
      </w:r>
    </w:p>
    <w:p w14:paraId="56584938" w14:textId="77777777" w:rsidR="00B47174" w:rsidRPr="00E466B2" w:rsidRDefault="00B47174" w:rsidP="00B47174">
      <w:pPr>
        <w:rPr>
          <w:rFonts w:ascii="Arial" w:hAnsi="Arial" w:cs="Arial"/>
          <w:sz w:val="22"/>
          <w:szCs w:val="22"/>
        </w:rPr>
      </w:pPr>
      <w:r w:rsidRPr="00E466B2">
        <w:rPr>
          <w:rFonts w:ascii="Arial" w:hAnsi="Arial" w:cs="Arial"/>
          <w:sz w:val="22"/>
          <w:szCs w:val="22"/>
        </w:rPr>
        <w:t>Mechanisms for coordination include integrated project schedules, milestone reviews, cross-functional meetings, and shared repositories. Challenges arise when teams work in silos. Delays in one area, such as biosensor procurement, can lead to bottlenecks.</w:t>
      </w:r>
    </w:p>
    <w:p w14:paraId="13FDC702" w14:textId="77777777" w:rsidR="00B47174" w:rsidRPr="00E466B2" w:rsidRDefault="00B47174" w:rsidP="00B47174">
      <w:pPr>
        <w:rPr>
          <w:rFonts w:ascii="Arial" w:hAnsi="Arial" w:cs="Arial"/>
          <w:sz w:val="22"/>
          <w:szCs w:val="22"/>
        </w:rPr>
      </w:pPr>
      <w:r w:rsidRPr="00E466B2">
        <w:rPr>
          <w:rFonts w:ascii="Arial" w:hAnsi="Arial" w:cs="Arial"/>
          <w:sz w:val="22"/>
          <w:szCs w:val="22"/>
        </w:rPr>
        <w:t>According to Kerzner (2017), coordination is dependent not just on tools but on culture. AstraZeneca needs to build in a culture where teams proactively share updates and raise risks early. Visual dashboards and clear escalation pathways play a key role in reinforcing alignment.</w:t>
      </w:r>
    </w:p>
    <w:p w14:paraId="09C84D27" w14:textId="77777777" w:rsidR="00B47174" w:rsidRPr="00E466B2" w:rsidRDefault="00B47174" w:rsidP="00B47174">
      <w:pPr>
        <w:rPr>
          <w:rFonts w:ascii="Arial" w:hAnsi="Arial" w:cs="Arial"/>
          <w:sz w:val="22"/>
          <w:szCs w:val="22"/>
        </w:rPr>
      </w:pPr>
      <w:r w:rsidRPr="00E466B2">
        <w:rPr>
          <w:rFonts w:ascii="Arial" w:hAnsi="Arial" w:cs="Arial"/>
          <w:sz w:val="22"/>
          <w:szCs w:val="22"/>
        </w:rPr>
        <w:t>Cooperation means that the stakeholders voluntarily support each other. It is an essential ingredient for balancing competitive needs-innovation versus regulation or clinical relevance versus technical feasibility.</w:t>
      </w:r>
    </w:p>
    <w:p w14:paraId="64449833" w14:textId="1171F8C7" w:rsidR="00B47174" w:rsidRPr="00E466B2" w:rsidRDefault="00B47174" w:rsidP="00B47174">
      <w:pPr>
        <w:rPr>
          <w:rFonts w:ascii="Arial" w:hAnsi="Arial" w:cs="Arial"/>
          <w:sz w:val="22"/>
          <w:szCs w:val="22"/>
        </w:rPr>
      </w:pPr>
      <w:r w:rsidRPr="00E466B2">
        <w:rPr>
          <w:rFonts w:ascii="Arial" w:hAnsi="Arial" w:cs="Arial"/>
          <w:sz w:val="22"/>
          <w:szCs w:val="22"/>
        </w:rPr>
        <w:lastRenderedPageBreak/>
        <w:t xml:space="preserve">Where the collaboration is weak, the departments will </w:t>
      </w:r>
      <w:r w:rsidR="00780E36" w:rsidRPr="00E466B2">
        <w:rPr>
          <w:rFonts w:ascii="Arial" w:hAnsi="Arial" w:cs="Arial"/>
          <w:sz w:val="22"/>
          <w:szCs w:val="22"/>
        </w:rPr>
        <w:t>Favor</w:t>
      </w:r>
      <w:r w:rsidRPr="00E466B2">
        <w:rPr>
          <w:rFonts w:ascii="Arial" w:hAnsi="Arial" w:cs="Arial"/>
          <w:sz w:val="22"/>
          <w:szCs w:val="22"/>
        </w:rPr>
        <w:t xml:space="preserve"> their objectives; this leads to misalignment, delayed decisions, and reduced trust. AstraZeneca should enable shared KPIs, early involvement of key teams, and open dialogue.</w:t>
      </w:r>
    </w:p>
    <w:p w14:paraId="368FBDDC" w14:textId="77777777" w:rsidR="00B47174" w:rsidRPr="00E466B2" w:rsidRDefault="00B47174" w:rsidP="00B47174">
      <w:pPr>
        <w:rPr>
          <w:rFonts w:ascii="Arial" w:hAnsi="Arial" w:cs="Arial"/>
          <w:sz w:val="22"/>
          <w:szCs w:val="22"/>
        </w:rPr>
      </w:pPr>
      <w:r w:rsidRPr="00E466B2">
        <w:rPr>
          <w:rFonts w:ascii="Arial" w:hAnsi="Arial" w:cs="Arial"/>
          <w:sz w:val="22"/>
          <w:szCs w:val="22"/>
        </w:rPr>
        <w:t>While cooperation, however, is not enough to bring about innovation by itself and may keep the atmosphere harmonious, it does not ensure joint problem-solving.</w:t>
      </w:r>
    </w:p>
    <w:p w14:paraId="437378E3" w14:textId="77777777" w:rsidR="00B47174" w:rsidRPr="00E466B2" w:rsidRDefault="00B47174" w:rsidP="00B47174">
      <w:pPr>
        <w:rPr>
          <w:rFonts w:ascii="Arial" w:hAnsi="Arial" w:cs="Arial"/>
          <w:sz w:val="22"/>
          <w:szCs w:val="22"/>
        </w:rPr>
      </w:pPr>
      <w:r w:rsidRPr="00E466B2">
        <w:rPr>
          <w:rFonts w:ascii="Arial" w:hAnsi="Arial" w:cs="Arial"/>
          <w:sz w:val="22"/>
          <w:szCs w:val="22"/>
        </w:rPr>
        <w:t>Collaboration stands for a process of creation and sharing ownership of outcomes. In the AstraZeneca project, collaboration occurs via joint design sessions, clinical advisory boards, technical integration workshops, and external partnerships.</w:t>
      </w:r>
    </w:p>
    <w:p w14:paraId="3FF17FBF" w14:textId="77777777" w:rsidR="00B47174" w:rsidRPr="00E466B2" w:rsidRDefault="00B47174" w:rsidP="00B47174">
      <w:pPr>
        <w:rPr>
          <w:rFonts w:ascii="Arial" w:hAnsi="Arial" w:cs="Arial"/>
          <w:sz w:val="22"/>
          <w:szCs w:val="22"/>
        </w:rPr>
      </w:pPr>
      <w:r w:rsidRPr="00E466B2">
        <w:rPr>
          <w:rFonts w:ascii="Arial" w:hAnsi="Arial" w:cs="Arial"/>
          <w:sz w:val="22"/>
          <w:szCs w:val="22"/>
        </w:rPr>
        <w:t>The advantages are increased innovation, stronger clinical credibility, better usability, and faster problem resolution. It requires trust, psychological safety, aligned incentives, and tolerance for critique.</w:t>
      </w:r>
    </w:p>
    <w:p w14:paraId="2EBE8FB7" w14:textId="77777777" w:rsidR="00B47174" w:rsidRPr="00E466B2" w:rsidRDefault="00B47174" w:rsidP="00B47174">
      <w:pPr>
        <w:rPr>
          <w:rFonts w:ascii="Arial" w:hAnsi="Arial" w:cs="Arial"/>
          <w:sz w:val="22"/>
          <w:szCs w:val="22"/>
        </w:rPr>
      </w:pPr>
      <w:r w:rsidRPr="00E466B2">
        <w:rPr>
          <w:rFonts w:ascii="Arial" w:hAnsi="Arial" w:cs="Arial"/>
          <w:sz w:val="22"/>
          <w:szCs w:val="22"/>
        </w:rPr>
        <w:t>Collaboration is a powerful but fragile form of engagement. While the earlier Cs ensure efficiency, collaboration drives competitive advantage.</w:t>
      </w:r>
    </w:p>
    <w:p w14:paraId="5F9C2457" w14:textId="77777777" w:rsidR="00B47174" w:rsidRPr="00E466B2" w:rsidRDefault="00B47174" w:rsidP="00B47174">
      <w:pPr>
        <w:rPr>
          <w:rFonts w:ascii="Arial" w:hAnsi="Arial" w:cs="Arial"/>
          <w:sz w:val="22"/>
          <w:szCs w:val="22"/>
        </w:rPr>
      </w:pPr>
      <w:r w:rsidRPr="00E466B2">
        <w:rPr>
          <w:rFonts w:ascii="Arial" w:hAnsi="Arial" w:cs="Arial"/>
          <w:sz w:val="22"/>
          <w:szCs w:val="22"/>
        </w:rPr>
        <w:t>These Four Cs show that engagement is not just a matter of process; it is relational, too. Communication brings clarity, coordination prevents misalignment, cooperation sustains progress, and collaboration drives innovation. Together, these processes underpin technical success, regulatory compliance, user adoption, and AstraZeneca's strategic ambitions in digital health.</w:t>
      </w:r>
    </w:p>
    <w:p w14:paraId="042AF4AD" w14:textId="3102E4D2" w:rsidR="00B47174" w:rsidRPr="00E466B2" w:rsidRDefault="00527429" w:rsidP="00E466B2">
      <w:pPr>
        <w:pStyle w:val="Heading1"/>
        <w:rPr>
          <w:rFonts w:ascii="Arial" w:hAnsi="Arial" w:cs="Arial"/>
          <w:sz w:val="32"/>
          <w:szCs w:val="32"/>
        </w:rPr>
      </w:pPr>
      <w:r w:rsidRPr="00E466B2">
        <w:rPr>
          <w:rFonts w:ascii="Arial" w:hAnsi="Arial" w:cs="Arial"/>
          <w:sz w:val="32"/>
          <w:szCs w:val="32"/>
        </w:rPr>
        <w:t xml:space="preserve">Impact of Effective </w:t>
      </w:r>
      <w:r w:rsidR="00E466B2" w:rsidRPr="00E466B2">
        <w:rPr>
          <w:rFonts w:ascii="Arial" w:hAnsi="Arial" w:cs="Arial"/>
          <w:sz w:val="32"/>
          <w:szCs w:val="32"/>
        </w:rPr>
        <w:t>Stakeholder Engagement</w:t>
      </w:r>
    </w:p>
    <w:p w14:paraId="7EF946DE" w14:textId="77777777" w:rsidR="00B47174" w:rsidRPr="00E466B2" w:rsidRDefault="00B47174" w:rsidP="00B47174">
      <w:pPr>
        <w:rPr>
          <w:rFonts w:ascii="Arial" w:hAnsi="Arial" w:cs="Arial"/>
          <w:sz w:val="22"/>
          <w:szCs w:val="22"/>
        </w:rPr>
      </w:pPr>
      <w:r w:rsidRPr="00E466B2">
        <w:rPr>
          <w:rFonts w:ascii="Arial" w:hAnsi="Arial" w:cs="Arial"/>
          <w:sz w:val="22"/>
          <w:szCs w:val="22"/>
        </w:rPr>
        <w:t>Business performance is influenced by the level of stakeholder engagement through different channels, which include product quality, time to market, innovation capability, risk mitigation, and organizational reputation.</w:t>
      </w:r>
    </w:p>
    <w:p w14:paraId="3C20B16D" w14:textId="61C1152E" w:rsidR="00B47174" w:rsidRPr="00E466B2" w:rsidRDefault="00B47174" w:rsidP="00B47174">
      <w:pPr>
        <w:rPr>
          <w:rFonts w:ascii="Arial" w:hAnsi="Arial" w:cs="Arial"/>
          <w:sz w:val="22"/>
          <w:szCs w:val="22"/>
        </w:rPr>
      </w:pPr>
      <w:r w:rsidRPr="00E466B2">
        <w:rPr>
          <w:rFonts w:ascii="Arial" w:hAnsi="Arial" w:cs="Arial"/>
          <w:sz w:val="22"/>
          <w:szCs w:val="22"/>
        </w:rPr>
        <w:t xml:space="preserve">1. Improved Product Quality Continuous interaction with clinicians, consumers, and technical partners enhances the accuracy, usability, and clinical relevance of the device. Early and ongoing user testing identifies design </w:t>
      </w:r>
      <w:r w:rsidR="00780E36" w:rsidRPr="00E466B2">
        <w:rPr>
          <w:rFonts w:ascii="Arial" w:hAnsi="Arial" w:cs="Arial"/>
          <w:sz w:val="22"/>
          <w:szCs w:val="22"/>
        </w:rPr>
        <w:t>flaws and</w:t>
      </w:r>
      <w:r w:rsidRPr="00E466B2">
        <w:rPr>
          <w:rFonts w:ascii="Arial" w:hAnsi="Arial" w:cs="Arial"/>
          <w:sz w:val="22"/>
          <w:szCs w:val="22"/>
        </w:rPr>
        <w:t xml:space="preserve"> ensures that the biometric measurements are </w:t>
      </w:r>
      <w:r w:rsidR="00780E36" w:rsidRPr="00E466B2">
        <w:rPr>
          <w:rFonts w:ascii="Arial" w:hAnsi="Arial" w:cs="Arial"/>
          <w:sz w:val="22"/>
          <w:szCs w:val="22"/>
        </w:rPr>
        <w:t>valid,</w:t>
      </w:r>
      <w:r w:rsidRPr="00E466B2">
        <w:rPr>
          <w:rFonts w:ascii="Arial" w:hAnsi="Arial" w:cs="Arial"/>
          <w:sz w:val="22"/>
          <w:szCs w:val="22"/>
        </w:rPr>
        <w:t xml:space="preserve"> and the user interface is optimized. Clinician input ensures that metrics captured by the device align with agreed diagnostic or monitoring frameworks. Integrating these inputs through iterative development cycles helps AstraZeneca improve device quality and reduce post-launch defects.</w:t>
      </w:r>
    </w:p>
    <w:p w14:paraId="4D438953" w14:textId="66A8339E" w:rsidR="00B47174" w:rsidRPr="00E466B2" w:rsidRDefault="00B47174" w:rsidP="00B47174">
      <w:pPr>
        <w:rPr>
          <w:rFonts w:ascii="Arial" w:hAnsi="Arial" w:cs="Arial"/>
          <w:sz w:val="22"/>
          <w:szCs w:val="22"/>
        </w:rPr>
      </w:pPr>
      <w:r w:rsidRPr="00E466B2">
        <w:rPr>
          <w:rFonts w:ascii="Arial" w:hAnsi="Arial" w:cs="Arial"/>
          <w:sz w:val="22"/>
          <w:szCs w:val="22"/>
        </w:rPr>
        <w:t xml:space="preserve">2. Faster Time to Market Regulatory approval often represents the most time-consuming stage of medical technology projects. Engagement with regulators from the outset reduces the likelihood of </w:t>
      </w:r>
      <w:r w:rsidR="00780E36" w:rsidRPr="00E466B2">
        <w:rPr>
          <w:rFonts w:ascii="Arial" w:hAnsi="Arial" w:cs="Arial"/>
          <w:sz w:val="22"/>
          <w:szCs w:val="22"/>
        </w:rPr>
        <w:t>delays,</w:t>
      </w:r>
      <w:r w:rsidRPr="00E466B2">
        <w:rPr>
          <w:rFonts w:ascii="Arial" w:hAnsi="Arial" w:cs="Arial"/>
          <w:sz w:val="22"/>
          <w:szCs w:val="22"/>
        </w:rPr>
        <w:t xml:space="preserve"> for example, pre-submission discussions, clarification of requirements regarding documentation, and transparent reporting. Similarly, effective communication with suppliers and manufacturers means that component shortages or quality problems are resolved quickly. Coordination across cross-functional teams avoids bottlenecks and maximizes the chance that AstraZeneca will meet its six-month launch target.</w:t>
      </w:r>
    </w:p>
    <w:p w14:paraId="32F8101E" w14:textId="77777777" w:rsidR="00B47174" w:rsidRPr="00E466B2" w:rsidRDefault="00B47174" w:rsidP="00B47174">
      <w:pPr>
        <w:rPr>
          <w:rFonts w:ascii="Arial" w:hAnsi="Arial" w:cs="Arial"/>
          <w:sz w:val="22"/>
          <w:szCs w:val="22"/>
        </w:rPr>
      </w:pPr>
      <w:r w:rsidRPr="00E466B2">
        <w:rPr>
          <w:rFonts w:ascii="Arial" w:hAnsi="Arial" w:cs="Arial"/>
          <w:sz w:val="22"/>
          <w:szCs w:val="22"/>
        </w:rPr>
        <w:t xml:space="preserve">3, Enhanced Innovation Capability Innovation occurs at the juncture of diverse knowledge, and stakeholder engagement encourages precisely the type of interdisciplinary interaction that leads to such insights. Collaboration between engineers, clinicians and data scientists enables the development of advanced analytics features such as predictive algorithms for </w:t>
      </w:r>
      <w:r w:rsidRPr="00E466B2">
        <w:rPr>
          <w:rFonts w:ascii="Arial" w:hAnsi="Arial" w:cs="Arial"/>
          <w:sz w:val="22"/>
          <w:szCs w:val="22"/>
        </w:rPr>
        <w:lastRenderedPageBreak/>
        <w:t>respiratory or cardiovascular deterioration. This collaboration with technology partners allows cloud integration, enhancement of cybersecurity, and scalability in the system. Since digital health requires continuous iteration, stakeholder collaboration thus remains a sustained driver of innovation beyond the initial launch. 4. Reduced Operational and Regulatory Risk Poor engagement heightens the risk of compliance failure, reputational harm and operational inefficiencies. Effective engagement mitigates such risks, as it ensures concerns are identified early and resolved collaboratively. Regulatory teams can clarify the rules of classification, for instance, prior to development occurring, hence reducing the need for costly redesign.</w:t>
      </w:r>
    </w:p>
    <w:p w14:paraId="718F1601" w14:textId="77777777" w:rsidR="00B47174" w:rsidRPr="00E466B2" w:rsidRDefault="00B47174" w:rsidP="00B47174">
      <w:pPr>
        <w:rPr>
          <w:rFonts w:ascii="Arial" w:hAnsi="Arial" w:cs="Arial"/>
          <w:sz w:val="22"/>
          <w:szCs w:val="22"/>
        </w:rPr>
      </w:pPr>
      <w:r w:rsidRPr="00E466B2">
        <w:rPr>
          <w:rFonts w:ascii="Arial" w:hAnsi="Arial" w:cs="Arial"/>
          <w:sz w:val="22"/>
          <w:szCs w:val="22"/>
        </w:rPr>
        <w:t>Supply chain partners can flag potential delays, and clinicians can identify clinical risks before the device reaches patients. Through this risk-awareness culture, AstraZeneca strengthens its overall governance and resilience. 5. Improved Corporate Reputation AstraZeneca's brand reputation is a major competitive advantage, especially in the digital health markets where trust is paramount. Transparent, responsible and user-focused stakeholder communication enhances AstraZeneca's image as an ethical innovator that pays special attention to data protection, patient outcome, and clinical integrity. Positive relationships with clinicians, regulators, and consumers result in brand loyalty and market confidence-critical elements of long-term business success.</w:t>
      </w:r>
    </w:p>
    <w:p w14:paraId="194C0CAB" w14:textId="77777777" w:rsidR="00B47174" w:rsidRPr="00E466B2" w:rsidRDefault="00B47174" w:rsidP="00B47174">
      <w:pPr>
        <w:rPr>
          <w:rFonts w:ascii="Arial" w:hAnsi="Arial" w:cs="Arial"/>
          <w:sz w:val="22"/>
          <w:szCs w:val="22"/>
        </w:rPr>
      </w:pPr>
      <w:r w:rsidRPr="00E466B2">
        <w:rPr>
          <w:rFonts w:ascii="Arial" w:hAnsi="Arial" w:cs="Arial"/>
          <w:sz w:val="22"/>
          <w:szCs w:val="22"/>
        </w:rPr>
        <w:t>Recommendations to Enhance Stakeholder Engagement AstraZeneca should develop and improve stakeholder engagement with a view to establishing and further developing its position in digital health by:</w:t>
      </w:r>
    </w:p>
    <w:p w14:paraId="158EA99B" w14:textId="77777777" w:rsidR="00B47174" w:rsidRPr="00E466B2" w:rsidRDefault="00B47174" w:rsidP="00B47174">
      <w:pPr>
        <w:rPr>
          <w:rFonts w:ascii="Arial" w:hAnsi="Arial" w:cs="Arial"/>
          <w:sz w:val="22"/>
          <w:szCs w:val="22"/>
        </w:rPr>
      </w:pPr>
      <w:r w:rsidRPr="00E466B2">
        <w:rPr>
          <w:rFonts w:ascii="Arial" w:hAnsi="Arial" w:cs="Arial"/>
          <w:sz w:val="22"/>
          <w:szCs w:val="22"/>
        </w:rPr>
        <w:t>1. Implement a Single Digital Engagement Platform A digital platform that integrates communication tools, project dashboards, feedback channels, and documentation repositories would centralize stakeholder engagement. This enables real-time collaboration across global teams through increased transparency and reduced delays.</w:t>
      </w:r>
    </w:p>
    <w:p w14:paraId="1D0D5C9A" w14:textId="77777777" w:rsidR="00B47174" w:rsidRPr="00E466B2" w:rsidRDefault="00B47174" w:rsidP="00B47174">
      <w:pPr>
        <w:rPr>
          <w:rFonts w:ascii="Arial" w:hAnsi="Arial" w:cs="Arial"/>
          <w:sz w:val="22"/>
          <w:szCs w:val="22"/>
        </w:rPr>
      </w:pPr>
      <w:r w:rsidRPr="00E466B2">
        <w:rPr>
          <w:rFonts w:ascii="Arial" w:hAnsi="Arial" w:cs="Arial"/>
          <w:sz w:val="22"/>
          <w:szCs w:val="22"/>
        </w:rPr>
        <w:t>2. Relationship-Based Engagement Metrics AstraZeneca will need to operationalize the quality of engagement metrics through KPIs such as:</w:t>
      </w:r>
    </w:p>
    <w:p w14:paraId="24A649C0" w14:textId="77777777" w:rsidR="00B47174" w:rsidRPr="00E466B2" w:rsidRDefault="00B47174" w:rsidP="00B47174">
      <w:pPr>
        <w:rPr>
          <w:rFonts w:ascii="Arial" w:hAnsi="Arial" w:cs="Arial"/>
          <w:sz w:val="22"/>
          <w:szCs w:val="22"/>
        </w:rPr>
      </w:pPr>
      <w:r w:rsidRPr="00E466B2">
        <w:rPr>
          <w:rFonts w:ascii="Arial" w:hAnsi="Arial" w:cs="Arial"/>
          <w:sz w:val="22"/>
          <w:szCs w:val="22"/>
        </w:rPr>
        <w:t>• Responsiveness of stakeholders</w:t>
      </w:r>
    </w:p>
    <w:p w14:paraId="1A68215F" w14:textId="77777777" w:rsidR="00B47174" w:rsidRPr="00E466B2" w:rsidRDefault="00B47174" w:rsidP="00B47174">
      <w:pPr>
        <w:rPr>
          <w:rFonts w:ascii="Arial" w:hAnsi="Arial" w:cs="Arial"/>
          <w:sz w:val="22"/>
          <w:szCs w:val="22"/>
        </w:rPr>
      </w:pPr>
      <w:r w:rsidRPr="00E466B2">
        <w:rPr>
          <w:rFonts w:ascii="Arial" w:hAnsi="Arial" w:cs="Arial"/>
          <w:sz w:val="22"/>
          <w:szCs w:val="22"/>
        </w:rPr>
        <w:t>• Satisfaction levels</w:t>
      </w:r>
    </w:p>
    <w:p w14:paraId="27D4EC17" w14:textId="77777777" w:rsidR="00B47174" w:rsidRPr="00E466B2" w:rsidRDefault="00B47174" w:rsidP="00B47174">
      <w:pPr>
        <w:rPr>
          <w:rFonts w:ascii="Arial" w:hAnsi="Arial" w:cs="Arial"/>
          <w:sz w:val="22"/>
          <w:szCs w:val="22"/>
        </w:rPr>
      </w:pPr>
      <w:r w:rsidRPr="00E466B2">
        <w:rPr>
          <w:rFonts w:ascii="Arial" w:hAnsi="Arial" w:cs="Arial"/>
          <w:sz w:val="22"/>
          <w:szCs w:val="22"/>
        </w:rPr>
        <w:t>• Quality of cross-functional communication</w:t>
      </w:r>
    </w:p>
    <w:p w14:paraId="2E71F923" w14:textId="77777777" w:rsidR="00B47174" w:rsidRPr="00E466B2" w:rsidRDefault="00B47174" w:rsidP="00B47174">
      <w:pPr>
        <w:rPr>
          <w:rFonts w:ascii="Arial" w:hAnsi="Arial" w:cs="Arial"/>
          <w:sz w:val="22"/>
          <w:szCs w:val="22"/>
        </w:rPr>
      </w:pPr>
      <w:r w:rsidRPr="00E466B2">
        <w:rPr>
          <w:rFonts w:ascii="Arial" w:hAnsi="Arial" w:cs="Arial"/>
          <w:sz w:val="22"/>
          <w:szCs w:val="22"/>
        </w:rPr>
        <w:t>• Co-created innovations</w:t>
      </w:r>
    </w:p>
    <w:p w14:paraId="656F71D4" w14:textId="77777777" w:rsidR="00B47174" w:rsidRPr="00E466B2" w:rsidRDefault="00B47174" w:rsidP="00B47174">
      <w:pPr>
        <w:rPr>
          <w:rFonts w:ascii="Arial" w:hAnsi="Arial" w:cs="Arial"/>
          <w:sz w:val="22"/>
          <w:szCs w:val="22"/>
        </w:rPr>
      </w:pPr>
      <w:r w:rsidRPr="00E466B2">
        <w:rPr>
          <w:rFonts w:ascii="Arial" w:hAnsi="Arial" w:cs="Arial"/>
          <w:sz w:val="22"/>
          <w:szCs w:val="22"/>
        </w:rPr>
        <w:t>These metrics help in assessing relational performance, not just task-oriented metrics.</w:t>
      </w:r>
    </w:p>
    <w:p w14:paraId="7F6EC21B" w14:textId="77777777" w:rsidR="00B47174" w:rsidRPr="00E466B2" w:rsidRDefault="00B47174" w:rsidP="00B47174">
      <w:pPr>
        <w:rPr>
          <w:rFonts w:ascii="Arial" w:hAnsi="Arial" w:cs="Arial"/>
          <w:sz w:val="22"/>
          <w:szCs w:val="22"/>
        </w:rPr>
      </w:pPr>
      <w:r w:rsidRPr="00E466B2">
        <w:rPr>
          <w:rFonts w:ascii="Arial" w:hAnsi="Arial" w:cs="Arial"/>
          <w:sz w:val="22"/>
          <w:szCs w:val="22"/>
        </w:rPr>
        <w:t>3. Continuous User-Insight Integration: Embed user feedback in every stage of the product life cycle. AstraZeneca should implement app-based feedback tools, AI-driven sentiment analyses, and post-market surveys to uncover emerging issues, guide updates, and refine product features throughout the life of the device.</w:t>
      </w:r>
    </w:p>
    <w:p w14:paraId="57197BD2" w14:textId="77777777" w:rsidR="00B47174" w:rsidRPr="00E466B2" w:rsidRDefault="00B47174" w:rsidP="00B47174">
      <w:pPr>
        <w:rPr>
          <w:rFonts w:ascii="Arial" w:hAnsi="Arial" w:cs="Arial"/>
          <w:sz w:val="22"/>
          <w:szCs w:val="22"/>
        </w:rPr>
      </w:pPr>
      <w:r w:rsidRPr="00E466B2">
        <w:rPr>
          <w:rFonts w:ascii="Arial" w:hAnsi="Arial" w:cs="Arial"/>
          <w:sz w:val="22"/>
          <w:szCs w:val="22"/>
        </w:rPr>
        <w:t>4. Early and Proactive Regulatory Partnerships: Involvement early in the design phase would reduce risks in approvals, detail the requirements for evidence, and align safety standards. Regular technical consultations and early risk assessments would lead to smoother pathways for approvals.</w:t>
      </w:r>
    </w:p>
    <w:p w14:paraId="07B0046E" w14:textId="59AA7E3A" w:rsidR="00B47174" w:rsidRPr="00E466B2" w:rsidRDefault="00B47174" w:rsidP="00B47174">
      <w:pPr>
        <w:rPr>
          <w:rFonts w:ascii="Arial" w:hAnsi="Arial" w:cs="Arial"/>
          <w:sz w:val="22"/>
          <w:szCs w:val="22"/>
        </w:rPr>
      </w:pPr>
      <w:r w:rsidRPr="00E466B2">
        <w:rPr>
          <w:rFonts w:ascii="Arial" w:hAnsi="Arial" w:cs="Arial"/>
          <w:sz w:val="22"/>
          <w:szCs w:val="22"/>
        </w:rPr>
        <w:lastRenderedPageBreak/>
        <w:t xml:space="preserve">5. Long-term Ecosystem Partnerships Strategic partnerships with telehealth platforms, insurers, academic research </w:t>
      </w:r>
      <w:r w:rsidR="00780E36" w:rsidRPr="00E466B2">
        <w:rPr>
          <w:rFonts w:ascii="Arial" w:hAnsi="Arial" w:cs="Arial"/>
          <w:sz w:val="22"/>
          <w:szCs w:val="22"/>
        </w:rPr>
        <w:t>centres</w:t>
      </w:r>
      <w:r w:rsidRPr="00E466B2">
        <w:rPr>
          <w:rFonts w:ascii="Arial" w:hAnsi="Arial" w:cs="Arial"/>
          <w:sz w:val="22"/>
          <w:szCs w:val="22"/>
        </w:rPr>
        <w:t>, and technology innovators will improve long-term product evolution. Partnerships unlock evidence generation, market expansion, and integration into broader systems of healthcare.</w:t>
      </w:r>
    </w:p>
    <w:p w14:paraId="06A69AF9" w14:textId="77777777" w:rsidR="00B47174" w:rsidRPr="00E466B2" w:rsidRDefault="00B47174" w:rsidP="00B47174">
      <w:pPr>
        <w:rPr>
          <w:rFonts w:ascii="Arial" w:hAnsi="Arial" w:cs="Arial"/>
          <w:sz w:val="22"/>
          <w:szCs w:val="22"/>
        </w:rPr>
      </w:pPr>
      <w:r w:rsidRPr="00E466B2">
        <w:rPr>
          <w:rFonts w:ascii="Arial" w:hAnsi="Arial" w:cs="Arial"/>
          <w:sz w:val="22"/>
          <w:szCs w:val="22"/>
        </w:rPr>
        <w:t>6. Stakeholder-engagement competency investments: Cross-functional teams should be trained in effective communication, conflict management, user-centric design, and collaborative ways of working. Developing competencies around stakeholder engagement enhances organizational capacity to manage future digital health initiatives.</w:t>
      </w:r>
    </w:p>
    <w:p w14:paraId="01104607" w14:textId="683CAEAE" w:rsidR="00E466B2" w:rsidRPr="00E466B2" w:rsidRDefault="00E466B2" w:rsidP="00E466B2">
      <w:pPr>
        <w:pStyle w:val="Heading1"/>
        <w:rPr>
          <w:rFonts w:ascii="Arial" w:hAnsi="Arial" w:cs="Arial"/>
          <w:sz w:val="32"/>
          <w:szCs w:val="32"/>
        </w:rPr>
      </w:pPr>
      <w:r w:rsidRPr="00E466B2">
        <w:rPr>
          <w:rFonts w:ascii="Arial" w:hAnsi="Arial" w:cs="Arial"/>
          <w:sz w:val="32"/>
          <w:szCs w:val="32"/>
        </w:rPr>
        <w:t>Conclusion</w:t>
      </w:r>
    </w:p>
    <w:p w14:paraId="1273D2EF" w14:textId="1EF03AE6" w:rsidR="00B4697B" w:rsidRPr="00E466B2" w:rsidRDefault="00B47174" w:rsidP="00B47174">
      <w:pPr>
        <w:rPr>
          <w:rFonts w:ascii="Arial" w:hAnsi="Arial" w:cs="Arial"/>
          <w:sz w:val="22"/>
          <w:szCs w:val="22"/>
        </w:rPr>
      </w:pPr>
      <w:r w:rsidRPr="00E466B2">
        <w:rPr>
          <w:rFonts w:ascii="Arial" w:hAnsi="Arial" w:cs="Arial"/>
          <w:sz w:val="22"/>
          <w:szCs w:val="22"/>
        </w:rPr>
        <w:t>Engagement with stakeholders is not a matter of formal procedures but rather a strategic capability that will determine the success of AstraZeneca's diversification into the digital health market. Through systematic identification and with structured frameworks and relational processes of communication, coordination, cooperation, and collaboration, AstraZeneca can align heterogeneous stakeholder interests and competencies towards the successful launch of the wearable health device. Indeed, effective engagement bears upon improved product quality while reducing risk through faster time to market, enhanced corporate reputation-outcomes essential to ensuring competitiveness in the digital health sector. Situational analysis showed that though AstraZeneca enjoys high strengths-scientific expertise and brand credibility-familiar markets, regulatory pressures, and technical complexity pose a challenge to the organisation. As indicated, these challenges render sophisticated stakeholder engagement extremely pertinent. Tools like Mendelow's Matrix, communication plans, and RACI modelling provide structural clarity while the Four Cs shed light on deeper relational dynamics required for successful inter-disciplinary collaboration. If AstraZeneca wants to stay ahead of its competitors, this engagement strategy will have to be further enhanced by leveraging digital platforms, partnerships with regulatory bodies, user insights, and long-term collaborative relationships across ecosystems. Overall, engagement with stakeholders forms the bedrock from which AstraZeneca can build a successful and sustainable presence in digital health through the delivery of novel technologies that improve patient outcomes and contribute to driving global health innovation.</w:t>
      </w:r>
    </w:p>
    <w:p w14:paraId="6E479675" w14:textId="77777777" w:rsidR="00780E36" w:rsidRPr="00E466B2" w:rsidRDefault="00780E36" w:rsidP="00B47174">
      <w:pPr>
        <w:rPr>
          <w:rFonts w:ascii="Arial" w:hAnsi="Arial" w:cs="Arial"/>
          <w:sz w:val="22"/>
          <w:szCs w:val="22"/>
        </w:rPr>
      </w:pPr>
    </w:p>
    <w:p w14:paraId="5670AA5D" w14:textId="3CB808C2" w:rsidR="00780E36" w:rsidRPr="00C83899" w:rsidRDefault="00780E36" w:rsidP="00780E36">
      <w:pPr>
        <w:pStyle w:val="Heading2"/>
        <w:rPr>
          <w:rFonts w:ascii="Arial" w:hAnsi="Arial" w:cs="Arial"/>
        </w:rPr>
      </w:pPr>
      <w:r w:rsidRPr="00C83899">
        <w:rPr>
          <w:rFonts w:ascii="Arial" w:hAnsi="Arial" w:cs="Arial"/>
        </w:rPr>
        <w:t>Reference List</w:t>
      </w:r>
    </w:p>
    <w:p w14:paraId="5322DBAE" w14:textId="77777777" w:rsidR="00C83899" w:rsidRPr="00C83899" w:rsidRDefault="00C83899" w:rsidP="00C83899">
      <w:pPr>
        <w:rPr>
          <w:rFonts w:ascii="Arial" w:hAnsi="Arial" w:cs="Arial"/>
          <w:sz w:val="22"/>
          <w:szCs w:val="22"/>
        </w:rPr>
      </w:pPr>
      <w:r w:rsidRPr="00C83899">
        <w:rPr>
          <w:rFonts w:ascii="Arial" w:hAnsi="Arial" w:cs="Arial"/>
          <w:sz w:val="22"/>
          <w:szCs w:val="22"/>
        </w:rPr>
        <w:t xml:space="preserve">Ashcroft, R. (2017) </w:t>
      </w:r>
      <w:r w:rsidRPr="00C83899">
        <w:rPr>
          <w:rFonts w:ascii="Arial" w:hAnsi="Arial" w:cs="Arial"/>
          <w:i/>
          <w:iCs/>
          <w:sz w:val="22"/>
          <w:szCs w:val="22"/>
        </w:rPr>
        <w:t>Innovation in pharmaceutical organisations</w:t>
      </w:r>
      <w:r w:rsidRPr="00C83899">
        <w:rPr>
          <w:rFonts w:ascii="Arial" w:hAnsi="Arial" w:cs="Arial"/>
          <w:sz w:val="22"/>
          <w:szCs w:val="22"/>
        </w:rPr>
        <w:t>. London: Wiley.</w:t>
      </w:r>
    </w:p>
    <w:p w14:paraId="7B527813" w14:textId="77777777" w:rsidR="00C83899" w:rsidRPr="00C83899" w:rsidRDefault="00C83899" w:rsidP="00C83899">
      <w:pPr>
        <w:rPr>
          <w:rFonts w:ascii="Arial" w:hAnsi="Arial" w:cs="Arial"/>
          <w:sz w:val="22"/>
          <w:szCs w:val="22"/>
        </w:rPr>
      </w:pPr>
      <w:r w:rsidRPr="00C83899">
        <w:rPr>
          <w:rFonts w:ascii="Arial" w:hAnsi="Arial" w:cs="Arial"/>
          <w:sz w:val="22"/>
          <w:szCs w:val="22"/>
        </w:rPr>
        <w:t xml:space="preserve">Bourne, L. (2016) </w:t>
      </w:r>
      <w:r w:rsidRPr="00C83899">
        <w:rPr>
          <w:rFonts w:ascii="Arial" w:hAnsi="Arial" w:cs="Arial"/>
          <w:i/>
          <w:iCs/>
          <w:sz w:val="22"/>
          <w:szCs w:val="22"/>
        </w:rPr>
        <w:t>Stakeholder relationship management: A maturity model for organisational implementation</w:t>
      </w:r>
      <w:r w:rsidRPr="00C83899">
        <w:rPr>
          <w:rFonts w:ascii="Arial" w:hAnsi="Arial" w:cs="Arial"/>
          <w:sz w:val="22"/>
          <w:szCs w:val="22"/>
        </w:rPr>
        <w:t xml:space="preserve">. 2nd </w:t>
      </w:r>
      <w:proofErr w:type="spellStart"/>
      <w:r w:rsidRPr="00C83899">
        <w:rPr>
          <w:rFonts w:ascii="Arial" w:hAnsi="Arial" w:cs="Arial"/>
          <w:sz w:val="22"/>
          <w:szCs w:val="22"/>
        </w:rPr>
        <w:t>edn</w:t>
      </w:r>
      <w:proofErr w:type="spellEnd"/>
      <w:r w:rsidRPr="00C83899">
        <w:rPr>
          <w:rFonts w:ascii="Arial" w:hAnsi="Arial" w:cs="Arial"/>
          <w:sz w:val="22"/>
          <w:szCs w:val="22"/>
        </w:rPr>
        <w:t>. London: Routledge.</w:t>
      </w:r>
    </w:p>
    <w:p w14:paraId="25D57740" w14:textId="77777777" w:rsidR="00C83899" w:rsidRPr="00C83899" w:rsidRDefault="00C83899" w:rsidP="00C83899">
      <w:pPr>
        <w:rPr>
          <w:rFonts w:ascii="Arial" w:hAnsi="Arial" w:cs="Arial"/>
          <w:sz w:val="22"/>
          <w:szCs w:val="22"/>
        </w:rPr>
      </w:pPr>
      <w:r w:rsidRPr="00C83899">
        <w:rPr>
          <w:rFonts w:ascii="Arial" w:hAnsi="Arial" w:cs="Arial"/>
          <w:sz w:val="22"/>
          <w:szCs w:val="22"/>
        </w:rPr>
        <w:t xml:space="preserve">Bryson, J.M. (2018) </w:t>
      </w:r>
      <w:r w:rsidRPr="00C83899">
        <w:rPr>
          <w:rFonts w:ascii="Arial" w:hAnsi="Arial" w:cs="Arial"/>
          <w:i/>
          <w:iCs/>
          <w:sz w:val="22"/>
          <w:szCs w:val="22"/>
        </w:rPr>
        <w:t>Strategic planning for public and nonprofit organizations</w:t>
      </w:r>
      <w:r w:rsidRPr="00C83899">
        <w:rPr>
          <w:rFonts w:ascii="Arial" w:hAnsi="Arial" w:cs="Arial"/>
          <w:sz w:val="22"/>
          <w:szCs w:val="22"/>
        </w:rPr>
        <w:t xml:space="preserve">. 5th </w:t>
      </w:r>
      <w:proofErr w:type="spellStart"/>
      <w:r w:rsidRPr="00C83899">
        <w:rPr>
          <w:rFonts w:ascii="Arial" w:hAnsi="Arial" w:cs="Arial"/>
          <w:sz w:val="22"/>
          <w:szCs w:val="22"/>
        </w:rPr>
        <w:t>edn</w:t>
      </w:r>
      <w:proofErr w:type="spellEnd"/>
      <w:r w:rsidRPr="00C83899">
        <w:rPr>
          <w:rFonts w:ascii="Arial" w:hAnsi="Arial" w:cs="Arial"/>
          <w:sz w:val="22"/>
          <w:szCs w:val="22"/>
        </w:rPr>
        <w:t>. San Francisco: Jossey-Bass.</w:t>
      </w:r>
    </w:p>
    <w:p w14:paraId="094C9FF4" w14:textId="77777777" w:rsidR="00C83899" w:rsidRPr="00C83899" w:rsidRDefault="00C83899" w:rsidP="00C83899">
      <w:pPr>
        <w:rPr>
          <w:rFonts w:ascii="Arial" w:hAnsi="Arial" w:cs="Arial"/>
          <w:sz w:val="22"/>
          <w:szCs w:val="22"/>
        </w:rPr>
      </w:pPr>
      <w:r w:rsidRPr="00C83899">
        <w:rPr>
          <w:rFonts w:ascii="Arial" w:hAnsi="Arial" w:cs="Arial"/>
          <w:sz w:val="22"/>
          <w:szCs w:val="22"/>
        </w:rPr>
        <w:t xml:space="preserve">Ellis, C., Gibbs, S. and Rein, G. (1991) ‘Groupware: Some issues and experiences’, </w:t>
      </w:r>
      <w:r w:rsidRPr="00C83899">
        <w:rPr>
          <w:rFonts w:ascii="Arial" w:hAnsi="Arial" w:cs="Arial"/>
          <w:i/>
          <w:iCs/>
          <w:sz w:val="22"/>
          <w:szCs w:val="22"/>
        </w:rPr>
        <w:t>Communications of the ACM</w:t>
      </w:r>
      <w:r w:rsidRPr="00C83899">
        <w:rPr>
          <w:rFonts w:ascii="Arial" w:hAnsi="Arial" w:cs="Arial"/>
          <w:sz w:val="22"/>
          <w:szCs w:val="22"/>
        </w:rPr>
        <w:t>, 34(1), pp. 38–58.</w:t>
      </w:r>
    </w:p>
    <w:p w14:paraId="5BA114FA" w14:textId="77777777" w:rsidR="00C83899" w:rsidRPr="00C83899" w:rsidRDefault="00C83899" w:rsidP="00C83899">
      <w:pPr>
        <w:rPr>
          <w:rFonts w:ascii="Arial" w:hAnsi="Arial" w:cs="Arial"/>
          <w:sz w:val="22"/>
          <w:szCs w:val="22"/>
        </w:rPr>
      </w:pPr>
      <w:r w:rsidRPr="00C83899">
        <w:rPr>
          <w:rFonts w:ascii="Arial" w:hAnsi="Arial" w:cs="Arial"/>
          <w:sz w:val="22"/>
          <w:szCs w:val="22"/>
        </w:rPr>
        <w:t xml:space="preserve">Freeman, R.E. (1984) </w:t>
      </w:r>
      <w:r w:rsidRPr="00C83899">
        <w:rPr>
          <w:rFonts w:ascii="Arial" w:hAnsi="Arial" w:cs="Arial"/>
          <w:i/>
          <w:iCs/>
          <w:sz w:val="22"/>
          <w:szCs w:val="22"/>
        </w:rPr>
        <w:t>Strategic management: A stakeholder approach</w:t>
      </w:r>
      <w:r w:rsidRPr="00C83899">
        <w:rPr>
          <w:rFonts w:ascii="Arial" w:hAnsi="Arial" w:cs="Arial"/>
          <w:sz w:val="22"/>
          <w:szCs w:val="22"/>
        </w:rPr>
        <w:t>. Boston: Pitman.</w:t>
      </w:r>
    </w:p>
    <w:p w14:paraId="4DAEA3A5" w14:textId="77777777" w:rsidR="00C83899" w:rsidRPr="00C83899" w:rsidRDefault="00C83899" w:rsidP="00C83899">
      <w:pPr>
        <w:rPr>
          <w:rFonts w:ascii="Arial" w:hAnsi="Arial" w:cs="Arial"/>
          <w:sz w:val="22"/>
          <w:szCs w:val="22"/>
        </w:rPr>
      </w:pPr>
      <w:r w:rsidRPr="00C83899">
        <w:rPr>
          <w:rFonts w:ascii="Arial" w:hAnsi="Arial" w:cs="Arial"/>
          <w:sz w:val="22"/>
          <w:szCs w:val="22"/>
        </w:rPr>
        <w:lastRenderedPageBreak/>
        <w:t xml:space="preserve">Kerzner, H. (2017) </w:t>
      </w:r>
      <w:r w:rsidRPr="00C83899">
        <w:rPr>
          <w:rFonts w:ascii="Arial" w:hAnsi="Arial" w:cs="Arial"/>
          <w:i/>
          <w:iCs/>
          <w:sz w:val="22"/>
          <w:szCs w:val="22"/>
        </w:rPr>
        <w:t>Project management: A systems approach to planning, scheduling, and controlling</w:t>
      </w:r>
      <w:r w:rsidRPr="00C83899">
        <w:rPr>
          <w:rFonts w:ascii="Arial" w:hAnsi="Arial" w:cs="Arial"/>
          <w:sz w:val="22"/>
          <w:szCs w:val="22"/>
        </w:rPr>
        <w:t xml:space="preserve">. 12th </w:t>
      </w:r>
      <w:proofErr w:type="spellStart"/>
      <w:r w:rsidRPr="00C83899">
        <w:rPr>
          <w:rFonts w:ascii="Arial" w:hAnsi="Arial" w:cs="Arial"/>
          <w:sz w:val="22"/>
          <w:szCs w:val="22"/>
        </w:rPr>
        <w:t>edn</w:t>
      </w:r>
      <w:proofErr w:type="spellEnd"/>
      <w:r w:rsidRPr="00C83899">
        <w:rPr>
          <w:rFonts w:ascii="Arial" w:hAnsi="Arial" w:cs="Arial"/>
          <w:sz w:val="22"/>
          <w:szCs w:val="22"/>
        </w:rPr>
        <w:t>. Hoboken, NJ: Wiley.</w:t>
      </w:r>
    </w:p>
    <w:p w14:paraId="3FC8CF34" w14:textId="77777777" w:rsidR="00C83899" w:rsidRPr="00C83899" w:rsidRDefault="00C83899" w:rsidP="00C83899">
      <w:pPr>
        <w:rPr>
          <w:rFonts w:ascii="Arial" w:hAnsi="Arial" w:cs="Arial"/>
          <w:sz w:val="22"/>
          <w:szCs w:val="22"/>
        </w:rPr>
      </w:pPr>
      <w:r w:rsidRPr="00C83899">
        <w:rPr>
          <w:rFonts w:ascii="Arial" w:hAnsi="Arial" w:cs="Arial"/>
          <w:sz w:val="22"/>
          <w:szCs w:val="22"/>
        </w:rPr>
        <w:t xml:space="preserve">Mendelow, A. (1991) ‘Environmental scanning: The impact of the stakeholder concept’, </w:t>
      </w:r>
      <w:r w:rsidRPr="00C83899">
        <w:rPr>
          <w:rFonts w:ascii="Arial" w:hAnsi="Arial" w:cs="Arial"/>
          <w:i/>
          <w:iCs/>
          <w:sz w:val="22"/>
          <w:szCs w:val="22"/>
        </w:rPr>
        <w:t>ICIS Proceedings</w:t>
      </w:r>
      <w:r w:rsidRPr="00C83899">
        <w:rPr>
          <w:rFonts w:ascii="Arial" w:hAnsi="Arial" w:cs="Arial"/>
          <w:sz w:val="22"/>
          <w:szCs w:val="22"/>
        </w:rPr>
        <w:t>, pp. 267–276. New York: ACM.</w:t>
      </w:r>
    </w:p>
    <w:p w14:paraId="15C1C4B3" w14:textId="77777777" w:rsidR="00C83899" w:rsidRPr="00C83899" w:rsidRDefault="00C83899" w:rsidP="00C83899">
      <w:pPr>
        <w:rPr>
          <w:rFonts w:ascii="Arial" w:hAnsi="Arial" w:cs="Arial"/>
          <w:sz w:val="22"/>
          <w:szCs w:val="22"/>
        </w:rPr>
      </w:pPr>
      <w:r w:rsidRPr="00C83899">
        <w:rPr>
          <w:rFonts w:ascii="Arial" w:hAnsi="Arial" w:cs="Arial"/>
          <w:sz w:val="22"/>
          <w:szCs w:val="22"/>
        </w:rPr>
        <w:t xml:space="preserve">Shore, J. and Cross, B. (2019) </w:t>
      </w:r>
      <w:r w:rsidRPr="00C83899">
        <w:rPr>
          <w:rFonts w:ascii="Arial" w:hAnsi="Arial" w:cs="Arial"/>
          <w:i/>
          <w:iCs/>
          <w:sz w:val="22"/>
          <w:szCs w:val="22"/>
        </w:rPr>
        <w:t>Collaborative innovation in healthcare technology</w:t>
      </w:r>
      <w:r w:rsidRPr="00C83899">
        <w:rPr>
          <w:rFonts w:ascii="Arial" w:hAnsi="Arial" w:cs="Arial"/>
          <w:sz w:val="22"/>
          <w:szCs w:val="22"/>
        </w:rPr>
        <w:t>. Oxford: Oxford University Press.</w:t>
      </w:r>
    </w:p>
    <w:p w14:paraId="45A3D374" w14:textId="77777777" w:rsidR="00C83899" w:rsidRPr="00C83899" w:rsidRDefault="00C83899" w:rsidP="00C83899">
      <w:pPr>
        <w:rPr>
          <w:rFonts w:ascii="Arial" w:hAnsi="Arial" w:cs="Arial"/>
          <w:sz w:val="22"/>
          <w:szCs w:val="22"/>
        </w:rPr>
      </w:pPr>
      <w:r w:rsidRPr="00C83899">
        <w:rPr>
          <w:rFonts w:ascii="Arial" w:hAnsi="Arial" w:cs="Arial"/>
          <w:sz w:val="22"/>
          <w:szCs w:val="22"/>
        </w:rPr>
        <w:t xml:space="preserve">Statista (2024) </w:t>
      </w:r>
      <w:r w:rsidRPr="00C83899">
        <w:rPr>
          <w:rFonts w:ascii="Arial" w:hAnsi="Arial" w:cs="Arial"/>
          <w:i/>
          <w:iCs/>
          <w:sz w:val="22"/>
          <w:szCs w:val="22"/>
        </w:rPr>
        <w:t>Wearable technology market report</w:t>
      </w:r>
      <w:r w:rsidRPr="00C83899">
        <w:rPr>
          <w:rFonts w:ascii="Arial" w:hAnsi="Arial" w:cs="Arial"/>
          <w:sz w:val="22"/>
          <w:szCs w:val="22"/>
        </w:rPr>
        <w:t xml:space="preserve">. Available at: </w:t>
      </w:r>
      <w:hyperlink r:id="rId8" w:tgtFrame="_new" w:history="1">
        <w:r w:rsidRPr="00C83899">
          <w:rPr>
            <w:rStyle w:val="Hyperlink"/>
            <w:rFonts w:ascii="Arial" w:hAnsi="Arial" w:cs="Arial"/>
            <w:sz w:val="22"/>
            <w:szCs w:val="22"/>
          </w:rPr>
          <w:t>https://www.statista.com</w:t>
        </w:r>
      </w:hyperlink>
    </w:p>
    <w:p w14:paraId="50C9DDFE" w14:textId="1C986364" w:rsidR="00780E36" w:rsidRDefault="00780E36" w:rsidP="00B47174"/>
    <w:sectPr w:rsidR="00780E3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BC39F" w14:textId="77777777" w:rsidR="00AF321C" w:rsidRDefault="00AF321C" w:rsidP="007278C7">
      <w:pPr>
        <w:spacing w:after="0" w:line="240" w:lineRule="auto"/>
      </w:pPr>
      <w:r>
        <w:separator/>
      </w:r>
    </w:p>
  </w:endnote>
  <w:endnote w:type="continuationSeparator" w:id="0">
    <w:p w14:paraId="0A956593" w14:textId="77777777" w:rsidR="00AF321C" w:rsidRDefault="00AF321C" w:rsidP="00727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716504"/>
      <w:docPartObj>
        <w:docPartGallery w:val="Page Numbers (Bottom of Page)"/>
        <w:docPartUnique/>
      </w:docPartObj>
    </w:sdtPr>
    <w:sdtContent>
      <w:p w14:paraId="18DE5F2A" w14:textId="5699AAE3" w:rsidR="007278C7" w:rsidRDefault="007278C7">
        <w:pPr>
          <w:pStyle w:val="Footer"/>
          <w:jc w:val="right"/>
        </w:pPr>
        <w:r>
          <w:fldChar w:fldCharType="begin"/>
        </w:r>
        <w:r>
          <w:instrText>PAGE   \* MERGEFORMAT</w:instrText>
        </w:r>
        <w:r>
          <w:fldChar w:fldCharType="separate"/>
        </w:r>
        <w:r>
          <w:t>2</w:t>
        </w:r>
        <w:r>
          <w:fldChar w:fldCharType="end"/>
        </w:r>
      </w:p>
    </w:sdtContent>
  </w:sdt>
  <w:p w14:paraId="52CA7404" w14:textId="77777777" w:rsidR="007278C7" w:rsidRDefault="007278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E07D2" w14:textId="77777777" w:rsidR="00AF321C" w:rsidRDefault="00AF321C" w:rsidP="007278C7">
      <w:pPr>
        <w:spacing w:after="0" w:line="240" w:lineRule="auto"/>
      </w:pPr>
      <w:r>
        <w:separator/>
      </w:r>
    </w:p>
  </w:footnote>
  <w:footnote w:type="continuationSeparator" w:id="0">
    <w:p w14:paraId="4E044174" w14:textId="77777777" w:rsidR="00AF321C" w:rsidRDefault="00AF321C" w:rsidP="007278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44570"/>
    <w:multiLevelType w:val="multilevel"/>
    <w:tmpl w:val="1CE03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42031"/>
    <w:multiLevelType w:val="multilevel"/>
    <w:tmpl w:val="7C344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D5E5D"/>
    <w:multiLevelType w:val="multilevel"/>
    <w:tmpl w:val="DA56A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91659"/>
    <w:multiLevelType w:val="multilevel"/>
    <w:tmpl w:val="35A0A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537ACA"/>
    <w:multiLevelType w:val="multilevel"/>
    <w:tmpl w:val="DFE4B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AF0F15"/>
    <w:multiLevelType w:val="multilevel"/>
    <w:tmpl w:val="A2227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9853BA"/>
    <w:multiLevelType w:val="multilevel"/>
    <w:tmpl w:val="A718B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8D041D"/>
    <w:multiLevelType w:val="multilevel"/>
    <w:tmpl w:val="F5A4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BE34C2"/>
    <w:multiLevelType w:val="multilevel"/>
    <w:tmpl w:val="58AAC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BE13AE"/>
    <w:multiLevelType w:val="multilevel"/>
    <w:tmpl w:val="7BC82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03306F"/>
    <w:multiLevelType w:val="multilevel"/>
    <w:tmpl w:val="C10A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B002D1"/>
    <w:multiLevelType w:val="multilevel"/>
    <w:tmpl w:val="6318E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FE67CF"/>
    <w:multiLevelType w:val="multilevel"/>
    <w:tmpl w:val="5B1EF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0F0E16"/>
    <w:multiLevelType w:val="multilevel"/>
    <w:tmpl w:val="07A21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C05644"/>
    <w:multiLevelType w:val="multilevel"/>
    <w:tmpl w:val="60F40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F61350"/>
    <w:multiLevelType w:val="multilevel"/>
    <w:tmpl w:val="4B964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7358FC"/>
    <w:multiLevelType w:val="multilevel"/>
    <w:tmpl w:val="1F2AD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4672E0"/>
    <w:multiLevelType w:val="multilevel"/>
    <w:tmpl w:val="BE289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BF1DE8"/>
    <w:multiLevelType w:val="multilevel"/>
    <w:tmpl w:val="F370A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C41A5B"/>
    <w:multiLevelType w:val="multilevel"/>
    <w:tmpl w:val="BA62B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B775B9"/>
    <w:multiLevelType w:val="multilevel"/>
    <w:tmpl w:val="194A7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2C6DD2"/>
    <w:multiLevelType w:val="multilevel"/>
    <w:tmpl w:val="DB1A3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7919D7"/>
    <w:multiLevelType w:val="multilevel"/>
    <w:tmpl w:val="1BC46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525405"/>
    <w:multiLevelType w:val="multilevel"/>
    <w:tmpl w:val="FA8A0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4777569">
    <w:abstractNumId w:val="17"/>
  </w:num>
  <w:num w:numId="2" w16cid:durableId="198859354">
    <w:abstractNumId w:val="6"/>
  </w:num>
  <w:num w:numId="3" w16cid:durableId="817915550">
    <w:abstractNumId w:val="0"/>
  </w:num>
  <w:num w:numId="4" w16cid:durableId="1781342369">
    <w:abstractNumId w:val="3"/>
  </w:num>
  <w:num w:numId="5" w16cid:durableId="852960756">
    <w:abstractNumId w:val="2"/>
  </w:num>
  <w:num w:numId="6" w16cid:durableId="1326401880">
    <w:abstractNumId w:val="12"/>
  </w:num>
  <w:num w:numId="7" w16cid:durableId="1406997298">
    <w:abstractNumId w:val="22"/>
  </w:num>
  <w:num w:numId="8" w16cid:durableId="386875880">
    <w:abstractNumId w:val="7"/>
  </w:num>
  <w:num w:numId="9" w16cid:durableId="1714303650">
    <w:abstractNumId w:val="11"/>
  </w:num>
  <w:num w:numId="10" w16cid:durableId="103690966">
    <w:abstractNumId w:val="10"/>
  </w:num>
  <w:num w:numId="11" w16cid:durableId="227308834">
    <w:abstractNumId w:val="20"/>
  </w:num>
  <w:num w:numId="12" w16cid:durableId="496115594">
    <w:abstractNumId w:val="13"/>
  </w:num>
  <w:num w:numId="13" w16cid:durableId="1092429302">
    <w:abstractNumId w:val="9"/>
  </w:num>
  <w:num w:numId="14" w16cid:durableId="1320232560">
    <w:abstractNumId w:val="21"/>
  </w:num>
  <w:num w:numId="15" w16cid:durableId="122311791">
    <w:abstractNumId w:val="14"/>
  </w:num>
  <w:num w:numId="16" w16cid:durableId="1873954156">
    <w:abstractNumId w:val="18"/>
  </w:num>
  <w:num w:numId="17" w16cid:durableId="1138955939">
    <w:abstractNumId w:val="1"/>
  </w:num>
  <w:num w:numId="18" w16cid:durableId="1241597728">
    <w:abstractNumId w:val="5"/>
  </w:num>
  <w:num w:numId="19" w16cid:durableId="921371882">
    <w:abstractNumId w:val="16"/>
  </w:num>
  <w:num w:numId="20" w16cid:durableId="628391911">
    <w:abstractNumId w:val="8"/>
  </w:num>
  <w:num w:numId="21" w16cid:durableId="99035474">
    <w:abstractNumId w:val="4"/>
  </w:num>
  <w:num w:numId="22" w16cid:durableId="828980967">
    <w:abstractNumId w:val="23"/>
  </w:num>
  <w:num w:numId="23" w16cid:durableId="207033559">
    <w:abstractNumId w:val="15"/>
  </w:num>
  <w:num w:numId="24" w16cid:durableId="36571684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97B"/>
    <w:rsid w:val="001A5603"/>
    <w:rsid w:val="002133CF"/>
    <w:rsid w:val="00392090"/>
    <w:rsid w:val="003A39C0"/>
    <w:rsid w:val="004B132D"/>
    <w:rsid w:val="00527429"/>
    <w:rsid w:val="00597D4F"/>
    <w:rsid w:val="005B2197"/>
    <w:rsid w:val="005F4CBB"/>
    <w:rsid w:val="007278C7"/>
    <w:rsid w:val="00780E36"/>
    <w:rsid w:val="007D0727"/>
    <w:rsid w:val="007F0AB1"/>
    <w:rsid w:val="008136F7"/>
    <w:rsid w:val="00890620"/>
    <w:rsid w:val="00894F40"/>
    <w:rsid w:val="008F0CA3"/>
    <w:rsid w:val="009B06B8"/>
    <w:rsid w:val="009B07D8"/>
    <w:rsid w:val="009E03B2"/>
    <w:rsid w:val="00A621BD"/>
    <w:rsid w:val="00AF321C"/>
    <w:rsid w:val="00B4697B"/>
    <w:rsid w:val="00B47174"/>
    <w:rsid w:val="00B96FAE"/>
    <w:rsid w:val="00C24E38"/>
    <w:rsid w:val="00C83899"/>
    <w:rsid w:val="00CF205C"/>
    <w:rsid w:val="00DE1FFD"/>
    <w:rsid w:val="00DE7B5D"/>
    <w:rsid w:val="00E466B2"/>
    <w:rsid w:val="00E84AD4"/>
    <w:rsid w:val="00F66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12731"/>
  <w15:chartTrackingRefBased/>
  <w15:docId w15:val="{51C67FC6-23D1-4D4E-A1C0-984A070A3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69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69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69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69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69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69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69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69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69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9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69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69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69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69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69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69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69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697B"/>
    <w:rPr>
      <w:rFonts w:eastAsiaTheme="majorEastAsia" w:cstheme="majorBidi"/>
      <w:color w:val="272727" w:themeColor="text1" w:themeTint="D8"/>
    </w:rPr>
  </w:style>
  <w:style w:type="paragraph" w:styleId="Title">
    <w:name w:val="Title"/>
    <w:basedOn w:val="Normal"/>
    <w:next w:val="Normal"/>
    <w:link w:val="TitleChar"/>
    <w:uiPriority w:val="10"/>
    <w:qFormat/>
    <w:rsid w:val="00B46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69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69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69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697B"/>
    <w:pPr>
      <w:spacing w:before="160"/>
      <w:jc w:val="center"/>
    </w:pPr>
    <w:rPr>
      <w:i/>
      <w:iCs/>
      <w:color w:val="404040" w:themeColor="text1" w:themeTint="BF"/>
    </w:rPr>
  </w:style>
  <w:style w:type="character" w:customStyle="1" w:styleId="QuoteChar">
    <w:name w:val="Quote Char"/>
    <w:basedOn w:val="DefaultParagraphFont"/>
    <w:link w:val="Quote"/>
    <w:uiPriority w:val="29"/>
    <w:rsid w:val="00B4697B"/>
    <w:rPr>
      <w:i/>
      <w:iCs/>
      <w:color w:val="404040" w:themeColor="text1" w:themeTint="BF"/>
    </w:rPr>
  </w:style>
  <w:style w:type="paragraph" w:styleId="ListParagraph">
    <w:name w:val="List Paragraph"/>
    <w:basedOn w:val="Normal"/>
    <w:uiPriority w:val="34"/>
    <w:qFormat/>
    <w:rsid w:val="00B4697B"/>
    <w:pPr>
      <w:ind w:left="720"/>
      <w:contextualSpacing/>
    </w:pPr>
  </w:style>
  <w:style w:type="character" w:styleId="IntenseEmphasis">
    <w:name w:val="Intense Emphasis"/>
    <w:basedOn w:val="DefaultParagraphFont"/>
    <w:uiPriority w:val="21"/>
    <w:qFormat/>
    <w:rsid w:val="00B4697B"/>
    <w:rPr>
      <w:i/>
      <w:iCs/>
      <w:color w:val="0F4761" w:themeColor="accent1" w:themeShade="BF"/>
    </w:rPr>
  </w:style>
  <w:style w:type="paragraph" w:styleId="IntenseQuote">
    <w:name w:val="Intense Quote"/>
    <w:basedOn w:val="Normal"/>
    <w:next w:val="Normal"/>
    <w:link w:val="IntenseQuoteChar"/>
    <w:uiPriority w:val="30"/>
    <w:qFormat/>
    <w:rsid w:val="00B469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697B"/>
    <w:rPr>
      <w:i/>
      <w:iCs/>
      <w:color w:val="0F4761" w:themeColor="accent1" w:themeShade="BF"/>
    </w:rPr>
  </w:style>
  <w:style w:type="character" w:styleId="IntenseReference">
    <w:name w:val="Intense Reference"/>
    <w:basedOn w:val="DefaultParagraphFont"/>
    <w:uiPriority w:val="32"/>
    <w:qFormat/>
    <w:rsid w:val="00B4697B"/>
    <w:rPr>
      <w:b/>
      <w:bCs/>
      <w:smallCaps/>
      <w:color w:val="0F4761" w:themeColor="accent1" w:themeShade="BF"/>
      <w:spacing w:val="5"/>
    </w:rPr>
  </w:style>
  <w:style w:type="paragraph" w:styleId="NormalWeb">
    <w:name w:val="Normal (Web)"/>
    <w:basedOn w:val="Normal"/>
    <w:uiPriority w:val="99"/>
    <w:semiHidden/>
    <w:unhideWhenUsed/>
    <w:rsid w:val="002133CF"/>
    <w:rPr>
      <w:rFonts w:ascii="Times New Roman" w:hAnsi="Times New Roman" w:cs="Times New Roman"/>
    </w:rPr>
  </w:style>
  <w:style w:type="character" w:styleId="Hyperlink">
    <w:name w:val="Hyperlink"/>
    <w:basedOn w:val="DefaultParagraphFont"/>
    <w:uiPriority w:val="99"/>
    <w:unhideWhenUsed/>
    <w:rsid w:val="00780E36"/>
    <w:rPr>
      <w:color w:val="467886" w:themeColor="hyperlink"/>
      <w:u w:val="single"/>
    </w:rPr>
  </w:style>
  <w:style w:type="character" w:styleId="UnresolvedMention">
    <w:name w:val="Unresolved Mention"/>
    <w:basedOn w:val="DefaultParagraphFont"/>
    <w:uiPriority w:val="99"/>
    <w:semiHidden/>
    <w:unhideWhenUsed/>
    <w:rsid w:val="00780E36"/>
    <w:rPr>
      <w:color w:val="605E5C"/>
      <w:shd w:val="clear" w:color="auto" w:fill="E1DFDD"/>
    </w:rPr>
  </w:style>
  <w:style w:type="table" w:styleId="TableGrid">
    <w:name w:val="Table Grid"/>
    <w:basedOn w:val="TableNormal"/>
    <w:uiPriority w:val="39"/>
    <w:rsid w:val="00DE1F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8C7"/>
  </w:style>
  <w:style w:type="paragraph" w:styleId="Footer">
    <w:name w:val="footer"/>
    <w:basedOn w:val="Normal"/>
    <w:link w:val="FooterChar"/>
    <w:uiPriority w:val="99"/>
    <w:unhideWhenUsed/>
    <w:rsid w:val="00727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8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38116E-6224-4609-B31E-2AB92101F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13</Pages>
  <Words>4461</Words>
  <Characters>30475</Characters>
  <Application>Microsoft Office Word</Application>
  <DocSecurity>0</DocSecurity>
  <Lines>468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Panav khemani</dc:creator>
  <cp:keywords/>
  <dc:description/>
  <cp:lastModifiedBy>Panav khemani</cp:lastModifiedBy>
  <cp:revision>15</cp:revision>
  <dcterms:created xsi:type="dcterms:W3CDTF">2025-11-20T22:24:00Z</dcterms:created>
  <dcterms:modified xsi:type="dcterms:W3CDTF">2025-11-21T02:03:00Z</dcterms:modified>
</cp:coreProperties>
</file>