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C7FA56" w14:textId="77777777" w:rsidR="008B08C7" w:rsidRPr="00B80955" w:rsidRDefault="008B08C7" w:rsidP="00B80955">
      <w:pPr>
        <w:jc w:val="center"/>
        <w:rPr>
          <w:rFonts w:cs="Arial"/>
          <w:szCs w:val="24"/>
          <w:lang w:val="en-IN"/>
        </w:rPr>
      </w:pPr>
    </w:p>
    <w:p w14:paraId="6D1DD281" w14:textId="77777777" w:rsidR="008B08C7" w:rsidRPr="00B80955" w:rsidRDefault="008B08C7" w:rsidP="00B80955">
      <w:pPr>
        <w:jc w:val="center"/>
        <w:rPr>
          <w:rFonts w:cs="Arial"/>
          <w:szCs w:val="24"/>
          <w:lang w:val="en-IN"/>
        </w:rPr>
      </w:pPr>
    </w:p>
    <w:p w14:paraId="1C6DD423" w14:textId="77777777" w:rsidR="008B08C7" w:rsidRPr="00B80955" w:rsidRDefault="008B08C7" w:rsidP="00B80955">
      <w:pPr>
        <w:jc w:val="center"/>
        <w:rPr>
          <w:rFonts w:cs="Arial"/>
          <w:szCs w:val="24"/>
          <w:lang w:val="en-IN"/>
        </w:rPr>
      </w:pPr>
    </w:p>
    <w:p w14:paraId="3257F887" w14:textId="77777777" w:rsidR="008B08C7" w:rsidRPr="00B80955" w:rsidRDefault="008B08C7" w:rsidP="00B80955">
      <w:pPr>
        <w:jc w:val="center"/>
        <w:rPr>
          <w:rFonts w:cs="Arial"/>
          <w:szCs w:val="24"/>
          <w:lang w:val="en-IN"/>
        </w:rPr>
      </w:pPr>
    </w:p>
    <w:p w14:paraId="604C0C29" w14:textId="77777777" w:rsidR="008B08C7" w:rsidRPr="00B80955" w:rsidRDefault="008B08C7" w:rsidP="00B80955">
      <w:pPr>
        <w:jc w:val="center"/>
        <w:rPr>
          <w:rFonts w:cs="Arial"/>
          <w:szCs w:val="24"/>
          <w:lang w:val="en-IN"/>
        </w:rPr>
      </w:pPr>
    </w:p>
    <w:p w14:paraId="79209B46" w14:textId="67BA6BAB" w:rsidR="008B08C7" w:rsidRPr="00B80955" w:rsidRDefault="002E4F87" w:rsidP="00B80955">
      <w:pPr>
        <w:jc w:val="center"/>
        <w:rPr>
          <w:rFonts w:cs="Arial"/>
          <w:szCs w:val="24"/>
          <w:lang w:val="en-IN"/>
        </w:rPr>
      </w:pPr>
      <w:r w:rsidRPr="002E4F87">
        <w:rPr>
          <w:rFonts w:cs="Arial"/>
          <w:noProof/>
          <w:szCs w:val="24"/>
          <w:lang w:val="en-IN"/>
        </w:rPr>
        <w:drawing>
          <wp:inline distT="0" distB="0" distL="0" distR="0" wp14:anchorId="75C15C54" wp14:editId="16000139">
            <wp:extent cx="2553056" cy="1171739"/>
            <wp:effectExtent l="0" t="0" r="0" b="9525"/>
            <wp:docPr id="1357112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112016" name=""/>
                    <pic:cNvPicPr/>
                  </pic:nvPicPr>
                  <pic:blipFill>
                    <a:blip r:embed="rId8"/>
                    <a:stretch>
                      <a:fillRect/>
                    </a:stretch>
                  </pic:blipFill>
                  <pic:spPr>
                    <a:xfrm>
                      <a:off x="0" y="0"/>
                      <a:ext cx="2553056" cy="1171739"/>
                    </a:xfrm>
                    <a:prstGeom prst="rect">
                      <a:avLst/>
                    </a:prstGeom>
                  </pic:spPr>
                </pic:pic>
              </a:graphicData>
            </a:graphic>
          </wp:inline>
        </w:drawing>
      </w:r>
    </w:p>
    <w:p w14:paraId="269B66BF" w14:textId="607B66B8" w:rsidR="00987D66" w:rsidRPr="003B5FCC" w:rsidRDefault="00987D66" w:rsidP="00B80955">
      <w:pPr>
        <w:jc w:val="center"/>
        <w:rPr>
          <w:rFonts w:cs="Arial"/>
          <w:b/>
          <w:bCs/>
          <w:sz w:val="28"/>
          <w:szCs w:val="28"/>
          <w:lang w:val="en-IN"/>
        </w:rPr>
      </w:pPr>
      <w:r w:rsidRPr="003B5FCC">
        <w:rPr>
          <w:rFonts w:cs="Arial"/>
          <w:b/>
          <w:bCs/>
          <w:sz w:val="28"/>
          <w:szCs w:val="28"/>
          <w:lang w:val="en-IN"/>
        </w:rPr>
        <w:t>LCMB7002</w:t>
      </w:r>
    </w:p>
    <w:p w14:paraId="22B9A4D0" w14:textId="77777777" w:rsidR="00987D66" w:rsidRPr="003B5FCC" w:rsidRDefault="00987D66" w:rsidP="00B80955">
      <w:pPr>
        <w:jc w:val="center"/>
        <w:rPr>
          <w:rFonts w:cs="Arial"/>
          <w:b/>
          <w:bCs/>
          <w:sz w:val="28"/>
          <w:szCs w:val="28"/>
          <w:lang w:val="en-IN"/>
        </w:rPr>
      </w:pPr>
      <w:r w:rsidRPr="003B5FCC">
        <w:rPr>
          <w:rFonts w:cs="Arial"/>
          <w:b/>
          <w:bCs/>
          <w:sz w:val="28"/>
          <w:szCs w:val="28"/>
          <w:lang w:val="en-IN"/>
        </w:rPr>
        <w:t>Financial Management</w:t>
      </w:r>
    </w:p>
    <w:p w14:paraId="2DC6F666" w14:textId="77777777" w:rsidR="008C56BC" w:rsidRDefault="00987D66" w:rsidP="00B80955">
      <w:pPr>
        <w:jc w:val="center"/>
        <w:rPr>
          <w:rFonts w:cs="Arial"/>
          <w:b/>
          <w:bCs/>
          <w:sz w:val="28"/>
          <w:szCs w:val="28"/>
          <w:lang w:val="en-IN"/>
        </w:rPr>
      </w:pPr>
      <w:r w:rsidRPr="003B5FCC">
        <w:rPr>
          <w:rFonts w:cs="Arial"/>
          <w:b/>
          <w:bCs/>
          <w:sz w:val="28"/>
          <w:szCs w:val="28"/>
          <w:lang w:val="en-IN"/>
        </w:rPr>
        <w:t>Assessment Component: Financial Performance and Management</w:t>
      </w:r>
    </w:p>
    <w:p w14:paraId="52E9FBDA" w14:textId="79A98029" w:rsidR="00AC1831" w:rsidRDefault="00AC1831" w:rsidP="00B80955">
      <w:pPr>
        <w:jc w:val="center"/>
        <w:rPr>
          <w:rFonts w:cs="Arial"/>
          <w:b/>
          <w:bCs/>
          <w:sz w:val="28"/>
          <w:szCs w:val="28"/>
          <w:lang w:val="en-IN"/>
        </w:rPr>
      </w:pPr>
      <w:r>
        <w:rPr>
          <w:rFonts w:cs="Arial"/>
          <w:b/>
          <w:bCs/>
          <w:sz w:val="28"/>
          <w:szCs w:val="28"/>
          <w:lang w:val="en-IN"/>
        </w:rPr>
        <w:t xml:space="preserve">Student Name: Farhan </w:t>
      </w:r>
      <w:proofErr w:type="spellStart"/>
      <w:r>
        <w:rPr>
          <w:rFonts w:cs="Arial"/>
          <w:b/>
          <w:bCs/>
          <w:sz w:val="28"/>
          <w:szCs w:val="28"/>
          <w:lang w:val="en-IN"/>
        </w:rPr>
        <w:t>Rahishkhan</w:t>
      </w:r>
      <w:proofErr w:type="spellEnd"/>
      <w:r>
        <w:rPr>
          <w:rFonts w:cs="Arial"/>
          <w:b/>
          <w:bCs/>
          <w:sz w:val="28"/>
          <w:szCs w:val="28"/>
          <w:lang w:val="en-IN"/>
        </w:rPr>
        <w:t xml:space="preserve"> Shekh </w:t>
      </w:r>
    </w:p>
    <w:p w14:paraId="707D743F" w14:textId="19E11687" w:rsidR="00AC1831" w:rsidRDefault="00AC1831" w:rsidP="00B80955">
      <w:pPr>
        <w:jc w:val="center"/>
        <w:rPr>
          <w:rFonts w:cs="Arial"/>
          <w:b/>
          <w:bCs/>
          <w:sz w:val="28"/>
          <w:szCs w:val="28"/>
          <w:lang w:val="en-IN"/>
        </w:rPr>
      </w:pPr>
      <w:r>
        <w:rPr>
          <w:rFonts w:cs="Arial"/>
          <w:b/>
          <w:bCs/>
          <w:sz w:val="28"/>
          <w:szCs w:val="28"/>
          <w:lang w:val="en-IN"/>
        </w:rPr>
        <w:t>Student ID: 2417893</w:t>
      </w:r>
    </w:p>
    <w:p w14:paraId="5A6CEF1B" w14:textId="77777777" w:rsidR="00AC1831" w:rsidRPr="003B5FCC" w:rsidRDefault="00AC1831" w:rsidP="00B80955">
      <w:pPr>
        <w:jc w:val="center"/>
        <w:rPr>
          <w:rFonts w:cs="Arial"/>
          <w:b/>
          <w:bCs/>
          <w:sz w:val="28"/>
          <w:szCs w:val="28"/>
          <w:lang w:val="en-IN"/>
        </w:rPr>
      </w:pPr>
    </w:p>
    <w:p w14:paraId="00F51B1C" w14:textId="77777777" w:rsidR="008C56BC" w:rsidRPr="00B80955" w:rsidRDefault="008C56BC" w:rsidP="00B80955">
      <w:pPr>
        <w:rPr>
          <w:rFonts w:cs="Arial"/>
          <w:b/>
          <w:bCs/>
          <w:szCs w:val="24"/>
          <w:lang w:val="en-IN"/>
        </w:rPr>
      </w:pPr>
      <w:r w:rsidRPr="00B80955">
        <w:rPr>
          <w:rFonts w:cs="Arial"/>
          <w:b/>
          <w:bCs/>
          <w:szCs w:val="24"/>
          <w:lang w:val="en-IN"/>
        </w:rPr>
        <w:br w:type="page"/>
      </w:r>
    </w:p>
    <w:sdt>
      <w:sdtPr>
        <w:rPr>
          <w:rFonts w:ascii="Arial" w:eastAsiaTheme="minorHAnsi" w:hAnsi="Arial" w:cs="Arial"/>
          <w:color w:val="auto"/>
          <w:kern w:val="2"/>
          <w:sz w:val="24"/>
          <w:szCs w:val="24"/>
          <w:lang w:val="en-GB"/>
          <w14:ligatures w14:val="standardContextual"/>
        </w:rPr>
        <w:id w:val="948052003"/>
        <w:docPartObj>
          <w:docPartGallery w:val="Table of Contents"/>
          <w:docPartUnique/>
        </w:docPartObj>
      </w:sdtPr>
      <w:sdtEndPr>
        <w:rPr>
          <w:b/>
          <w:bCs/>
          <w:noProof/>
        </w:rPr>
      </w:sdtEndPr>
      <w:sdtContent>
        <w:p w14:paraId="2D77CD5E" w14:textId="1DE95A7E" w:rsidR="008C56BC" w:rsidRPr="00B80955" w:rsidRDefault="008C56BC" w:rsidP="00B80955">
          <w:pPr>
            <w:pStyle w:val="TOCHeading"/>
            <w:spacing w:after="240" w:line="360" w:lineRule="auto"/>
            <w:rPr>
              <w:rFonts w:ascii="Arial" w:hAnsi="Arial" w:cs="Arial"/>
              <w:b/>
              <w:bCs/>
              <w:color w:val="auto"/>
              <w:sz w:val="24"/>
              <w:szCs w:val="24"/>
            </w:rPr>
          </w:pPr>
          <w:r w:rsidRPr="00B80955">
            <w:rPr>
              <w:rFonts w:ascii="Arial" w:hAnsi="Arial" w:cs="Arial"/>
              <w:b/>
              <w:bCs/>
              <w:color w:val="auto"/>
              <w:sz w:val="24"/>
              <w:szCs w:val="24"/>
            </w:rPr>
            <w:t>Table of Contents</w:t>
          </w:r>
        </w:p>
        <w:p w14:paraId="60EE5301" w14:textId="13EE222D" w:rsidR="009D12C0" w:rsidRDefault="008C56BC">
          <w:pPr>
            <w:pStyle w:val="TOC1"/>
            <w:tabs>
              <w:tab w:val="right" w:leader="dot" w:pos="9016"/>
            </w:tabs>
            <w:rPr>
              <w:rFonts w:asciiTheme="minorHAnsi" w:eastAsiaTheme="minorEastAsia" w:hAnsiTheme="minorHAnsi"/>
              <w:noProof/>
              <w:szCs w:val="24"/>
              <w:lang w:val="en-IN" w:eastAsia="en-IN"/>
            </w:rPr>
          </w:pPr>
          <w:r w:rsidRPr="00B80955">
            <w:rPr>
              <w:rFonts w:cs="Arial"/>
              <w:szCs w:val="24"/>
            </w:rPr>
            <w:fldChar w:fldCharType="begin"/>
          </w:r>
          <w:r w:rsidRPr="00B80955">
            <w:rPr>
              <w:rFonts w:cs="Arial"/>
              <w:szCs w:val="24"/>
            </w:rPr>
            <w:instrText xml:space="preserve"> TOC \o "1-3" \h \z \u </w:instrText>
          </w:r>
          <w:r w:rsidRPr="00B80955">
            <w:rPr>
              <w:rFonts w:cs="Arial"/>
              <w:szCs w:val="24"/>
            </w:rPr>
            <w:fldChar w:fldCharType="separate"/>
          </w:r>
          <w:hyperlink w:anchor="_Toc210822718" w:history="1">
            <w:r w:rsidR="009D12C0" w:rsidRPr="006B75AB">
              <w:rPr>
                <w:rStyle w:val="Hyperlink"/>
                <w:noProof/>
                <w:lang w:val="en-IN"/>
              </w:rPr>
              <w:t>Introduction</w:t>
            </w:r>
            <w:r w:rsidR="009D12C0">
              <w:rPr>
                <w:noProof/>
                <w:webHidden/>
              </w:rPr>
              <w:tab/>
            </w:r>
            <w:r w:rsidR="009D12C0">
              <w:rPr>
                <w:noProof/>
                <w:webHidden/>
              </w:rPr>
              <w:fldChar w:fldCharType="begin"/>
            </w:r>
            <w:r w:rsidR="009D12C0">
              <w:rPr>
                <w:noProof/>
                <w:webHidden/>
              </w:rPr>
              <w:instrText xml:space="preserve"> PAGEREF _Toc210822718 \h </w:instrText>
            </w:r>
            <w:r w:rsidR="009D12C0">
              <w:rPr>
                <w:noProof/>
                <w:webHidden/>
              </w:rPr>
            </w:r>
            <w:r w:rsidR="009D12C0">
              <w:rPr>
                <w:noProof/>
                <w:webHidden/>
              </w:rPr>
              <w:fldChar w:fldCharType="separate"/>
            </w:r>
            <w:r w:rsidR="009D12C0">
              <w:rPr>
                <w:noProof/>
                <w:webHidden/>
              </w:rPr>
              <w:t>4</w:t>
            </w:r>
            <w:r w:rsidR="009D12C0">
              <w:rPr>
                <w:noProof/>
                <w:webHidden/>
              </w:rPr>
              <w:fldChar w:fldCharType="end"/>
            </w:r>
          </w:hyperlink>
        </w:p>
        <w:p w14:paraId="31F32D59" w14:textId="25C1FE96" w:rsidR="009D12C0" w:rsidRDefault="00000000">
          <w:pPr>
            <w:pStyle w:val="TOC1"/>
            <w:tabs>
              <w:tab w:val="right" w:leader="dot" w:pos="9016"/>
            </w:tabs>
            <w:rPr>
              <w:rFonts w:asciiTheme="minorHAnsi" w:eastAsiaTheme="minorEastAsia" w:hAnsiTheme="minorHAnsi"/>
              <w:noProof/>
              <w:szCs w:val="24"/>
              <w:lang w:val="en-IN" w:eastAsia="en-IN"/>
            </w:rPr>
          </w:pPr>
          <w:hyperlink w:anchor="_Toc210822719" w:history="1">
            <w:r w:rsidR="009D12C0" w:rsidRPr="006B75AB">
              <w:rPr>
                <w:rStyle w:val="Hyperlink"/>
                <w:noProof/>
                <w:lang w:val="en-IN"/>
              </w:rPr>
              <w:t>Financial Health Analysis</w:t>
            </w:r>
            <w:r w:rsidR="009D12C0">
              <w:rPr>
                <w:noProof/>
                <w:webHidden/>
              </w:rPr>
              <w:tab/>
            </w:r>
            <w:r w:rsidR="009D12C0">
              <w:rPr>
                <w:noProof/>
                <w:webHidden/>
              </w:rPr>
              <w:fldChar w:fldCharType="begin"/>
            </w:r>
            <w:r w:rsidR="009D12C0">
              <w:rPr>
                <w:noProof/>
                <w:webHidden/>
              </w:rPr>
              <w:instrText xml:space="preserve"> PAGEREF _Toc210822719 \h </w:instrText>
            </w:r>
            <w:r w:rsidR="009D12C0">
              <w:rPr>
                <w:noProof/>
                <w:webHidden/>
              </w:rPr>
            </w:r>
            <w:r w:rsidR="009D12C0">
              <w:rPr>
                <w:noProof/>
                <w:webHidden/>
              </w:rPr>
              <w:fldChar w:fldCharType="separate"/>
            </w:r>
            <w:r w:rsidR="009D12C0">
              <w:rPr>
                <w:noProof/>
                <w:webHidden/>
              </w:rPr>
              <w:t>5</w:t>
            </w:r>
            <w:r w:rsidR="009D12C0">
              <w:rPr>
                <w:noProof/>
                <w:webHidden/>
              </w:rPr>
              <w:fldChar w:fldCharType="end"/>
            </w:r>
          </w:hyperlink>
        </w:p>
        <w:p w14:paraId="591F7CF5" w14:textId="134F16CC" w:rsidR="009D12C0" w:rsidRDefault="00000000">
          <w:pPr>
            <w:pStyle w:val="TOC2"/>
            <w:tabs>
              <w:tab w:val="right" w:leader="dot" w:pos="9016"/>
            </w:tabs>
            <w:rPr>
              <w:rFonts w:asciiTheme="minorHAnsi" w:eastAsiaTheme="minorEastAsia" w:hAnsiTheme="minorHAnsi"/>
              <w:noProof/>
              <w:szCs w:val="24"/>
              <w:lang w:val="en-IN" w:eastAsia="en-IN"/>
            </w:rPr>
          </w:pPr>
          <w:hyperlink w:anchor="_Toc210822720" w:history="1">
            <w:r w:rsidR="009D12C0" w:rsidRPr="006B75AB">
              <w:rPr>
                <w:rStyle w:val="Hyperlink"/>
                <w:noProof/>
                <w:lang w:val="en-IN"/>
              </w:rPr>
              <w:t>Profitability Ratios</w:t>
            </w:r>
            <w:r w:rsidR="009D12C0">
              <w:rPr>
                <w:noProof/>
                <w:webHidden/>
              </w:rPr>
              <w:tab/>
            </w:r>
            <w:r w:rsidR="009D12C0">
              <w:rPr>
                <w:noProof/>
                <w:webHidden/>
              </w:rPr>
              <w:fldChar w:fldCharType="begin"/>
            </w:r>
            <w:r w:rsidR="009D12C0">
              <w:rPr>
                <w:noProof/>
                <w:webHidden/>
              </w:rPr>
              <w:instrText xml:space="preserve"> PAGEREF _Toc210822720 \h </w:instrText>
            </w:r>
            <w:r w:rsidR="009D12C0">
              <w:rPr>
                <w:noProof/>
                <w:webHidden/>
              </w:rPr>
            </w:r>
            <w:r w:rsidR="009D12C0">
              <w:rPr>
                <w:noProof/>
                <w:webHidden/>
              </w:rPr>
              <w:fldChar w:fldCharType="separate"/>
            </w:r>
            <w:r w:rsidR="009D12C0">
              <w:rPr>
                <w:noProof/>
                <w:webHidden/>
              </w:rPr>
              <w:t>5</w:t>
            </w:r>
            <w:r w:rsidR="009D12C0">
              <w:rPr>
                <w:noProof/>
                <w:webHidden/>
              </w:rPr>
              <w:fldChar w:fldCharType="end"/>
            </w:r>
          </w:hyperlink>
        </w:p>
        <w:p w14:paraId="2809A3BD" w14:textId="5F1BC462" w:rsidR="009D12C0" w:rsidRDefault="00000000">
          <w:pPr>
            <w:pStyle w:val="TOC2"/>
            <w:tabs>
              <w:tab w:val="right" w:leader="dot" w:pos="9016"/>
            </w:tabs>
            <w:rPr>
              <w:rFonts w:asciiTheme="minorHAnsi" w:eastAsiaTheme="minorEastAsia" w:hAnsiTheme="minorHAnsi"/>
              <w:noProof/>
              <w:szCs w:val="24"/>
              <w:lang w:val="en-IN" w:eastAsia="en-IN"/>
            </w:rPr>
          </w:pPr>
          <w:hyperlink w:anchor="_Toc210822721" w:history="1">
            <w:r w:rsidR="009D12C0" w:rsidRPr="006B75AB">
              <w:rPr>
                <w:rStyle w:val="Hyperlink"/>
                <w:noProof/>
                <w:lang w:val="en-IN"/>
              </w:rPr>
              <w:t>Liquidity Ratios</w:t>
            </w:r>
            <w:r w:rsidR="009D12C0">
              <w:rPr>
                <w:noProof/>
                <w:webHidden/>
              </w:rPr>
              <w:tab/>
            </w:r>
            <w:r w:rsidR="009D12C0">
              <w:rPr>
                <w:noProof/>
                <w:webHidden/>
              </w:rPr>
              <w:fldChar w:fldCharType="begin"/>
            </w:r>
            <w:r w:rsidR="009D12C0">
              <w:rPr>
                <w:noProof/>
                <w:webHidden/>
              </w:rPr>
              <w:instrText xml:space="preserve"> PAGEREF _Toc210822721 \h </w:instrText>
            </w:r>
            <w:r w:rsidR="009D12C0">
              <w:rPr>
                <w:noProof/>
                <w:webHidden/>
              </w:rPr>
            </w:r>
            <w:r w:rsidR="009D12C0">
              <w:rPr>
                <w:noProof/>
                <w:webHidden/>
              </w:rPr>
              <w:fldChar w:fldCharType="separate"/>
            </w:r>
            <w:r w:rsidR="009D12C0">
              <w:rPr>
                <w:noProof/>
                <w:webHidden/>
              </w:rPr>
              <w:t>6</w:t>
            </w:r>
            <w:r w:rsidR="009D12C0">
              <w:rPr>
                <w:noProof/>
                <w:webHidden/>
              </w:rPr>
              <w:fldChar w:fldCharType="end"/>
            </w:r>
          </w:hyperlink>
        </w:p>
        <w:p w14:paraId="14DB503F" w14:textId="75624DC9" w:rsidR="009D12C0" w:rsidRDefault="00000000">
          <w:pPr>
            <w:pStyle w:val="TOC2"/>
            <w:tabs>
              <w:tab w:val="right" w:leader="dot" w:pos="9016"/>
            </w:tabs>
            <w:rPr>
              <w:rFonts w:asciiTheme="minorHAnsi" w:eastAsiaTheme="minorEastAsia" w:hAnsiTheme="minorHAnsi"/>
              <w:noProof/>
              <w:szCs w:val="24"/>
              <w:lang w:val="en-IN" w:eastAsia="en-IN"/>
            </w:rPr>
          </w:pPr>
          <w:hyperlink w:anchor="_Toc210822722" w:history="1">
            <w:r w:rsidR="009D12C0" w:rsidRPr="006B75AB">
              <w:rPr>
                <w:rStyle w:val="Hyperlink"/>
                <w:noProof/>
              </w:rPr>
              <w:t>Gearing Ratios</w:t>
            </w:r>
            <w:r w:rsidR="009D12C0">
              <w:rPr>
                <w:noProof/>
                <w:webHidden/>
              </w:rPr>
              <w:tab/>
            </w:r>
            <w:r w:rsidR="009D12C0">
              <w:rPr>
                <w:noProof/>
                <w:webHidden/>
              </w:rPr>
              <w:fldChar w:fldCharType="begin"/>
            </w:r>
            <w:r w:rsidR="009D12C0">
              <w:rPr>
                <w:noProof/>
                <w:webHidden/>
              </w:rPr>
              <w:instrText xml:space="preserve"> PAGEREF _Toc210822722 \h </w:instrText>
            </w:r>
            <w:r w:rsidR="009D12C0">
              <w:rPr>
                <w:noProof/>
                <w:webHidden/>
              </w:rPr>
            </w:r>
            <w:r w:rsidR="009D12C0">
              <w:rPr>
                <w:noProof/>
                <w:webHidden/>
              </w:rPr>
              <w:fldChar w:fldCharType="separate"/>
            </w:r>
            <w:r w:rsidR="009D12C0">
              <w:rPr>
                <w:noProof/>
                <w:webHidden/>
              </w:rPr>
              <w:t>7</w:t>
            </w:r>
            <w:r w:rsidR="009D12C0">
              <w:rPr>
                <w:noProof/>
                <w:webHidden/>
              </w:rPr>
              <w:fldChar w:fldCharType="end"/>
            </w:r>
          </w:hyperlink>
        </w:p>
        <w:p w14:paraId="3CA23869" w14:textId="0F24E2AF" w:rsidR="009D12C0" w:rsidRDefault="00000000">
          <w:pPr>
            <w:pStyle w:val="TOC2"/>
            <w:tabs>
              <w:tab w:val="right" w:leader="dot" w:pos="9016"/>
            </w:tabs>
            <w:rPr>
              <w:rFonts w:asciiTheme="minorHAnsi" w:eastAsiaTheme="minorEastAsia" w:hAnsiTheme="minorHAnsi"/>
              <w:noProof/>
              <w:szCs w:val="24"/>
              <w:lang w:val="en-IN" w:eastAsia="en-IN"/>
            </w:rPr>
          </w:pPr>
          <w:hyperlink w:anchor="_Toc210822723" w:history="1">
            <w:r w:rsidR="009D12C0" w:rsidRPr="006B75AB">
              <w:rPr>
                <w:rStyle w:val="Hyperlink"/>
                <w:noProof/>
              </w:rPr>
              <w:t>Efficiency Ratios</w:t>
            </w:r>
            <w:r w:rsidR="009D12C0">
              <w:rPr>
                <w:noProof/>
                <w:webHidden/>
              </w:rPr>
              <w:tab/>
            </w:r>
            <w:r w:rsidR="009D12C0">
              <w:rPr>
                <w:noProof/>
                <w:webHidden/>
              </w:rPr>
              <w:fldChar w:fldCharType="begin"/>
            </w:r>
            <w:r w:rsidR="009D12C0">
              <w:rPr>
                <w:noProof/>
                <w:webHidden/>
              </w:rPr>
              <w:instrText xml:space="preserve"> PAGEREF _Toc210822723 \h </w:instrText>
            </w:r>
            <w:r w:rsidR="009D12C0">
              <w:rPr>
                <w:noProof/>
                <w:webHidden/>
              </w:rPr>
            </w:r>
            <w:r w:rsidR="009D12C0">
              <w:rPr>
                <w:noProof/>
                <w:webHidden/>
              </w:rPr>
              <w:fldChar w:fldCharType="separate"/>
            </w:r>
            <w:r w:rsidR="009D12C0">
              <w:rPr>
                <w:noProof/>
                <w:webHidden/>
              </w:rPr>
              <w:t>7</w:t>
            </w:r>
            <w:r w:rsidR="009D12C0">
              <w:rPr>
                <w:noProof/>
                <w:webHidden/>
              </w:rPr>
              <w:fldChar w:fldCharType="end"/>
            </w:r>
          </w:hyperlink>
        </w:p>
        <w:p w14:paraId="365ADE79" w14:textId="7C1C304C" w:rsidR="009D12C0" w:rsidRDefault="00000000">
          <w:pPr>
            <w:pStyle w:val="TOC2"/>
            <w:tabs>
              <w:tab w:val="right" w:leader="dot" w:pos="9016"/>
            </w:tabs>
            <w:rPr>
              <w:rFonts w:asciiTheme="minorHAnsi" w:eastAsiaTheme="minorEastAsia" w:hAnsiTheme="minorHAnsi"/>
              <w:noProof/>
              <w:szCs w:val="24"/>
              <w:lang w:val="en-IN" w:eastAsia="en-IN"/>
            </w:rPr>
          </w:pPr>
          <w:hyperlink w:anchor="_Toc210822724" w:history="1">
            <w:r w:rsidR="009D12C0" w:rsidRPr="006B75AB">
              <w:rPr>
                <w:rStyle w:val="Hyperlink"/>
                <w:noProof/>
              </w:rPr>
              <w:t>Investment Ratios</w:t>
            </w:r>
            <w:r w:rsidR="009D12C0">
              <w:rPr>
                <w:noProof/>
                <w:webHidden/>
              </w:rPr>
              <w:tab/>
            </w:r>
            <w:r w:rsidR="009D12C0">
              <w:rPr>
                <w:noProof/>
                <w:webHidden/>
              </w:rPr>
              <w:fldChar w:fldCharType="begin"/>
            </w:r>
            <w:r w:rsidR="009D12C0">
              <w:rPr>
                <w:noProof/>
                <w:webHidden/>
              </w:rPr>
              <w:instrText xml:space="preserve"> PAGEREF _Toc210822724 \h </w:instrText>
            </w:r>
            <w:r w:rsidR="009D12C0">
              <w:rPr>
                <w:noProof/>
                <w:webHidden/>
              </w:rPr>
            </w:r>
            <w:r w:rsidR="009D12C0">
              <w:rPr>
                <w:noProof/>
                <w:webHidden/>
              </w:rPr>
              <w:fldChar w:fldCharType="separate"/>
            </w:r>
            <w:r w:rsidR="009D12C0">
              <w:rPr>
                <w:noProof/>
                <w:webHidden/>
              </w:rPr>
              <w:t>8</w:t>
            </w:r>
            <w:r w:rsidR="009D12C0">
              <w:rPr>
                <w:noProof/>
                <w:webHidden/>
              </w:rPr>
              <w:fldChar w:fldCharType="end"/>
            </w:r>
          </w:hyperlink>
        </w:p>
        <w:p w14:paraId="5715A8FD" w14:textId="21CD5596" w:rsidR="009D12C0" w:rsidRDefault="00000000">
          <w:pPr>
            <w:pStyle w:val="TOC2"/>
            <w:tabs>
              <w:tab w:val="right" w:leader="dot" w:pos="9016"/>
            </w:tabs>
            <w:rPr>
              <w:rFonts w:asciiTheme="minorHAnsi" w:eastAsiaTheme="minorEastAsia" w:hAnsiTheme="minorHAnsi"/>
              <w:noProof/>
              <w:szCs w:val="24"/>
              <w:lang w:val="en-IN" w:eastAsia="en-IN"/>
            </w:rPr>
          </w:pPr>
          <w:hyperlink w:anchor="_Toc210822725" w:history="1">
            <w:r w:rsidR="009D12C0" w:rsidRPr="006B75AB">
              <w:rPr>
                <w:rStyle w:val="Hyperlink"/>
                <w:noProof/>
              </w:rPr>
              <w:t>Cash Flow Ratios</w:t>
            </w:r>
            <w:r w:rsidR="009D12C0">
              <w:rPr>
                <w:noProof/>
                <w:webHidden/>
              </w:rPr>
              <w:tab/>
            </w:r>
            <w:r w:rsidR="009D12C0">
              <w:rPr>
                <w:noProof/>
                <w:webHidden/>
              </w:rPr>
              <w:fldChar w:fldCharType="begin"/>
            </w:r>
            <w:r w:rsidR="009D12C0">
              <w:rPr>
                <w:noProof/>
                <w:webHidden/>
              </w:rPr>
              <w:instrText xml:space="preserve"> PAGEREF _Toc210822725 \h </w:instrText>
            </w:r>
            <w:r w:rsidR="009D12C0">
              <w:rPr>
                <w:noProof/>
                <w:webHidden/>
              </w:rPr>
            </w:r>
            <w:r w:rsidR="009D12C0">
              <w:rPr>
                <w:noProof/>
                <w:webHidden/>
              </w:rPr>
              <w:fldChar w:fldCharType="separate"/>
            </w:r>
            <w:r w:rsidR="009D12C0">
              <w:rPr>
                <w:noProof/>
                <w:webHidden/>
              </w:rPr>
              <w:t>9</w:t>
            </w:r>
            <w:r w:rsidR="009D12C0">
              <w:rPr>
                <w:noProof/>
                <w:webHidden/>
              </w:rPr>
              <w:fldChar w:fldCharType="end"/>
            </w:r>
          </w:hyperlink>
        </w:p>
        <w:p w14:paraId="7500D45D" w14:textId="404C077A" w:rsidR="009D12C0" w:rsidRDefault="00000000">
          <w:pPr>
            <w:pStyle w:val="TOC2"/>
            <w:tabs>
              <w:tab w:val="right" w:leader="dot" w:pos="9016"/>
            </w:tabs>
            <w:rPr>
              <w:rFonts w:asciiTheme="minorHAnsi" w:eastAsiaTheme="minorEastAsia" w:hAnsiTheme="minorHAnsi"/>
              <w:noProof/>
              <w:szCs w:val="24"/>
              <w:lang w:val="en-IN" w:eastAsia="en-IN"/>
            </w:rPr>
          </w:pPr>
          <w:hyperlink w:anchor="_Toc210822726" w:history="1">
            <w:r w:rsidR="009D12C0" w:rsidRPr="006B75AB">
              <w:rPr>
                <w:rStyle w:val="Hyperlink"/>
                <w:noProof/>
              </w:rPr>
              <w:t>Trends, Strengths and Threats</w:t>
            </w:r>
            <w:r w:rsidR="009D12C0">
              <w:rPr>
                <w:noProof/>
                <w:webHidden/>
              </w:rPr>
              <w:tab/>
            </w:r>
            <w:r w:rsidR="009D12C0">
              <w:rPr>
                <w:noProof/>
                <w:webHidden/>
              </w:rPr>
              <w:fldChar w:fldCharType="begin"/>
            </w:r>
            <w:r w:rsidR="009D12C0">
              <w:rPr>
                <w:noProof/>
                <w:webHidden/>
              </w:rPr>
              <w:instrText xml:space="preserve"> PAGEREF _Toc210822726 \h </w:instrText>
            </w:r>
            <w:r w:rsidR="009D12C0">
              <w:rPr>
                <w:noProof/>
                <w:webHidden/>
              </w:rPr>
            </w:r>
            <w:r w:rsidR="009D12C0">
              <w:rPr>
                <w:noProof/>
                <w:webHidden/>
              </w:rPr>
              <w:fldChar w:fldCharType="separate"/>
            </w:r>
            <w:r w:rsidR="009D12C0">
              <w:rPr>
                <w:noProof/>
                <w:webHidden/>
              </w:rPr>
              <w:t>10</w:t>
            </w:r>
            <w:r w:rsidR="009D12C0">
              <w:rPr>
                <w:noProof/>
                <w:webHidden/>
              </w:rPr>
              <w:fldChar w:fldCharType="end"/>
            </w:r>
          </w:hyperlink>
        </w:p>
        <w:p w14:paraId="3BDFE78D" w14:textId="697EB8BF" w:rsidR="009D12C0" w:rsidRDefault="00000000">
          <w:pPr>
            <w:pStyle w:val="TOC2"/>
            <w:tabs>
              <w:tab w:val="right" w:leader="dot" w:pos="9016"/>
            </w:tabs>
            <w:rPr>
              <w:rFonts w:asciiTheme="minorHAnsi" w:eastAsiaTheme="minorEastAsia" w:hAnsiTheme="minorHAnsi"/>
              <w:noProof/>
              <w:szCs w:val="24"/>
              <w:lang w:val="en-IN" w:eastAsia="en-IN"/>
            </w:rPr>
          </w:pPr>
          <w:hyperlink w:anchor="_Toc210822727" w:history="1">
            <w:r w:rsidR="009D12C0" w:rsidRPr="006B75AB">
              <w:rPr>
                <w:rStyle w:val="Hyperlink"/>
                <w:noProof/>
              </w:rPr>
              <w:t>Altman Z-Score Model</w:t>
            </w:r>
            <w:r w:rsidR="009D12C0">
              <w:rPr>
                <w:noProof/>
                <w:webHidden/>
              </w:rPr>
              <w:tab/>
            </w:r>
            <w:r w:rsidR="009D12C0">
              <w:rPr>
                <w:noProof/>
                <w:webHidden/>
              </w:rPr>
              <w:fldChar w:fldCharType="begin"/>
            </w:r>
            <w:r w:rsidR="009D12C0">
              <w:rPr>
                <w:noProof/>
                <w:webHidden/>
              </w:rPr>
              <w:instrText xml:space="preserve"> PAGEREF _Toc210822727 \h </w:instrText>
            </w:r>
            <w:r w:rsidR="009D12C0">
              <w:rPr>
                <w:noProof/>
                <w:webHidden/>
              </w:rPr>
            </w:r>
            <w:r w:rsidR="009D12C0">
              <w:rPr>
                <w:noProof/>
                <w:webHidden/>
              </w:rPr>
              <w:fldChar w:fldCharType="separate"/>
            </w:r>
            <w:r w:rsidR="009D12C0">
              <w:rPr>
                <w:noProof/>
                <w:webHidden/>
              </w:rPr>
              <w:t>11</w:t>
            </w:r>
            <w:r w:rsidR="009D12C0">
              <w:rPr>
                <w:noProof/>
                <w:webHidden/>
              </w:rPr>
              <w:fldChar w:fldCharType="end"/>
            </w:r>
          </w:hyperlink>
        </w:p>
        <w:p w14:paraId="17C2D821" w14:textId="4EFC6701" w:rsidR="009D12C0" w:rsidRDefault="00000000">
          <w:pPr>
            <w:pStyle w:val="TOC1"/>
            <w:tabs>
              <w:tab w:val="right" w:leader="dot" w:pos="9016"/>
            </w:tabs>
            <w:rPr>
              <w:rFonts w:asciiTheme="minorHAnsi" w:eastAsiaTheme="minorEastAsia" w:hAnsiTheme="minorHAnsi"/>
              <w:noProof/>
              <w:szCs w:val="24"/>
              <w:lang w:val="en-IN" w:eastAsia="en-IN"/>
            </w:rPr>
          </w:pPr>
          <w:hyperlink w:anchor="_Toc210822728" w:history="1">
            <w:r w:rsidR="009D12C0" w:rsidRPr="006B75AB">
              <w:rPr>
                <w:rStyle w:val="Hyperlink"/>
                <w:rFonts w:cs="Arial"/>
                <w:noProof/>
                <w:lang w:val="en-IN"/>
              </w:rPr>
              <w:t>Working Capital Management Analysis</w:t>
            </w:r>
            <w:r w:rsidR="009D12C0">
              <w:rPr>
                <w:noProof/>
                <w:webHidden/>
              </w:rPr>
              <w:tab/>
            </w:r>
            <w:r w:rsidR="009D12C0">
              <w:rPr>
                <w:noProof/>
                <w:webHidden/>
              </w:rPr>
              <w:fldChar w:fldCharType="begin"/>
            </w:r>
            <w:r w:rsidR="009D12C0">
              <w:rPr>
                <w:noProof/>
                <w:webHidden/>
              </w:rPr>
              <w:instrText xml:space="preserve"> PAGEREF _Toc210822728 \h </w:instrText>
            </w:r>
            <w:r w:rsidR="009D12C0">
              <w:rPr>
                <w:noProof/>
                <w:webHidden/>
              </w:rPr>
            </w:r>
            <w:r w:rsidR="009D12C0">
              <w:rPr>
                <w:noProof/>
                <w:webHidden/>
              </w:rPr>
              <w:fldChar w:fldCharType="separate"/>
            </w:r>
            <w:r w:rsidR="009D12C0">
              <w:rPr>
                <w:noProof/>
                <w:webHidden/>
              </w:rPr>
              <w:t>14</w:t>
            </w:r>
            <w:r w:rsidR="009D12C0">
              <w:rPr>
                <w:noProof/>
                <w:webHidden/>
              </w:rPr>
              <w:fldChar w:fldCharType="end"/>
            </w:r>
          </w:hyperlink>
        </w:p>
        <w:p w14:paraId="28EA1D8A" w14:textId="12E2D19C" w:rsidR="009D12C0" w:rsidRDefault="00000000">
          <w:pPr>
            <w:pStyle w:val="TOC2"/>
            <w:tabs>
              <w:tab w:val="left" w:pos="720"/>
              <w:tab w:val="right" w:leader="dot" w:pos="9016"/>
            </w:tabs>
            <w:rPr>
              <w:rFonts w:asciiTheme="minorHAnsi" w:eastAsiaTheme="minorEastAsia" w:hAnsiTheme="minorHAnsi"/>
              <w:noProof/>
              <w:szCs w:val="24"/>
              <w:lang w:val="en-IN" w:eastAsia="en-IN"/>
            </w:rPr>
          </w:pPr>
          <w:hyperlink w:anchor="_Toc210822729" w:history="1">
            <w:r w:rsidR="009D12C0" w:rsidRPr="006B75AB">
              <w:rPr>
                <w:rStyle w:val="Hyperlink"/>
                <w:rFonts w:cs="Arial"/>
                <w:noProof/>
                <w:lang w:val="en-IN"/>
              </w:rPr>
              <w:t>a.</w:t>
            </w:r>
            <w:r w:rsidR="009D12C0">
              <w:rPr>
                <w:rFonts w:asciiTheme="minorHAnsi" w:eastAsiaTheme="minorEastAsia" w:hAnsiTheme="minorHAnsi"/>
                <w:noProof/>
                <w:szCs w:val="24"/>
                <w:lang w:val="en-IN" w:eastAsia="en-IN"/>
              </w:rPr>
              <w:tab/>
            </w:r>
            <w:r w:rsidR="009D12C0" w:rsidRPr="006B75AB">
              <w:rPr>
                <w:rStyle w:val="Hyperlink"/>
                <w:rFonts w:cs="Arial"/>
                <w:noProof/>
                <w:lang w:val="en-IN"/>
              </w:rPr>
              <w:t>Assessment of the Cash Operating Cycle</w:t>
            </w:r>
            <w:r w:rsidR="009D12C0">
              <w:rPr>
                <w:noProof/>
                <w:webHidden/>
              </w:rPr>
              <w:tab/>
            </w:r>
            <w:r w:rsidR="009D12C0">
              <w:rPr>
                <w:noProof/>
                <w:webHidden/>
              </w:rPr>
              <w:fldChar w:fldCharType="begin"/>
            </w:r>
            <w:r w:rsidR="009D12C0">
              <w:rPr>
                <w:noProof/>
                <w:webHidden/>
              </w:rPr>
              <w:instrText xml:space="preserve"> PAGEREF _Toc210822729 \h </w:instrText>
            </w:r>
            <w:r w:rsidR="009D12C0">
              <w:rPr>
                <w:noProof/>
                <w:webHidden/>
              </w:rPr>
            </w:r>
            <w:r w:rsidR="009D12C0">
              <w:rPr>
                <w:noProof/>
                <w:webHidden/>
              </w:rPr>
              <w:fldChar w:fldCharType="separate"/>
            </w:r>
            <w:r w:rsidR="009D12C0">
              <w:rPr>
                <w:noProof/>
                <w:webHidden/>
              </w:rPr>
              <w:t>14</w:t>
            </w:r>
            <w:r w:rsidR="009D12C0">
              <w:rPr>
                <w:noProof/>
                <w:webHidden/>
              </w:rPr>
              <w:fldChar w:fldCharType="end"/>
            </w:r>
          </w:hyperlink>
        </w:p>
        <w:p w14:paraId="387C0FC6" w14:textId="07E8133C" w:rsidR="009D12C0" w:rsidRDefault="00000000">
          <w:pPr>
            <w:pStyle w:val="TOC2"/>
            <w:tabs>
              <w:tab w:val="left" w:pos="720"/>
              <w:tab w:val="right" w:leader="dot" w:pos="9016"/>
            </w:tabs>
            <w:rPr>
              <w:rFonts w:asciiTheme="minorHAnsi" w:eastAsiaTheme="minorEastAsia" w:hAnsiTheme="minorHAnsi"/>
              <w:noProof/>
              <w:szCs w:val="24"/>
              <w:lang w:val="en-IN" w:eastAsia="en-IN"/>
            </w:rPr>
          </w:pPr>
          <w:hyperlink w:anchor="_Toc210822730" w:history="1">
            <w:r w:rsidR="009D12C0" w:rsidRPr="006B75AB">
              <w:rPr>
                <w:rStyle w:val="Hyperlink"/>
                <w:rFonts w:cs="Arial"/>
                <w:noProof/>
                <w:lang w:val="en-IN"/>
              </w:rPr>
              <w:t>b.</w:t>
            </w:r>
            <w:r w:rsidR="009D12C0">
              <w:rPr>
                <w:rFonts w:asciiTheme="minorHAnsi" w:eastAsiaTheme="minorEastAsia" w:hAnsiTheme="minorHAnsi"/>
                <w:noProof/>
                <w:szCs w:val="24"/>
                <w:lang w:val="en-IN" w:eastAsia="en-IN"/>
              </w:rPr>
              <w:tab/>
            </w:r>
            <w:r w:rsidR="009D12C0" w:rsidRPr="006B75AB">
              <w:rPr>
                <w:rStyle w:val="Hyperlink"/>
                <w:rFonts w:cs="Arial"/>
                <w:noProof/>
                <w:lang w:val="en-IN"/>
              </w:rPr>
              <w:t>Strategies to improve liquidity and working capital efficiency</w:t>
            </w:r>
            <w:r w:rsidR="009D12C0">
              <w:rPr>
                <w:noProof/>
                <w:webHidden/>
              </w:rPr>
              <w:tab/>
            </w:r>
            <w:r w:rsidR="009D12C0">
              <w:rPr>
                <w:noProof/>
                <w:webHidden/>
              </w:rPr>
              <w:fldChar w:fldCharType="begin"/>
            </w:r>
            <w:r w:rsidR="009D12C0">
              <w:rPr>
                <w:noProof/>
                <w:webHidden/>
              </w:rPr>
              <w:instrText xml:space="preserve"> PAGEREF _Toc210822730 \h </w:instrText>
            </w:r>
            <w:r w:rsidR="009D12C0">
              <w:rPr>
                <w:noProof/>
                <w:webHidden/>
              </w:rPr>
            </w:r>
            <w:r w:rsidR="009D12C0">
              <w:rPr>
                <w:noProof/>
                <w:webHidden/>
              </w:rPr>
              <w:fldChar w:fldCharType="separate"/>
            </w:r>
            <w:r w:rsidR="009D12C0">
              <w:rPr>
                <w:noProof/>
                <w:webHidden/>
              </w:rPr>
              <w:t>15</w:t>
            </w:r>
            <w:r w:rsidR="009D12C0">
              <w:rPr>
                <w:noProof/>
                <w:webHidden/>
              </w:rPr>
              <w:fldChar w:fldCharType="end"/>
            </w:r>
          </w:hyperlink>
        </w:p>
        <w:p w14:paraId="0A75F434" w14:textId="5FFB83F1" w:rsidR="009D12C0" w:rsidRDefault="00000000">
          <w:pPr>
            <w:pStyle w:val="TOC2"/>
            <w:tabs>
              <w:tab w:val="left" w:pos="720"/>
              <w:tab w:val="right" w:leader="dot" w:pos="9016"/>
            </w:tabs>
            <w:rPr>
              <w:rFonts w:asciiTheme="minorHAnsi" w:eastAsiaTheme="minorEastAsia" w:hAnsiTheme="minorHAnsi"/>
              <w:noProof/>
              <w:szCs w:val="24"/>
              <w:lang w:val="en-IN" w:eastAsia="en-IN"/>
            </w:rPr>
          </w:pPr>
          <w:hyperlink w:anchor="_Toc210822731" w:history="1">
            <w:r w:rsidR="009D12C0" w:rsidRPr="006B75AB">
              <w:rPr>
                <w:rStyle w:val="Hyperlink"/>
                <w:noProof/>
              </w:rPr>
              <w:t>c.</w:t>
            </w:r>
            <w:r w:rsidR="009D12C0">
              <w:rPr>
                <w:rFonts w:asciiTheme="minorHAnsi" w:eastAsiaTheme="minorEastAsia" w:hAnsiTheme="minorHAnsi"/>
                <w:noProof/>
                <w:szCs w:val="24"/>
                <w:lang w:val="en-IN" w:eastAsia="en-IN"/>
              </w:rPr>
              <w:tab/>
            </w:r>
            <w:r w:rsidR="009D12C0" w:rsidRPr="006B75AB">
              <w:rPr>
                <w:rStyle w:val="Hyperlink"/>
                <w:noProof/>
              </w:rPr>
              <w:t>Comparing Short-term and Long-term Financing Options</w:t>
            </w:r>
            <w:r w:rsidR="009D12C0">
              <w:rPr>
                <w:noProof/>
                <w:webHidden/>
              </w:rPr>
              <w:tab/>
            </w:r>
            <w:r w:rsidR="009D12C0">
              <w:rPr>
                <w:noProof/>
                <w:webHidden/>
              </w:rPr>
              <w:fldChar w:fldCharType="begin"/>
            </w:r>
            <w:r w:rsidR="009D12C0">
              <w:rPr>
                <w:noProof/>
                <w:webHidden/>
              </w:rPr>
              <w:instrText xml:space="preserve"> PAGEREF _Toc210822731 \h </w:instrText>
            </w:r>
            <w:r w:rsidR="009D12C0">
              <w:rPr>
                <w:noProof/>
                <w:webHidden/>
              </w:rPr>
            </w:r>
            <w:r w:rsidR="009D12C0">
              <w:rPr>
                <w:noProof/>
                <w:webHidden/>
              </w:rPr>
              <w:fldChar w:fldCharType="separate"/>
            </w:r>
            <w:r w:rsidR="009D12C0">
              <w:rPr>
                <w:noProof/>
                <w:webHidden/>
              </w:rPr>
              <w:t>16</w:t>
            </w:r>
            <w:r w:rsidR="009D12C0">
              <w:rPr>
                <w:noProof/>
                <w:webHidden/>
              </w:rPr>
              <w:fldChar w:fldCharType="end"/>
            </w:r>
          </w:hyperlink>
        </w:p>
        <w:p w14:paraId="6A261720" w14:textId="096FE7A0" w:rsidR="009D12C0" w:rsidRDefault="00000000">
          <w:pPr>
            <w:pStyle w:val="TOC2"/>
            <w:tabs>
              <w:tab w:val="right" w:leader="dot" w:pos="9016"/>
            </w:tabs>
            <w:rPr>
              <w:rFonts w:asciiTheme="minorHAnsi" w:eastAsiaTheme="minorEastAsia" w:hAnsiTheme="minorHAnsi"/>
              <w:noProof/>
              <w:szCs w:val="24"/>
              <w:lang w:val="en-IN" w:eastAsia="en-IN"/>
            </w:rPr>
          </w:pPr>
          <w:hyperlink w:anchor="_Toc210822732" w:history="1">
            <w:r w:rsidR="009D12C0" w:rsidRPr="006B75AB">
              <w:rPr>
                <w:rStyle w:val="Hyperlink"/>
                <w:noProof/>
              </w:rPr>
              <w:t>Short-Term Financing</w:t>
            </w:r>
            <w:r w:rsidR="009D12C0">
              <w:rPr>
                <w:noProof/>
                <w:webHidden/>
              </w:rPr>
              <w:tab/>
            </w:r>
            <w:r w:rsidR="009D12C0">
              <w:rPr>
                <w:noProof/>
                <w:webHidden/>
              </w:rPr>
              <w:fldChar w:fldCharType="begin"/>
            </w:r>
            <w:r w:rsidR="009D12C0">
              <w:rPr>
                <w:noProof/>
                <w:webHidden/>
              </w:rPr>
              <w:instrText xml:space="preserve"> PAGEREF _Toc210822732 \h </w:instrText>
            </w:r>
            <w:r w:rsidR="009D12C0">
              <w:rPr>
                <w:noProof/>
                <w:webHidden/>
              </w:rPr>
            </w:r>
            <w:r w:rsidR="009D12C0">
              <w:rPr>
                <w:noProof/>
                <w:webHidden/>
              </w:rPr>
              <w:fldChar w:fldCharType="separate"/>
            </w:r>
            <w:r w:rsidR="009D12C0">
              <w:rPr>
                <w:noProof/>
                <w:webHidden/>
              </w:rPr>
              <w:t>16</w:t>
            </w:r>
            <w:r w:rsidR="009D12C0">
              <w:rPr>
                <w:noProof/>
                <w:webHidden/>
              </w:rPr>
              <w:fldChar w:fldCharType="end"/>
            </w:r>
          </w:hyperlink>
        </w:p>
        <w:p w14:paraId="52521538" w14:textId="48865DE0" w:rsidR="009D12C0" w:rsidRDefault="00000000">
          <w:pPr>
            <w:pStyle w:val="TOC2"/>
            <w:tabs>
              <w:tab w:val="right" w:leader="dot" w:pos="9016"/>
            </w:tabs>
            <w:rPr>
              <w:rFonts w:asciiTheme="minorHAnsi" w:eastAsiaTheme="minorEastAsia" w:hAnsiTheme="minorHAnsi"/>
              <w:noProof/>
              <w:szCs w:val="24"/>
              <w:lang w:val="en-IN" w:eastAsia="en-IN"/>
            </w:rPr>
          </w:pPr>
          <w:hyperlink w:anchor="_Toc210822733" w:history="1">
            <w:r w:rsidR="009D12C0" w:rsidRPr="006B75AB">
              <w:rPr>
                <w:rStyle w:val="Hyperlink"/>
                <w:noProof/>
              </w:rPr>
              <w:t>Long-Term Financing</w:t>
            </w:r>
            <w:r w:rsidR="009D12C0">
              <w:rPr>
                <w:noProof/>
                <w:webHidden/>
              </w:rPr>
              <w:tab/>
            </w:r>
            <w:r w:rsidR="009D12C0">
              <w:rPr>
                <w:noProof/>
                <w:webHidden/>
              </w:rPr>
              <w:fldChar w:fldCharType="begin"/>
            </w:r>
            <w:r w:rsidR="009D12C0">
              <w:rPr>
                <w:noProof/>
                <w:webHidden/>
              </w:rPr>
              <w:instrText xml:space="preserve"> PAGEREF _Toc210822733 \h </w:instrText>
            </w:r>
            <w:r w:rsidR="009D12C0">
              <w:rPr>
                <w:noProof/>
                <w:webHidden/>
              </w:rPr>
            </w:r>
            <w:r w:rsidR="009D12C0">
              <w:rPr>
                <w:noProof/>
                <w:webHidden/>
              </w:rPr>
              <w:fldChar w:fldCharType="separate"/>
            </w:r>
            <w:r w:rsidR="009D12C0">
              <w:rPr>
                <w:noProof/>
                <w:webHidden/>
              </w:rPr>
              <w:t>17</w:t>
            </w:r>
            <w:r w:rsidR="009D12C0">
              <w:rPr>
                <w:noProof/>
                <w:webHidden/>
              </w:rPr>
              <w:fldChar w:fldCharType="end"/>
            </w:r>
          </w:hyperlink>
        </w:p>
        <w:p w14:paraId="3204E315" w14:textId="6726E633" w:rsidR="009D12C0" w:rsidRDefault="00000000">
          <w:pPr>
            <w:pStyle w:val="TOC1"/>
            <w:tabs>
              <w:tab w:val="right" w:leader="dot" w:pos="9016"/>
            </w:tabs>
            <w:rPr>
              <w:rFonts w:asciiTheme="minorHAnsi" w:eastAsiaTheme="minorEastAsia" w:hAnsiTheme="minorHAnsi"/>
              <w:noProof/>
              <w:szCs w:val="24"/>
              <w:lang w:val="en-IN" w:eastAsia="en-IN"/>
            </w:rPr>
          </w:pPr>
          <w:hyperlink w:anchor="_Toc210822734" w:history="1">
            <w:r w:rsidR="009D12C0" w:rsidRPr="006B75AB">
              <w:rPr>
                <w:rStyle w:val="Hyperlink"/>
                <w:noProof/>
              </w:rPr>
              <w:t>Strategic Financial Restructuring Plan</w:t>
            </w:r>
            <w:r w:rsidR="009D12C0">
              <w:rPr>
                <w:noProof/>
                <w:webHidden/>
              </w:rPr>
              <w:tab/>
            </w:r>
            <w:r w:rsidR="009D12C0">
              <w:rPr>
                <w:noProof/>
                <w:webHidden/>
              </w:rPr>
              <w:fldChar w:fldCharType="begin"/>
            </w:r>
            <w:r w:rsidR="009D12C0">
              <w:rPr>
                <w:noProof/>
                <w:webHidden/>
              </w:rPr>
              <w:instrText xml:space="preserve"> PAGEREF _Toc210822734 \h </w:instrText>
            </w:r>
            <w:r w:rsidR="009D12C0">
              <w:rPr>
                <w:noProof/>
                <w:webHidden/>
              </w:rPr>
            </w:r>
            <w:r w:rsidR="009D12C0">
              <w:rPr>
                <w:noProof/>
                <w:webHidden/>
              </w:rPr>
              <w:fldChar w:fldCharType="separate"/>
            </w:r>
            <w:r w:rsidR="009D12C0">
              <w:rPr>
                <w:noProof/>
                <w:webHidden/>
              </w:rPr>
              <w:t>19</w:t>
            </w:r>
            <w:r w:rsidR="009D12C0">
              <w:rPr>
                <w:noProof/>
                <w:webHidden/>
              </w:rPr>
              <w:fldChar w:fldCharType="end"/>
            </w:r>
          </w:hyperlink>
        </w:p>
        <w:p w14:paraId="00885906" w14:textId="504ACDC3" w:rsidR="009D12C0" w:rsidRDefault="00000000">
          <w:pPr>
            <w:pStyle w:val="TOC2"/>
            <w:tabs>
              <w:tab w:val="right" w:leader="dot" w:pos="9016"/>
            </w:tabs>
            <w:rPr>
              <w:rFonts w:asciiTheme="minorHAnsi" w:eastAsiaTheme="minorEastAsia" w:hAnsiTheme="minorHAnsi"/>
              <w:noProof/>
              <w:szCs w:val="24"/>
              <w:lang w:val="en-IN" w:eastAsia="en-IN"/>
            </w:rPr>
          </w:pPr>
          <w:hyperlink w:anchor="_Toc210822735" w:history="1">
            <w:r w:rsidR="009D12C0" w:rsidRPr="006B75AB">
              <w:rPr>
                <w:rStyle w:val="Hyperlink"/>
                <w:noProof/>
              </w:rPr>
              <w:t>Recommendations for Financial Restructuring Options</w:t>
            </w:r>
            <w:r w:rsidR="009D12C0">
              <w:rPr>
                <w:noProof/>
                <w:webHidden/>
              </w:rPr>
              <w:tab/>
            </w:r>
            <w:r w:rsidR="009D12C0">
              <w:rPr>
                <w:noProof/>
                <w:webHidden/>
              </w:rPr>
              <w:fldChar w:fldCharType="begin"/>
            </w:r>
            <w:r w:rsidR="009D12C0">
              <w:rPr>
                <w:noProof/>
                <w:webHidden/>
              </w:rPr>
              <w:instrText xml:space="preserve"> PAGEREF _Toc210822735 \h </w:instrText>
            </w:r>
            <w:r w:rsidR="009D12C0">
              <w:rPr>
                <w:noProof/>
                <w:webHidden/>
              </w:rPr>
            </w:r>
            <w:r w:rsidR="009D12C0">
              <w:rPr>
                <w:noProof/>
                <w:webHidden/>
              </w:rPr>
              <w:fldChar w:fldCharType="separate"/>
            </w:r>
            <w:r w:rsidR="009D12C0">
              <w:rPr>
                <w:noProof/>
                <w:webHidden/>
              </w:rPr>
              <w:t>19</w:t>
            </w:r>
            <w:r w:rsidR="009D12C0">
              <w:rPr>
                <w:noProof/>
                <w:webHidden/>
              </w:rPr>
              <w:fldChar w:fldCharType="end"/>
            </w:r>
          </w:hyperlink>
        </w:p>
        <w:p w14:paraId="09CBFE18" w14:textId="6FADDE31" w:rsidR="009D12C0" w:rsidRDefault="00000000">
          <w:pPr>
            <w:pStyle w:val="TOC2"/>
            <w:tabs>
              <w:tab w:val="right" w:leader="dot" w:pos="9016"/>
            </w:tabs>
            <w:rPr>
              <w:rFonts w:asciiTheme="minorHAnsi" w:eastAsiaTheme="minorEastAsia" w:hAnsiTheme="minorHAnsi"/>
              <w:noProof/>
              <w:szCs w:val="24"/>
              <w:lang w:val="en-IN" w:eastAsia="en-IN"/>
            </w:rPr>
          </w:pPr>
          <w:hyperlink w:anchor="_Toc210822736" w:history="1">
            <w:r w:rsidR="009D12C0" w:rsidRPr="006B75AB">
              <w:rPr>
                <w:rStyle w:val="Hyperlink"/>
                <w:noProof/>
              </w:rPr>
              <w:t>Evaluation of Impacts</w:t>
            </w:r>
            <w:r w:rsidR="009D12C0">
              <w:rPr>
                <w:noProof/>
                <w:webHidden/>
              </w:rPr>
              <w:tab/>
            </w:r>
            <w:r w:rsidR="009D12C0">
              <w:rPr>
                <w:noProof/>
                <w:webHidden/>
              </w:rPr>
              <w:fldChar w:fldCharType="begin"/>
            </w:r>
            <w:r w:rsidR="009D12C0">
              <w:rPr>
                <w:noProof/>
                <w:webHidden/>
              </w:rPr>
              <w:instrText xml:space="preserve"> PAGEREF _Toc210822736 \h </w:instrText>
            </w:r>
            <w:r w:rsidR="009D12C0">
              <w:rPr>
                <w:noProof/>
                <w:webHidden/>
              </w:rPr>
            </w:r>
            <w:r w:rsidR="009D12C0">
              <w:rPr>
                <w:noProof/>
                <w:webHidden/>
              </w:rPr>
              <w:fldChar w:fldCharType="separate"/>
            </w:r>
            <w:r w:rsidR="009D12C0">
              <w:rPr>
                <w:noProof/>
                <w:webHidden/>
              </w:rPr>
              <w:t>21</w:t>
            </w:r>
            <w:r w:rsidR="009D12C0">
              <w:rPr>
                <w:noProof/>
                <w:webHidden/>
              </w:rPr>
              <w:fldChar w:fldCharType="end"/>
            </w:r>
          </w:hyperlink>
        </w:p>
        <w:p w14:paraId="71DF9A0F" w14:textId="20ABAEFF" w:rsidR="009D12C0" w:rsidRDefault="00000000">
          <w:pPr>
            <w:pStyle w:val="TOC2"/>
            <w:tabs>
              <w:tab w:val="right" w:leader="dot" w:pos="9016"/>
            </w:tabs>
            <w:rPr>
              <w:rFonts w:asciiTheme="minorHAnsi" w:eastAsiaTheme="minorEastAsia" w:hAnsiTheme="minorHAnsi"/>
              <w:noProof/>
              <w:szCs w:val="24"/>
              <w:lang w:val="en-IN" w:eastAsia="en-IN"/>
            </w:rPr>
          </w:pPr>
          <w:hyperlink w:anchor="_Toc210822737" w:history="1">
            <w:r w:rsidR="009D12C0" w:rsidRPr="006B75AB">
              <w:rPr>
                <w:rStyle w:val="Hyperlink"/>
                <w:noProof/>
              </w:rPr>
              <w:t>International and Ethical Considerations</w:t>
            </w:r>
            <w:r w:rsidR="009D12C0">
              <w:rPr>
                <w:noProof/>
                <w:webHidden/>
              </w:rPr>
              <w:tab/>
            </w:r>
            <w:r w:rsidR="009D12C0">
              <w:rPr>
                <w:noProof/>
                <w:webHidden/>
              </w:rPr>
              <w:fldChar w:fldCharType="begin"/>
            </w:r>
            <w:r w:rsidR="009D12C0">
              <w:rPr>
                <w:noProof/>
                <w:webHidden/>
              </w:rPr>
              <w:instrText xml:space="preserve"> PAGEREF _Toc210822737 \h </w:instrText>
            </w:r>
            <w:r w:rsidR="009D12C0">
              <w:rPr>
                <w:noProof/>
                <w:webHidden/>
              </w:rPr>
            </w:r>
            <w:r w:rsidR="009D12C0">
              <w:rPr>
                <w:noProof/>
                <w:webHidden/>
              </w:rPr>
              <w:fldChar w:fldCharType="separate"/>
            </w:r>
            <w:r w:rsidR="009D12C0">
              <w:rPr>
                <w:noProof/>
                <w:webHidden/>
              </w:rPr>
              <w:t>22</w:t>
            </w:r>
            <w:r w:rsidR="009D12C0">
              <w:rPr>
                <w:noProof/>
                <w:webHidden/>
              </w:rPr>
              <w:fldChar w:fldCharType="end"/>
            </w:r>
          </w:hyperlink>
        </w:p>
        <w:p w14:paraId="2A2637C3" w14:textId="4805D6BC" w:rsidR="009D12C0" w:rsidRDefault="00000000">
          <w:pPr>
            <w:pStyle w:val="TOC1"/>
            <w:tabs>
              <w:tab w:val="right" w:leader="dot" w:pos="9016"/>
            </w:tabs>
            <w:rPr>
              <w:rFonts w:asciiTheme="minorHAnsi" w:eastAsiaTheme="minorEastAsia" w:hAnsiTheme="minorHAnsi"/>
              <w:noProof/>
              <w:szCs w:val="24"/>
              <w:lang w:val="en-IN" w:eastAsia="en-IN"/>
            </w:rPr>
          </w:pPr>
          <w:hyperlink w:anchor="_Toc210822738" w:history="1">
            <w:r w:rsidR="009D12C0" w:rsidRPr="006B75AB">
              <w:rPr>
                <w:rStyle w:val="Hyperlink"/>
                <w:noProof/>
              </w:rPr>
              <w:t>Investment Appraisal and Capital Budgeting</w:t>
            </w:r>
            <w:r w:rsidR="009D12C0">
              <w:rPr>
                <w:noProof/>
                <w:webHidden/>
              </w:rPr>
              <w:tab/>
            </w:r>
            <w:r w:rsidR="009D12C0">
              <w:rPr>
                <w:noProof/>
                <w:webHidden/>
              </w:rPr>
              <w:fldChar w:fldCharType="begin"/>
            </w:r>
            <w:r w:rsidR="009D12C0">
              <w:rPr>
                <w:noProof/>
                <w:webHidden/>
              </w:rPr>
              <w:instrText xml:space="preserve"> PAGEREF _Toc210822738 \h </w:instrText>
            </w:r>
            <w:r w:rsidR="009D12C0">
              <w:rPr>
                <w:noProof/>
                <w:webHidden/>
              </w:rPr>
            </w:r>
            <w:r w:rsidR="009D12C0">
              <w:rPr>
                <w:noProof/>
                <w:webHidden/>
              </w:rPr>
              <w:fldChar w:fldCharType="separate"/>
            </w:r>
            <w:r w:rsidR="009D12C0">
              <w:rPr>
                <w:noProof/>
                <w:webHidden/>
              </w:rPr>
              <w:t>25</w:t>
            </w:r>
            <w:r w:rsidR="009D12C0">
              <w:rPr>
                <w:noProof/>
                <w:webHidden/>
              </w:rPr>
              <w:fldChar w:fldCharType="end"/>
            </w:r>
          </w:hyperlink>
        </w:p>
        <w:p w14:paraId="1735EAEA" w14:textId="16C934DF" w:rsidR="009D12C0" w:rsidRDefault="00000000">
          <w:pPr>
            <w:pStyle w:val="TOC2"/>
            <w:tabs>
              <w:tab w:val="right" w:leader="dot" w:pos="9016"/>
            </w:tabs>
            <w:rPr>
              <w:rFonts w:asciiTheme="minorHAnsi" w:eastAsiaTheme="minorEastAsia" w:hAnsiTheme="minorHAnsi"/>
              <w:noProof/>
              <w:szCs w:val="24"/>
              <w:lang w:val="en-IN" w:eastAsia="en-IN"/>
            </w:rPr>
          </w:pPr>
          <w:hyperlink w:anchor="_Toc210822739" w:history="1">
            <w:r w:rsidR="009D12C0" w:rsidRPr="006B75AB">
              <w:rPr>
                <w:rStyle w:val="Hyperlink"/>
                <w:noProof/>
              </w:rPr>
              <w:t>Project A</w:t>
            </w:r>
            <w:r w:rsidR="009D12C0">
              <w:rPr>
                <w:noProof/>
                <w:webHidden/>
              </w:rPr>
              <w:tab/>
            </w:r>
            <w:r w:rsidR="009D12C0">
              <w:rPr>
                <w:noProof/>
                <w:webHidden/>
              </w:rPr>
              <w:fldChar w:fldCharType="begin"/>
            </w:r>
            <w:r w:rsidR="009D12C0">
              <w:rPr>
                <w:noProof/>
                <w:webHidden/>
              </w:rPr>
              <w:instrText xml:space="preserve"> PAGEREF _Toc210822739 \h </w:instrText>
            </w:r>
            <w:r w:rsidR="009D12C0">
              <w:rPr>
                <w:noProof/>
                <w:webHidden/>
              </w:rPr>
            </w:r>
            <w:r w:rsidR="009D12C0">
              <w:rPr>
                <w:noProof/>
                <w:webHidden/>
              </w:rPr>
              <w:fldChar w:fldCharType="separate"/>
            </w:r>
            <w:r w:rsidR="009D12C0">
              <w:rPr>
                <w:noProof/>
                <w:webHidden/>
              </w:rPr>
              <w:t>26</w:t>
            </w:r>
            <w:r w:rsidR="009D12C0">
              <w:rPr>
                <w:noProof/>
                <w:webHidden/>
              </w:rPr>
              <w:fldChar w:fldCharType="end"/>
            </w:r>
          </w:hyperlink>
        </w:p>
        <w:p w14:paraId="0A81D9E5" w14:textId="0F42009E" w:rsidR="009D12C0" w:rsidRDefault="00000000">
          <w:pPr>
            <w:pStyle w:val="TOC2"/>
            <w:tabs>
              <w:tab w:val="right" w:leader="dot" w:pos="9016"/>
            </w:tabs>
            <w:rPr>
              <w:rFonts w:asciiTheme="minorHAnsi" w:eastAsiaTheme="minorEastAsia" w:hAnsiTheme="minorHAnsi"/>
              <w:noProof/>
              <w:szCs w:val="24"/>
              <w:lang w:val="en-IN" w:eastAsia="en-IN"/>
            </w:rPr>
          </w:pPr>
          <w:hyperlink w:anchor="_Toc210822740" w:history="1">
            <w:r w:rsidR="009D12C0" w:rsidRPr="006B75AB">
              <w:rPr>
                <w:rStyle w:val="Hyperlink"/>
                <w:noProof/>
              </w:rPr>
              <w:t>Project B</w:t>
            </w:r>
            <w:r w:rsidR="009D12C0">
              <w:rPr>
                <w:noProof/>
                <w:webHidden/>
              </w:rPr>
              <w:tab/>
            </w:r>
            <w:r w:rsidR="009D12C0">
              <w:rPr>
                <w:noProof/>
                <w:webHidden/>
              </w:rPr>
              <w:fldChar w:fldCharType="begin"/>
            </w:r>
            <w:r w:rsidR="009D12C0">
              <w:rPr>
                <w:noProof/>
                <w:webHidden/>
              </w:rPr>
              <w:instrText xml:space="preserve"> PAGEREF _Toc210822740 \h </w:instrText>
            </w:r>
            <w:r w:rsidR="009D12C0">
              <w:rPr>
                <w:noProof/>
                <w:webHidden/>
              </w:rPr>
            </w:r>
            <w:r w:rsidR="009D12C0">
              <w:rPr>
                <w:noProof/>
                <w:webHidden/>
              </w:rPr>
              <w:fldChar w:fldCharType="separate"/>
            </w:r>
            <w:r w:rsidR="009D12C0">
              <w:rPr>
                <w:noProof/>
                <w:webHidden/>
              </w:rPr>
              <w:t>27</w:t>
            </w:r>
            <w:r w:rsidR="009D12C0">
              <w:rPr>
                <w:noProof/>
                <w:webHidden/>
              </w:rPr>
              <w:fldChar w:fldCharType="end"/>
            </w:r>
          </w:hyperlink>
        </w:p>
        <w:p w14:paraId="3290D339" w14:textId="16039A2F" w:rsidR="009D12C0" w:rsidRDefault="00000000">
          <w:pPr>
            <w:pStyle w:val="TOC2"/>
            <w:tabs>
              <w:tab w:val="right" w:leader="dot" w:pos="9016"/>
            </w:tabs>
            <w:rPr>
              <w:rFonts w:asciiTheme="minorHAnsi" w:eastAsiaTheme="minorEastAsia" w:hAnsiTheme="minorHAnsi"/>
              <w:noProof/>
              <w:szCs w:val="24"/>
              <w:lang w:val="en-IN" w:eastAsia="en-IN"/>
            </w:rPr>
          </w:pPr>
          <w:hyperlink w:anchor="_Toc210822741" w:history="1">
            <w:r w:rsidR="009D12C0" w:rsidRPr="006B75AB">
              <w:rPr>
                <w:rStyle w:val="Hyperlink"/>
                <w:noProof/>
              </w:rPr>
              <w:t>Project C</w:t>
            </w:r>
            <w:r w:rsidR="009D12C0">
              <w:rPr>
                <w:noProof/>
                <w:webHidden/>
              </w:rPr>
              <w:tab/>
            </w:r>
            <w:r w:rsidR="009D12C0">
              <w:rPr>
                <w:noProof/>
                <w:webHidden/>
              </w:rPr>
              <w:fldChar w:fldCharType="begin"/>
            </w:r>
            <w:r w:rsidR="009D12C0">
              <w:rPr>
                <w:noProof/>
                <w:webHidden/>
              </w:rPr>
              <w:instrText xml:space="preserve"> PAGEREF _Toc210822741 \h </w:instrText>
            </w:r>
            <w:r w:rsidR="009D12C0">
              <w:rPr>
                <w:noProof/>
                <w:webHidden/>
              </w:rPr>
            </w:r>
            <w:r w:rsidR="009D12C0">
              <w:rPr>
                <w:noProof/>
                <w:webHidden/>
              </w:rPr>
              <w:fldChar w:fldCharType="separate"/>
            </w:r>
            <w:r w:rsidR="009D12C0">
              <w:rPr>
                <w:noProof/>
                <w:webHidden/>
              </w:rPr>
              <w:t>28</w:t>
            </w:r>
            <w:r w:rsidR="009D12C0">
              <w:rPr>
                <w:noProof/>
                <w:webHidden/>
              </w:rPr>
              <w:fldChar w:fldCharType="end"/>
            </w:r>
          </w:hyperlink>
        </w:p>
        <w:p w14:paraId="790411E9" w14:textId="374CDFCB" w:rsidR="009D12C0" w:rsidRDefault="00000000">
          <w:pPr>
            <w:pStyle w:val="TOC1"/>
            <w:tabs>
              <w:tab w:val="right" w:leader="dot" w:pos="9016"/>
            </w:tabs>
            <w:rPr>
              <w:rFonts w:asciiTheme="minorHAnsi" w:eastAsiaTheme="minorEastAsia" w:hAnsiTheme="minorHAnsi"/>
              <w:noProof/>
              <w:szCs w:val="24"/>
              <w:lang w:val="en-IN" w:eastAsia="en-IN"/>
            </w:rPr>
          </w:pPr>
          <w:hyperlink w:anchor="_Toc210822742" w:history="1">
            <w:r w:rsidR="009D12C0" w:rsidRPr="006B75AB">
              <w:rPr>
                <w:rStyle w:val="Hyperlink"/>
                <w:noProof/>
              </w:rPr>
              <w:t>Recommendations and Conclusion</w:t>
            </w:r>
            <w:r w:rsidR="009D12C0">
              <w:rPr>
                <w:noProof/>
                <w:webHidden/>
              </w:rPr>
              <w:tab/>
            </w:r>
            <w:r w:rsidR="009D12C0">
              <w:rPr>
                <w:noProof/>
                <w:webHidden/>
              </w:rPr>
              <w:fldChar w:fldCharType="begin"/>
            </w:r>
            <w:r w:rsidR="009D12C0">
              <w:rPr>
                <w:noProof/>
                <w:webHidden/>
              </w:rPr>
              <w:instrText xml:space="preserve"> PAGEREF _Toc210822742 \h </w:instrText>
            </w:r>
            <w:r w:rsidR="009D12C0">
              <w:rPr>
                <w:noProof/>
                <w:webHidden/>
              </w:rPr>
            </w:r>
            <w:r w:rsidR="009D12C0">
              <w:rPr>
                <w:noProof/>
                <w:webHidden/>
              </w:rPr>
              <w:fldChar w:fldCharType="separate"/>
            </w:r>
            <w:r w:rsidR="009D12C0">
              <w:rPr>
                <w:noProof/>
                <w:webHidden/>
              </w:rPr>
              <w:t>30</w:t>
            </w:r>
            <w:r w:rsidR="009D12C0">
              <w:rPr>
                <w:noProof/>
                <w:webHidden/>
              </w:rPr>
              <w:fldChar w:fldCharType="end"/>
            </w:r>
          </w:hyperlink>
        </w:p>
        <w:p w14:paraId="2C30208A" w14:textId="6FB35B38" w:rsidR="009D12C0" w:rsidRDefault="00000000">
          <w:pPr>
            <w:pStyle w:val="TOC2"/>
            <w:tabs>
              <w:tab w:val="right" w:leader="dot" w:pos="9016"/>
            </w:tabs>
            <w:rPr>
              <w:rFonts w:asciiTheme="minorHAnsi" w:eastAsiaTheme="minorEastAsia" w:hAnsiTheme="minorHAnsi"/>
              <w:noProof/>
              <w:szCs w:val="24"/>
              <w:lang w:val="en-IN" w:eastAsia="en-IN"/>
            </w:rPr>
          </w:pPr>
          <w:hyperlink w:anchor="_Toc210822743" w:history="1">
            <w:r w:rsidR="009D12C0" w:rsidRPr="006B75AB">
              <w:rPr>
                <w:rStyle w:val="Hyperlink"/>
                <w:noProof/>
              </w:rPr>
              <w:t>Recommendations</w:t>
            </w:r>
            <w:r w:rsidR="009D12C0">
              <w:rPr>
                <w:noProof/>
                <w:webHidden/>
              </w:rPr>
              <w:tab/>
            </w:r>
            <w:r w:rsidR="009D12C0">
              <w:rPr>
                <w:noProof/>
                <w:webHidden/>
              </w:rPr>
              <w:fldChar w:fldCharType="begin"/>
            </w:r>
            <w:r w:rsidR="009D12C0">
              <w:rPr>
                <w:noProof/>
                <w:webHidden/>
              </w:rPr>
              <w:instrText xml:space="preserve"> PAGEREF _Toc210822743 \h </w:instrText>
            </w:r>
            <w:r w:rsidR="009D12C0">
              <w:rPr>
                <w:noProof/>
                <w:webHidden/>
              </w:rPr>
            </w:r>
            <w:r w:rsidR="009D12C0">
              <w:rPr>
                <w:noProof/>
                <w:webHidden/>
              </w:rPr>
              <w:fldChar w:fldCharType="separate"/>
            </w:r>
            <w:r w:rsidR="009D12C0">
              <w:rPr>
                <w:noProof/>
                <w:webHidden/>
              </w:rPr>
              <w:t>30</w:t>
            </w:r>
            <w:r w:rsidR="009D12C0">
              <w:rPr>
                <w:noProof/>
                <w:webHidden/>
              </w:rPr>
              <w:fldChar w:fldCharType="end"/>
            </w:r>
          </w:hyperlink>
        </w:p>
        <w:p w14:paraId="4D5D2294" w14:textId="1E79395F" w:rsidR="009D12C0" w:rsidRDefault="00000000">
          <w:pPr>
            <w:pStyle w:val="TOC2"/>
            <w:tabs>
              <w:tab w:val="right" w:leader="dot" w:pos="9016"/>
            </w:tabs>
            <w:rPr>
              <w:rFonts w:asciiTheme="minorHAnsi" w:eastAsiaTheme="minorEastAsia" w:hAnsiTheme="minorHAnsi"/>
              <w:noProof/>
              <w:szCs w:val="24"/>
              <w:lang w:val="en-IN" w:eastAsia="en-IN"/>
            </w:rPr>
          </w:pPr>
          <w:hyperlink w:anchor="_Toc210822744" w:history="1">
            <w:r w:rsidR="009D12C0" w:rsidRPr="006B75AB">
              <w:rPr>
                <w:rStyle w:val="Hyperlink"/>
                <w:noProof/>
              </w:rPr>
              <w:t>Conclusion</w:t>
            </w:r>
            <w:r w:rsidR="009D12C0">
              <w:rPr>
                <w:noProof/>
                <w:webHidden/>
              </w:rPr>
              <w:tab/>
            </w:r>
            <w:r w:rsidR="009D12C0">
              <w:rPr>
                <w:noProof/>
                <w:webHidden/>
              </w:rPr>
              <w:fldChar w:fldCharType="begin"/>
            </w:r>
            <w:r w:rsidR="009D12C0">
              <w:rPr>
                <w:noProof/>
                <w:webHidden/>
              </w:rPr>
              <w:instrText xml:space="preserve"> PAGEREF _Toc210822744 \h </w:instrText>
            </w:r>
            <w:r w:rsidR="009D12C0">
              <w:rPr>
                <w:noProof/>
                <w:webHidden/>
              </w:rPr>
            </w:r>
            <w:r w:rsidR="009D12C0">
              <w:rPr>
                <w:noProof/>
                <w:webHidden/>
              </w:rPr>
              <w:fldChar w:fldCharType="separate"/>
            </w:r>
            <w:r w:rsidR="009D12C0">
              <w:rPr>
                <w:noProof/>
                <w:webHidden/>
              </w:rPr>
              <w:t>30</w:t>
            </w:r>
            <w:r w:rsidR="009D12C0">
              <w:rPr>
                <w:noProof/>
                <w:webHidden/>
              </w:rPr>
              <w:fldChar w:fldCharType="end"/>
            </w:r>
          </w:hyperlink>
        </w:p>
        <w:p w14:paraId="09045672" w14:textId="69CECC04" w:rsidR="009D12C0" w:rsidRDefault="00000000">
          <w:pPr>
            <w:pStyle w:val="TOC1"/>
            <w:tabs>
              <w:tab w:val="right" w:leader="dot" w:pos="9016"/>
            </w:tabs>
            <w:rPr>
              <w:rFonts w:asciiTheme="minorHAnsi" w:eastAsiaTheme="minorEastAsia" w:hAnsiTheme="minorHAnsi"/>
              <w:noProof/>
              <w:szCs w:val="24"/>
              <w:lang w:val="en-IN" w:eastAsia="en-IN"/>
            </w:rPr>
          </w:pPr>
          <w:hyperlink w:anchor="_Toc210822745" w:history="1">
            <w:r w:rsidR="009D12C0" w:rsidRPr="006B75AB">
              <w:rPr>
                <w:rStyle w:val="Hyperlink"/>
                <w:rFonts w:cs="Arial"/>
                <w:noProof/>
                <w:lang w:val="en-IN"/>
              </w:rPr>
              <w:t>References</w:t>
            </w:r>
            <w:r w:rsidR="009D12C0">
              <w:rPr>
                <w:noProof/>
                <w:webHidden/>
              </w:rPr>
              <w:tab/>
            </w:r>
            <w:r w:rsidR="009D12C0">
              <w:rPr>
                <w:noProof/>
                <w:webHidden/>
              </w:rPr>
              <w:fldChar w:fldCharType="begin"/>
            </w:r>
            <w:r w:rsidR="009D12C0">
              <w:rPr>
                <w:noProof/>
                <w:webHidden/>
              </w:rPr>
              <w:instrText xml:space="preserve"> PAGEREF _Toc210822745 \h </w:instrText>
            </w:r>
            <w:r w:rsidR="009D12C0">
              <w:rPr>
                <w:noProof/>
                <w:webHidden/>
              </w:rPr>
            </w:r>
            <w:r w:rsidR="009D12C0">
              <w:rPr>
                <w:noProof/>
                <w:webHidden/>
              </w:rPr>
              <w:fldChar w:fldCharType="separate"/>
            </w:r>
            <w:r w:rsidR="009D12C0">
              <w:rPr>
                <w:noProof/>
                <w:webHidden/>
              </w:rPr>
              <w:t>32</w:t>
            </w:r>
            <w:r w:rsidR="009D12C0">
              <w:rPr>
                <w:noProof/>
                <w:webHidden/>
              </w:rPr>
              <w:fldChar w:fldCharType="end"/>
            </w:r>
          </w:hyperlink>
        </w:p>
        <w:p w14:paraId="0674FC41" w14:textId="6499444D" w:rsidR="009D12C0" w:rsidRDefault="00000000">
          <w:pPr>
            <w:pStyle w:val="TOC1"/>
            <w:tabs>
              <w:tab w:val="right" w:leader="dot" w:pos="9016"/>
            </w:tabs>
            <w:rPr>
              <w:rFonts w:asciiTheme="minorHAnsi" w:eastAsiaTheme="minorEastAsia" w:hAnsiTheme="minorHAnsi"/>
              <w:noProof/>
              <w:szCs w:val="24"/>
              <w:lang w:val="en-IN" w:eastAsia="en-IN"/>
            </w:rPr>
          </w:pPr>
          <w:hyperlink w:anchor="_Toc210822746" w:history="1">
            <w:r w:rsidR="009D12C0" w:rsidRPr="006B75AB">
              <w:rPr>
                <w:rStyle w:val="Hyperlink"/>
                <w:rFonts w:cs="Arial"/>
                <w:noProof/>
                <w:lang w:val="en-IN"/>
              </w:rPr>
              <w:t>Appendix</w:t>
            </w:r>
            <w:r w:rsidR="009D12C0">
              <w:rPr>
                <w:noProof/>
                <w:webHidden/>
              </w:rPr>
              <w:tab/>
            </w:r>
            <w:r w:rsidR="009D12C0">
              <w:rPr>
                <w:noProof/>
                <w:webHidden/>
              </w:rPr>
              <w:fldChar w:fldCharType="begin"/>
            </w:r>
            <w:r w:rsidR="009D12C0">
              <w:rPr>
                <w:noProof/>
                <w:webHidden/>
              </w:rPr>
              <w:instrText xml:space="preserve"> PAGEREF _Toc210822746 \h </w:instrText>
            </w:r>
            <w:r w:rsidR="009D12C0">
              <w:rPr>
                <w:noProof/>
                <w:webHidden/>
              </w:rPr>
            </w:r>
            <w:r w:rsidR="009D12C0">
              <w:rPr>
                <w:noProof/>
                <w:webHidden/>
              </w:rPr>
              <w:fldChar w:fldCharType="separate"/>
            </w:r>
            <w:r w:rsidR="009D12C0">
              <w:rPr>
                <w:noProof/>
                <w:webHidden/>
              </w:rPr>
              <w:t>36</w:t>
            </w:r>
            <w:r w:rsidR="009D12C0">
              <w:rPr>
                <w:noProof/>
                <w:webHidden/>
              </w:rPr>
              <w:fldChar w:fldCharType="end"/>
            </w:r>
          </w:hyperlink>
        </w:p>
        <w:p w14:paraId="50FDFCDD" w14:textId="73805E7F" w:rsidR="009D12C0" w:rsidRDefault="00000000">
          <w:pPr>
            <w:pStyle w:val="TOC2"/>
            <w:tabs>
              <w:tab w:val="right" w:leader="dot" w:pos="9016"/>
            </w:tabs>
            <w:rPr>
              <w:rFonts w:asciiTheme="minorHAnsi" w:eastAsiaTheme="minorEastAsia" w:hAnsiTheme="minorHAnsi"/>
              <w:noProof/>
              <w:szCs w:val="24"/>
              <w:lang w:val="en-IN" w:eastAsia="en-IN"/>
            </w:rPr>
          </w:pPr>
          <w:hyperlink w:anchor="_Toc210822747" w:history="1">
            <w:r w:rsidR="009D12C0" w:rsidRPr="006B75AB">
              <w:rPr>
                <w:rStyle w:val="Hyperlink"/>
                <w:noProof/>
                <w:lang w:val="en-IN"/>
              </w:rPr>
              <w:t>Ratios</w:t>
            </w:r>
            <w:r w:rsidR="009D12C0">
              <w:rPr>
                <w:noProof/>
                <w:webHidden/>
              </w:rPr>
              <w:tab/>
            </w:r>
            <w:r w:rsidR="009D12C0">
              <w:rPr>
                <w:noProof/>
                <w:webHidden/>
              </w:rPr>
              <w:fldChar w:fldCharType="begin"/>
            </w:r>
            <w:r w:rsidR="009D12C0">
              <w:rPr>
                <w:noProof/>
                <w:webHidden/>
              </w:rPr>
              <w:instrText xml:space="preserve"> PAGEREF _Toc210822747 \h </w:instrText>
            </w:r>
            <w:r w:rsidR="009D12C0">
              <w:rPr>
                <w:noProof/>
                <w:webHidden/>
              </w:rPr>
            </w:r>
            <w:r w:rsidR="009D12C0">
              <w:rPr>
                <w:noProof/>
                <w:webHidden/>
              </w:rPr>
              <w:fldChar w:fldCharType="separate"/>
            </w:r>
            <w:r w:rsidR="009D12C0">
              <w:rPr>
                <w:noProof/>
                <w:webHidden/>
              </w:rPr>
              <w:t>36</w:t>
            </w:r>
            <w:r w:rsidR="009D12C0">
              <w:rPr>
                <w:noProof/>
                <w:webHidden/>
              </w:rPr>
              <w:fldChar w:fldCharType="end"/>
            </w:r>
          </w:hyperlink>
        </w:p>
        <w:p w14:paraId="3ADA8D6A" w14:textId="4BE08B03" w:rsidR="009D12C0" w:rsidRDefault="00000000">
          <w:pPr>
            <w:pStyle w:val="TOC2"/>
            <w:tabs>
              <w:tab w:val="right" w:leader="dot" w:pos="9016"/>
            </w:tabs>
            <w:rPr>
              <w:rFonts w:asciiTheme="minorHAnsi" w:eastAsiaTheme="minorEastAsia" w:hAnsiTheme="minorHAnsi"/>
              <w:noProof/>
              <w:szCs w:val="24"/>
              <w:lang w:val="en-IN" w:eastAsia="en-IN"/>
            </w:rPr>
          </w:pPr>
          <w:hyperlink w:anchor="_Toc210822748" w:history="1">
            <w:r w:rsidR="009D12C0" w:rsidRPr="006B75AB">
              <w:rPr>
                <w:rStyle w:val="Hyperlink"/>
                <w:rFonts w:cs="Arial"/>
                <w:noProof/>
                <w:lang w:val="en-IN"/>
              </w:rPr>
              <w:t>Cash Operating Cycle</w:t>
            </w:r>
            <w:r w:rsidR="009D12C0">
              <w:rPr>
                <w:noProof/>
                <w:webHidden/>
              </w:rPr>
              <w:tab/>
            </w:r>
            <w:r w:rsidR="009D12C0">
              <w:rPr>
                <w:noProof/>
                <w:webHidden/>
              </w:rPr>
              <w:fldChar w:fldCharType="begin"/>
            </w:r>
            <w:r w:rsidR="009D12C0">
              <w:rPr>
                <w:noProof/>
                <w:webHidden/>
              </w:rPr>
              <w:instrText xml:space="preserve"> PAGEREF _Toc210822748 \h </w:instrText>
            </w:r>
            <w:r w:rsidR="009D12C0">
              <w:rPr>
                <w:noProof/>
                <w:webHidden/>
              </w:rPr>
            </w:r>
            <w:r w:rsidR="009D12C0">
              <w:rPr>
                <w:noProof/>
                <w:webHidden/>
              </w:rPr>
              <w:fldChar w:fldCharType="separate"/>
            </w:r>
            <w:r w:rsidR="009D12C0">
              <w:rPr>
                <w:noProof/>
                <w:webHidden/>
              </w:rPr>
              <w:t>37</w:t>
            </w:r>
            <w:r w:rsidR="009D12C0">
              <w:rPr>
                <w:noProof/>
                <w:webHidden/>
              </w:rPr>
              <w:fldChar w:fldCharType="end"/>
            </w:r>
          </w:hyperlink>
        </w:p>
        <w:p w14:paraId="680E4B8A" w14:textId="6D700142" w:rsidR="008C56BC" w:rsidRPr="00B80955" w:rsidRDefault="008C56BC" w:rsidP="00B80955">
          <w:pPr>
            <w:rPr>
              <w:rFonts w:cs="Arial"/>
              <w:szCs w:val="24"/>
            </w:rPr>
          </w:pPr>
          <w:r w:rsidRPr="00B80955">
            <w:rPr>
              <w:rFonts w:cs="Arial"/>
              <w:b/>
              <w:bCs/>
              <w:noProof/>
              <w:szCs w:val="24"/>
            </w:rPr>
            <w:fldChar w:fldCharType="end"/>
          </w:r>
        </w:p>
      </w:sdtContent>
    </w:sdt>
    <w:p w14:paraId="5C4DEFE1" w14:textId="77777777" w:rsidR="003D3F16" w:rsidRDefault="003D3F16" w:rsidP="00B80955">
      <w:pPr>
        <w:rPr>
          <w:rFonts w:cs="Arial"/>
          <w:b/>
          <w:bCs/>
          <w:szCs w:val="24"/>
          <w:lang w:val="en-IN"/>
        </w:rPr>
      </w:pPr>
    </w:p>
    <w:p w14:paraId="3BDAA989" w14:textId="77777777" w:rsidR="003D3F16" w:rsidRDefault="003D3F16">
      <w:pPr>
        <w:rPr>
          <w:rFonts w:cs="Arial"/>
          <w:b/>
          <w:bCs/>
          <w:szCs w:val="24"/>
          <w:lang w:val="en-IN"/>
        </w:rPr>
      </w:pPr>
      <w:r>
        <w:rPr>
          <w:rFonts w:cs="Arial"/>
          <w:b/>
          <w:bCs/>
          <w:szCs w:val="24"/>
          <w:lang w:val="en-IN"/>
        </w:rPr>
        <w:br w:type="page"/>
      </w:r>
    </w:p>
    <w:p w14:paraId="2D4AE915" w14:textId="101974E2" w:rsidR="003D3F16" w:rsidRDefault="003D3F16" w:rsidP="003D3F16">
      <w:pPr>
        <w:pStyle w:val="Heading1"/>
        <w:rPr>
          <w:lang w:val="en-IN"/>
        </w:rPr>
      </w:pPr>
      <w:bookmarkStart w:id="0" w:name="_Toc210822718"/>
      <w:r>
        <w:rPr>
          <w:lang w:val="en-IN"/>
        </w:rPr>
        <w:lastRenderedPageBreak/>
        <w:t>Introduction</w:t>
      </w:r>
      <w:bookmarkEnd w:id="0"/>
      <w:r w:rsidR="0050587D">
        <w:rPr>
          <w:lang w:val="en-IN"/>
        </w:rPr>
        <w:t xml:space="preserve"> </w:t>
      </w:r>
    </w:p>
    <w:p w14:paraId="29307C9E" w14:textId="5255A2A2" w:rsidR="00B142C3" w:rsidRPr="00B142C3" w:rsidRDefault="00B142C3" w:rsidP="00B142C3">
      <w:pPr>
        <w:rPr>
          <w:lang w:val="en-IN"/>
        </w:rPr>
      </w:pPr>
      <w:r w:rsidRPr="00B142C3">
        <w:rPr>
          <w:lang w:val="en-IN"/>
        </w:rPr>
        <w:t xml:space="preserve">The report has been produced in relation to the Strategic CFO Challenge, </w:t>
      </w:r>
      <w:r>
        <w:rPr>
          <w:lang w:val="en-IN"/>
        </w:rPr>
        <w:t>specifically</w:t>
      </w:r>
      <w:r w:rsidRPr="00B142C3">
        <w:rPr>
          <w:lang w:val="en-IN"/>
        </w:rPr>
        <w:t xml:space="preserve"> context of being the Chief Financial Officer of General Electronics, a consumer electronics firm that is currently in serious financial distress. The report seeks to assess the firm's financial position and offer a feasible alternative to </w:t>
      </w:r>
      <w:r>
        <w:rPr>
          <w:lang w:val="en-IN"/>
        </w:rPr>
        <w:t>turn around</w:t>
      </w:r>
      <w:r w:rsidRPr="00B142C3">
        <w:rPr>
          <w:lang w:val="en-IN"/>
        </w:rPr>
        <w:t xml:space="preserve"> its financial situation. The goal of the report is to demonstrate analytical and strategic financial decision-making by appraising financial statements, working capital management, restructuring, and investments.</w:t>
      </w:r>
    </w:p>
    <w:p w14:paraId="6AEFE809" w14:textId="77777777" w:rsidR="00B2560E" w:rsidRDefault="00B142C3" w:rsidP="00B142C3">
      <w:pPr>
        <w:rPr>
          <w:lang w:val="en-IN"/>
        </w:rPr>
      </w:pPr>
      <w:r w:rsidRPr="00B142C3">
        <w:rPr>
          <w:lang w:val="en-IN"/>
        </w:rPr>
        <w:t xml:space="preserve">The report has been drawn up into four sections. The first section identifies the firm's financial health over five years by using ratio analysis and predictive corporate failure models. The second section assesses the efficiency of working capital management, as well as suggests improvements for liquidity. The third section introduces a financially sustainable restructuring plan </w:t>
      </w:r>
      <w:r w:rsidR="00B2560E">
        <w:rPr>
          <w:lang w:val="en-IN"/>
        </w:rPr>
        <w:t>that</w:t>
      </w:r>
      <w:r w:rsidRPr="00B142C3">
        <w:rPr>
          <w:lang w:val="en-IN"/>
        </w:rPr>
        <w:t xml:space="preserve"> incorporates global and ethical considerations. The last section considers investment appraisal using PBP, ARR, NPV, PI and IRR based on three proposals and selecting the most financially sustainable project under capital rationing. The report follows with recommendations </w:t>
      </w:r>
      <w:r w:rsidR="00B2560E">
        <w:rPr>
          <w:lang w:val="en-IN"/>
        </w:rPr>
        <w:t>for</w:t>
      </w:r>
      <w:r w:rsidRPr="00B142C3">
        <w:rPr>
          <w:lang w:val="en-IN"/>
        </w:rPr>
        <w:t xml:space="preserve"> strategies to ensure sustainable recovery and growth.</w:t>
      </w:r>
    </w:p>
    <w:p w14:paraId="39E91678" w14:textId="77777777" w:rsidR="00B2560E" w:rsidRDefault="00B2560E">
      <w:pPr>
        <w:rPr>
          <w:lang w:val="en-IN"/>
        </w:rPr>
      </w:pPr>
      <w:r>
        <w:rPr>
          <w:lang w:val="en-IN"/>
        </w:rPr>
        <w:br w:type="page"/>
      </w:r>
    </w:p>
    <w:p w14:paraId="09DC9B5A" w14:textId="77777777" w:rsidR="00B2560E" w:rsidRDefault="00B2560E" w:rsidP="00B2560E">
      <w:pPr>
        <w:pStyle w:val="Heading1"/>
        <w:rPr>
          <w:lang w:val="en-IN"/>
        </w:rPr>
      </w:pPr>
      <w:bookmarkStart w:id="1" w:name="_Toc210822719"/>
      <w:r>
        <w:rPr>
          <w:lang w:val="en-IN"/>
        </w:rPr>
        <w:lastRenderedPageBreak/>
        <w:t>Financial Health Analysis</w:t>
      </w:r>
      <w:bookmarkEnd w:id="1"/>
    </w:p>
    <w:p w14:paraId="0F69B279" w14:textId="1B07F799" w:rsidR="00F74AB7" w:rsidRDefault="005B41DA" w:rsidP="00F74AB7">
      <w:pPr>
        <w:rPr>
          <w:lang w:val="en-IN"/>
        </w:rPr>
      </w:pPr>
      <w:r w:rsidRPr="005B41DA">
        <w:rPr>
          <w:lang w:val="en-IN"/>
        </w:rPr>
        <w:t>Financial analysis allows an organi</w:t>
      </w:r>
      <w:r>
        <w:rPr>
          <w:lang w:val="en-IN"/>
        </w:rPr>
        <w:t>s</w:t>
      </w:r>
      <w:r w:rsidRPr="005B41DA">
        <w:rPr>
          <w:lang w:val="en-IN"/>
        </w:rPr>
        <w:t>ation to determine performance, profitability, liquidity, and long-term viability, which support strategic decision-making, investor confidence, and resource allocation</w:t>
      </w:r>
      <w:r w:rsidR="0069502A">
        <w:rPr>
          <w:lang w:val="en-IN"/>
        </w:rPr>
        <w:t xml:space="preserve"> (</w:t>
      </w:r>
      <w:r w:rsidR="0069502A" w:rsidRPr="00220D24">
        <w:t>Jain, 2024</w:t>
      </w:r>
      <w:r w:rsidR="0069502A">
        <w:t>)</w:t>
      </w:r>
      <w:r w:rsidRPr="005B41DA">
        <w:rPr>
          <w:lang w:val="en-IN"/>
        </w:rPr>
        <w:t xml:space="preserve">. Ratio analysis also provides insight into operational efficiency on a cash basis and financial structure. The Z-Score model helps establish the likelihood of financial distress, which helps managers assess insolvency risk and develop preventative recovery or </w:t>
      </w:r>
      <w:r w:rsidR="0069502A">
        <w:rPr>
          <w:lang w:val="en-IN"/>
        </w:rPr>
        <w:t>investment</w:t>
      </w:r>
      <w:r w:rsidRPr="005B41DA">
        <w:rPr>
          <w:lang w:val="en-IN"/>
        </w:rPr>
        <w:t xml:space="preserve"> strategies</w:t>
      </w:r>
      <w:r w:rsidR="00F90AE3">
        <w:rPr>
          <w:lang w:val="en-IN"/>
        </w:rPr>
        <w:t xml:space="preserve"> (</w:t>
      </w:r>
      <w:r w:rsidR="00F90AE3" w:rsidRPr="00220D24">
        <w:t>Altman,</w:t>
      </w:r>
      <w:r w:rsidR="00F90AE3">
        <w:t xml:space="preserve"> </w:t>
      </w:r>
      <w:r w:rsidR="00F90AE3" w:rsidRPr="00220D24">
        <w:t>2018</w:t>
      </w:r>
      <w:r w:rsidR="00F90AE3">
        <w:t>)</w:t>
      </w:r>
      <w:r w:rsidRPr="005B41DA">
        <w:rPr>
          <w:lang w:val="en-IN"/>
        </w:rPr>
        <w:t>.</w:t>
      </w:r>
      <w:r w:rsidR="00F90AE3">
        <w:rPr>
          <w:lang w:val="en-IN"/>
        </w:rPr>
        <w:t xml:space="preserve"> The following ratios and the Z-score model are performed in this section to analyse the financial health of General Electronics.</w:t>
      </w:r>
    </w:p>
    <w:p w14:paraId="67BE400C" w14:textId="2F2D8EFF" w:rsidR="00F90AE3" w:rsidRDefault="00F90AE3" w:rsidP="00F90AE3">
      <w:pPr>
        <w:pStyle w:val="Heading2"/>
        <w:rPr>
          <w:lang w:val="en-IN"/>
        </w:rPr>
      </w:pPr>
      <w:bookmarkStart w:id="2" w:name="_Toc210822720"/>
      <w:r>
        <w:rPr>
          <w:lang w:val="en-IN"/>
        </w:rPr>
        <w:t>Profitability Ratios</w:t>
      </w:r>
      <w:bookmarkEnd w:id="2"/>
    </w:p>
    <w:p w14:paraId="37932F5B" w14:textId="6F532107" w:rsidR="00087D6C" w:rsidRPr="00087D6C" w:rsidRDefault="00087D6C" w:rsidP="00087D6C">
      <w:pPr>
        <w:rPr>
          <w:lang w:val="en-IN"/>
        </w:rPr>
      </w:pPr>
      <w:r w:rsidRPr="00087D6C">
        <w:rPr>
          <w:lang w:val="en-IN"/>
        </w:rPr>
        <w:t xml:space="preserve">Profitability ratios indicate a company’s ability to </w:t>
      </w:r>
      <w:r w:rsidR="006C4A0B">
        <w:rPr>
          <w:lang w:val="en-IN"/>
        </w:rPr>
        <w:t>generate</w:t>
      </w:r>
      <w:r w:rsidRPr="00087D6C">
        <w:rPr>
          <w:lang w:val="en-IN"/>
        </w:rPr>
        <w:t xml:space="preserve"> profit relative to sales, assets and equity, indicating general efficiency and financial performance</w:t>
      </w:r>
      <w:r w:rsidR="00A34DE7">
        <w:rPr>
          <w:lang w:val="en-IN"/>
        </w:rPr>
        <w:t xml:space="preserve"> (</w:t>
      </w:r>
      <w:r w:rsidR="00A34DE7" w:rsidRPr="005029CA">
        <w:t>Rashid,</w:t>
      </w:r>
      <w:r w:rsidR="00A34DE7">
        <w:t xml:space="preserve"> </w:t>
      </w:r>
      <w:r w:rsidR="00A34DE7" w:rsidRPr="005029CA">
        <w:t>2021</w:t>
      </w:r>
      <w:r w:rsidR="00A34DE7">
        <w:t>)</w:t>
      </w:r>
      <w:r w:rsidRPr="00087D6C">
        <w:rPr>
          <w:lang w:val="en-IN"/>
        </w:rPr>
        <w:t>. By looking at profitability ratios</w:t>
      </w:r>
      <w:r w:rsidR="006C4A0B">
        <w:rPr>
          <w:lang w:val="en-IN"/>
        </w:rPr>
        <w:t>,</w:t>
      </w:r>
      <w:r w:rsidRPr="00087D6C">
        <w:rPr>
          <w:lang w:val="en-IN"/>
        </w:rPr>
        <w:t xml:space="preserve"> stakeholders can obtain information on management effectiveness and </w:t>
      </w:r>
      <w:r w:rsidR="006C4A0B">
        <w:rPr>
          <w:lang w:val="en-IN"/>
        </w:rPr>
        <w:t xml:space="preserve">an </w:t>
      </w:r>
      <w:r w:rsidRPr="00087D6C">
        <w:rPr>
          <w:lang w:val="en-IN"/>
        </w:rPr>
        <w:t xml:space="preserve">indication of </w:t>
      </w:r>
      <w:r w:rsidR="006C4A0B">
        <w:rPr>
          <w:lang w:val="en-IN"/>
        </w:rPr>
        <w:t xml:space="preserve">the </w:t>
      </w:r>
      <w:r w:rsidRPr="00087D6C">
        <w:rPr>
          <w:lang w:val="en-IN"/>
        </w:rPr>
        <w:t xml:space="preserve">long-term sustainability of the firm. </w:t>
      </w:r>
    </w:p>
    <w:p w14:paraId="60448685" w14:textId="77777777" w:rsidR="005C5F29" w:rsidRDefault="005C5F29" w:rsidP="005C5F29">
      <w:pPr>
        <w:keepNext/>
        <w:jc w:val="center"/>
      </w:pPr>
      <w:r>
        <w:rPr>
          <w:noProof/>
        </w:rPr>
        <w:drawing>
          <wp:inline distT="0" distB="0" distL="0" distR="0" wp14:anchorId="524FC5DA" wp14:editId="59661848">
            <wp:extent cx="4671060" cy="2952750"/>
            <wp:effectExtent l="0" t="0" r="15240" b="0"/>
            <wp:docPr id="188455125" name="Chart 1">
              <a:extLst xmlns:a="http://schemas.openxmlformats.org/drawingml/2006/main">
                <a:ext uri="{FF2B5EF4-FFF2-40B4-BE49-F238E27FC236}">
                  <a16:creationId xmlns:a16="http://schemas.microsoft.com/office/drawing/2014/main" id="{4FBD418B-6EA1-3E8D-68A5-E12EFB2CED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FE97734" w14:textId="4D381A04" w:rsidR="005C5F29" w:rsidRDefault="005C5F29" w:rsidP="005C5F29">
      <w:pPr>
        <w:jc w:val="center"/>
        <w:rPr>
          <w:b/>
          <w:bCs/>
          <w:i/>
          <w:iCs/>
        </w:rPr>
      </w:pPr>
      <w:r w:rsidRPr="005C5F29">
        <w:rPr>
          <w:b/>
          <w:bCs/>
          <w:i/>
          <w:iCs/>
        </w:rPr>
        <w:t xml:space="preserve">Figure </w:t>
      </w:r>
      <w:r w:rsidRPr="005C5F29">
        <w:rPr>
          <w:b/>
          <w:bCs/>
          <w:i/>
          <w:iCs/>
        </w:rPr>
        <w:fldChar w:fldCharType="begin"/>
      </w:r>
      <w:r w:rsidRPr="005C5F29">
        <w:rPr>
          <w:b/>
          <w:bCs/>
          <w:i/>
          <w:iCs/>
        </w:rPr>
        <w:instrText xml:space="preserve"> SEQ Figure \* ARABIC </w:instrText>
      </w:r>
      <w:r w:rsidRPr="005C5F29">
        <w:rPr>
          <w:b/>
          <w:bCs/>
          <w:i/>
          <w:iCs/>
        </w:rPr>
        <w:fldChar w:fldCharType="separate"/>
      </w:r>
      <w:r w:rsidR="001E3ED2">
        <w:rPr>
          <w:b/>
          <w:bCs/>
          <w:i/>
          <w:iCs/>
          <w:noProof/>
        </w:rPr>
        <w:t>1</w:t>
      </w:r>
      <w:r w:rsidRPr="005C5F29">
        <w:rPr>
          <w:b/>
          <w:bCs/>
          <w:i/>
          <w:iCs/>
        </w:rPr>
        <w:fldChar w:fldCharType="end"/>
      </w:r>
      <w:r w:rsidRPr="005C5F29">
        <w:rPr>
          <w:b/>
          <w:bCs/>
          <w:i/>
          <w:iCs/>
        </w:rPr>
        <w:t xml:space="preserve">: </w:t>
      </w:r>
      <w:r>
        <w:rPr>
          <w:b/>
          <w:bCs/>
          <w:i/>
          <w:iCs/>
        </w:rPr>
        <w:t>Profitability</w:t>
      </w:r>
      <w:r w:rsidRPr="005C5F29">
        <w:rPr>
          <w:b/>
          <w:bCs/>
          <w:i/>
          <w:iCs/>
        </w:rPr>
        <w:t xml:space="preserve"> Ratios</w:t>
      </w:r>
    </w:p>
    <w:p w14:paraId="2C0BF6C1" w14:textId="59436FB5" w:rsidR="005C5F29" w:rsidRDefault="005C5F29" w:rsidP="005C5F29">
      <w:pPr>
        <w:jc w:val="center"/>
        <w:rPr>
          <w:b/>
          <w:bCs/>
          <w:i/>
          <w:iCs/>
        </w:rPr>
      </w:pPr>
      <w:r>
        <w:rPr>
          <w:b/>
          <w:bCs/>
          <w:i/>
          <w:iCs/>
        </w:rPr>
        <w:t>(Source: By Author)</w:t>
      </w:r>
    </w:p>
    <w:p w14:paraId="6966304F" w14:textId="77777777" w:rsidR="00A34DE7" w:rsidRDefault="00087D6C" w:rsidP="00087D6C">
      <w:pPr>
        <w:rPr>
          <w:lang w:val="en-IN"/>
        </w:rPr>
      </w:pPr>
      <w:r w:rsidRPr="00087D6C">
        <w:rPr>
          <w:lang w:val="en-IN"/>
        </w:rPr>
        <w:t xml:space="preserve">The table </w:t>
      </w:r>
      <w:r w:rsidR="006C4A0B">
        <w:rPr>
          <w:lang w:val="en-IN"/>
        </w:rPr>
        <w:t xml:space="preserve">above </w:t>
      </w:r>
      <w:r w:rsidRPr="00087D6C">
        <w:rPr>
          <w:lang w:val="en-IN"/>
        </w:rPr>
        <w:t>indicates that General Electronics' profitability ratios indicate strong fluctuations. Gross profit ratio increased to 28.9% in 2024, while negative operating (-</w:t>
      </w:r>
      <w:r w:rsidRPr="00087D6C">
        <w:rPr>
          <w:lang w:val="en-IN"/>
        </w:rPr>
        <w:lastRenderedPageBreak/>
        <w:t xml:space="preserve">3.87%) and negative net margin (-6.09%) ratios indicated operational inefficiencies and operating losses. A sharp decline in 2023 is indicative of poor management of costs and reduced demand of the firm's products. There is modest improvement in profitability in 2024, but profitability remains less than </w:t>
      </w:r>
      <w:r w:rsidR="00D023DA">
        <w:rPr>
          <w:lang w:val="en-IN"/>
        </w:rPr>
        <w:t xml:space="preserve">in </w:t>
      </w:r>
      <w:r w:rsidRPr="00087D6C">
        <w:rPr>
          <w:lang w:val="en-IN"/>
        </w:rPr>
        <w:t>2020, indicative of continued underlying structural and competitive issues affecting margins and the overall stability of the firm.</w:t>
      </w:r>
    </w:p>
    <w:p w14:paraId="47A245B5" w14:textId="77777777" w:rsidR="00A73B1B" w:rsidRDefault="00A34DE7" w:rsidP="00A34DE7">
      <w:pPr>
        <w:pStyle w:val="Heading2"/>
        <w:rPr>
          <w:lang w:val="en-IN"/>
        </w:rPr>
      </w:pPr>
      <w:bookmarkStart w:id="3" w:name="_Toc210822721"/>
      <w:r>
        <w:rPr>
          <w:lang w:val="en-IN"/>
        </w:rPr>
        <w:t>Liquidity Ratios</w:t>
      </w:r>
      <w:bookmarkEnd w:id="3"/>
    </w:p>
    <w:p w14:paraId="1747932D" w14:textId="60020630" w:rsidR="00A21185" w:rsidRPr="00A21185" w:rsidRDefault="00A21185" w:rsidP="00A21185">
      <w:pPr>
        <w:rPr>
          <w:lang w:val="en-IN"/>
        </w:rPr>
      </w:pPr>
      <w:r w:rsidRPr="00A21185">
        <w:t xml:space="preserve">Liquidity ratios assess a company's capacity to </w:t>
      </w:r>
      <w:r>
        <w:t>fulfil</w:t>
      </w:r>
      <w:r w:rsidRPr="00A21185">
        <w:t xml:space="preserve"> short-term liabilities with its current assets and show its financial flexibility and operational sustainability</w:t>
      </w:r>
      <w:r w:rsidR="00CA3C80">
        <w:t xml:space="preserve"> (CFI, 2025)</w:t>
      </w:r>
      <w:r w:rsidRPr="00A21185">
        <w:t xml:space="preserve">. They serve as essential indicators of solvency and financial risk management. </w:t>
      </w:r>
    </w:p>
    <w:p w14:paraId="0959F072" w14:textId="77777777" w:rsidR="00A73B1B" w:rsidRDefault="00A73B1B" w:rsidP="00A73B1B">
      <w:pPr>
        <w:keepNext/>
        <w:jc w:val="center"/>
      </w:pPr>
      <w:r>
        <w:rPr>
          <w:noProof/>
        </w:rPr>
        <w:drawing>
          <wp:inline distT="0" distB="0" distL="0" distR="0" wp14:anchorId="5499B57A" wp14:editId="67252F62">
            <wp:extent cx="4572000" cy="2743200"/>
            <wp:effectExtent l="0" t="0" r="0" b="0"/>
            <wp:docPr id="1787913032" name="Chart 1">
              <a:extLst xmlns:a="http://schemas.openxmlformats.org/drawingml/2006/main">
                <a:ext uri="{FF2B5EF4-FFF2-40B4-BE49-F238E27FC236}">
                  <a16:creationId xmlns:a16="http://schemas.microsoft.com/office/drawing/2014/main" id="{26222CE8-8A0D-AA5A-5B67-10DE3BF584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A69FEE2" w14:textId="10C94A4F" w:rsidR="00A73B1B" w:rsidRDefault="00A73B1B" w:rsidP="00A73B1B">
      <w:pPr>
        <w:jc w:val="center"/>
        <w:rPr>
          <w:b/>
          <w:bCs/>
          <w:i/>
          <w:iCs/>
        </w:rPr>
      </w:pPr>
      <w:r w:rsidRPr="00A73B1B">
        <w:rPr>
          <w:b/>
          <w:bCs/>
          <w:i/>
          <w:iCs/>
        </w:rPr>
        <w:t xml:space="preserve">Figure </w:t>
      </w:r>
      <w:r w:rsidRPr="00A73B1B">
        <w:rPr>
          <w:b/>
          <w:bCs/>
          <w:i/>
          <w:iCs/>
        </w:rPr>
        <w:fldChar w:fldCharType="begin"/>
      </w:r>
      <w:r w:rsidRPr="00A73B1B">
        <w:rPr>
          <w:b/>
          <w:bCs/>
          <w:i/>
          <w:iCs/>
        </w:rPr>
        <w:instrText xml:space="preserve"> SEQ Figure \* ARABIC </w:instrText>
      </w:r>
      <w:r w:rsidRPr="00A73B1B">
        <w:rPr>
          <w:b/>
          <w:bCs/>
          <w:i/>
          <w:iCs/>
        </w:rPr>
        <w:fldChar w:fldCharType="separate"/>
      </w:r>
      <w:r w:rsidR="001E3ED2">
        <w:rPr>
          <w:b/>
          <w:bCs/>
          <w:i/>
          <w:iCs/>
          <w:noProof/>
        </w:rPr>
        <w:t>2</w:t>
      </w:r>
      <w:r w:rsidRPr="00A73B1B">
        <w:rPr>
          <w:b/>
          <w:bCs/>
          <w:i/>
          <w:iCs/>
        </w:rPr>
        <w:fldChar w:fldCharType="end"/>
      </w:r>
      <w:r w:rsidRPr="00A73B1B">
        <w:rPr>
          <w:b/>
          <w:bCs/>
          <w:i/>
          <w:iCs/>
        </w:rPr>
        <w:t>: Liquidity Ratios</w:t>
      </w:r>
    </w:p>
    <w:p w14:paraId="3F075F78" w14:textId="51BD5E88" w:rsidR="00A73B1B" w:rsidRDefault="00A73B1B" w:rsidP="00A73B1B">
      <w:pPr>
        <w:jc w:val="center"/>
        <w:rPr>
          <w:b/>
          <w:bCs/>
          <w:i/>
          <w:iCs/>
        </w:rPr>
      </w:pPr>
      <w:r>
        <w:rPr>
          <w:b/>
          <w:bCs/>
          <w:i/>
          <w:iCs/>
        </w:rPr>
        <w:t>(Source: By Author)</w:t>
      </w:r>
    </w:p>
    <w:p w14:paraId="72527112" w14:textId="501FD8F3" w:rsidR="00A21185" w:rsidRDefault="00A21185" w:rsidP="00A21185">
      <w:r>
        <w:t>Figure</w:t>
      </w:r>
      <w:r w:rsidRPr="00A21185">
        <w:t xml:space="preserve"> 2 </w:t>
      </w:r>
      <w:r>
        <w:t>represe</w:t>
      </w:r>
      <w:r w:rsidR="009330D7">
        <w:t>nts</w:t>
      </w:r>
      <w:r w:rsidRPr="00A21185">
        <w:t xml:space="preserve"> the weakening liquidity of General Electronics over time. The current ratio dropped from 1.821 in 2020 to 1.532 in 2024, indicating tighter working capital. The acid-test ratio decreased from 1.150 to 1.031, highlighting declining liquidity to satisfy immediate payments. The cash ratio significantly fell to 0.169 in 2024, demonstrating an increasing reliance on receivables and inventories in making payments. In summary, the liquidity of the firm has been negatively affected and represents increasing vulnerability to short-term financial distress.</w:t>
      </w:r>
    </w:p>
    <w:p w14:paraId="5217B48A" w14:textId="0341FF73" w:rsidR="00E44409" w:rsidRDefault="002163FD" w:rsidP="00E44409">
      <w:pPr>
        <w:pStyle w:val="Heading2"/>
      </w:pPr>
      <w:bookmarkStart w:id="4" w:name="_Toc210822722"/>
      <w:r>
        <w:lastRenderedPageBreak/>
        <w:t>Gearing</w:t>
      </w:r>
      <w:r w:rsidR="00E44409">
        <w:t xml:space="preserve"> Ratios</w:t>
      </w:r>
      <w:bookmarkEnd w:id="4"/>
    </w:p>
    <w:p w14:paraId="0E9C8758" w14:textId="34590121" w:rsidR="00443865" w:rsidRPr="00443865" w:rsidRDefault="00443865" w:rsidP="00443865">
      <w:r w:rsidRPr="00443865">
        <w:t>Gearing ratios evaluate financial leverage and long-term solvency</w:t>
      </w:r>
      <w:r w:rsidR="004234ED">
        <w:t xml:space="preserve"> (</w:t>
      </w:r>
      <w:r w:rsidR="00A562D8">
        <w:t>Bajaj Finserv, 2025)</w:t>
      </w:r>
      <w:r w:rsidRPr="00443865">
        <w:t xml:space="preserve">. Debt-to-equity and debt ratios show </w:t>
      </w:r>
      <w:r w:rsidR="00027D29">
        <w:t xml:space="preserve">a </w:t>
      </w:r>
      <w:r w:rsidRPr="00443865">
        <w:t>company's reliance on borrowed funds and indicate financial risk, financial stability, and the firm's ability to meet long-term obligations</w:t>
      </w:r>
      <w:r w:rsidR="00F92E90">
        <w:t xml:space="preserve"> (</w:t>
      </w:r>
      <w:proofErr w:type="spellStart"/>
      <w:r w:rsidR="00F92E90" w:rsidRPr="00483F37">
        <w:t>Omodara</w:t>
      </w:r>
      <w:proofErr w:type="spellEnd"/>
      <w:r w:rsidR="00F92E90" w:rsidRPr="00483F37">
        <w:t>,</w:t>
      </w:r>
      <w:r w:rsidR="00F92E90">
        <w:t xml:space="preserve"> </w:t>
      </w:r>
      <w:r w:rsidR="00F92E90" w:rsidRPr="00483F37">
        <w:t>2023</w:t>
      </w:r>
      <w:r w:rsidR="00F92E90">
        <w:t>)</w:t>
      </w:r>
      <w:r w:rsidRPr="00443865">
        <w:t>.</w:t>
      </w:r>
    </w:p>
    <w:p w14:paraId="64B6F5DF" w14:textId="77777777" w:rsidR="002163FD" w:rsidRDefault="002163FD" w:rsidP="002163FD">
      <w:pPr>
        <w:keepNext/>
        <w:jc w:val="center"/>
      </w:pPr>
      <w:r>
        <w:rPr>
          <w:noProof/>
        </w:rPr>
        <w:drawing>
          <wp:inline distT="0" distB="0" distL="0" distR="0" wp14:anchorId="44F9C2C1" wp14:editId="124BBF55">
            <wp:extent cx="4572000" cy="2743200"/>
            <wp:effectExtent l="0" t="0" r="0" b="0"/>
            <wp:docPr id="1393920522" name="Chart 1">
              <a:extLst xmlns:a="http://schemas.openxmlformats.org/drawingml/2006/main">
                <a:ext uri="{FF2B5EF4-FFF2-40B4-BE49-F238E27FC236}">
                  <a16:creationId xmlns:a16="http://schemas.microsoft.com/office/drawing/2014/main" id="{AD37A1E4-0C04-030F-E6E4-60EC42356F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389DDC7" w14:textId="7C7998C5" w:rsidR="00E44409" w:rsidRDefault="002163FD" w:rsidP="002163FD">
      <w:pPr>
        <w:jc w:val="center"/>
        <w:rPr>
          <w:b/>
          <w:bCs/>
          <w:i/>
          <w:iCs/>
        </w:rPr>
      </w:pPr>
      <w:r w:rsidRPr="002163FD">
        <w:rPr>
          <w:b/>
          <w:bCs/>
          <w:i/>
          <w:iCs/>
        </w:rPr>
        <w:t xml:space="preserve">Figure </w:t>
      </w:r>
      <w:r w:rsidRPr="002163FD">
        <w:rPr>
          <w:b/>
          <w:bCs/>
          <w:i/>
          <w:iCs/>
        </w:rPr>
        <w:fldChar w:fldCharType="begin"/>
      </w:r>
      <w:r w:rsidRPr="002163FD">
        <w:rPr>
          <w:b/>
          <w:bCs/>
          <w:i/>
          <w:iCs/>
        </w:rPr>
        <w:instrText xml:space="preserve"> SEQ Figure \* ARABIC </w:instrText>
      </w:r>
      <w:r w:rsidRPr="002163FD">
        <w:rPr>
          <w:b/>
          <w:bCs/>
          <w:i/>
          <w:iCs/>
        </w:rPr>
        <w:fldChar w:fldCharType="separate"/>
      </w:r>
      <w:r w:rsidR="001E3ED2">
        <w:rPr>
          <w:b/>
          <w:bCs/>
          <w:i/>
          <w:iCs/>
          <w:noProof/>
        </w:rPr>
        <w:t>3</w:t>
      </w:r>
      <w:r w:rsidRPr="002163FD">
        <w:rPr>
          <w:b/>
          <w:bCs/>
          <w:i/>
          <w:iCs/>
        </w:rPr>
        <w:fldChar w:fldCharType="end"/>
      </w:r>
      <w:r w:rsidRPr="002163FD">
        <w:rPr>
          <w:b/>
          <w:bCs/>
          <w:i/>
          <w:iCs/>
        </w:rPr>
        <w:t>: Gearing Ratios</w:t>
      </w:r>
    </w:p>
    <w:p w14:paraId="64F21937" w14:textId="30ED4A5D" w:rsidR="002163FD" w:rsidRDefault="002163FD" w:rsidP="002163FD">
      <w:pPr>
        <w:jc w:val="center"/>
        <w:rPr>
          <w:b/>
          <w:bCs/>
          <w:i/>
          <w:iCs/>
        </w:rPr>
      </w:pPr>
      <w:r>
        <w:rPr>
          <w:b/>
          <w:bCs/>
          <w:i/>
          <w:iCs/>
        </w:rPr>
        <w:t>(Source: By Author)</w:t>
      </w:r>
    </w:p>
    <w:p w14:paraId="41F1FB78" w14:textId="0AC64BD4" w:rsidR="00027D29" w:rsidRDefault="00027D29" w:rsidP="00027D29">
      <w:r>
        <w:t>Figure</w:t>
      </w:r>
      <w:r w:rsidRPr="00A21185">
        <w:t xml:space="preserve"> </w:t>
      </w:r>
      <w:r>
        <w:t>3</w:t>
      </w:r>
      <w:r w:rsidRPr="00A21185">
        <w:t xml:space="preserve"> </w:t>
      </w:r>
      <w:r>
        <w:t>represents</w:t>
      </w:r>
      <w:r w:rsidRPr="00A21185">
        <w:t xml:space="preserve"> the </w:t>
      </w:r>
      <w:r w:rsidR="0045081B">
        <w:t>over-dependency</w:t>
      </w:r>
      <w:r w:rsidR="007B7456">
        <w:t xml:space="preserve"> of </w:t>
      </w:r>
      <w:r w:rsidRPr="00A21185">
        <w:t xml:space="preserve">General Electronics </w:t>
      </w:r>
      <w:r w:rsidR="0045081B">
        <w:t>on</w:t>
      </w:r>
      <w:r w:rsidRPr="00A21185">
        <w:t xml:space="preserve"> </w:t>
      </w:r>
      <w:r w:rsidR="007B7456">
        <w:t xml:space="preserve">debt across the </w:t>
      </w:r>
      <w:r w:rsidR="00373E3F">
        <w:t>financial years</w:t>
      </w:r>
      <w:r w:rsidRPr="00A21185">
        <w:t xml:space="preserve">. The </w:t>
      </w:r>
      <w:r w:rsidR="00373E3F">
        <w:t>Debt</w:t>
      </w:r>
      <w:r w:rsidR="0045081B">
        <w:t>-</w:t>
      </w:r>
      <w:r w:rsidR="00373E3F">
        <w:t>to</w:t>
      </w:r>
      <w:r w:rsidR="0045081B">
        <w:t>-</w:t>
      </w:r>
      <w:r w:rsidR="00373E3F">
        <w:t>equity ratio increased from financial year 2020 (0.056) to 2023 (0.072),</w:t>
      </w:r>
      <w:r w:rsidRPr="00A21185">
        <w:t xml:space="preserve"> indicating</w:t>
      </w:r>
      <w:r w:rsidR="009F20C9">
        <w:t xml:space="preserve"> dependency of </w:t>
      </w:r>
      <w:r w:rsidR="0045081B">
        <w:t>company's</w:t>
      </w:r>
      <w:r w:rsidR="009F20C9">
        <w:t xml:space="preserve"> more </w:t>
      </w:r>
      <w:r w:rsidR="0045081B">
        <w:t>on</w:t>
      </w:r>
      <w:r w:rsidR="009F20C9">
        <w:t xml:space="preserve"> debt financing</w:t>
      </w:r>
      <w:r w:rsidRPr="00A21185">
        <w:t>.</w:t>
      </w:r>
      <w:r w:rsidR="009F20C9">
        <w:t xml:space="preserve"> However, it sli</w:t>
      </w:r>
      <w:r w:rsidR="002430D1">
        <w:t>ghtly declined in the financial year 2024.</w:t>
      </w:r>
      <w:r w:rsidRPr="00A21185">
        <w:t xml:space="preserve"> </w:t>
      </w:r>
      <w:r w:rsidR="002430D1">
        <w:t>On the other hand</w:t>
      </w:r>
      <w:r w:rsidR="0045081B">
        <w:t>,</w:t>
      </w:r>
      <w:r w:rsidR="002430D1">
        <w:t xml:space="preserve"> </w:t>
      </w:r>
      <w:r w:rsidR="0045081B">
        <w:t xml:space="preserve">the </w:t>
      </w:r>
      <w:r w:rsidR="002430D1">
        <w:t xml:space="preserve">debt ratio </w:t>
      </w:r>
      <w:r w:rsidR="0045081B">
        <w:t>also</w:t>
      </w:r>
      <w:r w:rsidR="002430D1">
        <w:t xml:space="preserve"> indicates that </w:t>
      </w:r>
      <w:r w:rsidR="00EA1B40" w:rsidRPr="00EA1B40">
        <w:t>the proportion of the company's assets financed by debt has been consistently rising over this period.</w:t>
      </w:r>
      <w:r w:rsidR="00F5166A">
        <w:t xml:space="preserve"> </w:t>
      </w:r>
      <w:r w:rsidR="00F5166A" w:rsidRPr="00F5166A">
        <w:t xml:space="preserve">This indicates that the company's reliance on debt to fund its assets has been steadily rising over </w:t>
      </w:r>
      <w:r w:rsidR="00F5166A">
        <w:t xml:space="preserve">the </w:t>
      </w:r>
      <w:r w:rsidR="0045081B">
        <w:t xml:space="preserve">past </w:t>
      </w:r>
      <w:r w:rsidR="00F5166A">
        <w:t>five years</w:t>
      </w:r>
      <w:r w:rsidR="00F5166A" w:rsidRPr="00F5166A">
        <w:t>.</w:t>
      </w:r>
    </w:p>
    <w:p w14:paraId="60A95772" w14:textId="7769F497" w:rsidR="00E72A4A" w:rsidRDefault="00E72A4A" w:rsidP="00E72A4A">
      <w:pPr>
        <w:pStyle w:val="Heading2"/>
      </w:pPr>
      <w:bookmarkStart w:id="5" w:name="_Toc210822723"/>
      <w:r>
        <w:t>Efficiency Ratios</w:t>
      </w:r>
      <w:bookmarkEnd w:id="5"/>
    </w:p>
    <w:p w14:paraId="02198803" w14:textId="7C162DBA" w:rsidR="005032BA" w:rsidRPr="005032BA" w:rsidRDefault="009532F0" w:rsidP="005032BA">
      <w:r w:rsidRPr="009532F0">
        <w:t xml:space="preserve">Efficiency ratios evaluate how effectively a company </w:t>
      </w:r>
      <w:r>
        <w:t>utilises</w:t>
      </w:r>
      <w:r w:rsidRPr="009532F0">
        <w:t xml:space="preserve"> </w:t>
      </w:r>
      <w:r>
        <w:t>its</w:t>
      </w:r>
      <w:r w:rsidRPr="009532F0">
        <w:t xml:space="preserve"> liabilities and assets to produce sales and profits</w:t>
      </w:r>
      <w:r>
        <w:t xml:space="preserve"> (</w:t>
      </w:r>
      <w:r w:rsidR="008E1A98">
        <w:t>CFI, 2025)</w:t>
      </w:r>
      <w:r w:rsidRPr="009532F0">
        <w:t>. Efficiency ratios measure operational performance to help inform management decisions and highlight potential costs and process efficiencies.</w:t>
      </w:r>
    </w:p>
    <w:p w14:paraId="5A524419" w14:textId="77777777" w:rsidR="005032BA" w:rsidRDefault="00E72A4A" w:rsidP="005032BA">
      <w:pPr>
        <w:keepNext/>
        <w:jc w:val="center"/>
      </w:pPr>
      <w:r>
        <w:rPr>
          <w:noProof/>
        </w:rPr>
        <w:lastRenderedPageBreak/>
        <w:drawing>
          <wp:inline distT="0" distB="0" distL="0" distR="0" wp14:anchorId="0606C895" wp14:editId="668E42F4">
            <wp:extent cx="4472940" cy="2922270"/>
            <wp:effectExtent l="0" t="0" r="3810" b="11430"/>
            <wp:docPr id="568091037" name="Chart 1">
              <a:extLst xmlns:a="http://schemas.openxmlformats.org/drawingml/2006/main">
                <a:ext uri="{FF2B5EF4-FFF2-40B4-BE49-F238E27FC236}">
                  <a16:creationId xmlns:a16="http://schemas.microsoft.com/office/drawing/2014/main" id="{223B722D-57A5-ECA4-A808-0C3DEFE2A1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E10B09A" w14:textId="5A11AEE9" w:rsidR="00E72A4A" w:rsidRDefault="005032BA" w:rsidP="005032BA">
      <w:pPr>
        <w:jc w:val="center"/>
        <w:rPr>
          <w:b/>
          <w:bCs/>
          <w:i/>
          <w:iCs/>
        </w:rPr>
      </w:pPr>
      <w:r w:rsidRPr="005032BA">
        <w:rPr>
          <w:b/>
          <w:bCs/>
          <w:i/>
          <w:iCs/>
        </w:rPr>
        <w:t xml:space="preserve">Figure </w:t>
      </w:r>
      <w:r w:rsidRPr="005032BA">
        <w:rPr>
          <w:b/>
          <w:bCs/>
          <w:i/>
          <w:iCs/>
        </w:rPr>
        <w:fldChar w:fldCharType="begin"/>
      </w:r>
      <w:r w:rsidRPr="005032BA">
        <w:rPr>
          <w:b/>
          <w:bCs/>
          <w:i/>
          <w:iCs/>
        </w:rPr>
        <w:instrText xml:space="preserve"> SEQ Figure \* ARABIC </w:instrText>
      </w:r>
      <w:r w:rsidRPr="005032BA">
        <w:rPr>
          <w:b/>
          <w:bCs/>
          <w:i/>
          <w:iCs/>
        </w:rPr>
        <w:fldChar w:fldCharType="separate"/>
      </w:r>
      <w:r w:rsidR="001E3ED2">
        <w:rPr>
          <w:b/>
          <w:bCs/>
          <w:i/>
          <w:iCs/>
          <w:noProof/>
        </w:rPr>
        <w:t>4</w:t>
      </w:r>
      <w:r w:rsidRPr="005032BA">
        <w:rPr>
          <w:b/>
          <w:bCs/>
          <w:i/>
          <w:iCs/>
        </w:rPr>
        <w:fldChar w:fldCharType="end"/>
      </w:r>
      <w:r w:rsidRPr="005032BA">
        <w:rPr>
          <w:b/>
          <w:bCs/>
          <w:i/>
          <w:iCs/>
        </w:rPr>
        <w:t>: Effi</w:t>
      </w:r>
      <w:r>
        <w:rPr>
          <w:b/>
          <w:bCs/>
          <w:i/>
          <w:iCs/>
        </w:rPr>
        <w:t>cienc</w:t>
      </w:r>
      <w:r w:rsidRPr="005032BA">
        <w:rPr>
          <w:b/>
          <w:bCs/>
          <w:i/>
          <w:iCs/>
        </w:rPr>
        <w:t>y Ratios</w:t>
      </w:r>
    </w:p>
    <w:p w14:paraId="67E81A58" w14:textId="22EFF76B" w:rsidR="005032BA" w:rsidRDefault="005032BA" w:rsidP="005032BA">
      <w:pPr>
        <w:jc w:val="center"/>
        <w:rPr>
          <w:b/>
          <w:bCs/>
          <w:i/>
          <w:iCs/>
        </w:rPr>
      </w:pPr>
      <w:r>
        <w:rPr>
          <w:b/>
          <w:bCs/>
          <w:i/>
          <w:iCs/>
        </w:rPr>
        <w:t>(Source: By Author)</w:t>
      </w:r>
    </w:p>
    <w:p w14:paraId="473988E3" w14:textId="1FDE8D40" w:rsidR="000945C5" w:rsidRDefault="000945C5" w:rsidP="000945C5">
      <w:r w:rsidRPr="000945C5">
        <w:t xml:space="preserve">Between the years 2020 and 2024, days of receivable turnover increased from 77 days to 106 days, indicating a slower collection from customers. Days of payables turnover increased from 69 days to 94 days, indicating later payment of supplier payments, and inventory turnover improved from 131 days in 2022 to 103 days in 2024, indicating improved control of inventory. Although inventory turnover decreased and the payment of payables was later, increases </w:t>
      </w:r>
      <w:r w:rsidR="00425673">
        <w:t>in</w:t>
      </w:r>
      <w:r w:rsidRPr="000945C5">
        <w:t xml:space="preserve"> receivable days </w:t>
      </w:r>
      <w:r w:rsidR="00425673">
        <w:t>put</w:t>
      </w:r>
      <w:r w:rsidRPr="000945C5">
        <w:t xml:space="preserve"> extra pressure on cash flow. General </w:t>
      </w:r>
      <w:r w:rsidR="00425673">
        <w:t>Electric</w:t>
      </w:r>
      <w:r w:rsidRPr="000945C5">
        <w:t xml:space="preserve"> should tighten </w:t>
      </w:r>
      <w:r w:rsidR="00425673">
        <w:t>its</w:t>
      </w:r>
      <w:r w:rsidRPr="000945C5">
        <w:t xml:space="preserve"> credit policies and improve </w:t>
      </w:r>
      <w:r w:rsidR="00425673">
        <w:t>its</w:t>
      </w:r>
      <w:r w:rsidRPr="000945C5">
        <w:t xml:space="preserve"> collection times.</w:t>
      </w:r>
    </w:p>
    <w:p w14:paraId="6AC569FB" w14:textId="0F47AC07" w:rsidR="008E1A98" w:rsidRDefault="00AA1D70" w:rsidP="00AA1D70">
      <w:pPr>
        <w:pStyle w:val="Heading2"/>
      </w:pPr>
      <w:bookmarkStart w:id="6" w:name="_Toc210822724"/>
      <w:r>
        <w:t>Investment Ratios</w:t>
      </w:r>
      <w:bookmarkEnd w:id="6"/>
    </w:p>
    <w:p w14:paraId="3CFB6410" w14:textId="330C6521" w:rsidR="00ED0DDB" w:rsidRPr="00ED0DDB" w:rsidRDefault="00ED0DDB" w:rsidP="00ED0DDB">
      <w:r>
        <w:t>Investment ratios indicate the firm's ability to create a return to investors and the efficient use of assets</w:t>
      </w:r>
      <w:r w:rsidR="009B628D">
        <w:t xml:space="preserve"> </w:t>
      </w:r>
      <w:r w:rsidR="00501B45">
        <w:rPr>
          <w:lang w:val="en-IN"/>
        </w:rPr>
        <w:t>(</w:t>
      </w:r>
      <w:r w:rsidR="00501B45" w:rsidRPr="005029CA">
        <w:t>Rashid,</w:t>
      </w:r>
      <w:r w:rsidR="00501B45">
        <w:t xml:space="preserve"> </w:t>
      </w:r>
      <w:r w:rsidR="00501B45" w:rsidRPr="005029CA">
        <w:t>2021</w:t>
      </w:r>
      <w:r w:rsidR="00501B45">
        <w:t>)</w:t>
      </w:r>
      <w:r>
        <w:t xml:space="preserve">. Investment ratios provide a measure of profitability, financial performance, and shareholder wealth. </w:t>
      </w:r>
    </w:p>
    <w:p w14:paraId="3BF7D9E5" w14:textId="77777777" w:rsidR="00AA1D70" w:rsidRDefault="00AA1D70" w:rsidP="00AA1D70">
      <w:pPr>
        <w:keepNext/>
        <w:jc w:val="center"/>
      </w:pPr>
      <w:r>
        <w:rPr>
          <w:noProof/>
        </w:rPr>
        <w:lastRenderedPageBreak/>
        <w:drawing>
          <wp:inline distT="0" distB="0" distL="0" distR="0" wp14:anchorId="5E2847E6" wp14:editId="3CB4641E">
            <wp:extent cx="4572000" cy="2743200"/>
            <wp:effectExtent l="0" t="0" r="0" b="0"/>
            <wp:docPr id="377074719" name="Chart 1">
              <a:extLst xmlns:a="http://schemas.openxmlformats.org/drawingml/2006/main">
                <a:ext uri="{FF2B5EF4-FFF2-40B4-BE49-F238E27FC236}">
                  <a16:creationId xmlns:a16="http://schemas.microsoft.com/office/drawing/2014/main" id="{1DB884EA-EE81-717C-AC28-36F1AEAB32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84D3642" w14:textId="04D10AD4" w:rsidR="00AA1D70" w:rsidRDefault="00AA1D70" w:rsidP="00AA1D70">
      <w:pPr>
        <w:jc w:val="center"/>
        <w:rPr>
          <w:b/>
          <w:bCs/>
          <w:i/>
          <w:iCs/>
        </w:rPr>
      </w:pPr>
      <w:r w:rsidRPr="00AA1D70">
        <w:rPr>
          <w:b/>
          <w:bCs/>
          <w:i/>
          <w:iCs/>
        </w:rPr>
        <w:t xml:space="preserve">Figure </w:t>
      </w:r>
      <w:r w:rsidRPr="00AA1D70">
        <w:rPr>
          <w:b/>
          <w:bCs/>
          <w:i/>
          <w:iCs/>
        </w:rPr>
        <w:fldChar w:fldCharType="begin"/>
      </w:r>
      <w:r w:rsidRPr="00AA1D70">
        <w:rPr>
          <w:b/>
          <w:bCs/>
          <w:i/>
          <w:iCs/>
        </w:rPr>
        <w:instrText xml:space="preserve"> SEQ Figure \* ARABIC </w:instrText>
      </w:r>
      <w:r w:rsidRPr="00AA1D70">
        <w:rPr>
          <w:b/>
          <w:bCs/>
          <w:i/>
          <w:iCs/>
        </w:rPr>
        <w:fldChar w:fldCharType="separate"/>
      </w:r>
      <w:r w:rsidR="001E3ED2">
        <w:rPr>
          <w:b/>
          <w:bCs/>
          <w:i/>
          <w:iCs/>
          <w:noProof/>
        </w:rPr>
        <w:t>5</w:t>
      </w:r>
      <w:r w:rsidRPr="00AA1D70">
        <w:rPr>
          <w:b/>
          <w:bCs/>
          <w:i/>
          <w:iCs/>
        </w:rPr>
        <w:fldChar w:fldCharType="end"/>
      </w:r>
      <w:r w:rsidRPr="00AA1D70">
        <w:rPr>
          <w:b/>
          <w:bCs/>
          <w:i/>
          <w:iCs/>
        </w:rPr>
        <w:t>: Investment Ratios</w:t>
      </w:r>
    </w:p>
    <w:p w14:paraId="56627D23" w14:textId="5AF0B203" w:rsidR="00AA1D70" w:rsidRDefault="00AA1D70" w:rsidP="00AA1D70">
      <w:pPr>
        <w:jc w:val="center"/>
        <w:rPr>
          <w:b/>
          <w:bCs/>
          <w:i/>
          <w:iCs/>
        </w:rPr>
      </w:pPr>
      <w:r>
        <w:rPr>
          <w:b/>
          <w:bCs/>
          <w:i/>
          <w:iCs/>
        </w:rPr>
        <w:t>(Source: By Author)</w:t>
      </w:r>
    </w:p>
    <w:p w14:paraId="2C0E974F" w14:textId="528F5508" w:rsidR="009B628D" w:rsidRDefault="004D30D4" w:rsidP="004D30D4">
      <w:r>
        <w:t xml:space="preserve">In the case of General </w:t>
      </w:r>
      <w:r w:rsidR="00ED0DDB">
        <w:t>Electric</w:t>
      </w:r>
      <w:r>
        <w:t>, ROA decreased from 7.56% in 2020 to -7.43% in 2024</w:t>
      </w:r>
      <w:r w:rsidR="00C04650">
        <w:t>,</w:t>
      </w:r>
      <w:r>
        <w:t xml:space="preserve"> indicating a decrease in efficiency of assets and profitability. EPS also decreased from 2.78 in 2020 to -1.85 in 2024</w:t>
      </w:r>
      <w:r w:rsidR="00C04650">
        <w:t>,</w:t>
      </w:r>
      <w:r>
        <w:t xml:space="preserve"> reflecting a decrease in earnings and investor confidence. This downward trend is a strong signal of operational challenges and a decline in financial capacity.</w:t>
      </w:r>
    </w:p>
    <w:p w14:paraId="2AA050E0" w14:textId="6457B20B" w:rsidR="0085399A" w:rsidRDefault="0085399A" w:rsidP="0085399A">
      <w:pPr>
        <w:pStyle w:val="Heading2"/>
      </w:pPr>
      <w:bookmarkStart w:id="7" w:name="_Toc210822725"/>
      <w:r>
        <w:t>Cash Flow Ratios</w:t>
      </w:r>
      <w:bookmarkEnd w:id="7"/>
    </w:p>
    <w:p w14:paraId="4FEDE8B0" w14:textId="3B3F48BA" w:rsidR="005005D5" w:rsidRDefault="005005D5" w:rsidP="005005D5">
      <w:r>
        <w:t>Cash flow ratios help evaluate a company's liquidity, operational efficiency, and cash-generating ability from operating activities</w:t>
      </w:r>
      <w:r w:rsidR="008024CD">
        <w:t xml:space="preserve"> (</w:t>
      </w:r>
      <w:r w:rsidR="008024CD" w:rsidRPr="000D6416">
        <w:t>Adhikari, 2021</w:t>
      </w:r>
      <w:r w:rsidR="008024CD">
        <w:t>)</w:t>
      </w:r>
      <w:r>
        <w:t>. Two examples of cash flow ratios, the Operating Cash Flow Ratio and the Cash Flow Margin, show whether the business can meet its short-term obligations and sustain positive cash flows to support operations and future investments.</w:t>
      </w:r>
    </w:p>
    <w:p w14:paraId="45E07B7B" w14:textId="77777777" w:rsidR="005005D5" w:rsidRPr="005005D5" w:rsidRDefault="005005D5" w:rsidP="005005D5"/>
    <w:p w14:paraId="3D1228D5" w14:textId="77777777" w:rsidR="0085399A" w:rsidRDefault="0085399A" w:rsidP="0085399A">
      <w:pPr>
        <w:keepNext/>
        <w:jc w:val="center"/>
      </w:pPr>
      <w:r>
        <w:rPr>
          <w:noProof/>
        </w:rPr>
        <w:lastRenderedPageBreak/>
        <w:drawing>
          <wp:inline distT="0" distB="0" distL="0" distR="0" wp14:anchorId="7971340A" wp14:editId="06E66D81">
            <wp:extent cx="5257800" cy="3021330"/>
            <wp:effectExtent l="0" t="0" r="0" b="7620"/>
            <wp:docPr id="663982866" name="Chart 1">
              <a:extLst xmlns:a="http://schemas.openxmlformats.org/drawingml/2006/main">
                <a:ext uri="{FF2B5EF4-FFF2-40B4-BE49-F238E27FC236}">
                  <a16:creationId xmlns:a16="http://schemas.microsoft.com/office/drawing/2014/main" id="{2E41EE4E-7CCC-245E-6A97-DF921923F1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E90D8E0" w14:textId="6E4A5D67" w:rsidR="0085399A" w:rsidRDefault="0085399A" w:rsidP="0085399A">
      <w:pPr>
        <w:jc w:val="center"/>
        <w:rPr>
          <w:b/>
          <w:bCs/>
          <w:i/>
          <w:iCs/>
        </w:rPr>
      </w:pPr>
      <w:r w:rsidRPr="0085399A">
        <w:rPr>
          <w:b/>
          <w:bCs/>
          <w:i/>
          <w:iCs/>
        </w:rPr>
        <w:t xml:space="preserve">Figure </w:t>
      </w:r>
      <w:r w:rsidRPr="0085399A">
        <w:rPr>
          <w:b/>
          <w:bCs/>
          <w:i/>
          <w:iCs/>
        </w:rPr>
        <w:fldChar w:fldCharType="begin"/>
      </w:r>
      <w:r w:rsidRPr="0085399A">
        <w:rPr>
          <w:b/>
          <w:bCs/>
          <w:i/>
          <w:iCs/>
        </w:rPr>
        <w:instrText xml:space="preserve"> SEQ Figure \* ARABIC </w:instrText>
      </w:r>
      <w:r w:rsidRPr="0085399A">
        <w:rPr>
          <w:b/>
          <w:bCs/>
          <w:i/>
          <w:iCs/>
        </w:rPr>
        <w:fldChar w:fldCharType="separate"/>
      </w:r>
      <w:r w:rsidR="001E3ED2">
        <w:rPr>
          <w:b/>
          <w:bCs/>
          <w:i/>
          <w:iCs/>
          <w:noProof/>
        </w:rPr>
        <w:t>6</w:t>
      </w:r>
      <w:r w:rsidRPr="0085399A">
        <w:rPr>
          <w:b/>
          <w:bCs/>
          <w:i/>
          <w:iCs/>
        </w:rPr>
        <w:fldChar w:fldCharType="end"/>
      </w:r>
      <w:r w:rsidRPr="0085399A">
        <w:rPr>
          <w:b/>
          <w:bCs/>
          <w:i/>
          <w:iCs/>
        </w:rPr>
        <w:t>: Cash Flow Ratios</w:t>
      </w:r>
    </w:p>
    <w:p w14:paraId="6A17D98A" w14:textId="03785F06" w:rsidR="0085399A" w:rsidRDefault="0085399A" w:rsidP="0085399A">
      <w:pPr>
        <w:jc w:val="center"/>
        <w:rPr>
          <w:b/>
          <w:bCs/>
          <w:i/>
          <w:iCs/>
        </w:rPr>
      </w:pPr>
      <w:r>
        <w:rPr>
          <w:b/>
          <w:bCs/>
          <w:i/>
          <w:iCs/>
        </w:rPr>
        <w:t>(Source: By Author)</w:t>
      </w:r>
    </w:p>
    <w:p w14:paraId="39720195" w14:textId="3AB81414" w:rsidR="001133F2" w:rsidRDefault="00AF296A" w:rsidP="001133F2">
      <w:r>
        <w:t>Figure 6 replicates</w:t>
      </w:r>
      <w:r w:rsidR="001133F2">
        <w:t xml:space="preserve"> the Operating Cash Flow Ratio decreased from 0.409 in 2020 to 0.094 in 2024, indicating deteriorating liquidity and a decline in the company's ability to generate cash from operating activities. </w:t>
      </w:r>
      <w:r>
        <w:t>Moreover</w:t>
      </w:r>
      <w:r w:rsidR="001133F2">
        <w:t>, the Cash Flow Margin ratio decreased from 11.94% to 3.75%, indicating lower cash efficiency. The consistent decrease of both measures indicates lower profitability and less financial flexibility.</w:t>
      </w:r>
    </w:p>
    <w:p w14:paraId="1198BEED" w14:textId="5296CE3A" w:rsidR="00574DDB" w:rsidRDefault="00574DDB" w:rsidP="00574DDB">
      <w:pPr>
        <w:pStyle w:val="Heading2"/>
      </w:pPr>
      <w:bookmarkStart w:id="8" w:name="_Toc210822726"/>
      <w:r>
        <w:t>T</w:t>
      </w:r>
      <w:r w:rsidRPr="00574DDB">
        <w:t xml:space="preserve">rends, </w:t>
      </w:r>
      <w:r>
        <w:t>S</w:t>
      </w:r>
      <w:r w:rsidRPr="00574DDB">
        <w:t xml:space="preserve">trengths and </w:t>
      </w:r>
      <w:r>
        <w:t>T</w:t>
      </w:r>
      <w:r w:rsidRPr="00574DDB">
        <w:t>hreats</w:t>
      </w:r>
      <w:bookmarkEnd w:id="8"/>
    </w:p>
    <w:p w14:paraId="7C088597" w14:textId="77777777" w:rsidR="0030790B" w:rsidRDefault="006654AF" w:rsidP="006654AF">
      <w:r>
        <w:t xml:space="preserve">General Electronics has demonstrated a noticeable downward trend in financial health from 2020 to 2024. </w:t>
      </w:r>
      <w:r w:rsidRPr="006654AF">
        <w:rPr>
          <w:b/>
          <w:bCs/>
          <w:i/>
          <w:iCs/>
        </w:rPr>
        <w:t>Profitability</w:t>
      </w:r>
      <w:r>
        <w:t xml:space="preserve"> has declined significantly, evidenced by negative operating margin and net margin in recent years, displayed inefficiencies and management of costs. </w:t>
      </w:r>
      <w:r w:rsidRPr="006654AF">
        <w:rPr>
          <w:b/>
          <w:bCs/>
          <w:i/>
          <w:iCs/>
        </w:rPr>
        <w:t>Liquidity ratios</w:t>
      </w:r>
      <w:r>
        <w:t xml:space="preserve"> indicating a reduction in financial health short-term. </w:t>
      </w:r>
      <w:r w:rsidRPr="006654AF">
        <w:rPr>
          <w:b/>
          <w:bCs/>
        </w:rPr>
        <w:t>Gearing ratios</w:t>
      </w:r>
      <w:r>
        <w:t xml:space="preserve"> also indicate an increasing reliance on debt, which depicts an increase in financial vulnerability. </w:t>
      </w:r>
      <w:r w:rsidRPr="006654AF">
        <w:rPr>
          <w:b/>
          <w:bCs/>
          <w:i/>
          <w:iCs/>
        </w:rPr>
        <w:t>Efficiency ratios</w:t>
      </w:r>
      <w:r>
        <w:t xml:space="preserve"> continue to suggest that receivables and payables are being delayed, which creates cash flow concerns, with inventory management improving. </w:t>
      </w:r>
      <w:r w:rsidRPr="009A35C8">
        <w:rPr>
          <w:b/>
          <w:bCs/>
          <w:i/>
          <w:iCs/>
        </w:rPr>
        <w:t>Investment ratios</w:t>
      </w:r>
      <w:r>
        <w:t xml:space="preserve"> such as ROA and EPS indicate a significant decline, indicating reduced investor confidence in the company. </w:t>
      </w:r>
      <w:r w:rsidRPr="009A35C8">
        <w:rPr>
          <w:b/>
          <w:bCs/>
          <w:i/>
          <w:iCs/>
        </w:rPr>
        <w:t xml:space="preserve">Cash flow ratios </w:t>
      </w:r>
      <w:r>
        <w:t xml:space="preserve">stated a declining trend, indicating reduced operating cash flow generation </w:t>
      </w:r>
      <w:r>
        <w:lastRenderedPageBreak/>
        <w:t xml:space="preserve">opportunity. </w:t>
      </w:r>
      <w:r w:rsidR="009A35C8">
        <w:t xml:space="preserve"> However, </w:t>
      </w:r>
      <w:r>
        <w:t>Strengths indicate a modest improvement in the inventory turnover and slight improvement in gross profit in 2024.</w:t>
      </w:r>
      <w:r w:rsidR="0030790B">
        <w:t xml:space="preserve"> </w:t>
      </w:r>
    </w:p>
    <w:p w14:paraId="059AB535" w14:textId="4FBC0B40" w:rsidR="00574DDB" w:rsidRPr="00574DDB" w:rsidRDefault="006654AF" w:rsidP="006654AF">
      <w:r>
        <w:t>Threats still include the inefficiencies in operations, increasing reliance on debt, poor cash flow, and declining profitability. These trends indicate a risk of financial distress if remediation does not occur, requiring strategic restructuring to return to stability and confidence of key stakeholders.</w:t>
      </w:r>
    </w:p>
    <w:p w14:paraId="723291E2" w14:textId="26147A25" w:rsidR="00447A4E" w:rsidRPr="00447A4E" w:rsidRDefault="0017452A" w:rsidP="00447A4E">
      <w:pPr>
        <w:pStyle w:val="Heading2"/>
      </w:pPr>
      <w:bookmarkStart w:id="9" w:name="_Toc210822727"/>
      <w:r>
        <w:t>Altman Z-Score Model</w:t>
      </w:r>
      <w:bookmarkEnd w:id="9"/>
    </w:p>
    <w:p w14:paraId="0D73317C" w14:textId="77777777" w:rsidR="00447A4E" w:rsidRDefault="00447A4E" w:rsidP="00447A4E">
      <w:pPr>
        <w:keepNext/>
        <w:jc w:val="center"/>
      </w:pPr>
      <w:r w:rsidRPr="00447A4E">
        <w:rPr>
          <w:noProof/>
        </w:rPr>
        <w:drawing>
          <wp:inline distT="0" distB="0" distL="0" distR="0" wp14:anchorId="4E6A4879" wp14:editId="6F309F4C">
            <wp:extent cx="5318760" cy="2362835"/>
            <wp:effectExtent l="0" t="0" r="0" b="0"/>
            <wp:docPr id="559716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716497" name=""/>
                    <pic:cNvPicPr/>
                  </pic:nvPicPr>
                  <pic:blipFill>
                    <a:blip r:embed="rId15"/>
                    <a:stretch>
                      <a:fillRect/>
                    </a:stretch>
                  </pic:blipFill>
                  <pic:spPr>
                    <a:xfrm>
                      <a:off x="0" y="0"/>
                      <a:ext cx="5327697" cy="2366805"/>
                    </a:xfrm>
                    <a:prstGeom prst="rect">
                      <a:avLst/>
                    </a:prstGeom>
                  </pic:spPr>
                </pic:pic>
              </a:graphicData>
            </a:graphic>
          </wp:inline>
        </w:drawing>
      </w:r>
    </w:p>
    <w:p w14:paraId="4103D3B7" w14:textId="115080B6" w:rsidR="001D742C" w:rsidRDefault="00447A4E" w:rsidP="00447A4E">
      <w:pPr>
        <w:jc w:val="center"/>
        <w:rPr>
          <w:b/>
          <w:bCs/>
          <w:i/>
          <w:iCs/>
        </w:rPr>
      </w:pPr>
      <w:r w:rsidRPr="00447A4E">
        <w:rPr>
          <w:b/>
          <w:bCs/>
          <w:i/>
          <w:iCs/>
        </w:rPr>
        <w:t xml:space="preserve">Figure </w:t>
      </w:r>
      <w:r w:rsidRPr="00447A4E">
        <w:rPr>
          <w:b/>
          <w:bCs/>
          <w:i/>
          <w:iCs/>
        </w:rPr>
        <w:fldChar w:fldCharType="begin"/>
      </w:r>
      <w:r w:rsidRPr="00447A4E">
        <w:rPr>
          <w:b/>
          <w:bCs/>
          <w:i/>
          <w:iCs/>
        </w:rPr>
        <w:instrText xml:space="preserve"> SEQ Figure \* ARABIC </w:instrText>
      </w:r>
      <w:r w:rsidRPr="00447A4E">
        <w:rPr>
          <w:b/>
          <w:bCs/>
          <w:i/>
          <w:iCs/>
        </w:rPr>
        <w:fldChar w:fldCharType="separate"/>
      </w:r>
      <w:r w:rsidR="001E3ED2">
        <w:rPr>
          <w:b/>
          <w:bCs/>
          <w:i/>
          <w:iCs/>
          <w:noProof/>
        </w:rPr>
        <w:t>7</w:t>
      </w:r>
      <w:r w:rsidRPr="00447A4E">
        <w:rPr>
          <w:b/>
          <w:bCs/>
          <w:i/>
          <w:iCs/>
        </w:rPr>
        <w:fldChar w:fldCharType="end"/>
      </w:r>
      <w:r w:rsidRPr="00447A4E">
        <w:rPr>
          <w:b/>
          <w:bCs/>
          <w:i/>
          <w:iCs/>
        </w:rPr>
        <w:t>: Altman Z-Score Model</w:t>
      </w:r>
    </w:p>
    <w:p w14:paraId="652C6EED" w14:textId="5BCE1BC6" w:rsidR="00447A4E" w:rsidRPr="00447A4E" w:rsidRDefault="00447A4E" w:rsidP="00447A4E">
      <w:pPr>
        <w:jc w:val="center"/>
        <w:rPr>
          <w:b/>
          <w:bCs/>
          <w:i/>
          <w:iCs/>
        </w:rPr>
      </w:pPr>
      <w:r>
        <w:rPr>
          <w:b/>
          <w:bCs/>
          <w:i/>
          <w:iCs/>
        </w:rPr>
        <w:t>(Source: By Author)</w:t>
      </w:r>
    </w:p>
    <w:p w14:paraId="72D57896" w14:textId="71B828D8" w:rsidR="00EB040C" w:rsidRPr="00EB040C" w:rsidRDefault="001D742C" w:rsidP="00EB040C">
      <w:r>
        <w:t>The Altman Z-Score model determines a firm's financial status and bankruptcy potential by analysing profitability, leverage, liquidity, solvency, and activity ratios (CFI, 2025). The model indicates greater financial stability as the score increases and potential financial distress when the score is low. The model is beneficial for investors and managers in evaluating creditworthiness and the long-term strength of a firm.</w:t>
      </w:r>
    </w:p>
    <w:p w14:paraId="4EE7D905" w14:textId="77777777" w:rsidR="0017452A" w:rsidRDefault="0017452A" w:rsidP="0017452A">
      <w:pPr>
        <w:keepNext/>
      </w:pPr>
      <w:r w:rsidRPr="0017452A">
        <w:rPr>
          <w:noProof/>
        </w:rPr>
        <w:lastRenderedPageBreak/>
        <w:drawing>
          <wp:inline distT="0" distB="0" distL="0" distR="0" wp14:anchorId="6A5E89F4" wp14:editId="4D7A16F3">
            <wp:extent cx="5731510" cy="2550795"/>
            <wp:effectExtent l="0" t="0" r="2540" b="1905"/>
            <wp:docPr id="806160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160674" name=""/>
                    <pic:cNvPicPr/>
                  </pic:nvPicPr>
                  <pic:blipFill>
                    <a:blip r:embed="rId16"/>
                    <a:stretch>
                      <a:fillRect/>
                    </a:stretch>
                  </pic:blipFill>
                  <pic:spPr>
                    <a:xfrm>
                      <a:off x="0" y="0"/>
                      <a:ext cx="5731510" cy="2550795"/>
                    </a:xfrm>
                    <a:prstGeom prst="rect">
                      <a:avLst/>
                    </a:prstGeom>
                  </pic:spPr>
                </pic:pic>
              </a:graphicData>
            </a:graphic>
          </wp:inline>
        </w:drawing>
      </w:r>
    </w:p>
    <w:p w14:paraId="397C2A84" w14:textId="45FBA8AD" w:rsidR="0017452A" w:rsidRDefault="0017452A" w:rsidP="0017452A">
      <w:pPr>
        <w:jc w:val="center"/>
        <w:rPr>
          <w:b/>
          <w:bCs/>
          <w:i/>
          <w:iCs/>
        </w:rPr>
      </w:pPr>
      <w:r w:rsidRPr="0017452A">
        <w:rPr>
          <w:b/>
          <w:bCs/>
          <w:i/>
          <w:iCs/>
        </w:rPr>
        <w:t xml:space="preserve">Figure </w:t>
      </w:r>
      <w:r w:rsidRPr="0017452A">
        <w:rPr>
          <w:b/>
          <w:bCs/>
          <w:i/>
          <w:iCs/>
        </w:rPr>
        <w:fldChar w:fldCharType="begin"/>
      </w:r>
      <w:r w:rsidRPr="0017452A">
        <w:rPr>
          <w:b/>
          <w:bCs/>
          <w:i/>
          <w:iCs/>
        </w:rPr>
        <w:instrText xml:space="preserve"> SEQ Figure \* ARABIC </w:instrText>
      </w:r>
      <w:r w:rsidRPr="0017452A">
        <w:rPr>
          <w:b/>
          <w:bCs/>
          <w:i/>
          <w:iCs/>
        </w:rPr>
        <w:fldChar w:fldCharType="separate"/>
      </w:r>
      <w:r w:rsidR="001E3ED2">
        <w:rPr>
          <w:b/>
          <w:bCs/>
          <w:i/>
          <w:iCs/>
          <w:noProof/>
        </w:rPr>
        <w:t>8</w:t>
      </w:r>
      <w:r w:rsidRPr="0017452A">
        <w:rPr>
          <w:b/>
          <w:bCs/>
          <w:i/>
          <w:iCs/>
        </w:rPr>
        <w:fldChar w:fldCharType="end"/>
      </w:r>
      <w:r w:rsidRPr="0017452A">
        <w:rPr>
          <w:b/>
          <w:bCs/>
          <w:i/>
          <w:iCs/>
        </w:rPr>
        <w:t>: Altman Z-Score Model</w:t>
      </w:r>
    </w:p>
    <w:p w14:paraId="3B5561AC" w14:textId="0208CA34" w:rsidR="0017452A" w:rsidRDefault="0017452A" w:rsidP="0017452A">
      <w:pPr>
        <w:jc w:val="center"/>
        <w:rPr>
          <w:b/>
          <w:bCs/>
          <w:i/>
          <w:iCs/>
        </w:rPr>
      </w:pPr>
      <w:r>
        <w:rPr>
          <w:b/>
          <w:bCs/>
          <w:i/>
          <w:iCs/>
        </w:rPr>
        <w:t>(Source: By Author)</w:t>
      </w:r>
    </w:p>
    <w:p w14:paraId="706BA1E4" w14:textId="73E261B4" w:rsidR="0080569D" w:rsidRDefault="0080569D" w:rsidP="0080569D">
      <w:r>
        <w:t>The Altman Z-Score evaluation of General Electronics' financial health from 2020–2024 is based on five weighted ratios. The Z-score decreased from 2.68 (2020) to 2.28 (2024), indicating a slow decline in financial stability</w:t>
      </w:r>
      <w:r w:rsidR="00F27B49">
        <w:t xml:space="preserve"> (Figure 8)</w:t>
      </w:r>
      <w:r>
        <w:t xml:space="preserve">. In 2020, the company was considered in the safe zone, while from 2023–2024, the Z-Score was indicative of moving toward the distress zone (below 1.8) and into the grey zone (1.8–3.0), which shows a decline in solvency and heightened risk of bankruptcy. </w:t>
      </w:r>
    </w:p>
    <w:p w14:paraId="24210C35" w14:textId="3871782F" w:rsidR="00027D29" w:rsidRDefault="00E10A78" w:rsidP="00027D29">
      <w:r>
        <w:t xml:space="preserve">The </w:t>
      </w:r>
      <w:r w:rsidR="0080569D">
        <w:t xml:space="preserve">Total Working Capital to Total Assets ratio declined from 0.289 in 2020 to 0.260 in 2024, which indicates a decline in short-term liquidity. While </w:t>
      </w:r>
      <w:r w:rsidR="001C7513">
        <w:t xml:space="preserve">the </w:t>
      </w:r>
      <w:r w:rsidR="0080569D">
        <w:t>Total Retained Earnings to Total Assets ratio remained stable near 0.64, this suggests an inability to reinvest long-term. The EBIT to Total Assets ratio decreased significantly from a positive 0.073 (2020) to -0.047 (2024), which indicates a decline in profitability and operational inefficiency. The Market Value of Equity to Total Liabilities continues to remain low (0.001 in 2024), which indicates a low level of confidence by investors and some continued high leverage.</w:t>
      </w:r>
    </w:p>
    <w:p w14:paraId="4FB47A60" w14:textId="284F40A1" w:rsidR="005F1168" w:rsidRPr="002163FD" w:rsidRDefault="00EA1CFA" w:rsidP="00EA1CFA">
      <w:r>
        <w:t xml:space="preserve">The Sales to Total Assets ratio </w:t>
      </w:r>
      <w:r w:rsidR="00772087">
        <w:t>floated</w:t>
      </w:r>
      <w:r>
        <w:t xml:space="preserve"> around a level of 1.2, suggesting that the company's ability to generate revenue and turnover </w:t>
      </w:r>
      <w:r w:rsidR="0030790B">
        <w:t>its</w:t>
      </w:r>
      <w:r>
        <w:t xml:space="preserve"> assets has remained constant and stable, even with profitability diminishing. This trend indicates General Electronics has faced growing headwinds to operations, declining profitability, and tightening liquidity. With the company still in the grey zone in 2024, ongoing losses and persisting </w:t>
      </w:r>
      <w:r>
        <w:lastRenderedPageBreak/>
        <w:t xml:space="preserve">leverage </w:t>
      </w:r>
      <w:r w:rsidR="001042D8">
        <w:t>structure</w:t>
      </w:r>
      <w:r>
        <w:t xml:space="preserve"> could create long-term financial strain and lead the company into operational dishonesty without sufficient strategic restructuring, and even overall greater efficiency improvements</w:t>
      </w:r>
    </w:p>
    <w:p w14:paraId="4DF51E81" w14:textId="5D9A73D1" w:rsidR="00F01201" w:rsidRPr="00B80955" w:rsidRDefault="00F01201" w:rsidP="00A73B1B">
      <w:pPr>
        <w:jc w:val="center"/>
        <w:rPr>
          <w:lang w:val="en-IN"/>
        </w:rPr>
      </w:pPr>
      <w:r w:rsidRPr="00B80955">
        <w:rPr>
          <w:lang w:val="en-IN"/>
        </w:rPr>
        <w:br w:type="page"/>
      </w:r>
    </w:p>
    <w:p w14:paraId="4D57F744" w14:textId="42B5CE16" w:rsidR="00F01201" w:rsidRPr="00B80955" w:rsidRDefault="00F01201" w:rsidP="00B80955">
      <w:pPr>
        <w:pStyle w:val="Heading1"/>
        <w:spacing w:after="240"/>
        <w:rPr>
          <w:rFonts w:cs="Arial"/>
          <w:szCs w:val="24"/>
          <w:lang w:val="en-IN"/>
        </w:rPr>
      </w:pPr>
      <w:bookmarkStart w:id="10" w:name="_Toc210822728"/>
      <w:r w:rsidRPr="00B80955">
        <w:rPr>
          <w:rFonts w:cs="Arial"/>
          <w:szCs w:val="24"/>
          <w:lang w:val="en-IN"/>
        </w:rPr>
        <w:lastRenderedPageBreak/>
        <w:t>Working Capital Management Analysis</w:t>
      </w:r>
      <w:bookmarkEnd w:id="10"/>
      <w:r w:rsidRPr="00B80955">
        <w:rPr>
          <w:rFonts w:cs="Arial"/>
          <w:szCs w:val="24"/>
          <w:lang w:val="en-IN"/>
        </w:rPr>
        <w:t xml:space="preserve">  </w:t>
      </w:r>
    </w:p>
    <w:p w14:paraId="006E59B9" w14:textId="49ED9110" w:rsidR="005A7F05" w:rsidRPr="00B80955" w:rsidRDefault="006747BF" w:rsidP="00B80955">
      <w:pPr>
        <w:pStyle w:val="Heading2"/>
        <w:numPr>
          <w:ilvl w:val="0"/>
          <w:numId w:val="3"/>
        </w:numPr>
        <w:spacing w:before="240" w:after="240"/>
        <w:rPr>
          <w:rFonts w:cs="Arial"/>
          <w:szCs w:val="24"/>
          <w:lang w:val="en-IN"/>
        </w:rPr>
      </w:pPr>
      <w:bookmarkStart w:id="11" w:name="_Toc210822729"/>
      <w:r w:rsidRPr="00B80955">
        <w:rPr>
          <w:rFonts w:cs="Arial"/>
          <w:szCs w:val="24"/>
          <w:lang w:val="en-IN"/>
        </w:rPr>
        <w:t>Assessment of the Cash Operating Cycle</w:t>
      </w:r>
      <w:bookmarkEnd w:id="11"/>
    </w:p>
    <w:p w14:paraId="19CFA8CB" w14:textId="56C1C233" w:rsidR="0003591F" w:rsidRPr="00B80955" w:rsidRDefault="000D5E14" w:rsidP="00B80955">
      <w:pPr>
        <w:rPr>
          <w:rFonts w:cs="Arial"/>
          <w:szCs w:val="24"/>
        </w:rPr>
      </w:pPr>
      <w:r w:rsidRPr="00B80955">
        <w:rPr>
          <w:rFonts w:cs="Arial"/>
          <w:szCs w:val="24"/>
        </w:rPr>
        <w:t xml:space="preserve">Efficient working capital management is </w:t>
      </w:r>
      <w:r w:rsidR="002E50FB" w:rsidRPr="00B80955">
        <w:rPr>
          <w:rFonts w:cs="Arial"/>
          <w:szCs w:val="24"/>
        </w:rPr>
        <w:t>considered important</w:t>
      </w:r>
      <w:r w:rsidRPr="00B80955">
        <w:rPr>
          <w:rFonts w:cs="Arial"/>
          <w:szCs w:val="24"/>
        </w:rPr>
        <w:t xml:space="preserve"> for the financial sustainability of General Electronics</w:t>
      </w:r>
      <w:r w:rsidR="00D16AF4">
        <w:rPr>
          <w:rFonts w:cs="Arial"/>
          <w:szCs w:val="24"/>
        </w:rPr>
        <w:t>,</w:t>
      </w:r>
      <w:r w:rsidR="00FA1119" w:rsidRPr="00B80955">
        <w:rPr>
          <w:rFonts w:cs="Arial"/>
          <w:szCs w:val="24"/>
        </w:rPr>
        <w:t xml:space="preserve"> mainly in concern with </w:t>
      </w:r>
      <w:r w:rsidRPr="00B80955">
        <w:rPr>
          <w:rFonts w:cs="Arial"/>
          <w:szCs w:val="24"/>
        </w:rPr>
        <w:t xml:space="preserve">declining profitability and cash flow pressures over the last five years. Working capital efficiency directly determines the </w:t>
      </w:r>
      <w:r w:rsidR="00FA1119" w:rsidRPr="00B80955">
        <w:rPr>
          <w:rFonts w:cs="Arial"/>
          <w:szCs w:val="24"/>
        </w:rPr>
        <w:t>organisation’s</w:t>
      </w:r>
      <w:r w:rsidRPr="00B80955">
        <w:rPr>
          <w:rFonts w:cs="Arial"/>
          <w:szCs w:val="24"/>
        </w:rPr>
        <w:t xml:space="preserve"> liquidity, operational flexibility, and ability to fund daily operations without overreliance on external debt</w:t>
      </w:r>
      <w:r w:rsidR="00863F01" w:rsidRPr="00B80955">
        <w:rPr>
          <w:rFonts w:cs="Arial"/>
          <w:szCs w:val="24"/>
        </w:rPr>
        <w:t xml:space="preserve"> (</w:t>
      </w:r>
      <w:r w:rsidR="00863F01" w:rsidRPr="00B80955">
        <w:rPr>
          <w:rFonts w:cs="Arial"/>
          <w:szCs w:val="24"/>
          <w:shd w:val="clear" w:color="auto" w:fill="FFFFFF"/>
        </w:rPr>
        <w:t>Seth, et al., 2021</w:t>
      </w:r>
      <w:r w:rsidR="00863F01" w:rsidRPr="00B80955">
        <w:rPr>
          <w:rFonts w:cs="Arial"/>
          <w:szCs w:val="24"/>
        </w:rPr>
        <w:t>)</w:t>
      </w:r>
      <w:r w:rsidRPr="00B80955">
        <w:rPr>
          <w:rFonts w:cs="Arial"/>
          <w:szCs w:val="24"/>
        </w:rPr>
        <w:t xml:space="preserve">. </w:t>
      </w:r>
      <w:r w:rsidR="00242CA1" w:rsidRPr="00B80955">
        <w:rPr>
          <w:rFonts w:cs="Arial"/>
          <w:szCs w:val="24"/>
        </w:rPr>
        <w:t xml:space="preserve">It has been assessed that </w:t>
      </w:r>
      <w:r w:rsidR="00C408CC" w:rsidRPr="00B80955">
        <w:rPr>
          <w:rFonts w:cs="Arial"/>
          <w:szCs w:val="24"/>
        </w:rPr>
        <w:t xml:space="preserve">the </w:t>
      </w:r>
      <w:r w:rsidR="00242CA1" w:rsidRPr="00B80955">
        <w:rPr>
          <w:rFonts w:cs="Arial"/>
          <w:b/>
          <w:bCs/>
          <w:i/>
          <w:iCs/>
          <w:szCs w:val="24"/>
        </w:rPr>
        <w:t xml:space="preserve">cash operating cycle </w:t>
      </w:r>
      <w:r w:rsidR="00242CA1" w:rsidRPr="00B80955">
        <w:rPr>
          <w:rFonts w:cs="Arial"/>
          <w:szCs w:val="24"/>
        </w:rPr>
        <w:t xml:space="preserve">is also known as </w:t>
      </w:r>
      <w:r w:rsidR="00C408CC" w:rsidRPr="00B80955">
        <w:rPr>
          <w:rFonts w:cs="Arial"/>
          <w:szCs w:val="24"/>
        </w:rPr>
        <w:t xml:space="preserve">the </w:t>
      </w:r>
      <w:r w:rsidR="00242CA1" w:rsidRPr="00B80955">
        <w:rPr>
          <w:rFonts w:cs="Arial"/>
          <w:b/>
          <w:bCs/>
          <w:i/>
          <w:iCs/>
          <w:szCs w:val="24"/>
        </w:rPr>
        <w:t>cash conversion cycle</w:t>
      </w:r>
      <w:r w:rsidR="00D16AF4">
        <w:rPr>
          <w:rFonts w:cs="Arial"/>
          <w:b/>
          <w:bCs/>
          <w:i/>
          <w:iCs/>
          <w:szCs w:val="24"/>
        </w:rPr>
        <w:t>,</w:t>
      </w:r>
      <w:r w:rsidR="00242CA1" w:rsidRPr="00B80955">
        <w:rPr>
          <w:rFonts w:cs="Arial"/>
          <w:b/>
          <w:bCs/>
          <w:i/>
          <w:iCs/>
          <w:szCs w:val="24"/>
        </w:rPr>
        <w:t xml:space="preserve"> </w:t>
      </w:r>
      <w:r w:rsidR="00D16AF4">
        <w:rPr>
          <w:rFonts w:cs="Arial"/>
          <w:szCs w:val="24"/>
        </w:rPr>
        <w:t>which</w:t>
      </w:r>
      <w:r w:rsidR="00242CA1" w:rsidRPr="00B80955">
        <w:rPr>
          <w:rFonts w:cs="Arial"/>
          <w:szCs w:val="24"/>
        </w:rPr>
        <w:t xml:space="preserve"> helps in measuring the time taken to convert investments in receivables and </w:t>
      </w:r>
      <w:r w:rsidR="00D24203" w:rsidRPr="00B80955">
        <w:rPr>
          <w:rFonts w:cs="Arial"/>
          <w:szCs w:val="24"/>
        </w:rPr>
        <w:t>inventory back into cash</w:t>
      </w:r>
      <w:r w:rsidR="001B6BF7" w:rsidRPr="00B80955">
        <w:rPr>
          <w:rFonts w:cs="Arial"/>
          <w:szCs w:val="24"/>
        </w:rPr>
        <w:t xml:space="preserve"> (</w:t>
      </w:r>
      <w:r w:rsidR="001B6BF7" w:rsidRPr="00B80955">
        <w:rPr>
          <w:rFonts w:cs="Arial"/>
          <w:szCs w:val="24"/>
          <w:shd w:val="clear" w:color="auto" w:fill="FFFFFF"/>
        </w:rPr>
        <w:t>Asman, et al., 2022</w:t>
      </w:r>
      <w:r w:rsidR="001B6BF7" w:rsidRPr="00B80955">
        <w:rPr>
          <w:rFonts w:cs="Arial"/>
          <w:szCs w:val="24"/>
        </w:rPr>
        <w:t>)</w:t>
      </w:r>
      <w:r w:rsidR="00D24203" w:rsidRPr="00B80955">
        <w:rPr>
          <w:rFonts w:cs="Arial"/>
          <w:szCs w:val="24"/>
        </w:rPr>
        <w:t xml:space="preserve">. The formula for the same is as follows. </w:t>
      </w:r>
    </w:p>
    <w:p w14:paraId="669CF2D9" w14:textId="22569242" w:rsidR="00D24203" w:rsidRPr="00B80955" w:rsidRDefault="00D16AF4" w:rsidP="00B80955">
      <w:pPr>
        <w:jc w:val="center"/>
        <w:rPr>
          <w:rFonts w:cs="Arial"/>
          <w:szCs w:val="24"/>
        </w:rPr>
      </w:pPr>
      <w:r>
        <w:rPr>
          <w:rFonts w:cs="Arial"/>
          <w:szCs w:val="24"/>
        </w:rPr>
        <w:t>COC</w:t>
      </w:r>
      <w:r w:rsidR="00A777F9" w:rsidRPr="00B80955">
        <w:rPr>
          <w:rFonts w:cs="Arial"/>
          <w:szCs w:val="24"/>
        </w:rPr>
        <w:t xml:space="preserve"> </w:t>
      </w:r>
      <w:r>
        <w:rPr>
          <w:rFonts w:cs="Arial"/>
          <w:szCs w:val="24"/>
        </w:rPr>
        <w:t xml:space="preserve">= </w:t>
      </w:r>
      <w:r w:rsidR="00A777F9" w:rsidRPr="00B80955">
        <w:rPr>
          <w:rFonts w:cs="Arial"/>
          <w:szCs w:val="24"/>
        </w:rPr>
        <w:t>Days Inventory Outstanding (DIO)+ Days Sales Outstanding (DSO)- Days Payables Outstanding (DPO)</w:t>
      </w:r>
      <w:r w:rsidR="006C22E7">
        <w:rPr>
          <w:rFonts w:cs="Arial"/>
          <w:szCs w:val="24"/>
        </w:rPr>
        <w:t xml:space="preserve"> </w:t>
      </w:r>
    </w:p>
    <w:p w14:paraId="196F9873" w14:textId="77777777" w:rsidR="005934C6" w:rsidRPr="00B80955" w:rsidRDefault="0012142F" w:rsidP="00B80955">
      <w:pPr>
        <w:keepNext/>
        <w:jc w:val="center"/>
        <w:rPr>
          <w:rFonts w:cs="Arial"/>
          <w:szCs w:val="24"/>
        </w:rPr>
      </w:pPr>
      <w:r w:rsidRPr="00B80955">
        <w:rPr>
          <w:rFonts w:cs="Arial"/>
          <w:b/>
          <w:bCs/>
          <w:i/>
          <w:iCs/>
          <w:noProof/>
          <w:szCs w:val="24"/>
          <w:lang w:val="en-IN"/>
        </w:rPr>
        <w:drawing>
          <wp:inline distT="0" distB="0" distL="0" distR="0" wp14:anchorId="43E38B75" wp14:editId="6E4D6B43">
            <wp:extent cx="5731510" cy="3511550"/>
            <wp:effectExtent l="0" t="0" r="2540" b="0"/>
            <wp:docPr id="874574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574559" name=""/>
                    <pic:cNvPicPr/>
                  </pic:nvPicPr>
                  <pic:blipFill>
                    <a:blip r:embed="rId17"/>
                    <a:stretch>
                      <a:fillRect/>
                    </a:stretch>
                  </pic:blipFill>
                  <pic:spPr>
                    <a:xfrm>
                      <a:off x="0" y="0"/>
                      <a:ext cx="5731510" cy="3511550"/>
                    </a:xfrm>
                    <a:prstGeom prst="rect">
                      <a:avLst/>
                    </a:prstGeom>
                  </pic:spPr>
                </pic:pic>
              </a:graphicData>
            </a:graphic>
          </wp:inline>
        </w:drawing>
      </w:r>
    </w:p>
    <w:p w14:paraId="2E9A25D8" w14:textId="05349BC5" w:rsidR="00A777F9" w:rsidRPr="00B80955" w:rsidRDefault="005934C6" w:rsidP="00B80955">
      <w:pPr>
        <w:pStyle w:val="Caption"/>
        <w:spacing w:before="240" w:after="240" w:line="360" w:lineRule="auto"/>
        <w:jc w:val="center"/>
        <w:rPr>
          <w:rFonts w:cs="Arial"/>
          <w:b/>
          <w:bCs/>
          <w:color w:val="auto"/>
          <w:sz w:val="24"/>
          <w:szCs w:val="24"/>
          <w:lang w:val="en-IN"/>
        </w:rPr>
      </w:pPr>
      <w:r w:rsidRPr="00B80955">
        <w:rPr>
          <w:rFonts w:cs="Arial"/>
          <w:b/>
          <w:bCs/>
          <w:color w:val="auto"/>
          <w:sz w:val="24"/>
          <w:szCs w:val="24"/>
        </w:rPr>
        <w:t xml:space="preserve">Figure </w:t>
      </w:r>
      <w:r w:rsidRPr="00B80955">
        <w:rPr>
          <w:rFonts w:cs="Arial"/>
          <w:b/>
          <w:bCs/>
          <w:color w:val="auto"/>
          <w:sz w:val="24"/>
          <w:szCs w:val="24"/>
        </w:rPr>
        <w:fldChar w:fldCharType="begin"/>
      </w:r>
      <w:r w:rsidRPr="00B80955">
        <w:rPr>
          <w:rFonts w:cs="Arial"/>
          <w:b/>
          <w:bCs/>
          <w:color w:val="auto"/>
          <w:sz w:val="24"/>
          <w:szCs w:val="24"/>
        </w:rPr>
        <w:instrText xml:space="preserve"> SEQ Figure \* ARABIC </w:instrText>
      </w:r>
      <w:r w:rsidRPr="00B80955">
        <w:rPr>
          <w:rFonts w:cs="Arial"/>
          <w:b/>
          <w:bCs/>
          <w:color w:val="auto"/>
          <w:sz w:val="24"/>
          <w:szCs w:val="24"/>
        </w:rPr>
        <w:fldChar w:fldCharType="separate"/>
      </w:r>
      <w:r w:rsidR="001E3ED2">
        <w:rPr>
          <w:rFonts w:cs="Arial"/>
          <w:b/>
          <w:bCs/>
          <w:noProof/>
          <w:color w:val="auto"/>
          <w:sz w:val="24"/>
          <w:szCs w:val="24"/>
        </w:rPr>
        <w:t>9</w:t>
      </w:r>
      <w:r w:rsidRPr="00B80955">
        <w:rPr>
          <w:rFonts w:cs="Arial"/>
          <w:b/>
          <w:bCs/>
          <w:color w:val="auto"/>
          <w:sz w:val="24"/>
          <w:szCs w:val="24"/>
        </w:rPr>
        <w:fldChar w:fldCharType="end"/>
      </w:r>
      <w:r w:rsidRPr="00B80955">
        <w:rPr>
          <w:rFonts w:cs="Arial"/>
          <w:b/>
          <w:bCs/>
          <w:color w:val="auto"/>
          <w:sz w:val="24"/>
          <w:szCs w:val="24"/>
          <w:lang w:val="en-IN"/>
        </w:rPr>
        <w:t>: Cash operating cycle of General Electronics</w:t>
      </w:r>
    </w:p>
    <w:p w14:paraId="74E831EB" w14:textId="7EA73A4E" w:rsidR="00C14BDB" w:rsidRPr="00B80955" w:rsidRDefault="002A249D" w:rsidP="00B80955">
      <w:pPr>
        <w:rPr>
          <w:rFonts w:cs="Arial"/>
          <w:szCs w:val="24"/>
          <w:lang w:val="en-IN"/>
        </w:rPr>
      </w:pPr>
      <w:r w:rsidRPr="00B80955">
        <w:rPr>
          <w:rFonts w:cs="Arial"/>
          <w:szCs w:val="24"/>
          <w:lang w:val="en-IN"/>
        </w:rPr>
        <w:t xml:space="preserve">In consideration of the above figure, </w:t>
      </w:r>
      <w:r w:rsidR="002506B9" w:rsidRPr="00B80955">
        <w:rPr>
          <w:rFonts w:cs="Arial"/>
          <w:szCs w:val="24"/>
          <w:lang w:val="en-IN"/>
        </w:rPr>
        <w:t xml:space="preserve">General Electronics </w:t>
      </w:r>
      <w:r w:rsidR="00221DA5" w:rsidRPr="00B80955">
        <w:rPr>
          <w:rFonts w:cs="Arial"/>
          <w:szCs w:val="24"/>
          <w:lang w:val="en-IN"/>
        </w:rPr>
        <w:t>have seen a fluctuat</w:t>
      </w:r>
      <w:r w:rsidR="00C408CC" w:rsidRPr="00B80955">
        <w:rPr>
          <w:rFonts w:cs="Arial"/>
          <w:szCs w:val="24"/>
          <w:lang w:val="en-IN"/>
        </w:rPr>
        <w:t>ing</w:t>
      </w:r>
      <w:r w:rsidR="00221DA5" w:rsidRPr="00B80955">
        <w:rPr>
          <w:rFonts w:cs="Arial"/>
          <w:szCs w:val="24"/>
          <w:lang w:val="en-IN"/>
        </w:rPr>
        <w:t xml:space="preserve"> cycle with an increase from </w:t>
      </w:r>
      <w:r w:rsidR="00DD2ABD" w:rsidRPr="00B80955">
        <w:rPr>
          <w:rFonts w:cs="Arial"/>
          <w:szCs w:val="24"/>
          <w:lang w:val="en-IN"/>
        </w:rPr>
        <w:t xml:space="preserve">108 days to </w:t>
      </w:r>
      <w:r w:rsidR="00982748" w:rsidRPr="00B80955">
        <w:rPr>
          <w:rFonts w:cs="Arial"/>
          <w:szCs w:val="24"/>
          <w:lang w:val="en-IN"/>
        </w:rPr>
        <w:t xml:space="preserve">140 days from 2020 to 2022, and then a decline to </w:t>
      </w:r>
      <w:r w:rsidR="000C7C66" w:rsidRPr="00B80955">
        <w:rPr>
          <w:rFonts w:cs="Arial"/>
          <w:szCs w:val="24"/>
          <w:lang w:val="en-IN"/>
        </w:rPr>
        <w:lastRenderedPageBreak/>
        <w:t xml:space="preserve">115 days in 2024 respectively. This </w:t>
      </w:r>
      <w:r w:rsidR="002971B2" w:rsidRPr="00B80955">
        <w:rPr>
          <w:rFonts w:cs="Arial"/>
          <w:szCs w:val="24"/>
          <w:lang w:val="en-IN"/>
        </w:rPr>
        <w:t>indicates</w:t>
      </w:r>
      <w:r w:rsidR="000C7C66" w:rsidRPr="00B80955">
        <w:rPr>
          <w:rFonts w:cs="Arial"/>
          <w:szCs w:val="24"/>
          <w:lang w:val="en-IN"/>
        </w:rPr>
        <w:t xml:space="preserve"> a lengthy conversion period as compared to the efficient industry averages. This prolonged cycle reflects that </w:t>
      </w:r>
      <w:r w:rsidR="000047C4" w:rsidRPr="00B80955">
        <w:rPr>
          <w:rFonts w:cs="Arial"/>
          <w:szCs w:val="24"/>
        </w:rPr>
        <w:t xml:space="preserve">cash is tied up for </w:t>
      </w:r>
      <w:r w:rsidR="006328C7" w:rsidRPr="00B80955">
        <w:rPr>
          <w:rFonts w:cs="Arial"/>
          <w:szCs w:val="24"/>
        </w:rPr>
        <w:t>more than</w:t>
      </w:r>
      <w:r w:rsidR="000047C4" w:rsidRPr="00B80955">
        <w:rPr>
          <w:rFonts w:cs="Arial"/>
          <w:szCs w:val="24"/>
        </w:rPr>
        <w:t xml:space="preserve"> three months before being recovered</w:t>
      </w:r>
      <w:r w:rsidR="00E476E2" w:rsidRPr="00B80955">
        <w:rPr>
          <w:rFonts w:cs="Arial"/>
          <w:szCs w:val="24"/>
        </w:rPr>
        <w:t xml:space="preserve"> and hence result</w:t>
      </w:r>
      <w:r w:rsidR="00C408CC" w:rsidRPr="00B80955">
        <w:rPr>
          <w:rFonts w:cs="Arial"/>
          <w:szCs w:val="24"/>
        </w:rPr>
        <w:t>s</w:t>
      </w:r>
      <w:r w:rsidR="00E476E2" w:rsidRPr="00B80955">
        <w:rPr>
          <w:rFonts w:cs="Arial"/>
          <w:szCs w:val="24"/>
        </w:rPr>
        <w:t xml:space="preserve"> in </w:t>
      </w:r>
      <w:r w:rsidR="000047C4" w:rsidRPr="00B80955">
        <w:rPr>
          <w:rFonts w:cs="Arial"/>
          <w:szCs w:val="24"/>
        </w:rPr>
        <w:t>constraining liquidity.</w:t>
      </w:r>
      <w:r w:rsidR="00BB1BFA" w:rsidRPr="00B80955">
        <w:rPr>
          <w:rFonts w:cs="Arial"/>
          <w:szCs w:val="24"/>
        </w:rPr>
        <w:t xml:space="preserve"> It has been seen that </w:t>
      </w:r>
      <w:r w:rsidR="00226B39" w:rsidRPr="00B80955">
        <w:rPr>
          <w:rFonts w:cs="Arial"/>
          <w:szCs w:val="24"/>
        </w:rPr>
        <w:t>days</w:t>
      </w:r>
      <w:r w:rsidR="00C408CC" w:rsidRPr="00B80955">
        <w:rPr>
          <w:rFonts w:cs="Arial"/>
          <w:szCs w:val="24"/>
        </w:rPr>
        <w:t>'</w:t>
      </w:r>
      <w:r w:rsidR="00226B39" w:rsidRPr="00B80955">
        <w:rPr>
          <w:rFonts w:cs="Arial"/>
          <w:szCs w:val="24"/>
        </w:rPr>
        <w:t xml:space="preserve"> inventory outstanding </w:t>
      </w:r>
      <w:r w:rsidR="00071428" w:rsidRPr="00B80955">
        <w:rPr>
          <w:rFonts w:cs="Arial"/>
          <w:szCs w:val="24"/>
        </w:rPr>
        <w:t>have slightly improved</w:t>
      </w:r>
      <w:r w:rsidR="00D16AF4">
        <w:rPr>
          <w:rFonts w:cs="Arial"/>
          <w:szCs w:val="24"/>
        </w:rPr>
        <w:t>,</w:t>
      </w:r>
      <w:r w:rsidR="00071428" w:rsidRPr="00B80955">
        <w:rPr>
          <w:rFonts w:cs="Arial"/>
          <w:szCs w:val="24"/>
        </w:rPr>
        <w:t xml:space="preserve"> </w:t>
      </w:r>
      <w:r w:rsidR="00944E69" w:rsidRPr="00B80955">
        <w:rPr>
          <w:rFonts w:cs="Arial"/>
          <w:szCs w:val="24"/>
        </w:rPr>
        <w:t xml:space="preserve">reflecting overstocking due to </w:t>
      </w:r>
      <w:r w:rsidR="00A144EF" w:rsidRPr="00B80955">
        <w:rPr>
          <w:rFonts w:cs="Arial"/>
          <w:szCs w:val="24"/>
        </w:rPr>
        <w:t xml:space="preserve">poor demand forecasting and supply chain inefficiencies. Further, </w:t>
      </w:r>
      <w:r w:rsidR="009857F2" w:rsidRPr="00B80955">
        <w:rPr>
          <w:rFonts w:cs="Arial"/>
          <w:szCs w:val="24"/>
        </w:rPr>
        <w:t xml:space="preserve">days sales outstanding deteriorated due to weakened receivables management, and </w:t>
      </w:r>
      <w:r w:rsidR="00FB6F8C" w:rsidRPr="00B80955">
        <w:rPr>
          <w:rFonts w:cs="Arial"/>
          <w:szCs w:val="24"/>
        </w:rPr>
        <w:t>days payable outstanding increased</w:t>
      </w:r>
      <w:r w:rsidR="00D16AF4">
        <w:rPr>
          <w:rFonts w:cs="Arial"/>
          <w:szCs w:val="24"/>
        </w:rPr>
        <w:t>,</w:t>
      </w:r>
      <w:r w:rsidR="00FB6F8C" w:rsidRPr="00B80955">
        <w:rPr>
          <w:rFonts w:cs="Arial"/>
          <w:szCs w:val="24"/>
        </w:rPr>
        <w:t xml:space="preserve"> reflecting delayed payments to suppliers. </w:t>
      </w:r>
      <w:r w:rsidR="002E5A2F" w:rsidRPr="00B80955">
        <w:rPr>
          <w:rFonts w:cs="Arial"/>
          <w:szCs w:val="24"/>
        </w:rPr>
        <w:t>This combination indicate</w:t>
      </w:r>
      <w:r w:rsidR="00C408CC" w:rsidRPr="00B80955">
        <w:rPr>
          <w:rFonts w:cs="Arial"/>
          <w:szCs w:val="24"/>
        </w:rPr>
        <w:t>s</w:t>
      </w:r>
      <w:r w:rsidR="002E5A2F" w:rsidRPr="00B80955">
        <w:rPr>
          <w:rFonts w:cs="Arial"/>
          <w:szCs w:val="24"/>
        </w:rPr>
        <w:t xml:space="preserve"> structural weaknesses in working capital control. </w:t>
      </w:r>
      <w:r w:rsidR="001F5E19" w:rsidRPr="00B80955">
        <w:rPr>
          <w:rFonts w:cs="Arial"/>
          <w:szCs w:val="24"/>
        </w:rPr>
        <w:t xml:space="preserve">However, in 2024, the COC reflected a minor improvement from 133 days in 2023 to </w:t>
      </w:r>
      <w:r w:rsidR="00FD2010" w:rsidRPr="00B80955">
        <w:rPr>
          <w:rFonts w:cs="Arial"/>
          <w:szCs w:val="24"/>
        </w:rPr>
        <w:t>115 days</w:t>
      </w:r>
      <w:r w:rsidR="00D16AF4">
        <w:rPr>
          <w:rFonts w:cs="Arial"/>
          <w:szCs w:val="24"/>
        </w:rPr>
        <w:t>,</w:t>
      </w:r>
      <w:r w:rsidR="00FD2010" w:rsidRPr="00B80955">
        <w:rPr>
          <w:rFonts w:cs="Arial"/>
          <w:szCs w:val="24"/>
        </w:rPr>
        <w:t xml:space="preserve"> stating </w:t>
      </w:r>
      <w:r w:rsidR="00E368DB" w:rsidRPr="00B80955">
        <w:rPr>
          <w:rFonts w:cs="Arial"/>
          <w:szCs w:val="24"/>
        </w:rPr>
        <w:t xml:space="preserve">substantially above the optimal levels and hence constraining internal cash generation. </w:t>
      </w:r>
      <w:r w:rsidR="00EA6C69" w:rsidRPr="00B80955">
        <w:rPr>
          <w:rFonts w:cs="Arial"/>
          <w:szCs w:val="24"/>
        </w:rPr>
        <w:t xml:space="preserve">The </w:t>
      </w:r>
      <w:r w:rsidR="00CA1653" w:rsidRPr="00B80955">
        <w:rPr>
          <w:rFonts w:cs="Arial"/>
          <w:szCs w:val="24"/>
        </w:rPr>
        <w:t>continuous</w:t>
      </w:r>
      <w:r w:rsidR="00EA6C69" w:rsidRPr="00B80955">
        <w:rPr>
          <w:rFonts w:cs="Arial"/>
          <w:szCs w:val="24"/>
        </w:rPr>
        <w:t xml:space="preserve"> inefficiencies have contributed to a sharp decline in cash balances</w:t>
      </w:r>
      <w:r w:rsidR="000C0E7D" w:rsidRPr="00B80955">
        <w:rPr>
          <w:rFonts w:cs="Arial"/>
          <w:szCs w:val="24"/>
        </w:rPr>
        <w:t xml:space="preserve"> </w:t>
      </w:r>
      <w:r w:rsidR="00EA6C69" w:rsidRPr="00B80955">
        <w:rPr>
          <w:rFonts w:cs="Arial"/>
          <w:szCs w:val="24"/>
        </w:rPr>
        <w:t>from £66.7 million in 2022 to £26.8 million in 2024</w:t>
      </w:r>
      <w:r w:rsidR="00D16AF4">
        <w:rPr>
          <w:rFonts w:cs="Arial"/>
          <w:szCs w:val="24"/>
        </w:rPr>
        <w:t>,</w:t>
      </w:r>
      <w:r w:rsidR="001E0B51" w:rsidRPr="00B80955">
        <w:rPr>
          <w:rFonts w:cs="Arial"/>
          <w:szCs w:val="24"/>
        </w:rPr>
        <w:t xml:space="preserve"> leading to </w:t>
      </w:r>
      <w:r w:rsidR="00D16AF4">
        <w:rPr>
          <w:rFonts w:cs="Arial"/>
          <w:szCs w:val="24"/>
        </w:rPr>
        <w:t xml:space="preserve">a </w:t>
      </w:r>
      <w:r w:rsidR="00EA6C69" w:rsidRPr="00B80955">
        <w:rPr>
          <w:rFonts w:cs="Arial"/>
          <w:szCs w:val="24"/>
        </w:rPr>
        <w:t>heavier reliance on short-term borrowings.</w:t>
      </w:r>
      <w:r w:rsidR="00A144EF" w:rsidRPr="00B80955">
        <w:rPr>
          <w:rFonts w:cs="Arial"/>
          <w:szCs w:val="24"/>
        </w:rPr>
        <w:t xml:space="preserve"> </w:t>
      </w:r>
      <w:r w:rsidR="005F16F0" w:rsidRPr="00B80955">
        <w:rPr>
          <w:rFonts w:cs="Arial"/>
          <w:szCs w:val="24"/>
        </w:rPr>
        <w:t>Consequently, the firm’s liquidity risk has</w:t>
      </w:r>
      <w:r w:rsidR="004E5CAA" w:rsidRPr="00B80955">
        <w:rPr>
          <w:rFonts w:cs="Arial"/>
          <w:szCs w:val="24"/>
        </w:rPr>
        <w:t xml:space="preserve"> increased in concern with the negative operating income as well as high gearing. </w:t>
      </w:r>
    </w:p>
    <w:p w14:paraId="13D52412" w14:textId="731B681D" w:rsidR="006747BF" w:rsidRPr="00B80955" w:rsidRDefault="008B5DD0" w:rsidP="00B80955">
      <w:pPr>
        <w:pStyle w:val="Heading2"/>
        <w:numPr>
          <w:ilvl w:val="0"/>
          <w:numId w:val="3"/>
        </w:numPr>
        <w:spacing w:before="240" w:after="240"/>
        <w:rPr>
          <w:rFonts w:cs="Arial"/>
          <w:szCs w:val="24"/>
          <w:lang w:val="en-IN"/>
        </w:rPr>
      </w:pPr>
      <w:bookmarkStart w:id="12" w:name="_Toc210822730"/>
      <w:r w:rsidRPr="00B80955">
        <w:rPr>
          <w:rFonts w:cs="Arial"/>
          <w:szCs w:val="24"/>
          <w:lang w:val="en-IN"/>
        </w:rPr>
        <w:t>Strategies to improve liquidity and working capital efficiency</w:t>
      </w:r>
      <w:bookmarkEnd w:id="12"/>
      <w:r w:rsidRPr="00B80955">
        <w:rPr>
          <w:rFonts w:cs="Arial"/>
          <w:szCs w:val="24"/>
          <w:lang w:val="en-IN"/>
        </w:rPr>
        <w:t xml:space="preserve"> </w:t>
      </w:r>
    </w:p>
    <w:p w14:paraId="41B9366B" w14:textId="03055354" w:rsidR="00810B1A" w:rsidRPr="00B80955" w:rsidRDefault="002C05D3" w:rsidP="00B80955">
      <w:pPr>
        <w:rPr>
          <w:rFonts w:cs="Arial"/>
          <w:szCs w:val="24"/>
          <w:lang w:val="en-IN"/>
        </w:rPr>
      </w:pPr>
      <w:r w:rsidRPr="00B80955">
        <w:rPr>
          <w:rFonts w:cs="Arial"/>
          <w:szCs w:val="24"/>
          <w:lang w:val="en-IN"/>
        </w:rPr>
        <w:t>In order to improve liquidity</w:t>
      </w:r>
      <w:r w:rsidR="0020292F" w:rsidRPr="00B80955">
        <w:rPr>
          <w:rFonts w:cs="Arial"/>
          <w:szCs w:val="24"/>
          <w:lang w:val="en-IN"/>
        </w:rPr>
        <w:t xml:space="preserve">, General Electronics </w:t>
      </w:r>
      <w:r w:rsidR="00062C91" w:rsidRPr="00B80955">
        <w:rPr>
          <w:rFonts w:cs="Arial"/>
          <w:szCs w:val="24"/>
          <w:lang w:val="en-IN"/>
        </w:rPr>
        <w:t xml:space="preserve">can focus on undertaking </w:t>
      </w:r>
      <w:r w:rsidR="00EB5C04" w:rsidRPr="00B80955">
        <w:rPr>
          <w:rFonts w:cs="Arial"/>
          <w:szCs w:val="24"/>
          <w:lang w:val="en-IN"/>
        </w:rPr>
        <w:t xml:space="preserve">working capital reforms that aim at shortening the COC, improving cash flows, as well as balancing </w:t>
      </w:r>
      <w:r w:rsidR="00C040F2" w:rsidRPr="00B80955">
        <w:rPr>
          <w:rFonts w:cs="Arial"/>
          <w:szCs w:val="24"/>
          <w:lang w:val="en-IN"/>
        </w:rPr>
        <w:t>profitability with solvency</w:t>
      </w:r>
      <w:r w:rsidR="00EE2B51" w:rsidRPr="00B80955">
        <w:rPr>
          <w:rFonts w:cs="Arial"/>
          <w:szCs w:val="24"/>
          <w:lang w:val="en-IN"/>
        </w:rPr>
        <w:t xml:space="preserve">. Thus, the strategic actions recommended to the firm are as follows. </w:t>
      </w:r>
    </w:p>
    <w:p w14:paraId="6D6300D1" w14:textId="634AF4F3" w:rsidR="00EE2B51" w:rsidRPr="00B80955" w:rsidRDefault="005C18EA" w:rsidP="00B80955">
      <w:pPr>
        <w:pStyle w:val="ListParagraph"/>
        <w:numPr>
          <w:ilvl w:val="0"/>
          <w:numId w:val="2"/>
        </w:numPr>
        <w:rPr>
          <w:rFonts w:cs="Arial"/>
          <w:i/>
          <w:iCs/>
          <w:szCs w:val="24"/>
          <w:lang w:val="en-IN"/>
        </w:rPr>
      </w:pPr>
      <w:r w:rsidRPr="00B80955">
        <w:rPr>
          <w:rFonts w:cs="Arial"/>
          <w:i/>
          <w:iCs/>
          <w:szCs w:val="24"/>
        </w:rPr>
        <w:t>Strengthening Receivables Management:</w:t>
      </w:r>
      <w:r w:rsidR="003E4308" w:rsidRPr="00B80955">
        <w:rPr>
          <w:rFonts w:cs="Arial"/>
          <w:i/>
          <w:iCs/>
          <w:szCs w:val="24"/>
        </w:rPr>
        <w:t xml:space="preserve"> </w:t>
      </w:r>
      <w:r w:rsidR="00DC0CFC" w:rsidRPr="00B80955">
        <w:rPr>
          <w:rFonts w:cs="Arial"/>
          <w:szCs w:val="24"/>
        </w:rPr>
        <w:t xml:space="preserve">The firm can focus on tightening credit policy by minimising average credit terms mainly for new or </w:t>
      </w:r>
      <w:r w:rsidR="00E82E8B" w:rsidRPr="00B80955">
        <w:rPr>
          <w:rFonts w:cs="Arial"/>
          <w:szCs w:val="24"/>
        </w:rPr>
        <w:t>high-risk</w:t>
      </w:r>
      <w:r w:rsidR="00DC0CFC" w:rsidRPr="00B80955">
        <w:rPr>
          <w:rFonts w:cs="Arial"/>
          <w:szCs w:val="24"/>
        </w:rPr>
        <w:t xml:space="preserve"> customers along with employing digital credit management tools for evaluating </w:t>
      </w:r>
      <w:r w:rsidR="00A52FFB" w:rsidRPr="00B80955">
        <w:rPr>
          <w:rFonts w:cs="Arial"/>
          <w:szCs w:val="24"/>
        </w:rPr>
        <w:t xml:space="preserve">potential defaults and payment behaviour. </w:t>
      </w:r>
      <w:r w:rsidR="0013781F" w:rsidRPr="00B80955">
        <w:rPr>
          <w:rFonts w:cs="Arial"/>
          <w:szCs w:val="24"/>
        </w:rPr>
        <w:t xml:space="preserve">Furthermore, </w:t>
      </w:r>
      <w:r w:rsidR="00994936" w:rsidRPr="00B80955">
        <w:rPr>
          <w:rFonts w:cs="Arial"/>
          <w:szCs w:val="24"/>
        </w:rPr>
        <w:t>the firm can also sell rece</w:t>
      </w:r>
      <w:r w:rsidR="0086039D" w:rsidRPr="00B80955">
        <w:rPr>
          <w:rFonts w:cs="Arial"/>
          <w:szCs w:val="24"/>
        </w:rPr>
        <w:t>iv</w:t>
      </w:r>
      <w:r w:rsidR="00994936" w:rsidRPr="00B80955">
        <w:rPr>
          <w:rFonts w:cs="Arial"/>
          <w:szCs w:val="24"/>
        </w:rPr>
        <w:t xml:space="preserve">ables to a </w:t>
      </w:r>
      <w:r w:rsidR="00204C19" w:rsidRPr="00B80955">
        <w:rPr>
          <w:rFonts w:cs="Arial"/>
          <w:szCs w:val="24"/>
        </w:rPr>
        <w:t xml:space="preserve">factoring firm to provide immediate liquidity </w:t>
      </w:r>
      <w:r w:rsidR="00171369" w:rsidRPr="00B80955">
        <w:rPr>
          <w:rFonts w:cs="Arial"/>
          <w:szCs w:val="24"/>
        </w:rPr>
        <w:t>at</w:t>
      </w:r>
      <w:r w:rsidR="00204C19" w:rsidRPr="00B80955">
        <w:rPr>
          <w:rFonts w:cs="Arial"/>
          <w:szCs w:val="24"/>
        </w:rPr>
        <w:t xml:space="preserve"> a modest cost. </w:t>
      </w:r>
    </w:p>
    <w:p w14:paraId="27BDD1F3" w14:textId="2012A34E" w:rsidR="00204C19" w:rsidRPr="00B80955" w:rsidRDefault="00A9273C" w:rsidP="00B80955">
      <w:pPr>
        <w:pStyle w:val="ListParagraph"/>
        <w:numPr>
          <w:ilvl w:val="0"/>
          <w:numId w:val="2"/>
        </w:numPr>
        <w:rPr>
          <w:rFonts w:cs="Arial"/>
          <w:i/>
          <w:iCs/>
          <w:szCs w:val="24"/>
          <w:lang w:val="en-IN"/>
        </w:rPr>
      </w:pPr>
      <w:r w:rsidRPr="00B80955">
        <w:rPr>
          <w:rFonts w:cs="Arial"/>
          <w:i/>
          <w:iCs/>
          <w:szCs w:val="24"/>
        </w:rPr>
        <w:t>Enhancing Inventory Control:</w:t>
      </w:r>
      <w:r w:rsidR="00DE057F" w:rsidRPr="00B80955">
        <w:rPr>
          <w:rFonts w:cs="Arial"/>
          <w:i/>
          <w:iCs/>
          <w:szCs w:val="24"/>
        </w:rPr>
        <w:t xml:space="preserve"> </w:t>
      </w:r>
      <w:r w:rsidR="00832760" w:rsidRPr="00B80955">
        <w:rPr>
          <w:rFonts w:cs="Arial"/>
          <w:szCs w:val="24"/>
        </w:rPr>
        <w:t>The firm can focus on adopting demand-driven inventory systems by implementing just-in-time (JIT) or Economic Order Quantity (EOQ) techniques for minimising stock levels while maintaining service efficiency</w:t>
      </w:r>
      <w:r w:rsidR="001B6BF7" w:rsidRPr="00B80955">
        <w:rPr>
          <w:rFonts w:cs="Arial"/>
          <w:szCs w:val="24"/>
        </w:rPr>
        <w:t xml:space="preserve"> (</w:t>
      </w:r>
      <w:r w:rsidR="001B6BF7" w:rsidRPr="00B80955">
        <w:rPr>
          <w:rFonts w:cs="Arial"/>
          <w:szCs w:val="24"/>
          <w:shd w:val="clear" w:color="auto" w:fill="FFFFFF"/>
        </w:rPr>
        <w:t>Sunitha, et al., 2025</w:t>
      </w:r>
      <w:r w:rsidR="001B6BF7" w:rsidRPr="00B80955">
        <w:rPr>
          <w:rFonts w:cs="Arial"/>
          <w:szCs w:val="24"/>
        </w:rPr>
        <w:t>)</w:t>
      </w:r>
      <w:r w:rsidR="00832760" w:rsidRPr="00B80955">
        <w:rPr>
          <w:rFonts w:cs="Arial"/>
          <w:szCs w:val="24"/>
        </w:rPr>
        <w:t xml:space="preserve">. </w:t>
      </w:r>
      <w:r w:rsidR="00220A91" w:rsidRPr="00B80955">
        <w:rPr>
          <w:rFonts w:cs="Arial"/>
          <w:szCs w:val="24"/>
        </w:rPr>
        <w:t xml:space="preserve">Further, General Electronics can focus on rationalising </w:t>
      </w:r>
      <w:r w:rsidR="00171369" w:rsidRPr="00B80955">
        <w:rPr>
          <w:rFonts w:cs="Arial"/>
          <w:szCs w:val="24"/>
        </w:rPr>
        <w:t xml:space="preserve">its </w:t>
      </w:r>
      <w:r w:rsidR="00220A91" w:rsidRPr="00B80955">
        <w:rPr>
          <w:rFonts w:cs="Arial"/>
          <w:szCs w:val="24"/>
        </w:rPr>
        <w:t xml:space="preserve">product portfolio and integrating supply chain forecasting through </w:t>
      </w:r>
      <w:r w:rsidR="004C46F2" w:rsidRPr="00B80955">
        <w:rPr>
          <w:rFonts w:cs="Arial"/>
          <w:szCs w:val="24"/>
        </w:rPr>
        <w:t xml:space="preserve">discontinuing </w:t>
      </w:r>
      <w:r w:rsidR="00AE4C98" w:rsidRPr="00B80955">
        <w:rPr>
          <w:rFonts w:cs="Arial"/>
          <w:szCs w:val="24"/>
        </w:rPr>
        <w:t>obsolete products to free</w:t>
      </w:r>
      <w:r w:rsidR="00171369" w:rsidRPr="00B80955">
        <w:rPr>
          <w:rFonts w:cs="Arial"/>
          <w:szCs w:val="24"/>
        </w:rPr>
        <w:t xml:space="preserve"> </w:t>
      </w:r>
      <w:r w:rsidR="00AE4C98" w:rsidRPr="00B80955">
        <w:rPr>
          <w:rFonts w:cs="Arial"/>
          <w:szCs w:val="24"/>
        </w:rPr>
        <w:t xml:space="preserve">up capital and using </w:t>
      </w:r>
      <w:r w:rsidR="00D1382C" w:rsidRPr="00B80955">
        <w:rPr>
          <w:rFonts w:cs="Arial"/>
          <w:szCs w:val="24"/>
        </w:rPr>
        <w:t xml:space="preserve">AI-driven analytics to align production with real-time demand patterns. </w:t>
      </w:r>
    </w:p>
    <w:p w14:paraId="28FCF3EE" w14:textId="7E3CA7DD" w:rsidR="00D1382C" w:rsidRPr="00B80955" w:rsidRDefault="00D00D54" w:rsidP="00B80955">
      <w:pPr>
        <w:pStyle w:val="ListParagraph"/>
        <w:numPr>
          <w:ilvl w:val="0"/>
          <w:numId w:val="2"/>
        </w:numPr>
        <w:rPr>
          <w:rFonts w:cs="Arial"/>
          <w:i/>
          <w:iCs/>
          <w:szCs w:val="24"/>
          <w:lang w:val="en-IN"/>
        </w:rPr>
      </w:pPr>
      <w:r w:rsidRPr="00B80955">
        <w:rPr>
          <w:rFonts w:cs="Arial"/>
          <w:i/>
          <w:iCs/>
          <w:szCs w:val="24"/>
        </w:rPr>
        <w:lastRenderedPageBreak/>
        <w:t xml:space="preserve">Cash flow monitoring and forecasting: </w:t>
      </w:r>
      <w:r w:rsidR="00474471" w:rsidRPr="00B80955">
        <w:rPr>
          <w:rFonts w:cs="Arial"/>
          <w:szCs w:val="24"/>
        </w:rPr>
        <w:t xml:space="preserve">A comprehensive cash flow forecasting model </w:t>
      </w:r>
      <w:r w:rsidR="00F15702" w:rsidRPr="00B80955">
        <w:rPr>
          <w:rFonts w:cs="Arial"/>
          <w:szCs w:val="24"/>
        </w:rPr>
        <w:t>can</w:t>
      </w:r>
      <w:r w:rsidR="00474471" w:rsidRPr="00B80955">
        <w:rPr>
          <w:rFonts w:cs="Arial"/>
          <w:szCs w:val="24"/>
        </w:rPr>
        <w:t xml:space="preserve"> be implemented to predict liquidity gaps</w:t>
      </w:r>
      <w:r w:rsidR="004E015E" w:rsidRPr="00B80955">
        <w:rPr>
          <w:rFonts w:cs="Arial"/>
          <w:szCs w:val="24"/>
        </w:rPr>
        <w:t xml:space="preserve"> (</w:t>
      </w:r>
      <w:r w:rsidR="004E015E" w:rsidRPr="00B80955">
        <w:rPr>
          <w:rFonts w:cs="Arial"/>
          <w:szCs w:val="24"/>
          <w:shd w:val="clear" w:color="auto" w:fill="FFFFFF"/>
        </w:rPr>
        <w:t>Barnabas and Oloyede, 2024</w:t>
      </w:r>
      <w:r w:rsidR="004E015E" w:rsidRPr="00B80955">
        <w:rPr>
          <w:rFonts w:cs="Arial"/>
          <w:szCs w:val="24"/>
        </w:rPr>
        <w:t>)</w:t>
      </w:r>
      <w:r w:rsidR="00474471" w:rsidRPr="00B80955">
        <w:rPr>
          <w:rFonts w:cs="Arial"/>
          <w:szCs w:val="24"/>
        </w:rPr>
        <w:t xml:space="preserve">. This </w:t>
      </w:r>
      <w:r w:rsidR="002B115C" w:rsidRPr="00B80955">
        <w:rPr>
          <w:rFonts w:cs="Arial"/>
          <w:szCs w:val="24"/>
        </w:rPr>
        <w:t>can lead the</w:t>
      </w:r>
      <w:r w:rsidR="00474471" w:rsidRPr="00B80955">
        <w:rPr>
          <w:rFonts w:cs="Arial"/>
          <w:szCs w:val="24"/>
        </w:rPr>
        <w:t xml:space="preserve"> management to plan financing needs, avoid overdraft penalties, and maintain optimal cash reserves.</w:t>
      </w:r>
    </w:p>
    <w:p w14:paraId="262ACA75" w14:textId="65D6E407" w:rsidR="009E4E1C" w:rsidRDefault="009E4E1C" w:rsidP="00B80955">
      <w:pPr>
        <w:rPr>
          <w:rFonts w:cs="Arial"/>
          <w:szCs w:val="24"/>
        </w:rPr>
      </w:pPr>
      <w:r w:rsidRPr="00B80955">
        <w:rPr>
          <w:rFonts w:cs="Arial"/>
          <w:szCs w:val="24"/>
          <w:lang w:val="en-IN"/>
        </w:rPr>
        <w:t xml:space="preserve">Thus, by minimising </w:t>
      </w:r>
      <w:r w:rsidR="00D83DE3" w:rsidRPr="00B80955">
        <w:rPr>
          <w:rFonts w:cs="Arial"/>
          <w:szCs w:val="24"/>
          <w:lang w:val="en-IN"/>
        </w:rPr>
        <w:t xml:space="preserve">DIO by 20 days and DSO by 30 days along with maintaining </w:t>
      </w:r>
      <w:r w:rsidR="008E43EC" w:rsidRPr="00B80955">
        <w:rPr>
          <w:rFonts w:cs="Arial"/>
          <w:szCs w:val="24"/>
          <w:lang w:val="en-IN"/>
        </w:rPr>
        <w:t xml:space="preserve">DPO at 90 days, </w:t>
      </w:r>
      <w:r w:rsidR="00BA135E" w:rsidRPr="00B80955">
        <w:rPr>
          <w:rFonts w:cs="Arial"/>
          <w:szCs w:val="24"/>
        </w:rPr>
        <w:t xml:space="preserve">General Electronics could potentially shorten its COC from 115 to </w:t>
      </w:r>
      <w:r w:rsidR="00BA135E" w:rsidRPr="00B80955">
        <w:rPr>
          <w:rStyle w:val="Strong"/>
          <w:rFonts w:cs="Arial"/>
          <w:b w:val="0"/>
          <w:bCs w:val="0"/>
          <w:szCs w:val="24"/>
        </w:rPr>
        <w:t>65 days</w:t>
      </w:r>
      <w:r w:rsidR="00CB4E93" w:rsidRPr="00B80955">
        <w:rPr>
          <w:rFonts w:cs="Arial"/>
          <w:szCs w:val="24"/>
        </w:rPr>
        <w:t xml:space="preserve"> and align it </w:t>
      </w:r>
      <w:r w:rsidR="00BA135E" w:rsidRPr="00B80955">
        <w:rPr>
          <w:rFonts w:cs="Arial"/>
          <w:szCs w:val="24"/>
        </w:rPr>
        <w:t>with sector best practice and significantly enhanc</w:t>
      </w:r>
      <w:r w:rsidR="008C56BC" w:rsidRPr="00B80955">
        <w:rPr>
          <w:rFonts w:cs="Arial"/>
          <w:szCs w:val="24"/>
        </w:rPr>
        <w:t>e</w:t>
      </w:r>
      <w:r w:rsidR="00BA135E" w:rsidRPr="00B80955">
        <w:rPr>
          <w:rFonts w:cs="Arial"/>
          <w:szCs w:val="24"/>
        </w:rPr>
        <w:t xml:space="preserve"> its liquidity position.</w:t>
      </w:r>
    </w:p>
    <w:p w14:paraId="095B37D2" w14:textId="4B2B311F" w:rsidR="00D231F8" w:rsidRDefault="00D231F8" w:rsidP="00D231F8">
      <w:pPr>
        <w:pStyle w:val="Heading2"/>
        <w:numPr>
          <w:ilvl w:val="0"/>
          <w:numId w:val="3"/>
        </w:numPr>
      </w:pPr>
      <w:bookmarkStart w:id="13" w:name="_Toc210822731"/>
      <w:r>
        <w:t>Comparing Short-term and Long-term Financing Options</w:t>
      </w:r>
      <w:bookmarkEnd w:id="13"/>
    </w:p>
    <w:p w14:paraId="02D2E55D" w14:textId="40EAD744" w:rsidR="00D231F8" w:rsidRDefault="0078456D" w:rsidP="00D231F8">
      <w:r w:rsidRPr="0078456D">
        <w:t xml:space="preserve">Given General Electronics’ continuing financial difficulties, the selection of the appropriate financing structure is key to managing short-term liquidity issues and long-term sustainability. Short-term and long-term financing </w:t>
      </w:r>
      <w:r w:rsidR="00240201">
        <w:t>provide</w:t>
      </w:r>
      <w:r w:rsidRPr="0078456D">
        <w:t xml:space="preserve"> different benefits and imperfections, but they should meet the firm’s cash flow needs, operational efficiency of </w:t>
      </w:r>
      <w:r w:rsidR="00240201">
        <w:t xml:space="preserve">the </w:t>
      </w:r>
      <w:r w:rsidRPr="0078456D">
        <w:t>working capital system, and strategic</w:t>
      </w:r>
      <w:r w:rsidR="00B94459">
        <w:t xml:space="preserve"> (Bajaj Finserv, 2025)</w:t>
      </w:r>
      <w:r w:rsidR="008322FB">
        <w:t>.</w:t>
      </w:r>
    </w:p>
    <w:p w14:paraId="73F1E5AC" w14:textId="77777777" w:rsidR="007337AD" w:rsidRDefault="00240201" w:rsidP="007337AD">
      <w:pPr>
        <w:keepNext/>
      </w:pPr>
      <w:r>
        <w:rPr>
          <w:noProof/>
        </w:rPr>
        <w:drawing>
          <wp:inline distT="0" distB="0" distL="0" distR="0" wp14:anchorId="0A3ED189" wp14:editId="085AF2E7">
            <wp:extent cx="5760720" cy="2506980"/>
            <wp:effectExtent l="0" t="38100" r="0" b="45720"/>
            <wp:docPr id="28396520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43B7145D" w14:textId="55257628" w:rsidR="00240201" w:rsidRDefault="007337AD" w:rsidP="007337AD">
      <w:pPr>
        <w:jc w:val="center"/>
        <w:rPr>
          <w:b/>
          <w:bCs/>
          <w:i/>
          <w:iCs/>
        </w:rPr>
      </w:pPr>
      <w:r w:rsidRPr="007337AD">
        <w:rPr>
          <w:b/>
          <w:bCs/>
          <w:i/>
          <w:iCs/>
        </w:rPr>
        <w:t xml:space="preserve">Figure </w:t>
      </w:r>
      <w:r w:rsidRPr="007337AD">
        <w:rPr>
          <w:b/>
          <w:bCs/>
          <w:i/>
          <w:iCs/>
        </w:rPr>
        <w:fldChar w:fldCharType="begin"/>
      </w:r>
      <w:r w:rsidRPr="007337AD">
        <w:rPr>
          <w:b/>
          <w:bCs/>
          <w:i/>
          <w:iCs/>
        </w:rPr>
        <w:instrText xml:space="preserve"> SEQ Figure \* ARABIC </w:instrText>
      </w:r>
      <w:r w:rsidRPr="007337AD">
        <w:rPr>
          <w:b/>
          <w:bCs/>
          <w:i/>
          <w:iCs/>
        </w:rPr>
        <w:fldChar w:fldCharType="separate"/>
      </w:r>
      <w:r w:rsidR="001E3ED2">
        <w:rPr>
          <w:b/>
          <w:bCs/>
          <w:i/>
          <w:iCs/>
          <w:noProof/>
        </w:rPr>
        <w:t>10</w:t>
      </w:r>
      <w:r w:rsidRPr="007337AD">
        <w:rPr>
          <w:b/>
          <w:bCs/>
          <w:i/>
          <w:iCs/>
        </w:rPr>
        <w:fldChar w:fldCharType="end"/>
      </w:r>
      <w:r w:rsidRPr="007337AD">
        <w:rPr>
          <w:b/>
          <w:bCs/>
          <w:i/>
          <w:iCs/>
        </w:rPr>
        <w:t>: Financing Options</w:t>
      </w:r>
    </w:p>
    <w:p w14:paraId="32CBEC2C" w14:textId="55D43780" w:rsidR="007337AD" w:rsidRPr="007337AD" w:rsidRDefault="007337AD" w:rsidP="007337AD">
      <w:pPr>
        <w:jc w:val="center"/>
        <w:rPr>
          <w:b/>
          <w:bCs/>
          <w:i/>
          <w:iCs/>
        </w:rPr>
      </w:pPr>
      <w:r>
        <w:rPr>
          <w:b/>
          <w:bCs/>
          <w:i/>
          <w:iCs/>
        </w:rPr>
        <w:t>(Source: By Author)</w:t>
      </w:r>
    </w:p>
    <w:p w14:paraId="634A00C1" w14:textId="6366F013" w:rsidR="00240201" w:rsidRDefault="00240201" w:rsidP="00240201">
      <w:pPr>
        <w:pStyle w:val="Heading2"/>
      </w:pPr>
      <w:bookmarkStart w:id="14" w:name="_Toc210822732"/>
      <w:r>
        <w:t>Short-Term Financing</w:t>
      </w:r>
      <w:bookmarkEnd w:id="14"/>
    </w:p>
    <w:p w14:paraId="1731EA84" w14:textId="05E7D5EA" w:rsidR="000B1297" w:rsidRDefault="000B1297" w:rsidP="000B1297">
      <w:r>
        <w:t xml:space="preserve">Short-term financing refers to loans or credit extensions for periods typically less than one year and </w:t>
      </w:r>
      <w:r w:rsidR="00C320E3">
        <w:t xml:space="preserve">is </w:t>
      </w:r>
      <w:r>
        <w:t>often used to meet ongoing operational requirements, such as purchasing raw materials, making payroll, and meeting accounts payable</w:t>
      </w:r>
      <w:r w:rsidR="00C320E3">
        <w:t xml:space="preserve"> (CFI, 2025)</w:t>
      </w:r>
      <w:r>
        <w:t xml:space="preserve">. </w:t>
      </w:r>
      <w:r>
        <w:lastRenderedPageBreak/>
        <w:t xml:space="preserve">Short-term financing agreements may come in various forms, including bank overdrafts, trade credit, commercial paper and short-term loans. </w:t>
      </w:r>
    </w:p>
    <w:p w14:paraId="70FE7C4D" w14:textId="27F72909" w:rsidR="000B1297" w:rsidRDefault="000B1297" w:rsidP="000B1297">
      <w:r>
        <w:t xml:space="preserve">In General Electronics' case, </w:t>
      </w:r>
      <w:r w:rsidRPr="00F221F8">
        <w:rPr>
          <w:b/>
          <w:bCs/>
          <w:i/>
          <w:iCs/>
        </w:rPr>
        <w:t>short-term financing can help alleviate cash flow pressures in the short term,</w:t>
      </w:r>
      <w:r>
        <w:t xml:space="preserve"> particularly during a time when cash reserves are low and cash conversion cycles have expanded. Instruments with immediate access to capital, such as bank overdrafts or invoice factoring, can effectively fill specific working capital gaps while not requiring a longer-term obligation. Also, short-term borrowings typically have lower interest costs than long-term financing, making short-term borrowing relatively inexpensive for the short-term financing timeline</w:t>
      </w:r>
      <w:r w:rsidR="005B7D06">
        <w:t xml:space="preserve"> (</w:t>
      </w:r>
      <w:r w:rsidR="005B7D06" w:rsidRPr="00C33F4D">
        <w:t>Chen</w:t>
      </w:r>
      <w:r w:rsidR="005B7D06">
        <w:t xml:space="preserve">, et al., </w:t>
      </w:r>
      <w:r w:rsidR="005B7D06" w:rsidRPr="00C33F4D">
        <w:t>2023</w:t>
      </w:r>
      <w:r w:rsidR="005B7D06">
        <w:t>)</w:t>
      </w:r>
      <w:r>
        <w:t xml:space="preserve">. </w:t>
      </w:r>
    </w:p>
    <w:p w14:paraId="60B933BE" w14:textId="6DF39892" w:rsidR="00A022AA" w:rsidRDefault="000B1297" w:rsidP="000B1297">
      <w:r>
        <w:t xml:space="preserve">Despite the benefits of short-term financing, an </w:t>
      </w:r>
      <w:r w:rsidRPr="00F221F8">
        <w:rPr>
          <w:b/>
          <w:bCs/>
          <w:i/>
          <w:iCs/>
        </w:rPr>
        <w:t xml:space="preserve">over-reliance on short-term debt can present considerable risk. </w:t>
      </w:r>
      <w:r>
        <w:t>The firm's cash reserves, gearing position and declining profitability can create an unnecessary level of financial risk through continued refinancing of the loans. The firm's short-term financing may also become unpredictable and possibly unable to be renewed if creditors lose faith in the firm.</w:t>
      </w:r>
    </w:p>
    <w:p w14:paraId="2279E0BA" w14:textId="6750FA2F" w:rsidR="005B36A3" w:rsidRDefault="005B36A3" w:rsidP="00B2280D">
      <w:pPr>
        <w:pStyle w:val="Heading2"/>
      </w:pPr>
      <w:bookmarkStart w:id="15" w:name="_Toc210822733"/>
      <w:r>
        <w:t>Long-Term Financing</w:t>
      </w:r>
      <w:bookmarkEnd w:id="15"/>
    </w:p>
    <w:p w14:paraId="7D774496" w14:textId="27F22680" w:rsidR="00A551B8" w:rsidRDefault="00A551B8" w:rsidP="00A551B8">
      <w:r>
        <w:t xml:space="preserve">Long-term financing, such </w:t>
      </w:r>
      <w:r w:rsidRPr="00A551B8">
        <w:rPr>
          <w:b/>
          <w:bCs/>
          <w:i/>
          <w:iCs/>
        </w:rPr>
        <w:t>as bond issuances, equity or long-term bank loans</w:t>
      </w:r>
      <w:r>
        <w:t>, occurs beyond a one-year horizon and is typically used to fund capital investments, grow the business, or restructure debt</w:t>
      </w:r>
      <w:r w:rsidR="005B05C4">
        <w:t xml:space="preserve"> (World Bank Group, 2025)</w:t>
      </w:r>
      <w:r>
        <w:t>. Long-term financing could provide the stability needed to assist General Electronics in restructuring, product development and maintaining global competitiveness.</w:t>
      </w:r>
    </w:p>
    <w:p w14:paraId="638F30CA" w14:textId="1E97D7B2" w:rsidR="00A551B8" w:rsidRDefault="00A551B8" w:rsidP="00A551B8">
      <w:r>
        <w:t>With equity financing, the balance sheet could be stronger and reduce reliance on borrowing. Long-term loans could have structured repayment terms for an extended period that aligns with the firm’s recovery. Additionally, long-term capital can provide the firm with the capital necessary for process automation, supply chain improvement, and R&amp;D for product differentiation for long-term recovery</w:t>
      </w:r>
      <w:r w:rsidR="007D7BC2">
        <w:t xml:space="preserve"> (</w:t>
      </w:r>
      <w:proofErr w:type="spellStart"/>
      <w:r w:rsidR="007D7BC2" w:rsidRPr="007727AC">
        <w:t>Kurznack</w:t>
      </w:r>
      <w:proofErr w:type="spellEnd"/>
      <w:r w:rsidR="007D7BC2" w:rsidRPr="007727AC">
        <w:t xml:space="preserve">, </w:t>
      </w:r>
      <w:r w:rsidR="007D7BC2">
        <w:t xml:space="preserve">et al., </w:t>
      </w:r>
      <w:r w:rsidR="007D7BC2" w:rsidRPr="007727AC">
        <w:t>2021</w:t>
      </w:r>
      <w:r w:rsidR="007D7BC2">
        <w:t>)</w:t>
      </w:r>
      <w:r>
        <w:t>.</w:t>
      </w:r>
    </w:p>
    <w:p w14:paraId="1366404E" w14:textId="34D5BAA0" w:rsidR="00B2280D" w:rsidRPr="00B2280D" w:rsidRDefault="00A551B8" w:rsidP="00A551B8">
      <w:r>
        <w:t xml:space="preserve">On the </w:t>
      </w:r>
      <w:r w:rsidR="007D7BC2">
        <w:t>other hand</w:t>
      </w:r>
      <w:r>
        <w:t xml:space="preserve">, it could be </w:t>
      </w:r>
      <w:r w:rsidR="007D7BC2">
        <w:t xml:space="preserve">a </w:t>
      </w:r>
      <w:r>
        <w:t xml:space="preserve">higher cost due to interest payments or dilution of equity. Short-term firms seeking recovery may find it difficult to find long-term financing because of indentures or limitations due to increased </w:t>
      </w:r>
      <w:r w:rsidR="007D7BC2">
        <w:t>risk</w:t>
      </w:r>
      <w:r>
        <w:t xml:space="preserve"> premiums. Therefore, if </w:t>
      </w:r>
      <w:r>
        <w:lastRenderedPageBreak/>
        <w:t>secure long-term funding for a distressed firm is sought, performance must demonstrate a credible process of improving turnaround and operational performance.</w:t>
      </w:r>
    </w:p>
    <w:p w14:paraId="197095CD" w14:textId="5153D715" w:rsidR="001F0946" w:rsidRDefault="004C7B06" w:rsidP="001F0946">
      <w:pPr>
        <w:pStyle w:val="Heading1"/>
      </w:pPr>
      <w:r>
        <w:br w:type="page"/>
      </w:r>
      <w:bookmarkStart w:id="16" w:name="_Toc210822734"/>
      <w:r w:rsidR="001F0946">
        <w:lastRenderedPageBreak/>
        <w:t>Strategic Financial Restructuring Plan</w:t>
      </w:r>
      <w:bookmarkEnd w:id="16"/>
      <w:r w:rsidR="00DE0D4A">
        <w:t xml:space="preserve"> </w:t>
      </w:r>
    </w:p>
    <w:p w14:paraId="0CF8967C" w14:textId="77777777" w:rsidR="004C7715" w:rsidRDefault="000F474D" w:rsidP="00B80955">
      <w:pPr>
        <w:rPr>
          <w:rFonts w:cs="Arial"/>
          <w:szCs w:val="24"/>
        </w:rPr>
      </w:pPr>
      <w:r w:rsidRPr="000F474D">
        <w:rPr>
          <w:rFonts w:cs="Arial"/>
          <w:szCs w:val="24"/>
        </w:rPr>
        <w:t xml:space="preserve">General Electronics (GE)'s ongoing financial distress reflects systemic structural inefficiencies, high leverage, poor liquidity, and declining profitability. Thus, financial restructuring will be vital to restore stability, capital efficiency, and long-term competitiveness. In the words of </w:t>
      </w:r>
      <w:r w:rsidR="00941045" w:rsidRPr="000944D2">
        <w:t xml:space="preserve">Van de Wetering, </w:t>
      </w:r>
      <w:r w:rsidR="00941045">
        <w:t>et al., (</w:t>
      </w:r>
      <w:r w:rsidR="00941045" w:rsidRPr="000944D2">
        <w:t>2023</w:t>
      </w:r>
      <w:r w:rsidR="00941045">
        <w:t>)</w:t>
      </w:r>
      <w:r w:rsidRPr="000F474D">
        <w:rPr>
          <w:rFonts w:cs="Arial"/>
          <w:szCs w:val="24"/>
        </w:rPr>
        <w:t>, financial restructuring can allow firms to re-align capital structure, re-structure ownership, and improve operational efficiency to generate shareholder value. GE's restructuring must not only remediate balance sheet deficiencies but also improve operational levels to ensure sustainable profitability. This section will assess potential restructuring avenues</w:t>
      </w:r>
      <w:r w:rsidR="00941045">
        <w:rPr>
          <w:rFonts w:cs="Arial"/>
          <w:szCs w:val="24"/>
        </w:rPr>
        <w:t xml:space="preserve">, </w:t>
      </w:r>
      <w:r w:rsidRPr="000F474D">
        <w:rPr>
          <w:rFonts w:cs="Arial"/>
          <w:szCs w:val="24"/>
        </w:rPr>
        <w:t>divestiture, injection of equity, and merger alternatives</w:t>
      </w:r>
      <w:r w:rsidR="00941045">
        <w:rPr>
          <w:rFonts w:cs="Arial"/>
          <w:szCs w:val="24"/>
        </w:rPr>
        <w:t>,</w:t>
      </w:r>
      <w:r w:rsidRPr="000F474D">
        <w:rPr>
          <w:rFonts w:cs="Arial"/>
          <w:szCs w:val="24"/>
        </w:rPr>
        <w:t xml:space="preserve"> and evaluate potential impact on shareholder value, thresholds of debt, operational flexibility, while considering international and ethical issues such as taxation, currency risk, inflation, and corporate social responsibility (CSR) implications.</w:t>
      </w:r>
    </w:p>
    <w:p w14:paraId="49F12388" w14:textId="77777777" w:rsidR="005E3A9D" w:rsidRDefault="004C7715" w:rsidP="005E3A9D">
      <w:pPr>
        <w:pStyle w:val="Heading2"/>
      </w:pPr>
      <w:bookmarkStart w:id="17" w:name="_Toc210822735"/>
      <w:r>
        <w:t xml:space="preserve">Recommendations for Financial </w:t>
      </w:r>
      <w:r w:rsidR="005E3A9D">
        <w:t>Restructuring Options</w:t>
      </w:r>
      <w:bookmarkEnd w:id="17"/>
    </w:p>
    <w:p w14:paraId="4F23B69B" w14:textId="77777777" w:rsidR="00E26F5F" w:rsidRDefault="005E3A9D" w:rsidP="00B80955">
      <w:pPr>
        <w:rPr>
          <w:rFonts w:cs="Arial"/>
          <w:b/>
          <w:bCs/>
          <w:i/>
          <w:iCs/>
          <w:szCs w:val="24"/>
          <w:u w:val="single"/>
        </w:rPr>
      </w:pPr>
      <w:r w:rsidRPr="00E26F5F">
        <w:rPr>
          <w:rFonts w:cs="Arial"/>
          <w:b/>
          <w:bCs/>
          <w:i/>
          <w:iCs/>
          <w:szCs w:val="24"/>
          <w:u w:val="single"/>
        </w:rPr>
        <w:t>Divestiture</w:t>
      </w:r>
    </w:p>
    <w:p w14:paraId="4ECB716B" w14:textId="4DA9A44A" w:rsidR="00125E28" w:rsidRDefault="00AA501F" w:rsidP="00AA501F">
      <w:r>
        <w:t>Divestiture means selling or spinning off non-core or unprofitable parts of the business to focus and create liquidity</w:t>
      </w:r>
      <w:r w:rsidR="00AB52EB">
        <w:t xml:space="preserve"> (</w:t>
      </w:r>
      <w:r w:rsidR="00AB52EB" w:rsidRPr="000944D2">
        <w:t>Joy, 2018</w:t>
      </w:r>
      <w:r w:rsidR="00AB52EB">
        <w:t>)</w:t>
      </w:r>
      <w:r>
        <w:t xml:space="preserve">. For GE, divesting underperforming product segments like legacy home appliances or </w:t>
      </w:r>
      <w:r w:rsidR="00AB52EB">
        <w:t>low-margin</w:t>
      </w:r>
      <w:r>
        <w:t xml:space="preserve"> accessories can generate cash to pay down debt and invest in profitable areas like smart devices and </w:t>
      </w:r>
      <w:r w:rsidR="00AB52EB">
        <w:t>AI-driven</w:t>
      </w:r>
      <w:r>
        <w:t xml:space="preserve"> electronics.</w:t>
      </w:r>
      <w:r w:rsidR="00125E28">
        <w:t xml:space="preserve"> But divestiture can be the first step to getting back to financial health by freeing up capital and focusing on growth areas.</w:t>
      </w:r>
    </w:p>
    <w:tbl>
      <w:tblPr>
        <w:tblStyle w:val="ListTable3-Accent4"/>
        <w:tblW w:w="0" w:type="auto"/>
        <w:tblLook w:val="04A0" w:firstRow="1" w:lastRow="0" w:firstColumn="1" w:lastColumn="0" w:noHBand="0" w:noVBand="1"/>
      </w:tblPr>
      <w:tblGrid>
        <w:gridCol w:w="4508"/>
        <w:gridCol w:w="4508"/>
      </w:tblGrid>
      <w:tr w:rsidR="00125E28" w:rsidRPr="00125E28" w14:paraId="4F2059E3" w14:textId="77777777" w:rsidTr="00125E2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7E915526" w14:textId="47FBFF71" w:rsidR="00125E28" w:rsidRPr="00125E28" w:rsidRDefault="00125E28" w:rsidP="00125E28">
            <w:pPr>
              <w:spacing w:line="360" w:lineRule="auto"/>
              <w:jc w:val="center"/>
            </w:pPr>
            <w:r w:rsidRPr="00125E28">
              <w:t>Benefits</w:t>
            </w:r>
          </w:p>
        </w:tc>
        <w:tc>
          <w:tcPr>
            <w:tcW w:w="4508" w:type="dxa"/>
          </w:tcPr>
          <w:p w14:paraId="287C99AD" w14:textId="476AA5F2" w:rsidR="00125E28" w:rsidRPr="00125E28" w:rsidRDefault="00125E28" w:rsidP="00125E28">
            <w:pPr>
              <w:spacing w:line="360" w:lineRule="auto"/>
              <w:jc w:val="center"/>
              <w:cnfStyle w:val="100000000000" w:firstRow="1" w:lastRow="0" w:firstColumn="0" w:lastColumn="0" w:oddVBand="0" w:evenVBand="0" w:oddHBand="0" w:evenHBand="0" w:firstRowFirstColumn="0" w:firstRowLastColumn="0" w:lastRowFirstColumn="0" w:lastRowLastColumn="0"/>
            </w:pPr>
            <w:r w:rsidRPr="00125E28">
              <w:t>Risks</w:t>
            </w:r>
          </w:p>
        </w:tc>
      </w:tr>
      <w:tr w:rsidR="00125E28" w:rsidRPr="00125E28" w14:paraId="2C59012C" w14:textId="77777777" w:rsidTr="00125E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72543B7" w14:textId="675EC8E8" w:rsidR="00125E28" w:rsidRPr="00125E28" w:rsidRDefault="00125E28" w:rsidP="00125E28">
            <w:pPr>
              <w:spacing w:line="360" w:lineRule="auto"/>
              <w:rPr>
                <w:b w:val="0"/>
                <w:bCs w:val="0"/>
              </w:rPr>
            </w:pPr>
            <w:r w:rsidRPr="00125E28">
              <w:rPr>
                <w:b w:val="0"/>
                <w:bCs w:val="0"/>
              </w:rPr>
              <w:t>Immediate cash inflow for debt repayment and working capital.</w:t>
            </w:r>
          </w:p>
        </w:tc>
        <w:tc>
          <w:tcPr>
            <w:tcW w:w="4508" w:type="dxa"/>
          </w:tcPr>
          <w:p w14:paraId="5BA38CAF" w14:textId="4237065F" w:rsidR="00125E28" w:rsidRPr="00125E28" w:rsidRDefault="00125E28" w:rsidP="00125E28">
            <w:pPr>
              <w:spacing w:line="360" w:lineRule="auto"/>
              <w:cnfStyle w:val="000000100000" w:firstRow="0" w:lastRow="0" w:firstColumn="0" w:lastColumn="0" w:oddVBand="0" w:evenVBand="0" w:oddHBand="1" w:evenHBand="0" w:firstRowFirstColumn="0" w:firstRowLastColumn="0" w:lastRowFirstColumn="0" w:lastRowLastColumn="0"/>
            </w:pPr>
            <w:r w:rsidRPr="00125E28">
              <w:t>Loss of revenue from divested segments</w:t>
            </w:r>
          </w:p>
        </w:tc>
      </w:tr>
      <w:tr w:rsidR="00125E28" w:rsidRPr="00125E28" w14:paraId="6ACCA517" w14:textId="77777777" w:rsidTr="00125E28">
        <w:tc>
          <w:tcPr>
            <w:cnfStyle w:val="001000000000" w:firstRow="0" w:lastRow="0" w:firstColumn="1" w:lastColumn="0" w:oddVBand="0" w:evenVBand="0" w:oddHBand="0" w:evenHBand="0" w:firstRowFirstColumn="0" w:firstRowLastColumn="0" w:lastRowFirstColumn="0" w:lastRowLastColumn="0"/>
            <w:tcW w:w="4508" w:type="dxa"/>
          </w:tcPr>
          <w:p w14:paraId="2AE2FC25" w14:textId="45B9154C" w:rsidR="00125E28" w:rsidRPr="00125E28" w:rsidRDefault="00125E28" w:rsidP="00125E28">
            <w:pPr>
              <w:spacing w:line="360" w:lineRule="auto"/>
              <w:rPr>
                <w:b w:val="0"/>
                <w:bCs w:val="0"/>
              </w:rPr>
            </w:pPr>
            <w:r w:rsidRPr="00125E28">
              <w:rPr>
                <w:b w:val="0"/>
                <w:bCs w:val="0"/>
              </w:rPr>
              <w:t>Improves profitability by focusing on high-margin products.</w:t>
            </w:r>
          </w:p>
        </w:tc>
        <w:tc>
          <w:tcPr>
            <w:tcW w:w="4508" w:type="dxa"/>
          </w:tcPr>
          <w:p w14:paraId="60EFCE5D" w14:textId="7566D532" w:rsidR="00125E28" w:rsidRPr="00125E28" w:rsidRDefault="00125E28" w:rsidP="00125E28">
            <w:pPr>
              <w:spacing w:line="360" w:lineRule="auto"/>
              <w:cnfStyle w:val="000000000000" w:firstRow="0" w:lastRow="0" w:firstColumn="0" w:lastColumn="0" w:oddVBand="0" w:evenVBand="0" w:oddHBand="0" w:evenHBand="0" w:firstRowFirstColumn="0" w:firstRowLastColumn="0" w:lastRowFirstColumn="0" w:lastRowLastColumn="0"/>
            </w:pPr>
            <w:r w:rsidRPr="00125E28">
              <w:t>Restructuring costs and workforce adjustments.</w:t>
            </w:r>
          </w:p>
        </w:tc>
      </w:tr>
      <w:tr w:rsidR="00125E28" w:rsidRPr="00125E28" w14:paraId="08F8F8E1" w14:textId="77777777" w:rsidTr="00125E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D8EC887" w14:textId="38489BAD" w:rsidR="00125E28" w:rsidRPr="00125E28" w:rsidRDefault="00125E28" w:rsidP="00125E28">
            <w:pPr>
              <w:spacing w:line="360" w:lineRule="auto"/>
              <w:rPr>
                <w:b w:val="0"/>
                <w:bCs w:val="0"/>
              </w:rPr>
            </w:pPr>
            <w:r w:rsidRPr="00125E28">
              <w:rPr>
                <w:b w:val="0"/>
                <w:bCs w:val="0"/>
              </w:rPr>
              <w:t>Simplifies operations and improves management</w:t>
            </w:r>
            <w:r w:rsidR="0025412C">
              <w:rPr>
                <w:b w:val="0"/>
                <w:bCs w:val="0"/>
              </w:rPr>
              <w:t xml:space="preserve"> </w:t>
            </w:r>
            <w:r w:rsidR="0025412C" w:rsidRPr="0025412C">
              <w:rPr>
                <w:b w:val="0"/>
                <w:bCs w:val="0"/>
              </w:rPr>
              <w:t>(Feldman, 2021)</w:t>
            </w:r>
            <w:r w:rsidRPr="0025412C">
              <w:rPr>
                <w:b w:val="0"/>
                <w:bCs w:val="0"/>
              </w:rPr>
              <w:t>.</w:t>
            </w:r>
          </w:p>
        </w:tc>
        <w:tc>
          <w:tcPr>
            <w:tcW w:w="4508" w:type="dxa"/>
          </w:tcPr>
          <w:p w14:paraId="19AFD131" w14:textId="5C6DC885" w:rsidR="00125E28" w:rsidRPr="00125E28" w:rsidRDefault="00125E28" w:rsidP="00125E28">
            <w:pPr>
              <w:spacing w:line="360" w:lineRule="auto"/>
              <w:cnfStyle w:val="000000100000" w:firstRow="0" w:lastRow="0" w:firstColumn="0" w:lastColumn="0" w:oddVBand="0" w:evenVBand="0" w:oddHBand="1" w:evenHBand="0" w:firstRowFirstColumn="0" w:firstRowLastColumn="0" w:lastRowFirstColumn="0" w:lastRowLastColumn="0"/>
            </w:pPr>
            <w:r w:rsidRPr="00125E28">
              <w:t>Restructuring costs and workforce adjustments.</w:t>
            </w:r>
          </w:p>
        </w:tc>
      </w:tr>
    </w:tbl>
    <w:p w14:paraId="29CC48BD" w14:textId="77777777" w:rsidR="00580C6A" w:rsidRDefault="006A4380" w:rsidP="00AA501F">
      <w:pPr>
        <w:rPr>
          <w:b/>
          <w:bCs/>
          <w:i/>
          <w:iCs/>
          <w:u w:val="single"/>
          <w:lang w:val="en-US"/>
        </w:rPr>
      </w:pPr>
      <w:r>
        <w:rPr>
          <w:b/>
          <w:bCs/>
          <w:i/>
          <w:iCs/>
          <w:u w:val="single"/>
          <w:lang w:val="en-US"/>
        </w:rPr>
        <w:lastRenderedPageBreak/>
        <w:t>E</w:t>
      </w:r>
      <w:r w:rsidRPr="006A4380">
        <w:rPr>
          <w:b/>
          <w:bCs/>
          <w:i/>
          <w:iCs/>
          <w:u w:val="single"/>
          <w:lang w:val="en-US"/>
        </w:rPr>
        <w:t xml:space="preserve">quity </w:t>
      </w:r>
      <w:r>
        <w:rPr>
          <w:b/>
          <w:bCs/>
          <w:i/>
          <w:iCs/>
          <w:u w:val="single"/>
          <w:lang w:val="en-US"/>
        </w:rPr>
        <w:t>I</w:t>
      </w:r>
      <w:r w:rsidRPr="006A4380">
        <w:rPr>
          <w:b/>
          <w:bCs/>
          <w:i/>
          <w:iCs/>
          <w:u w:val="single"/>
          <w:lang w:val="en-US"/>
        </w:rPr>
        <w:t>njection</w:t>
      </w:r>
    </w:p>
    <w:p w14:paraId="7727E584" w14:textId="421B71BB" w:rsidR="00580C6A" w:rsidRDefault="00580C6A" w:rsidP="00580C6A">
      <w:r>
        <w:t>An equity injection reduces the reliance on debt</w:t>
      </w:r>
      <w:r w:rsidR="00D1109D">
        <w:t xml:space="preserve"> in an organisation (Capstone Partner, 2023)</w:t>
      </w:r>
      <w:r>
        <w:t xml:space="preserve">. General Electronics could do a rights issue to existing shareholders and attract strategic investors through private placements or strategic partnerships. According to </w:t>
      </w:r>
      <w:proofErr w:type="spellStart"/>
      <w:r w:rsidR="007F4F79" w:rsidRPr="00E97FEF">
        <w:t>Pamungkas</w:t>
      </w:r>
      <w:proofErr w:type="spellEnd"/>
      <w:r w:rsidR="007F4F79">
        <w:t xml:space="preserve"> (</w:t>
      </w:r>
      <w:r w:rsidR="007F4F79" w:rsidRPr="00E97FEF">
        <w:t>2023</w:t>
      </w:r>
      <w:r w:rsidR="007F4F79">
        <w:t>),</w:t>
      </w:r>
      <w:r>
        <w:t xml:space="preserve"> recapitalisation increases liquidity and reduces leverage and improves financial stability. For GE, raising £80-100m in new equity and reducing the debt-to-equity ratio, a rights issue means shareholder control and more capital and a strategic partnership brings in financial and technical resources. However, a successful equity injection shows financial discipline and governance transparency and will increase long-term market confidence.</w:t>
      </w:r>
    </w:p>
    <w:tbl>
      <w:tblPr>
        <w:tblStyle w:val="GridTable4-Accent5"/>
        <w:tblW w:w="0" w:type="auto"/>
        <w:tblLook w:val="04A0" w:firstRow="1" w:lastRow="0" w:firstColumn="1" w:lastColumn="0" w:noHBand="0" w:noVBand="1"/>
      </w:tblPr>
      <w:tblGrid>
        <w:gridCol w:w="4508"/>
        <w:gridCol w:w="4508"/>
      </w:tblGrid>
      <w:tr w:rsidR="00580C6A" w14:paraId="7E8B89FF" w14:textId="77777777" w:rsidTr="00580C6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E251C62" w14:textId="09A72929" w:rsidR="00580C6A" w:rsidRPr="00580C6A" w:rsidRDefault="00580C6A" w:rsidP="00580C6A">
            <w:pPr>
              <w:spacing w:line="360" w:lineRule="auto"/>
              <w:jc w:val="center"/>
              <w:rPr>
                <w:b w:val="0"/>
                <w:bCs w:val="0"/>
              </w:rPr>
            </w:pPr>
            <w:r>
              <w:t>Benefits</w:t>
            </w:r>
          </w:p>
        </w:tc>
        <w:tc>
          <w:tcPr>
            <w:tcW w:w="4508" w:type="dxa"/>
          </w:tcPr>
          <w:p w14:paraId="10BEB0A6" w14:textId="460F46AD" w:rsidR="00580C6A" w:rsidRPr="00580C6A" w:rsidRDefault="00580C6A" w:rsidP="00580C6A">
            <w:pPr>
              <w:spacing w:line="360" w:lineRule="auto"/>
              <w:jc w:val="center"/>
              <w:cnfStyle w:val="100000000000" w:firstRow="1" w:lastRow="0" w:firstColumn="0" w:lastColumn="0" w:oddVBand="0" w:evenVBand="0" w:oddHBand="0" w:evenHBand="0" w:firstRowFirstColumn="0" w:firstRowLastColumn="0" w:lastRowFirstColumn="0" w:lastRowLastColumn="0"/>
            </w:pPr>
            <w:r>
              <w:t>Risks</w:t>
            </w:r>
          </w:p>
        </w:tc>
      </w:tr>
      <w:tr w:rsidR="00580C6A" w14:paraId="5D73EF35" w14:textId="77777777" w:rsidTr="00580C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A39F698" w14:textId="6096D4D2" w:rsidR="00580C6A" w:rsidRPr="00580C6A" w:rsidRDefault="00EA57C7" w:rsidP="00580C6A">
            <w:pPr>
              <w:spacing w:line="360" w:lineRule="auto"/>
              <w:rPr>
                <w:b w:val="0"/>
                <w:bCs w:val="0"/>
              </w:rPr>
            </w:pPr>
            <w:r>
              <w:rPr>
                <w:b w:val="0"/>
                <w:bCs w:val="0"/>
              </w:rPr>
              <w:t>Equity Injection provides an organisation s</w:t>
            </w:r>
            <w:r w:rsidR="00580C6A" w:rsidRPr="00580C6A">
              <w:rPr>
                <w:b w:val="0"/>
                <w:bCs w:val="0"/>
              </w:rPr>
              <w:t>tronger balance sheet and fewer interest payments</w:t>
            </w:r>
            <w:r w:rsidR="00A47491">
              <w:rPr>
                <w:b w:val="0"/>
                <w:bCs w:val="0"/>
              </w:rPr>
              <w:t xml:space="preserve"> </w:t>
            </w:r>
            <w:r w:rsidR="00A47491" w:rsidRPr="00A47491">
              <w:rPr>
                <w:b w:val="0"/>
                <w:bCs w:val="0"/>
              </w:rPr>
              <w:t>(Long and Fisher, 2024)</w:t>
            </w:r>
            <w:r w:rsidR="00580C6A" w:rsidRPr="00A47491">
              <w:rPr>
                <w:b w:val="0"/>
                <w:bCs w:val="0"/>
              </w:rPr>
              <w:t>.</w:t>
            </w:r>
          </w:p>
        </w:tc>
        <w:tc>
          <w:tcPr>
            <w:tcW w:w="4508" w:type="dxa"/>
          </w:tcPr>
          <w:p w14:paraId="2CB601E8" w14:textId="0DB57175" w:rsidR="00580C6A" w:rsidRDefault="00580C6A" w:rsidP="00580C6A">
            <w:pPr>
              <w:spacing w:line="360" w:lineRule="auto"/>
              <w:cnfStyle w:val="000000100000" w:firstRow="0" w:lastRow="0" w:firstColumn="0" w:lastColumn="0" w:oddVBand="0" w:evenVBand="0" w:oddHBand="1" w:evenHBand="0" w:firstRowFirstColumn="0" w:firstRowLastColumn="0" w:lastRowFirstColumn="0" w:lastRowLastColumn="0"/>
            </w:pPr>
            <w:r>
              <w:t>Dilution of existing shareholders.</w:t>
            </w:r>
          </w:p>
        </w:tc>
      </w:tr>
      <w:tr w:rsidR="00580C6A" w14:paraId="4689455D" w14:textId="77777777" w:rsidTr="00580C6A">
        <w:tc>
          <w:tcPr>
            <w:cnfStyle w:val="001000000000" w:firstRow="0" w:lastRow="0" w:firstColumn="1" w:lastColumn="0" w:oddVBand="0" w:evenVBand="0" w:oddHBand="0" w:evenHBand="0" w:firstRowFirstColumn="0" w:firstRowLastColumn="0" w:lastRowFirstColumn="0" w:lastRowLastColumn="0"/>
            <w:tcW w:w="4508" w:type="dxa"/>
          </w:tcPr>
          <w:p w14:paraId="743F036A" w14:textId="0AED6313" w:rsidR="00580C6A" w:rsidRPr="00580C6A" w:rsidRDefault="00580C6A" w:rsidP="00580C6A">
            <w:pPr>
              <w:spacing w:line="360" w:lineRule="auto"/>
              <w:rPr>
                <w:b w:val="0"/>
                <w:bCs w:val="0"/>
              </w:rPr>
            </w:pPr>
            <w:r w:rsidRPr="00580C6A">
              <w:rPr>
                <w:b w:val="0"/>
                <w:bCs w:val="0"/>
              </w:rPr>
              <w:t>Funding for innovation, automation and sustainability initiatives.</w:t>
            </w:r>
          </w:p>
        </w:tc>
        <w:tc>
          <w:tcPr>
            <w:tcW w:w="4508" w:type="dxa"/>
          </w:tcPr>
          <w:p w14:paraId="3072FE0F" w14:textId="2FB557C2" w:rsidR="00580C6A" w:rsidRDefault="00580C6A" w:rsidP="00580C6A">
            <w:pPr>
              <w:spacing w:line="360" w:lineRule="auto"/>
              <w:cnfStyle w:val="000000000000" w:firstRow="0" w:lastRow="0" w:firstColumn="0" w:lastColumn="0" w:oddVBand="0" w:evenVBand="0" w:oddHBand="0" w:evenHBand="0" w:firstRowFirstColumn="0" w:firstRowLastColumn="0" w:lastRowFirstColumn="0" w:lastRowLastColumn="0"/>
            </w:pPr>
            <w:r>
              <w:t>Market scepticism if performance doesn’t improve after the injection.</w:t>
            </w:r>
          </w:p>
        </w:tc>
      </w:tr>
    </w:tbl>
    <w:p w14:paraId="6D243E07" w14:textId="731D3439" w:rsidR="00322902" w:rsidRPr="00322902" w:rsidRDefault="00322902" w:rsidP="00322902">
      <w:pPr>
        <w:rPr>
          <w:b/>
          <w:bCs/>
          <w:i/>
          <w:iCs/>
          <w:u w:val="single"/>
        </w:rPr>
      </w:pPr>
      <w:r w:rsidRPr="00322902">
        <w:rPr>
          <w:b/>
          <w:bCs/>
          <w:i/>
          <w:iCs/>
          <w:u w:val="single"/>
        </w:rPr>
        <w:t xml:space="preserve">Strategic Merger and </w:t>
      </w:r>
      <w:r>
        <w:rPr>
          <w:b/>
          <w:bCs/>
          <w:i/>
          <w:iCs/>
          <w:u w:val="single"/>
        </w:rPr>
        <w:t>Acquisition</w:t>
      </w:r>
    </w:p>
    <w:p w14:paraId="62821564" w14:textId="2D24B4B8" w:rsidR="00322902" w:rsidRDefault="00322902" w:rsidP="00322902">
      <w:r>
        <w:t>M</w:t>
      </w:r>
      <w:r w:rsidR="00E44F30">
        <w:t>erger and Acquisition (M</w:t>
      </w:r>
      <w:r>
        <w:t>&amp;A</w:t>
      </w:r>
      <w:r w:rsidR="00E44F30">
        <w:t>)</w:t>
      </w:r>
      <w:r>
        <w:t xml:space="preserve"> allows distressed companies to access new technologies, customer base and economies of scale</w:t>
      </w:r>
      <w:r w:rsidR="00E44F30">
        <w:t xml:space="preserve"> (</w:t>
      </w:r>
      <w:r w:rsidR="00E44F30" w:rsidRPr="00E97FEF">
        <w:t>Ray,</w:t>
      </w:r>
      <w:r w:rsidR="00E44F30">
        <w:t xml:space="preserve"> </w:t>
      </w:r>
      <w:r w:rsidR="00E44F30" w:rsidRPr="00E97FEF">
        <w:t>2022</w:t>
      </w:r>
      <w:r w:rsidR="00E44F30">
        <w:t>)</w:t>
      </w:r>
      <w:r>
        <w:t>. A merger with a financially strong and tech-savvy company can increase GE’s market share and operational efficiencies. Moreover, merging with a mid-sized European or Asian electronics company specialising in IoT or green tech will enhance operations of GE. Shared R&amp;D and supply chain integration will make them more competitive and innovative.</w:t>
      </w:r>
      <w:r w:rsidR="006C07AB">
        <w:t xml:space="preserve"> However, proper due diligence and transparent communication will be key to long-term merger benefits.</w:t>
      </w:r>
    </w:p>
    <w:tbl>
      <w:tblPr>
        <w:tblStyle w:val="GridTable4-Accent6"/>
        <w:tblW w:w="0" w:type="auto"/>
        <w:tblLook w:val="04A0" w:firstRow="1" w:lastRow="0" w:firstColumn="1" w:lastColumn="0" w:noHBand="0" w:noVBand="1"/>
      </w:tblPr>
      <w:tblGrid>
        <w:gridCol w:w="4508"/>
        <w:gridCol w:w="4508"/>
      </w:tblGrid>
      <w:tr w:rsidR="00E44F30" w14:paraId="31E94DC9" w14:textId="77777777" w:rsidTr="00E44F3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E098A49" w14:textId="3E14DD68" w:rsidR="00E44F30" w:rsidRDefault="00E44F30" w:rsidP="00E44F30">
            <w:pPr>
              <w:spacing w:line="360" w:lineRule="auto"/>
              <w:jc w:val="center"/>
            </w:pPr>
            <w:r>
              <w:t>Benefits</w:t>
            </w:r>
          </w:p>
        </w:tc>
        <w:tc>
          <w:tcPr>
            <w:tcW w:w="4508" w:type="dxa"/>
          </w:tcPr>
          <w:p w14:paraId="0F0AF1C2" w14:textId="633EA747" w:rsidR="00E44F30" w:rsidRDefault="00E44F30" w:rsidP="00E44F30">
            <w:pPr>
              <w:spacing w:line="360" w:lineRule="auto"/>
              <w:jc w:val="center"/>
              <w:cnfStyle w:val="100000000000" w:firstRow="1" w:lastRow="0" w:firstColumn="0" w:lastColumn="0" w:oddVBand="0" w:evenVBand="0" w:oddHBand="0" w:evenHBand="0" w:firstRowFirstColumn="0" w:firstRowLastColumn="0" w:lastRowFirstColumn="0" w:lastRowLastColumn="0"/>
            </w:pPr>
            <w:r>
              <w:t>Risks</w:t>
            </w:r>
          </w:p>
        </w:tc>
      </w:tr>
      <w:tr w:rsidR="00E44F30" w:rsidRPr="00E44F30" w14:paraId="0414DC61" w14:textId="77777777" w:rsidTr="00E44F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E59D53C" w14:textId="508B353B" w:rsidR="00E44F30" w:rsidRPr="00E44F30" w:rsidRDefault="00E44F30" w:rsidP="00E44F30">
            <w:pPr>
              <w:spacing w:line="360" w:lineRule="auto"/>
              <w:rPr>
                <w:b w:val="0"/>
                <w:bCs w:val="0"/>
              </w:rPr>
            </w:pPr>
            <w:r w:rsidRPr="00E44F30">
              <w:rPr>
                <w:b w:val="0"/>
                <w:bCs w:val="0"/>
              </w:rPr>
              <w:lastRenderedPageBreak/>
              <w:t>Expands organisation’s geographic reach and product portfolio.</w:t>
            </w:r>
          </w:p>
        </w:tc>
        <w:tc>
          <w:tcPr>
            <w:tcW w:w="4508" w:type="dxa"/>
          </w:tcPr>
          <w:p w14:paraId="375647FF" w14:textId="540F6A09" w:rsidR="00E44F30" w:rsidRPr="00E44F30" w:rsidRDefault="00E44F30" w:rsidP="00E44F30">
            <w:pPr>
              <w:spacing w:line="360" w:lineRule="auto"/>
              <w:cnfStyle w:val="000000100000" w:firstRow="0" w:lastRow="0" w:firstColumn="0" w:lastColumn="0" w:oddVBand="0" w:evenVBand="0" w:oddHBand="1" w:evenHBand="0" w:firstRowFirstColumn="0" w:firstRowLastColumn="0" w:lastRowFirstColumn="0" w:lastRowLastColumn="0"/>
            </w:pPr>
            <w:r w:rsidRPr="00E44F30">
              <w:t>Cultural integration and post-merger governance issues.</w:t>
            </w:r>
          </w:p>
        </w:tc>
      </w:tr>
      <w:tr w:rsidR="00E44F30" w:rsidRPr="00E44F30" w14:paraId="4167648C" w14:textId="77777777" w:rsidTr="00E44F30">
        <w:tc>
          <w:tcPr>
            <w:cnfStyle w:val="001000000000" w:firstRow="0" w:lastRow="0" w:firstColumn="1" w:lastColumn="0" w:oddVBand="0" w:evenVBand="0" w:oddHBand="0" w:evenHBand="0" w:firstRowFirstColumn="0" w:firstRowLastColumn="0" w:lastRowFirstColumn="0" w:lastRowLastColumn="0"/>
            <w:tcW w:w="4508" w:type="dxa"/>
          </w:tcPr>
          <w:p w14:paraId="7378C03C" w14:textId="3BCE0D3A" w:rsidR="00E44F30" w:rsidRPr="00E44F30" w:rsidRDefault="00E44F30" w:rsidP="00E44F30">
            <w:pPr>
              <w:spacing w:line="360" w:lineRule="auto"/>
              <w:rPr>
                <w:b w:val="0"/>
                <w:bCs w:val="0"/>
              </w:rPr>
            </w:pPr>
            <w:r w:rsidRPr="00E44F30">
              <w:rPr>
                <w:b w:val="0"/>
                <w:bCs w:val="0"/>
              </w:rPr>
              <w:t>Achieves cost synergies and stronger supplier power.</w:t>
            </w:r>
          </w:p>
        </w:tc>
        <w:tc>
          <w:tcPr>
            <w:tcW w:w="4508" w:type="dxa"/>
          </w:tcPr>
          <w:p w14:paraId="7A73A3FF" w14:textId="5BDCEAC6" w:rsidR="00E44F30" w:rsidRPr="00E44F30" w:rsidRDefault="00E44F30" w:rsidP="00E44F30">
            <w:pPr>
              <w:spacing w:line="360" w:lineRule="auto"/>
              <w:cnfStyle w:val="000000000000" w:firstRow="0" w:lastRow="0" w:firstColumn="0" w:lastColumn="0" w:oddVBand="0" w:evenVBand="0" w:oddHBand="0" w:evenHBand="0" w:firstRowFirstColumn="0" w:firstRowLastColumn="0" w:lastRowFirstColumn="0" w:lastRowLastColumn="0"/>
            </w:pPr>
            <w:r w:rsidRPr="00E44F30">
              <w:t>Execution risks leading to potential synergy shortfalls.</w:t>
            </w:r>
          </w:p>
        </w:tc>
      </w:tr>
      <w:tr w:rsidR="00E44F30" w:rsidRPr="00E44F30" w14:paraId="7B2E976A" w14:textId="77777777" w:rsidTr="00E44F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F572771" w14:textId="391F0873" w:rsidR="00E44F30" w:rsidRPr="00E44F30" w:rsidRDefault="00E44F30" w:rsidP="00E44F30">
            <w:pPr>
              <w:spacing w:line="360" w:lineRule="auto"/>
              <w:rPr>
                <w:b w:val="0"/>
                <w:bCs w:val="0"/>
              </w:rPr>
            </w:pPr>
            <w:r w:rsidRPr="00E44F30">
              <w:rPr>
                <w:b w:val="0"/>
                <w:bCs w:val="0"/>
              </w:rPr>
              <w:t>Strengthens their brand and revenue diversification.</w:t>
            </w:r>
          </w:p>
        </w:tc>
        <w:tc>
          <w:tcPr>
            <w:tcW w:w="4508" w:type="dxa"/>
          </w:tcPr>
          <w:p w14:paraId="3D90E85A" w14:textId="77777777" w:rsidR="00E44F30" w:rsidRPr="00E44F30" w:rsidRDefault="00E44F30" w:rsidP="00E44F30">
            <w:pPr>
              <w:spacing w:line="360" w:lineRule="auto"/>
              <w:cnfStyle w:val="000000100000" w:firstRow="0" w:lastRow="0" w:firstColumn="0" w:lastColumn="0" w:oddVBand="0" w:evenVBand="0" w:oddHBand="1" w:evenHBand="0" w:firstRowFirstColumn="0" w:firstRowLastColumn="0" w:lastRowFirstColumn="0" w:lastRowLastColumn="0"/>
            </w:pPr>
          </w:p>
        </w:tc>
      </w:tr>
    </w:tbl>
    <w:p w14:paraId="77BED2A8" w14:textId="77777777" w:rsidR="00BE678F" w:rsidRDefault="00BE678F" w:rsidP="00BE678F">
      <w:pPr>
        <w:pStyle w:val="Heading2"/>
        <w:spacing w:after="240"/>
      </w:pPr>
      <w:bookmarkStart w:id="18" w:name="_Toc210822736"/>
      <w:r>
        <w:t>Evaluation of Impacts</w:t>
      </w:r>
      <w:bookmarkEnd w:id="18"/>
    </w:p>
    <w:p w14:paraId="781932B8" w14:textId="77777777" w:rsidR="000C2BF5" w:rsidRDefault="000C2BF5" w:rsidP="00BE678F">
      <w:pPr>
        <w:rPr>
          <w:b/>
          <w:bCs/>
          <w:i/>
          <w:iCs/>
          <w:u w:val="single"/>
        </w:rPr>
      </w:pPr>
      <w:r w:rsidRPr="000C2BF5">
        <w:rPr>
          <w:b/>
          <w:bCs/>
          <w:i/>
          <w:iCs/>
          <w:u w:val="single"/>
        </w:rPr>
        <w:t xml:space="preserve">Impact on </w:t>
      </w:r>
      <w:r>
        <w:rPr>
          <w:b/>
          <w:bCs/>
          <w:i/>
          <w:iCs/>
          <w:u w:val="single"/>
        </w:rPr>
        <w:t>Shareholders'</w:t>
      </w:r>
      <w:r w:rsidRPr="000C2BF5">
        <w:rPr>
          <w:b/>
          <w:bCs/>
          <w:i/>
          <w:iCs/>
          <w:u w:val="single"/>
        </w:rPr>
        <w:t xml:space="preserve"> Value</w:t>
      </w:r>
    </w:p>
    <w:p w14:paraId="659AA796" w14:textId="73BF5225" w:rsidR="007708C9" w:rsidRDefault="007708C9" w:rsidP="007708C9">
      <w:r w:rsidRPr="007708C9">
        <w:t>Restructuring affects the value, both short and long term, for shareholders in a substantial way</w:t>
      </w:r>
      <w:r w:rsidR="003D31E2">
        <w:t xml:space="preserve"> (</w:t>
      </w:r>
      <w:proofErr w:type="spellStart"/>
      <w:r w:rsidR="003D31E2" w:rsidRPr="00F42C09">
        <w:t>Zumente</w:t>
      </w:r>
      <w:proofErr w:type="spellEnd"/>
      <w:r w:rsidR="003D31E2" w:rsidRPr="00F42C09">
        <w:t xml:space="preserve"> and </w:t>
      </w:r>
      <w:proofErr w:type="spellStart"/>
      <w:r w:rsidR="003D31E2" w:rsidRPr="00F42C09">
        <w:t>Bistrova</w:t>
      </w:r>
      <w:proofErr w:type="spellEnd"/>
      <w:r w:rsidR="003D31E2" w:rsidRPr="00F42C09">
        <w:t>, 2021</w:t>
      </w:r>
      <w:r w:rsidR="003D31E2">
        <w:t>)</w:t>
      </w:r>
      <w:r w:rsidRPr="007708C9">
        <w:t xml:space="preserve">. </w:t>
      </w:r>
      <w:r w:rsidRPr="00101779">
        <w:rPr>
          <w:b/>
          <w:bCs/>
          <w:i/>
          <w:iCs/>
        </w:rPr>
        <w:t>A divestiture may decrease</w:t>
      </w:r>
      <w:r w:rsidRPr="007708C9">
        <w:t xml:space="preserve"> total revenue on a </w:t>
      </w:r>
      <w:r w:rsidR="002D3C6E">
        <w:t>top-line</w:t>
      </w:r>
      <w:r w:rsidRPr="007708C9">
        <w:t xml:space="preserve"> basis initially, but it improves profitability and valuation multiples by reallocating resources back to core activities.</w:t>
      </w:r>
      <w:r w:rsidR="002D3C6E">
        <w:t xml:space="preserve"> For example,</w:t>
      </w:r>
      <w:r w:rsidRPr="007708C9">
        <w:t xml:space="preserve"> </w:t>
      </w:r>
      <w:r w:rsidR="002D3C6E">
        <w:t>i</w:t>
      </w:r>
      <w:r w:rsidRPr="007708C9">
        <w:t>f assets are sold with a simultaneous equity injection to return capital or pay debt, ownership interests are diluted, but the value of the firm may be enhanced due to better solvency and investor sentiment</w:t>
      </w:r>
      <w:r w:rsidR="001C3970">
        <w:t xml:space="preserve"> (</w:t>
      </w:r>
      <w:r w:rsidR="001C3970" w:rsidRPr="00F42C09">
        <w:t xml:space="preserve">Granja, </w:t>
      </w:r>
      <w:r w:rsidR="001C3970">
        <w:t xml:space="preserve">et al., </w:t>
      </w:r>
      <w:r w:rsidR="001C3970" w:rsidRPr="00F42C09">
        <w:t>2024</w:t>
      </w:r>
      <w:r w:rsidR="001C3970">
        <w:t>)</w:t>
      </w:r>
      <w:r w:rsidRPr="007708C9">
        <w:t xml:space="preserve">. </w:t>
      </w:r>
      <w:r w:rsidRPr="00101779">
        <w:rPr>
          <w:b/>
          <w:bCs/>
          <w:i/>
          <w:iCs/>
        </w:rPr>
        <w:t>A merger of organisations will also provide increased</w:t>
      </w:r>
      <w:r w:rsidRPr="007708C9">
        <w:t xml:space="preserve"> shareholder wealth through synergy realisation, operational efficiencies, and the potential for increased future earnings. </w:t>
      </w:r>
      <w:r w:rsidR="00101779" w:rsidRPr="00F42C09">
        <w:t xml:space="preserve">Ahmed, </w:t>
      </w:r>
      <w:r w:rsidR="00101779">
        <w:t>et al., (</w:t>
      </w:r>
      <w:r w:rsidR="00101779" w:rsidRPr="00F42C09">
        <w:t>2024</w:t>
      </w:r>
      <w:r w:rsidR="00101779">
        <w:t xml:space="preserve">), </w:t>
      </w:r>
      <w:r w:rsidRPr="007708C9">
        <w:t xml:space="preserve">suggested that firms earning returns on equity </w:t>
      </w:r>
      <w:r w:rsidR="002D3C6E">
        <w:t>that</w:t>
      </w:r>
      <w:r w:rsidRPr="007708C9">
        <w:t xml:space="preserve"> achieve capital restructuring and improved operational efficiencies provide higher returns to shareholders</w:t>
      </w:r>
      <w:r w:rsidRPr="002A3C0E">
        <w:rPr>
          <w:b/>
          <w:bCs/>
          <w:i/>
          <w:iCs/>
        </w:rPr>
        <w:t>. In GE's case</w:t>
      </w:r>
      <w:r w:rsidRPr="007708C9">
        <w:t>, a hybrid strategy that includes divestiture and equity recapitalisation would be appropriate to optimally create long-term value improvement by returning capital, increasing profitability, resilience and reducing exposure to financial risk.</w:t>
      </w:r>
    </w:p>
    <w:p w14:paraId="31785956" w14:textId="17698149" w:rsidR="002A3C0E" w:rsidRDefault="002A3C0E" w:rsidP="007708C9">
      <w:pPr>
        <w:rPr>
          <w:b/>
          <w:bCs/>
          <w:i/>
          <w:iCs/>
          <w:u w:val="single"/>
        </w:rPr>
      </w:pPr>
      <w:r w:rsidRPr="002A3C0E">
        <w:rPr>
          <w:b/>
          <w:bCs/>
          <w:i/>
          <w:iCs/>
          <w:u w:val="single"/>
        </w:rPr>
        <w:t>Impact on Debt Structure</w:t>
      </w:r>
    </w:p>
    <w:p w14:paraId="59BC05DA" w14:textId="59BB0DBE" w:rsidR="002A3C0E" w:rsidRDefault="006F3206" w:rsidP="002A3C0E">
      <w:r w:rsidRPr="006F3206">
        <w:t xml:space="preserve">GE's elevated leverage ratio highlights the </w:t>
      </w:r>
      <w:r>
        <w:t>risk</w:t>
      </w:r>
      <w:r w:rsidRPr="006F3206">
        <w:t xml:space="preserve"> of potential financial distress. Repaying its short-term borrowings using cash proceeds of </w:t>
      </w:r>
      <w:r w:rsidRPr="006F3206">
        <w:rPr>
          <w:b/>
          <w:bCs/>
          <w:i/>
          <w:iCs/>
        </w:rPr>
        <w:t>divestiture and any equity issuance</w:t>
      </w:r>
      <w:r w:rsidRPr="006F3206">
        <w:t xml:space="preserve"> will make a clear improvement on the firm's balance sheet. The corresponding debt reduction from a partial asset sale produces an immediate reduction in total liabilities and can improve the debt ratio</w:t>
      </w:r>
      <w:r w:rsidR="00D96B2F">
        <w:t xml:space="preserve"> (</w:t>
      </w:r>
      <w:r w:rsidR="00D96B2F" w:rsidRPr="00F42C09">
        <w:t xml:space="preserve">Jariah and </w:t>
      </w:r>
      <w:proofErr w:type="spellStart"/>
      <w:r w:rsidR="00D96B2F" w:rsidRPr="00F42C09">
        <w:t>Lukiana</w:t>
      </w:r>
      <w:proofErr w:type="spellEnd"/>
      <w:r w:rsidR="00D96B2F">
        <w:t xml:space="preserve">, </w:t>
      </w:r>
      <w:r w:rsidR="00D96B2F" w:rsidRPr="00F42C09">
        <w:t>2023</w:t>
      </w:r>
      <w:r w:rsidR="00D96B2F">
        <w:t>)</w:t>
      </w:r>
      <w:r w:rsidRPr="006F3206">
        <w:t xml:space="preserve">. Further, the </w:t>
      </w:r>
      <w:r w:rsidRPr="006F3206">
        <w:rPr>
          <w:b/>
          <w:bCs/>
          <w:i/>
          <w:iCs/>
        </w:rPr>
        <w:t>new equity injection</w:t>
      </w:r>
      <w:r w:rsidRPr="006F3206">
        <w:t xml:space="preserve"> will potentially improve GE's credit rating and </w:t>
      </w:r>
      <w:r w:rsidRPr="006F3206">
        <w:lastRenderedPageBreak/>
        <w:t xml:space="preserve">possibly facilitate </w:t>
      </w:r>
      <w:r>
        <w:t>long-term</w:t>
      </w:r>
      <w:r w:rsidRPr="006F3206">
        <w:t xml:space="preserve"> debt financing at a reduced interest rate. This will provide some interest savings and will ultimately result in better net income margins. In summary, rebalancing the overall debt-to-equity ratio reduces financial risk, improves liquidity, and better enables the firm to reduce risk and maintain long-term financial stability.</w:t>
      </w:r>
    </w:p>
    <w:p w14:paraId="5E428762" w14:textId="0D720949" w:rsidR="00D96B2F" w:rsidRDefault="00D96B2F" w:rsidP="002A3C0E">
      <w:pPr>
        <w:rPr>
          <w:b/>
          <w:bCs/>
          <w:i/>
          <w:iCs/>
          <w:u w:val="single"/>
        </w:rPr>
      </w:pPr>
      <w:r w:rsidRPr="00B561D5">
        <w:rPr>
          <w:b/>
          <w:bCs/>
          <w:i/>
          <w:iCs/>
          <w:u w:val="single"/>
        </w:rPr>
        <w:t xml:space="preserve">Impact on </w:t>
      </w:r>
      <w:r w:rsidR="00B561D5" w:rsidRPr="00B561D5">
        <w:rPr>
          <w:b/>
          <w:bCs/>
          <w:i/>
          <w:iCs/>
          <w:u w:val="single"/>
        </w:rPr>
        <w:t>Operational Flexibility</w:t>
      </w:r>
    </w:p>
    <w:p w14:paraId="466C4A31" w14:textId="2601CEFC" w:rsidR="00B561D5" w:rsidRDefault="00D92C1D" w:rsidP="00B561D5">
      <w:r w:rsidRPr="00D92C1D">
        <w:t>Operational flexibility indicates the ability of the firm to act quickly to changes in market volatility</w:t>
      </w:r>
      <w:r w:rsidR="00347F85">
        <w:t xml:space="preserve"> (</w:t>
      </w:r>
      <w:proofErr w:type="spellStart"/>
      <w:r w:rsidR="00347F85" w:rsidRPr="00F42C09">
        <w:t>Siagian</w:t>
      </w:r>
      <w:proofErr w:type="spellEnd"/>
      <w:r w:rsidR="00347F85" w:rsidRPr="00F42C09">
        <w:t xml:space="preserve">, </w:t>
      </w:r>
      <w:r w:rsidR="00347F85">
        <w:t xml:space="preserve">et al., </w:t>
      </w:r>
      <w:r w:rsidR="00347F85" w:rsidRPr="00F42C09">
        <w:t>2021</w:t>
      </w:r>
      <w:r w:rsidR="00347F85">
        <w:t>)</w:t>
      </w:r>
      <w:r w:rsidRPr="00D92C1D">
        <w:t xml:space="preserve">. GE will be able to realign its operations to simplify operations, which will improve flexibility. Specifically, </w:t>
      </w:r>
      <w:r w:rsidRPr="00347F85">
        <w:rPr>
          <w:b/>
          <w:bCs/>
          <w:i/>
          <w:iCs/>
        </w:rPr>
        <w:t>divesting</w:t>
      </w:r>
      <w:r w:rsidRPr="00D92C1D">
        <w:t xml:space="preserve"> will enable management to focus better on innovations and digital transformation. </w:t>
      </w:r>
      <w:r w:rsidRPr="00347F85">
        <w:rPr>
          <w:b/>
          <w:bCs/>
          <w:i/>
          <w:iCs/>
        </w:rPr>
        <w:t>Equity recapitalisation</w:t>
      </w:r>
      <w:r w:rsidRPr="00D92C1D">
        <w:t xml:space="preserve"> will fund funding for technological improvements and </w:t>
      </w:r>
      <w:r w:rsidR="00347F85">
        <w:t>optimise</w:t>
      </w:r>
      <w:r w:rsidRPr="00D92C1D">
        <w:t xml:space="preserve"> the supply chain. Finally, </w:t>
      </w:r>
      <w:r w:rsidRPr="00347F85">
        <w:rPr>
          <w:b/>
          <w:bCs/>
          <w:i/>
          <w:iCs/>
        </w:rPr>
        <w:t>mergers and acquisitions</w:t>
      </w:r>
      <w:r w:rsidRPr="00D92C1D">
        <w:t xml:space="preserve"> increase global production capacity. Collectively, these measures will increase agility, enhance efficiency, and bolster competitive advantage in the global dynamics.</w:t>
      </w:r>
    </w:p>
    <w:p w14:paraId="7C81A2FA" w14:textId="7D68B273" w:rsidR="009327CE" w:rsidRDefault="009327CE" w:rsidP="009327CE">
      <w:pPr>
        <w:pStyle w:val="Heading2"/>
      </w:pPr>
      <w:bookmarkStart w:id="19" w:name="_Toc210822737"/>
      <w:r>
        <w:t xml:space="preserve">International and Ethical </w:t>
      </w:r>
      <w:r w:rsidR="00932C6A">
        <w:t>Considerations</w:t>
      </w:r>
      <w:bookmarkEnd w:id="19"/>
    </w:p>
    <w:p w14:paraId="5A84A972" w14:textId="77777777" w:rsidR="00932C6A" w:rsidRDefault="009327CE" w:rsidP="00932C6A">
      <w:pPr>
        <w:keepNext/>
      </w:pPr>
      <w:r>
        <w:rPr>
          <w:noProof/>
        </w:rPr>
        <w:drawing>
          <wp:inline distT="0" distB="0" distL="0" distR="0" wp14:anchorId="1D07F1ED" wp14:editId="52999FD8">
            <wp:extent cx="5798820" cy="2956560"/>
            <wp:effectExtent l="0" t="0" r="11430" b="0"/>
            <wp:docPr id="88704535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6C60EED7" w14:textId="647E2E62" w:rsidR="009327CE" w:rsidRDefault="00932C6A" w:rsidP="00932C6A">
      <w:pPr>
        <w:jc w:val="center"/>
        <w:rPr>
          <w:b/>
          <w:bCs/>
          <w:i/>
          <w:iCs/>
        </w:rPr>
      </w:pPr>
      <w:r w:rsidRPr="00932C6A">
        <w:rPr>
          <w:b/>
          <w:bCs/>
          <w:i/>
          <w:iCs/>
        </w:rPr>
        <w:t xml:space="preserve">Figure </w:t>
      </w:r>
      <w:r w:rsidRPr="00932C6A">
        <w:rPr>
          <w:b/>
          <w:bCs/>
          <w:i/>
          <w:iCs/>
        </w:rPr>
        <w:fldChar w:fldCharType="begin"/>
      </w:r>
      <w:r w:rsidRPr="00932C6A">
        <w:rPr>
          <w:b/>
          <w:bCs/>
          <w:i/>
          <w:iCs/>
        </w:rPr>
        <w:instrText xml:space="preserve"> SEQ Figure \* ARABIC </w:instrText>
      </w:r>
      <w:r w:rsidRPr="00932C6A">
        <w:rPr>
          <w:b/>
          <w:bCs/>
          <w:i/>
          <w:iCs/>
        </w:rPr>
        <w:fldChar w:fldCharType="separate"/>
      </w:r>
      <w:r w:rsidR="001E3ED2">
        <w:rPr>
          <w:b/>
          <w:bCs/>
          <w:i/>
          <w:iCs/>
          <w:noProof/>
        </w:rPr>
        <w:t>11</w:t>
      </w:r>
      <w:r w:rsidRPr="00932C6A">
        <w:rPr>
          <w:b/>
          <w:bCs/>
          <w:i/>
          <w:iCs/>
        </w:rPr>
        <w:fldChar w:fldCharType="end"/>
      </w:r>
      <w:r w:rsidRPr="00932C6A">
        <w:rPr>
          <w:b/>
          <w:bCs/>
          <w:i/>
          <w:iCs/>
        </w:rPr>
        <w:t xml:space="preserve">: </w:t>
      </w:r>
      <w:r>
        <w:rPr>
          <w:b/>
          <w:bCs/>
          <w:i/>
          <w:iCs/>
        </w:rPr>
        <w:t>International</w:t>
      </w:r>
      <w:r w:rsidRPr="00932C6A">
        <w:rPr>
          <w:b/>
          <w:bCs/>
          <w:i/>
          <w:iCs/>
        </w:rPr>
        <w:t xml:space="preserve"> and Ethical Considerations</w:t>
      </w:r>
    </w:p>
    <w:p w14:paraId="116EC06D" w14:textId="479827CE" w:rsidR="00932C6A" w:rsidRDefault="00932C6A" w:rsidP="00932C6A">
      <w:pPr>
        <w:jc w:val="center"/>
        <w:rPr>
          <w:b/>
          <w:bCs/>
          <w:i/>
          <w:iCs/>
        </w:rPr>
      </w:pPr>
      <w:r>
        <w:rPr>
          <w:b/>
          <w:bCs/>
          <w:i/>
          <w:iCs/>
        </w:rPr>
        <w:t>(Source: By Author)</w:t>
      </w:r>
    </w:p>
    <w:p w14:paraId="369DE6B7" w14:textId="4A8348A7" w:rsidR="00A5359A" w:rsidRDefault="00932C6A" w:rsidP="00A5359A">
      <w:pPr>
        <w:pStyle w:val="ListParagraph"/>
        <w:numPr>
          <w:ilvl w:val="0"/>
          <w:numId w:val="5"/>
        </w:numPr>
        <w:rPr>
          <w:b/>
          <w:bCs/>
          <w:i/>
          <w:iCs/>
          <w:u w:val="single"/>
        </w:rPr>
      </w:pPr>
      <w:r w:rsidRPr="00932C6A">
        <w:rPr>
          <w:b/>
          <w:bCs/>
          <w:i/>
          <w:iCs/>
          <w:u w:val="single"/>
        </w:rPr>
        <w:t>Taxation Implications</w:t>
      </w:r>
    </w:p>
    <w:p w14:paraId="6A889E5B" w14:textId="435C9A22" w:rsidR="008530F2" w:rsidRDefault="008530F2" w:rsidP="008530F2">
      <w:r>
        <w:lastRenderedPageBreak/>
        <w:t>Financial restructuring exercises such as divestitures, mergers, and recapitalisation can present significant tax implications. Capital gains from the deals pertaining to active assets disposed of may be subject to tax depending on the relevant tax jurisdiction</w:t>
      </w:r>
      <w:r w:rsidR="001619E4">
        <w:t xml:space="preserve"> (</w:t>
      </w:r>
      <w:r w:rsidR="001619E4" w:rsidRPr="000C7C1A">
        <w:t>Kesselman, 2023</w:t>
      </w:r>
      <w:r w:rsidR="001619E4">
        <w:t>)</w:t>
      </w:r>
      <w:r>
        <w:t xml:space="preserve">. Thus, GE should structure these deals to </w:t>
      </w:r>
      <w:r w:rsidR="001619E4">
        <w:t>maximise</w:t>
      </w:r>
      <w:r>
        <w:t xml:space="preserve"> the use of deferred tax assets and double-taxation treaties in particular jurisdictions. </w:t>
      </w:r>
      <w:r w:rsidR="001619E4">
        <w:t>mainly</w:t>
      </w:r>
      <w:r>
        <w:t xml:space="preserve"> if the restructuring involves subsidiaries in stable tax jurisdictions, the anticipated financial restructuring can be structured in a </w:t>
      </w:r>
      <w:r w:rsidR="001619E4">
        <w:t>tax-efficient</w:t>
      </w:r>
      <w:r>
        <w:t xml:space="preserve"> manner to </w:t>
      </w:r>
      <w:r w:rsidR="001619E4">
        <w:t>maximise</w:t>
      </w:r>
      <w:r>
        <w:t xml:space="preserve"> post-restructured profitability, all while complying with the OECD Base Erosion and Profit Shifting (BEPS) standards (OECD, 2024).</w:t>
      </w:r>
    </w:p>
    <w:p w14:paraId="436F8B9B" w14:textId="50D10012" w:rsidR="00932C6A" w:rsidRDefault="00A5359A" w:rsidP="00932C6A">
      <w:pPr>
        <w:pStyle w:val="ListParagraph"/>
        <w:numPr>
          <w:ilvl w:val="0"/>
          <w:numId w:val="5"/>
        </w:numPr>
        <w:rPr>
          <w:b/>
          <w:bCs/>
          <w:i/>
          <w:iCs/>
          <w:u w:val="single"/>
        </w:rPr>
      </w:pPr>
      <w:r>
        <w:rPr>
          <w:b/>
          <w:bCs/>
          <w:i/>
          <w:iCs/>
          <w:u w:val="single"/>
        </w:rPr>
        <w:t>Currency and Inflation Risks</w:t>
      </w:r>
    </w:p>
    <w:p w14:paraId="575EEF7A" w14:textId="545257DF" w:rsidR="008530F2" w:rsidRPr="008530F2" w:rsidRDefault="008530F2" w:rsidP="008530F2">
      <w:r>
        <w:t>As GE works globally, movement in exchange rates will generally affect valuations regarding assets, repayment of debt, and foreign revenues. Therefore, the financial restructuring should accommodate hedging strategies using forward contracts or currency swaps to mitigate translation and transaction risks. Also, inflationary pressures in emerging markets may increase input costs</w:t>
      </w:r>
      <w:r w:rsidR="001B6658">
        <w:t xml:space="preserve">. </w:t>
      </w:r>
      <w:r>
        <w:t>GE should work with suppliers to potentially renegotiate supply contracts to stable currencies and diversify sourcing to different geographic areas.</w:t>
      </w:r>
    </w:p>
    <w:p w14:paraId="7DED4A90" w14:textId="7601D8BB" w:rsidR="00A5359A" w:rsidRDefault="00A5359A" w:rsidP="00932C6A">
      <w:pPr>
        <w:pStyle w:val="ListParagraph"/>
        <w:numPr>
          <w:ilvl w:val="0"/>
          <w:numId w:val="5"/>
        </w:numPr>
        <w:rPr>
          <w:b/>
          <w:bCs/>
          <w:i/>
          <w:iCs/>
          <w:u w:val="single"/>
        </w:rPr>
      </w:pPr>
      <w:r>
        <w:rPr>
          <w:b/>
          <w:bCs/>
          <w:i/>
          <w:iCs/>
          <w:u w:val="single"/>
        </w:rPr>
        <w:t>CSR and Other Ethical Consideration</w:t>
      </w:r>
      <w:r w:rsidR="001B6658">
        <w:rPr>
          <w:b/>
          <w:bCs/>
          <w:i/>
          <w:iCs/>
          <w:u w:val="single"/>
        </w:rPr>
        <w:t>s</w:t>
      </w:r>
    </w:p>
    <w:p w14:paraId="3915F580" w14:textId="123F436F" w:rsidR="001B6658" w:rsidRDefault="00D2278B" w:rsidP="001B6658">
      <w:r w:rsidRPr="00D2278B">
        <w:t>Financial restructuring must also adhere to principles of ethical governance and corporate social responsibility (CSR)</w:t>
      </w:r>
      <w:r w:rsidR="00E87B5B">
        <w:t xml:space="preserve"> (</w:t>
      </w:r>
      <w:proofErr w:type="spellStart"/>
      <w:r w:rsidR="00E87B5B" w:rsidRPr="00DF6497">
        <w:t>Asyik</w:t>
      </w:r>
      <w:proofErr w:type="spellEnd"/>
      <w:r w:rsidR="00E87B5B" w:rsidRPr="00DF6497">
        <w:t xml:space="preserve">, </w:t>
      </w:r>
      <w:r w:rsidR="00E87B5B">
        <w:t xml:space="preserve">et al., </w:t>
      </w:r>
      <w:r w:rsidR="00E87B5B" w:rsidRPr="00DF6497">
        <w:t>2024</w:t>
      </w:r>
      <w:r w:rsidR="00E87B5B">
        <w:t>)</w:t>
      </w:r>
      <w:r w:rsidRPr="00D2278B">
        <w:t>. When there is a need for</w:t>
      </w:r>
      <w:r w:rsidR="00452669">
        <w:t xml:space="preserve"> </w:t>
      </w:r>
      <w:r w:rsidRPr="00D2278B">
        <w:t xml:space="preserve">divestiture, </w:t>
      </w:r>
      <w:r w:rsidR="00452669">
        <w:t>organisations</w:t>
      </w:r>
      <w:r w:rsidRPr="00D2278B">
        <w:t xml:space="preserve"> should take sufficient action to ensure the process is handled thoughtfully, such that job losses are minimised and employees and suppliers are treated</w:t>
      </w:r>
      <w:r w:rsidR="00E87B5B">
        <w:t xml:space="preserve"> </w:t>
      </w:r>
      <w:r w:rsidRPr="00D2278B">
        <w:t>fairly. GE should also commit to undergoing green innovations responsibly, ensuring fair labour practices, and undertaking responsible disclosures to support rebuilding brand trust and stakeholder loyalty. As CSR becomes deemed critical to sustainable restructuring, Investors will increasingly favour companies with strong CSR and sustainability leaders, as they have a significant impact on global capital allocation decisions.</w:t>
      </w:r>
    </w:p>
    <w:p w14:paraId="02CCA40A" w14:textId="50C69BF6" w:rsidR="00F103BD" w:rsidRDefault="00F103BD" w:rsidP="00F103BD">
      <w:r>
        <w:t xml:space="preserve">Thus, General Electronics must implement a multi-faceted financial restructuring strategy that embodies divestiture, equity recapitalisation, and mergers to regain stability, profit, and investor trust. Divestiture will provide immediate liquidity, equity will </w:t>
      </w:r>
      <w:r>
        <w:lastRenderedPageBreak/>
        <w:t>increase solvency, and mergers will induce innovation and global competitiveness. These approaches will, ultimately, provide shareholder value, reduce leverage, and enhance operational flexibility.</w:t>
      </w:r>
    </w:p>
    <w:p w14:paraId="457ADD77" w14:textId="7FBDD531" w:rsidR="00F103BD" w:rsidRDefault="00F103BD" w:rsidP="00F103BD">
      <w:r>
        <w:t>Furthermore, applying international taxation analysis, volatility of foreign exchange rates, inflation, and ethical governance, will ensure the restructuring process is globally compliant and socially responsible. With the successful combination of practical execution, timely transparency, and competent leadership, General Electronics will transition from financial distress to sustainable global growth.</w:t>
      </w:r>
    </w:p>
    <w:p w14:paraId="30C28287" w14:textId="31165554" w:rsidR="00C15387" w:rsidRDefault="00C15387">
      <w:r>
        <w:br w:type="page"/>
      </w:r>
    </w:p>
    <w:p w14:paraId="40D43AA7" w14:textId="6093D737" w:rsidR="00C15387" w:rsidRDefault="00A1085E" w:rsidP="00A1085E">
      <w:pPr>
        <w:pStyle w:val="Heading1"/>
      </w:pPr>
      <w:bookmarkStart w:id="20" w:name="_Toc210822738"/>
      <w:r>
        <w:lastRenderedPageBreak/>
        <w:t>Investment Appraisal and Capital Budgeting</w:t>
      </w:r>
      <w:bookmarkEnd w:id="20"/>
    </w:p>
    <w:p w14:paraId="0522ACAE" w14:textId="410CF233" w:rsidR="0015749B" w:rsidRDefault="00951CE1" w:rsidP="0015749B">
      <w:r w:rsidRPr="00951CE1">
        <w:t>Investment appraisal techniques are the tools used to evaluate the viability and profitability of projects</w:t>
      </w:r>
      <w:r w:rsidR="0048191D">
        <w:t xml:space="preserve"> (</w:t>
      </w:r>
      <w:r w:rsidR="0048191D" w:rsidRPr="00C167ED">
        <w:t xml:space="preserve">Delapedra-Silva, </w:t>
      </w:r>
      <w:r w:rsidR="0048191D">
        <w:t xml:space="preserve">et al., </w:t>
      </w:r>
      <w:r w:rsidR="0048191D" w:rsidRPr="00C167ED">
        <w:t>2022</w:t>
      </w:r>
      <w:r w:rsidR="0048191D">
        <w:t>)</w:t>
      </w:r>
      <w:r w:rsidRPr="00951CE1">
        <w:t xml:space="preserve">. NPV and IRR look at returns on a time value of money basis. ARR looks at profitability on </w:t>
      </w:r>
      <w:r w:rsidR="001E3ED2">
        <w:t xml:space="preserve">an </w:t>
      </w:r>
      <w:r w:rsidRPr="00951CE1">
        <w:t>accounting income basis and Payback Period looks at how quickly an investment recovers its cost. Capital Budgeting brings all these together to guide investment decisions, optimise resource allocation and minimise risk</w:t>
      </w:r>
      <w:r w:rsidR="00F72768">
        <w:t xml:space="preserve"> (Jain, 2024)</w:t>
      </w:r>
      <w:r w:rsidRPr="00951CE1">
        <w:t>. Together</w:t>
      </w:r>
      <w:r w:rsidR="00F72768">
        <w:t>,</w:t>
      </w:r>
      <w:r w:rsidRPr="00951CE1">
        <w:t xml:space="preserve"> they help organisations to select good projects that add value to shareholders and support </w:t>
      </w:r>
      <w:r w:rsidR="001E3ED2">
        <w:t>long-term</w:t>
      </w:r>
      <w:r w:rsidRPr="00951CE1">
        <w:t xml:space="preserve"> business growth and sustainability.</w:t>
      </w:r>
    </w:p>
    <w:p w14:paraId="5FB04068" w14:textId="77777777" w:rsidR="001E3ED2" w:rsidRDefault="001E3ED2" w:rsidP="001E3ED2">
      <w:pPr>
        <w:keepNext/>
      </w:pPr>
      <w:r>
        <w:rPr>
          <w:noProof/>
        </w:rPr>
        <w:drawing>
          <wp:inline distT="0" distB="0" distL="0" distR="0" wp14:anchorId="77BEFF60" wp14:editId="02AFB855">
            <wp:extent cx="5646420" cy="3192780"/>
            <wp:effectExtent l="0" t="0" r="0" b="0"/>
            <wp:docPr id="90870440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11336FBD" w14:textId="23589120" w:rsidR="001E3ED2" w:rsidRDefault="001E3ED2" w:rsidP="001E3ED2">
      <w:pPr>
        <w:jc w:val="center"/>
        <w:rPr>
          <w:b/>
          <w:bCs/>
          <w:i/>
          <w:iCs/>
        </w:rPr>
      </w:pPr>
      <w:r w:rsidRPr="001E3ED2">
        <w:rPr>
          <w:b/>
          <w:bCs/>
          <w:i/>
          <w:iCs/>
        </w:rPr>
        <w:t xml:space="preserve">Figure </w:t>
      </w:r>
      <w:r w:rsidRPr="001E3ED2">
        <w:rPr>
          <w:b/>
          <w:bCs/>
          <w:i/>
          <w:iCs/>
        </w:rPr>
        <w:fldChar w:fldCharType="begin"/>
      </w:r>
      <w:r w:rsidRPr="001E3ED2">
        <w:rPr>
          <w:b/>
          <w:bCs/>
          <w:i/>
          <w:iCs/>
        </w:rPr>
        <w:instrText xml:space="preserve"> SEQ Figure \* ARABIC </w:instrText>
      </w:r>
      <w:r w:rsidRPr="001E3ED2">
        <w:rPr>
          <w:b/>
          <w:bCs/>
          <w:i/>
          <w:iCs/>
        </w:rPr>
        <w:fldChar w:fldCharType="separate"/>
      </w:r>
      <w:r w:rsidRPr="001E3ED2">
        <w:rPr>
          <w:b/>
          <w:bCs/>
          <w:i/>
          <w:iCs/>
          <w:noProof/>
        </w:rPr>
        <w:t>12</w:t>
      </w:r>
      <w:r w:rsidRPr="001E3ED2">
        <w:rPr>
          <w:b/>
          <w:bCs/>
          <w:i/>
          <w:iCs/>
        </w:rPr>
        <w:fldChar w:fldCharType="end"/>
      </w:r>
      <w:r w:rsidRPr="001E3ED2">
        <w:rPr>
          <w:b/>
          <w:bCs/>
          <w:i/>
          <w:iCs/>
        </w:rPr>
        <w:t>: Investment Appraisal Methods</w:t>
      </w:r>
    </w:p>
    <w:p w14:paraId="1521693D" w14:textId="6F9EE896" w:rsidR="001E3ED2" w:rsidRDefault="001E3ED2" w:rsidP="001E3ED2">
      <w:pPr>
        <w:jc w:val="center"/>
        <w:rPr>
          <w:b/>
          <w:bCs/>
          <w:i/>
          <w:iCs/>
        </w:rPr>
      </w:pPr>
      <w:r>
        <w:rPr>
          <w:b/>
          <w:bCs/>
          <w:i/>
          <w:iCs/>
        </w:rPr>
        <w:t>(Source: By Author)</w:t>
      </w:r>
    </w:p>
    <w:p w14:paraId="07526546" w14:textId="46C35728" w:rsidR="00F72768" w:rsidRPr="001E3ED2" w:rsidRDefault="00F72768" w:rsidP="00F72768">
      <w:pPr>
        <w:pStyle w:val="Heading2"/>
      </w:pPr>
      <w:bookmarkStart w:id="21" w:name="_Toc210822739"/>
      <w:r>
        <w:lastRenderedPageBreak/>
        <w:t>Project A</w:t>
      </w:r>
      <w:bookmarkEnd w:id="21"/>
    </w:p>
    <w:p w14:paraId="1D2AD5EC" w14:textId="77777777" w:rsidR="00A02035" w:rsidRDefault="00A02035" w:rsidP="00A02035">
      <w:pPr>
        <w:keepNext/>
      </w:pPr>
      <w:r w:rsidRPr="00A02035">
        <w:rPr>
          <w:noProof/>
        </w:rPr>
        <w:drawing>
          <wp:inline distT="0" distB="0" distL="0" distR="0" wp14:anchorId="555750B2" wp14:editId="61F5FA80">
            <wp:extent cx="5731510" cy="2400935"/>
            <wp:effectExtent l="0" t="0" r="2540" b="0"/>
            <wp:docPr id="1430855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855845" name=""/>
                    <pic:cNvPicPr/>
                  </pic:nvPicPr>
                  <pic:blipFill>
                    <a:blip r:embed="rId33"/>
                    <a:stretch>
                      <a:fillRect/>
                    </a:stretch>
                  </pic:blipFill>
                  <pic:spPr>
                    <a:xfrm>
                      <a:off x="0" y="0"/>
                      <a:ext cx="5731510" cy="2400935"/>
                    </a:xfrm>
                    <a:prstGeom prst="rect">
                      <a:avLst/>
                    </a:prstGeom>
                  </pic:spPr>
                </pic:pic>
              </a:graphicData>
            </a:graphic>
          </wp:inline>
        </w:drawing>
      </w:r>
    </w:p>
    <w:p w14:paraId="0F5D7164" w14:textId="525D1B26" w:rsidR="00A02035" w:rsidRDefault="00A02035" w:rsidP="00A02035">
      <w:pPr>
        <w:jc w:val="center"/>
        <w:rPr>
          <w:b/>
          <w:bCs/>
          <w:i/>
          <w:iCs/>
        </w:rPr>
      </w:pPr>
      <w:r w:rsidRPr="00A02035">
        <w:rPr>
          <w:b/>
          <w:bCs/>
          <w:i/>
          <w:iCs/>
        </w:rPr>
        <w:t xml:space="preserve">Figure </w:t>
      </w:r>
      <w:r w:rsidRPr="00A02035">
        <w:rPr>
          <w:b/>
          <w:bCs/>
          <w:i/>
          <w:iCs/>
        </w:rPr>
        <w:fldChar w:fldCharType="begin"/>
      </w:r>
      <w:r w:rsidRPr="00A02035">
        <w:rPr>
          <w:b/>
          <w:bCs/>
          <w:i/>
          <w:iCs/>
        </w:rPr>
        <w:instrText xml:space="preserve"> SEQ Figure \* ARABIC </w:instrText>
      </w:r>
      <w:r w:rsidRPr="00A02035">
        <w:rPr>
          <w:b/>
          <w:bCs/>
          <w:i/>
          <w:iCs/>
        </w:rPr>
        <w:fldChar w:fldCharType="separate"/>
      </w:r>
      <w:r w:rsidR="001E3ED2">
        <w:rPr>
          <w:b/>
          <w:bCs/>
          <w:i/>
          <w:iCs/>
          <w:noProof/>
        </w:rPr>
        <w:t>13</w:t>
      </w:r>
      <w:r w:rsidRPr="00A02035">
        <w:rPr>
          <w:b/>
          <w:bCs/>
          <w:i/>
          <w:iCs/>
        </w:rPr>
        <w:fldChar w:fldCharType="end"/>
      </w:r>
      <w:r w:rsidRPr="00A02035">
        <w:rPr>
          <w:b/>
          <w:bCs/>
          <w:i/>
          <w:iCs/>
        </w:rPr>
        <w:t xml:space="preserve">: </w:t>
      </w:r>
      <w:r>
        <w:rPr>
          <w:b/>
          <w:bCs/>
          <w:i/>
          <w:iCs/>
        </w:rPr>
        <w:t>Project</w:t>
      </w:r>
      <w:r w:rsidRPr="00A02035">
        <w:rPr>
          <w:b/>
          <w:bCs/>
          <w:i/>
          <w:iCs/>
        </w:rPr>
        <w:t xml:space="preserve"> </w:t>
      </w:r>
      <w:proofErr w:type="gramStart"/>
      <w:r w:rsidRPr="00A02035">
        <w:rPr>
          <w:b/>
          <w:bCs/>
          <w:i/>
          <w:iCs/>
        </w:rPr>
        <w:t>A</w:t>
      </w:r>
      <w:proofErr w:type="gramEnd"/>
      <w:r w:rsidRPr="00A02035">
        <w:rPr>
          <w:b/>
          <w:bCs/>
          <w:i/>
          <w:iCs/>
        </w:rPr>
        <w:t xml:space="preserve"> Investment </w:t>
      </w:r>
      <w:r>
        <w:rPr>
          <w:b/>
          <w:bCs/>
          <w:i/>
          <w:iCs/>
        </w:rPr>
        <w:t>Proposal</w:t>
      </w:r>
    </w:p>
    <w:p w14:paraId="19987206" w14:textId="6E59C051" w:rsidR="00A02035" w:rsidRDefault="00A02035" w:rsidP="00A02035">
      <w:pPr>
        <w:jc w:val="center"/>
        <w:rPr>
          <w:b/>
          <w:bCs/>
          <w:i/>
          <w:iCs/>
        </w:rPr>
      </w:pPr>
      <w:r>
        <w:rPr>
          <w:b/>
          <w:bCs/>
          <w:i/>
          <w:iCs/>
        </w:rPr>
        <w:t>(Source: By Author)</w:t>
      </w:r>
    </w:p>
    <w:p w14:paraId="3A2817DC" w14:textId="77777777" w:rsidR="004D1A96" w:rsidRDefault="005211A3" w:rsidP="005211A3">
      <w:r w:rsidRPr="005211A3">
        <w:t xml:space="preserve">Project A shows slight financial feasibility, but is relatively unattractive for General Electronics (GE) to invest given their ongoing financial issues and the need to allocate </w:t>
      </w:r>
      <w:r w:rsidR="004D1A96">
        <w:t>their</w:t>
      </w:r>
      <w:r w:rsidRPr="005211A3">
        <w:t xml:space="preserve"> capital efficiently. The payback period of 3.4 years of an initial investment of £40 million suggests acceptable short-term liquidity properties, and a 54% accounting rate of return </w:t>
      </w:r>
      <w:r w:rsidR="004D1A96">
        <w:t>also appears to</w:t>
      </w:r>
      <w:r w:rsidRPr="005211A3">
        <w:t xml:space="preserve"> support accounting profitability. The net present value of £1.32 million is just above zero</w:t>
      </w:r>
      <w:r w:rsidR="004D1A96">
        <w:t>,</w:t>
      </w:r>
      <w:r w:rsidRPr="005211A3">
        <w:t xml:space="preserve"> which suggests that with a 10% discount rate</w:t>
      </w:r>
      <w:r w:rsidR="004D1A96">
        <w:t>,</w:t>
      </w:r>
      <w:r w:rsidRPr="005211A3">
        <w:t xml:space="preserve"> the project generates a small surplus beyond the cost of capital. </w:t>
      </w:r>
    </w:p>
    <w:p w14:paraId="7CC51385" w14:textId="4EFBFD11" w:rsidR="005211A3" w:rsidRDefault="005211A3" w:rsidP="005211A3">
      <w:r w:rsidRPr="005211A3">
        <w:t xml:space="preserve">The 1.03 profitability index case more than suggests the project barely </w:t>
      </w:r>
      <w:r w:rsidR="004D1A96">
        <w:t>breaks</w:t>
      </w:r>
      <w:r w:rsidRPr="005211A3">
        <w:t xml:space="preserve"> return. The internal rate of return of 1.21% is even more concerning, as it is clearly below the firm's required return of 10% and suggests the project will hardly be profitable in the long term. Ultimately, while </w:t>
      </w:r>
      <w:r w:rsidRPr="004D1A96">
        <w:rPr>
          <w:b/>
          <w:bCs/>
          <w:i/>
          <w:iCs/>
        </w:rPr>
        <w:t>this project offers some liquidity benefit</w:t>
      </w:r>
      <w:r w:rsidRPr="005211A3">
        <w:t xml:space="preserve">, its return on investment generally appears unfeasible. General Electronics would be well advised to </w:t>
      </w:r>
      <w:r w:rsidRPr="007372CF">
        <w:rPr>
          <w:b/>
          <w:bCs/>
          <w:i/>
          <w:iCs/>
        </w:rPr>
        <w:t>only undertake this investment</w:t>
      </w:r>
      <w:r w:rsidR="007372CF">
        <w:t>. As if</w:t>
      </w:r>
      <w:r w:rsidRPr="005211A3">
        <w:t xml:space="preserve"> the strategic or business benefits</w:t>
      </w:r>
      <w:r w:rsidR="007372CF">
        <w:t xml:space="preserve"> it creates</w:t>
      </w:r>
      <w:r w:rsidRPr="005211A3">
        <w:t xml:space="preserve"> outside of direct return</w:t>
      </w:r>
      <w:r w:rsidR="004D1A96">
        <w:t>,</w:t>
      </w:r>
      <w:r w:rsidRPr="005211A3">
        <w:t xml:space="preserve"> </w:t>
      </w:r>
      <w:r w:rsidR="004D1A96">
        <w:t>justifying</w:t>
      </w:r>
      <w:r w:rsidRPr="005211A3">
        <w:t xml:space="preserve"> the capital that it may not come close to recovering or returning.</w:t>
      </w:r>
    </w:p>
    <w:p w14:paraId="6083B4E2" w14:textId="583A6B8D" w:rsidR="0052342A" w:rsidRDefault="0052342A" w:rsidP="0052342A">
      <w:pPr>
        <w:pStyle w:val="Heading2"/>
      </w:pPr>
      <w:bookmarkStart w:id="22" w:name="_Toc210822740"/>
      <w:r>
        <w:lastRenderedPageBreak/>
        <w:t>Project B</w:t>
      </w:r>
      <w:bookmarkEnd w:id="22"/>
    </w:p>
    <w:p w14:paraId="77926566" w14:textId="77777777" w:rsidR="00F3309B" w:rsidRDefault="00F3309B" w:rsidP="00F3309B">
      <w:pPr>
        <w:keepNext/>
      </w:pPr>
      <w:r w:rsidRPr="00F3309B">
        <w:rPr>
          <w:noProof/>
        </w:rPr>
        <w:drawing>
          <wp:inline distT="0" distB="0" distL="0" distR="0" wp14:anchorId="6EB05C1B" wp14:editId="5F885751">
            <wp:extent cx="5731510" cy="2470785"/>
            <wp:effectExtent l="0" t="0" r="2540" b="5715"/>
            <wp:docPr id="734903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903914" name=""/>
                    <pic:cNvPicPr/>
                  </pic:nvPicPr>
                  <pic:blipFill>
                    <a:blip r:embed="rId34"/>
                    <a:stretch>
                      <a:fillRect/>
                    </a:stretch>
                  </pic:blipFill>
                  <pic:spPr>
                    <a:xfrm>
                      <a:off x="0" y="0"/>
                      <a:ext cx="5731510" cy="2470785"/>
                    </a:xfrm>
                    <a:prstGeom prst="rect">
                      <a:avLst/>
                    </a:prstGeom>
                  </pic:spPr>
                </pic:pic>
              </a:graphicData>
            </a:graphic>
          </wp:inline>
        </w:drawing>
      </w:r>
    </w:p>
    <w:p w14:paraId="557F8B82" w14:textId="738EF362" w:rsidR="00A02035" w:rsidRDefault="00F3309B" w:rsidP="00F3309B">
      <w:pPr>
        <w:jc w:val="center"/>
        <w:rPr>
          <w:b/>
          <w:bCs/>
          <w:i/>
          <w:iCs/>
        </w:rPr>
      </w:pPr>
      <w:r w:rsidRPr="00F3309B">
        <w:rPr>
          <w:b/>
          <w:bCs/>
          <w:i/>
          <w:iCs/>
        </w:rPr>
        <w:t xml:space="preserve">Figure </w:t>
      </w:r>
      <w:r w:rsidRPr="00F3309B">
        <w:rPr>
          <w:b/>
          <w:bCs/>
          <w:i/>
          <w:iCs/>
        </w:rPr>
        <w:fldChar w:fldCharType="begin"/>
      </w:r>
      <w:r w:rsidRPr="00F3309B">
        <w:rPr>
          <w:b/>
          <w:bCs/>
          <w:i/>
          <w:iCs/>
        </w:rPr>
        <w:instrText xml:space="preserve"> SEQ Figure \* ARABIC </w:instrText>
      </w:r>
      <w:r w:rsidRPr="00F3309B">
        <w:rPr>
          <w:b/>
          <w:bCs/>
          <w:i/>
          <w:iCs/>
        </w:rPr>
        <w:fldChar w:fldCharType="separate"/>
      </w:r>
      <w:r w:rsidR="001E3ED2">
        <w:rPr>
          <w:b/>
          <w:bCs/>
          <w:i/>
          <w:iCs/>
          <w:noProof/>
        </w:rPr>
        <w:t>14</w:t>
      </w:r>
      <w:r w:rsidRPr="00F3309B">
        <w:rPr>
          <w:b/>
          <w:bCs/>
          <w:i/>
          <w:iCs/>
        </w:rPr>
        <w:fldChar w:fldCharType="end"/>
      </w:r>
      <w:r w:rsidRPr="00F3309B">
        <w:rPr>
          <w:b/>
          <w:bCs/>
          <w:i/>
          <w:iCs/>
        </w:rPr>
        <w:t>: Project B Investment Proposal</w:t>
      </w:r>
    </w:p>
    <w:p w14:paraId="3F781362" w14:textId="5B8809BF" w:rsidR="00F3309B" w:rsidRDefault="00F3309B" w:rsidP="00F3309B">
      <w:pPr>
        <w:jc w:val="center"/>
        <w:rPr>
          <w:b/>
          <w:bCs/>
          <w:i/>
          <w:iCs/>
        </w:rPr>
      </w:pPr>
      <w:r>
        <w:rPr>
          <w:b/>
          <w:bCs/>
          <w:i/>
          <w:iCs/>
        </w:rPr>
        <w:t>(Source: By Author)</w:t>
      </w:r>
    </w:p>
    <w:p w14:paraId="1FC9DDBF" w14:textId="77777777" w:rsidR="00E16A26" w:rsidRDefault="00E16A26" w:rsidP="0018520C">
      <w:r w:rsidRPr="00E16A26">
        <w:rPr>
          <w:b/>
          <w:bCs/>
          <w:i/>
          <w:iCs/>
        </w:rPr>
        <w:t>Project B does not have good financial feasibility</w:t>
      </w:r>
      <w:r w:rsidRPr="00E16A26">
        <w:t xml:space="preserve"> and is not a wise investment for General Electronics (GE). The Payback Period of five years indicates it would take that long to recover the initial £30 million spent, with no cash flow benefit during the first five years. The Accounting Rate of Return of 40% seems reasonable; however, it does not account for the time value of money. The Net Present Value </w:t>
      </w:r>
      <w:r w:rsidRPr="00E16A26">
        <w:rPr>
          <w:b/>
          <w:bCs/>
          <w:i/>
          <w:iCs/>
        </w:rPr>
        <w:t>(NPV) of -£7.26</w:t>
      </w:r>
      <w:r w:rsidRPr="00E16A26">
        <w:t xml:space="preserve"> million</w:t>
      </w:r>
      <w:r>
        <w:t>,</w:t>
      </w:r>
      <w:r w:rsidRPr="00E16A26">
        <w:t xml:space="preserve"> explaining that it would lose value as the discounted cash inflows do not provide for the cost of capital at the 10% discount rate. </w:t>
      </w:r>
    </w:p>
    <w:p w14:paraId="423026C8" w14:textId="1C6C3324" w:rsidR="0018520C" w:rsidRDefault="00E16A26" w:rsidP="0018520C">
      <w:r>
        <w:t>Moreover, t</w:t>
      </w:r>
      <w:r w:rsidRPr="00E16A26">
        <w:t xml:space="preserve">he Profitability Index also indicates inefficiency with a score of 0.76, so for every pound you invest, you will earn less than a pound. Finally, the most concerning metric is the Internal Rate of Return (IRR), with </w:t>
      </w:r>
      <w:r w:rsidRPr="00E16A26">
        <w:rPr>
          <w:b/>
          <w:bCs/>
          <w:i/>
          <w:iCs/>
        </w:rPr>
        <w:t>an IRR of -9.09%,</w:t>
      </w:r>
      <w:r w:rsidRPr="00E16A26">
        <w:t xml:space="preserve"> which indicates the project will have a return significantly below the required rate, and therefore, will be negative profitability for GE. In short, </w:t>
      </w:r>
      <w:r w:rsidRPr="00E16A26">
        <w:rPr>
          <w:b/>
          <w:bCs/>
          <w:i/>
          <w:iCs/>
        </w:rPr>
        <w:t>Project B is not financially feasible for GE</w:t>
      </w:r>
      <w:r w:rsidRPr="00E16A26">
        <w:t xml:space="preserve">, as it </w:t>
      </w:r>
      <w:r>
        <w:t>d</w:t>
      </w:r>
      <w:r w:rsidR="0052342A">
        <w:t>eclines</w:t>
      </w:r>
      <w:r w:rsidRPr="00E16A26">
        <w:t xml:space="preserve"> liquidity pressures on GE and destroys shareholder value, all without creating a sufficient return or strategic value.</w:t>
      </w:r>
    </w:p>
    <w:p w14:paraId="3B684EB1" w14:textId="57488C49" w:rsidR="0052342A" w:rsidRDefault="0052342A" w:rsidP="0052342A">
      <w:pPr>
        <w:pStyle w:val="Heading2"/>
      </w:pPr>
      <w:bookmarkStart w:id="23" w:name="_Toc210822741"/>
      <w:r>
        <w:lastRenderedPageBreak/>
        <w:t>Project C</w:t>
      </w:r>
      <w:bookmarkEnd w:id="23"/>
    </w:p>
    <w:p w14:paraId="6CA7535E" w14:textId="77777777" w:rsidR="004923D3" w:rsidRPr="004923D3" w:rsidRDefault="004923D3" w:rsidP="004923D3">
      <w:pPr>
        <w:jc w:val="center"/>
        <w:rPr>
          <w:b/>
          <w:bCs/>
          <w:i/>
          <w:iCs/>
        </w:rPr>
      </w:pPr>
      <w:r w:rsidRPr="004923D3">
        <w:rPr>
          <w:b/>
          <w:bCs/>
          <w:i/>
          <w:iCs/>
          <w:noProof/>
        </w:rPr>
        <w:drawing>
          <wp:inline distT="0" distB="0" distL="0" distR="0" wp14:anchorId="440A0FE6" wp14:editId="72AD94EE">
            <wp:extent cx="5731510" cy="2446655"/>
            <wp:effectExtent l="0" t="0" r="2540" b="0"/>
            <wp:docPr id="1102463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463757" name=""/>
                    <pic:cNvPicPr/>
                  </pic:nvPicPr>
                  <pic:blipFill>
                    <a:blip r:embed="rId35"/>
                    <a:stretch>
                      <a:fillRect/>
                    </a:stretch>
                  </pic:blipFill>
                  <pic:spPr>
                    <a:xfrm>
                      <a:off x="0" y="0"/>
                      <a:ext cx="5731510" cy="2446655"/>
                    </a:xfrm>
                    <a:prstGeom prst="rect">
                      <a:avLst/>
                    </a:prstGeom>
                  </pic:spPr>
                </pic:pic>
              </a:graphicData>
            </a:graphic>
          </wp:inline>
        </w:drawing>
      </w:r>
    </w:p>
    <w:p w14:paraId="244E6BB8" w14:textId="0EF5D8A7" w:rsidR="00F3309B" w:rsidRDefault="004923D3" w:rsidP="004923D3">
      <w:pPr>
        <w:jc w:val="center"/>
        <w:rPr>
          <w:b/>
          <w:bCs/>
          <w:i/>
          <w:iCs/>
        </w:rPr>
      </w:pPr>
      <w:r w:rsidRPr="004923D3">
        <w:rPr>
          <w:b/>
          <w:bCs/>
          <w:i/>
          <w:iCs/>
        </w:rPr>
        <w:t xml:space="preserve">Figure </w:t>
      </w:r>
      <w:r w:rsidRPr="004923D3">
        <w:rPr>
          <w:b/>
          <w:bCs/>
          <w:i/>
          <w:iCs/>
        </w:rPr>
        <w:fldChar w:fldCharType="begin"/>
      </w:r>
      <w:r w:rsidRPr="004923D3">
        <w:rPr>
          <w:b/>
          <w:bCs/>
          <w:i/>
          <w:iCs/>
        </w:rPr>
        <w:instrText xml:space="preserve"> SEQ Figure \* ARABIC </w:instrText>
      </w:r>
      <w:r w:rsidRPr="004923D3">
        <w:rPr>
          <w:b/>
          <w:bCs/>
          <w:i/>
          <w:iCs/>
        </w:rPr>
        <w:fldChar w:fldCharType="separate"/>
      </w:r>
      <w:r w:rsidR="001E3ED2">
        <w:rPr>
          <w:b/>
          <w:bCs/>
          <w:i/>
          <w:iCs/>
          <w:noProof/>
        </w:rPr>
        <w:t>15</w:t>
      </w:r>
      <w:r w:rsidRPr="004923D3">
        <w:rPr>
          <w:b/>
          <w:bCs/>
          <w:i/>
          <w:iCs/>
        </w:rPr>
        <w:fldChar w:fldCharType="end"/>
      </w:r>
      <w:r w:rsidRPr="004923D3">
        <w:rPr>
          <w:b/>
          <w:bCs/>
          <w:i/>
          <w:iCs/>
        </w:rPr>
        <w:t>: Project C Investment Proposal</w:t>
      </w:r>
    </w:p>
    <w:p w14:paraId="77EDE64F" w14:textId="266D08A8" w:rsidR="004923D3" w:rsidRDefault="004923D3" w:rsidP="004923D3">
      <w:pPr>
        <w:jc w:val="center"/>
        <w:rPr>
          <w:b/>
          <w:bCs/>
          <w:i/>
          <w:iCs/>
        </w:rPr>
      </w:pPr>
      <w:r>
        <w:rPr>
          <w:b/>
          <w:bCs/>
          <w:i/>
          <w:iCs/>
        </w:rPr>
        <w:t>(Source: By Author)</w:t>
      </w:r>
    </w:p>
    <w:p w14:paraId="576D608B" w14:textId="77777777" w:rsidR="0085522D" w:rsidRDefault="00D564D2" w:rsidP="000C2BF5">
      <w:r w:rsidRPr="00E17885">
        <w:rPr>
          <w:b/>
          <w:bCs/>
          <w:i/>
          <w:iCs/>
        </w:rPr>
        <w:t>Project C is more financially viable</w:t>
      </w:r>
      <w:r w:rsidRPr="00D564D2">
        <w:t xml:space="preserve"> than the other investment options for General Electronics (GE), although the project's feasibility is limited by low return efficiency. The </w:t>
      </w:r>
      <w:r w:rsidRPr="00E17885">
        <w:rPr>
          <w:b/>
          <w:bCs/>
          <w:i/>
          <w:iCs/>
        </w:rPr>
        <w:t>3.6-year Payback Period</w:t>
      </w:r>
      <w:r w:rsidRPr="00D564D2">
        <w:t xml:space="preserve"> demonstrates a reasonably quick recovery of the investment of £50 million and provides some liquidity for GE in the short term. The 60% Accounting Rate of Return (ARR)</w:t>
      </w:r>
      <w:r w:rsidR="00E17885">
        <w:t xml:space="preserve"> </w:t>
      </w:r>
      <w:r w:rsidRPr="00D564D2">
        <w:t xml:space="preserve">indicates a strong degree of accounting profitability for Project C, which also indicates the project is utilising its assets effectively. The £4.23 million Net Present Value </w:t>
      </w:r>
      <w:r w:rsidRPr="00E17885">
        <w:rPr>
          <w:b/>
          <w:bCs/>
          <w:i/>
          <w:iCs/>
        </w:rPr>
        <w:t xml:space="preserve">(NPV) is positive, </w:t>
      </w:r>
      <w:r w:rsidRPr="00D564D2">
        <w:t>suggesting the project will contribute a small amount of value to the firm, while also providing a return of £0.04 in excess of the 10% discount rate. The Profitability Index (PI) of 1.08</w:t>
      </w:r>
      <w:r w:rsidR="003F7739">
        <w:t xml:space="preserve"> </w:t>
      </w:r>
      <w:r w:rsidRPr="00D564D2">
        <w:t>confirms a positive benefit from the investment, as for every £1 spent</w:t>
      </w:r>
      <w:r w:rsidR="003F7739">
        <w:t>,</w:t>
      </w:r>
      <w:r w:rsidRPr="00D564D2">
        <w:t xml:space="preserve"> GE would receive £1.08 back from the project, albeit a very marginal excess of £0.08 illustrates very low financial gain. Conversely, the Internal Rate of Return (IRR) of 2.47%</w:t>
      </w:r>
      <w:r w:rsidR="003F7739">
        <w:t xml:space="preserve"> </w:t>
      </w:r>
      <w:r w:rsidRPr="00D564D2">
        <w:t xml:space="preserve">is significantly below the required IRR of 10%, indicating the project's lack of </w:t>
      </w:r>
      <w:r w:rsidR="003F7739">
        <w:t>long-term</w:t>
      </w:r>
      <w:r w:rsidRPr="00D564D2">
        <w:t xml:space="preserve"> profitability. Overall, the financials of Project C are somewhat favourable, as it does have better </w:t>
      </w:r>
      <w:r w:rsidR="003F7739">
        <w:t>cash flows</w:t>
      </w:r>
      <w:r w:rsidRPr="00D564D2">
        <w:t xml:space="preserve"> and ability to recover the investment than projects A or B, although its low IRR and low NPV would indicate it may not be the best project financially unless considered for additional strategic metrics or technological supports to help GE's business growth.</w:t>
      </w:r>
    </w:p>
    <w:p w14:paraId="43D54E15" w14:textId="77777777" w:rsidR="00827966" w:rsidRDefault="007A6F37" w:rsidP="000C2BF5">
      <w:r>
        <w:lastRenderedPageBreak/>
        <w:t>Thus, General Electronics should invest in its proposal project C, as it will recover the initial investment sooner, according to the payback period, with a positive NPV and IRR compared to other investment projects.</w:t>
      </w:r>
    </w:p>
    <w:p w14:paraId="40FDB591" w14:textId="77777777" w:rsidR="00827966" w:rsidRDefault="00827966">
      <w:r>
        <w:br w:type="page"/>
      </w:r>
    </w:p>
    <w:p w14:paraId="6847615F" w14:textId="77777777" w:rsidR="00827966" w:rsidRDefault="00827966" w:rsidP="00827966">
      <w:pPr>
        <w:pStyle w:val="Heading1"/>
      </w:pPr>
      <w:bookmarkStart w:id="24" w:name="_Toc210822742"/>
      <w:r>
        <w:lastRenderedPageBreak/>
        <w:t>Recommendations and Conclusion</w:t>
      </w:r>
      <w:bookmarkEnd w:id="24"/>
    </w:p>
    <w:p w14:paraId="7E431B50" w14:textId="77777777" w:rsidR="004D51A9" w:rsidRDefault="004D51A9" w:rsidP="004D51A9">
      <w:pPr>
        <w:pStyle w:val="Heading2"/>
      </w:pPr>
      <w:bookmarkStart w:id="25" w:name="_Toc210822743"/>
      <w:r>
        <w:t>Recommendations</w:t>
      </w:r>
      <w:bookmarkEnd w:id="25"/>
    </w:p>
    <w:p w14:paraId="1975B122" w14:textId="7E31D10E" w:rsidR="004D51A9" w:rsidRDefault="004D51A9" w:rsidP="004D51A9">
      <w:r w:rsidRPr="004D51A9">
        <w:rPr>
          <w:b/>
          <w:bCs/>
          <w:i/>
          <w:iCs/>
          <w:u w:val="single"/>
        </w:rPr>
        <w:t>Improve Liquidity and Working Capital Management -</w:t>
      </w:r>
      <w:r>
        <w:t xml:space="preserve"> Given a decline in liquidity ratios, negative operating cash flow, and an extended cash conversion cycle, GE should focus on improving receivables management, reducing inventory through the use of JIT and EOQ techniques, and monitoring cash flows closely. Shortening the cash operating cycle will allow GE to further reduce its dependence on short-term borrowings.</w:t>
      </w:r>
    </w:p>
    <w:p w14:paraId="0444D56B" w14:textId="521AB498" w:rsidR="004D51A9" w:rsidRDefault="004D51A9" w:rsidP="004D51A9">
      <w:r w:rsidRPr="002D7F9E">
        <w:rPr>
          <w:b/>
          <w:bCs/>
          <w:i/>
          <w:iCs/>
          <w:u w:val="single"/>
        </w:rPr>
        <w:t>Implement Financial Restructuring</w:t>
      </w:r>
      <w:r w:rsidR="002D7F9E" w:rsidRPr="002D7F9E">
        <w:rPr>
          <w:b/>
          <w:bCs/>
          <w:i/>
          <w:iCs/>
          <w:u w:val="single"/>
        </w:rPr>
        <w:t xml:space="preserve"> - </w:t>
      </w:r>
      <w:r>
        <w:t xml:space="preserve">Due to high leverage and negative profitability, the optimal strategy </w:t>
      </w:r>
      <w:r w:rsidR="002D7F9E">
        <w:t>accommodates</w:t>
      </w:r>
      <w:r>
        <w:t xml:space="preserve"> multiple restructuring scenarios</w:t>
      </w:r>
      <w:r w:rsidR="00277513">
        <w:t xml:space="preserve"> (</w:t>
      </w:r>
      <w:r w:rsidR="00277513" w:rsidRPr="007A3F05">
        <w:t xml:space="preserve">Charbel, </w:t>
      </w:r>
      <w:r w:rsidR="00277513">
        <w:t>et al., 2</w:t>
      </w:r>
      <w:r w:rsidR="00277513" w:rsidRPr="007A3F05">
        <w:t>025</w:t>
      </w:r>
      <w:r w:rsidR="00277513">
        <w:t>)</w:t>
      </w:r>
      <w:r>
        <w:t>. Selling off low-margin or non-core product lines will provide immediate cash for debt repayment. Increasing solvency through equity infusion, either through rights issues or new strategic investors, will help improve GE's capital structure while allowing funding for innovation and operational efficiency.</w:t>
      </w:r>
    </w:p>
    <w:p w14:paraId="4C4C0D32" w14:textId="38866A21" w:rsidR="004D51A9" w:rsidRDefault="004D51A9" w:rsidP="004D51A9">
      <w:r w:rsidRPr="0010274E">
        <w:rPr>
          <w:b/>
          <w:bCs/>
          <w:i/>
          <w:iCs/>
          <w:u w:val="single"/>
        </w:rPr>
        <w:t>Invest in Project C</w:t>
      </w:r>
      <w:r w:rsidR="0010274E" w:rsidRPr="0010274E">
        <w:rPr>
          <w:b/>
          <w:bCs/>
          <w:i/>
          <w:iCs/>
          <w:u w:val="single"/>
        </w:rPr>
        <w:t xml:space="preserve"> - </w:t>
      </w:r>
      <w:r>
        <w:t>Given positive NPV, payback period, and profitability index, Project C results in the least volatility in cash flows and is suitable with GE's current liquidity constraints. Projects A and B, despite some accounting profit, have low IRR or negative NPV, and would add increased financial risk. Project C will result in incremental improvements to shareholder value while furthering GE’s strategic agenda.</w:t>
      </w:r>
    </w:p>
    <w:p w14:paraId="5744E589" w14:textId="77777777" w:rsidR="001E65C4" w:rsidRDefault="004D51A9" w:rsidP="004D51A9">
      <w:r w:rsidRPr="003C2669">
        <w:rPr>
          <w:b/>
          <w:bCs/>
          <w:i/>
          <w:iCs/>
          <w:u w:val="single"/>
        </w:rPr>
        <w:t>Control for Risks</w:t>
      </w:r>
      <w:r w:rsidR="003C2669" w:rsidRPr="003C2669">
        <w:rPr>
          <w:b/>
          <w:bCs/>
          <w:i/>
          <w:iCs/>
          <w:u w:val="single"/>
        </w:rPr>
        <w:t xml:space="preserve"> - </w:t>
      </w:r>
      <w:r>
        <w:t xml:space="preserve">Currency fluctuations, inflation, and taxation have international implications. These risks should be controlled through hedging and </w:t>
      </w:r>
      <w:r w:rsidR="00D266A3">
        <w:t xml:space="preserve">an </w:t>
      </w:r>
      <w:r>
        <w:t xml:space="preserve">optimal structure for taxation. Ethical and CSR constructs should also guide GE's restructuring so that stakeholders and </w:t>
      </w:r>
      <w:r w:rsidR="00D266A3">
        <w:t xml:space="preserve">the </w:t>
      </w:r>
      <w:r>
        <w:t>community trust and brand reputation are maintained.</w:t>
      </w:r>
    </w:p>
    <w:p w14:paraId="37E1EDAB" w14:textId="77777777" w:rsidR="001E65C4" w:rsidRDefault="001E65C4" w:rsidP="001E65C4">
      <w:pPr>
        <w:pStyle w:val="Heading2"/>
      </w:pPr>
      <w:bookmarkStart w:id="26" w:name="_Toc210822744"/>
      <w:r>
        <w:t>Conclusion</w:t>
      </w:r>
      <w:bookmarkEnd w:id="26"/>
    </w:p>
    <w:p w14:paraId="54E3F5D4" w14:textId="67C7933E" w:rsidR="00661AA5" w:rsidRPr="000C2BF5" w:rsidRDefault="0084058E" w:rsidP="001E65C4">
      <w:r w:rsidRPr="0084058E">
        <w:t>General Electronics is experiencing decreasing profitability, deteriorating liquidity, and increasing leverage, which suggests a significant risk of financial distress. Inefficiencies with working capital, slow collection of accounts receivable, and a heavy reliance on debt are contributing to operational challenges.</w:t>
      </w:r>
      <w:r>
        <w:t xml:space="preserve"> The company</w:t>
      </w:r>
      <w:r w:rsidRPr="0084058E">
        <w:t xml:space="preserve"> believe that a hybrid restructuring strategy involving divestiture, equity injection, operational </w:t>
      </w:r>
      <w:r w:rsidRPr="0084058E">
        <w:lastRenderedPageBreak/>
        <w:t>improvements, and a focused investment in Project C will help restore solvency, increase shareholder value, and promote sustainable growth. The focused execution of the plan, strong cash management, and ethical compliance are required to reposition GE towards long-term financial stability and global competitiveness.</w:t>
      </w:r>
      <w:r w:rsidR="007A6F37">
        <w:br w:type="page"/>
      </w:r>
    </w:p>
    <w:p w14:paraId="59F80C1B" w14:textId="69D9FC89" w:rsidR="00661AA5" w:rsidRPr="00B80955" w:rsidRDefault="00661AA5" w:rsidP="00B80955">
      <w:pPr>
        <w:pStyle w:val="Heading1"/>
        <w:spacing w:after="240"/>
        <w:rPr>
          <w:rFonts w:cs="Arial"/>
          <w:szCs w:val="24"/>
          <w:lang w:val="en-IN"/>
        </w:rPr>
      </w:pPr>
      <w:bookmarkStart w:id="27" w:name="_Toc210822745"/>
      <w:r w:rsidRPr="00B80955">
        <w:rPr>
          <w:rFonts w:cs="Arial"/>
          <w:szCs w:val="24"/>
          <w:lang w:val="en-IN"/>
        </w:rPr>
        <w:lastRenderedPageBreak/>
        <w:t>References</w:t>
      </w:r>
      <w:bookmarkEnd w:id="27"/>
    </w:p>
    <w:p w14:paraId="433F66B4" w14:textId="77777777" w:rsidR="009D12C0" w:rsidRDefault="009D12C0" w:rsidP="007661C1">
      <w:r w:rsidRPr="000D6416">
        <w:t>Adhikari, N.R.</w:t>
      </w:r>
      <w:r>
        <w:t xml:space="preserve"> (</w:t>
      </w:r>
      <w:r w:rsidRPr="000D6416">
        <w:t>2021</w:t>
      </w:r>
      <w:r>
        <w:t>)</w:t>
      </w:r>
      <w:r w:rsidRPr="000D6416">
        <w:t xml:space="preserve"> Cash Flow Ratios </w:t>
      </w:r>
      <w:proofErr w:type="gramStart"/>
      <w:r w:rsidRPr="000D6416">
        <w:t>For</w:t>
      </w:r>
      <w:proofErr w:type="gramEnd"/>
      <w:r w:rsidRPr="000D6416">
        <w:t xml:space="preserve"> Evaluating Performance In Nepalese Commercial Banks. </w:t>
      </w:r>
      <w:r w:rsidRPr="000D6416">
        <w:rPr>
          <w:i/>
          <w:iCs/>
        </w:rPr>
        <w:t xml:space="preserve">Journal Of </w:t>
      </w:r>
      <w:proofErr w:type="spellStart"/>
      <w:r w:rsidRPr="000D6416">
        <w:rPr>
          <w:i/>
          <w:iCs/>
        </w:rPr>
        <w:t>Balkumari</w:t>
      </w:r>
      <w:proofErr w:type="spellEnd"/>
      <w:r w:rsidRPr="000D6416">
        <w:rPr>
          <w:i/>
          <w:iCs/>
        </w:rPr>
        <w:t xml:space="preserve"> College</w:t>
      </w:r>
      <w:r w:rsidRPr="000D6416">
        <w:t>, </w:t>
      </w:r>
      <w:r w:rsidRPr="000D6416">
        <w:rPr>
          <w:i/>
          <w:iCs/>
        </w:rPr>
        <w:t>10</w:t>
      </w:r>
      <w:r w:rsidRPr="000D6416">
        <w:t>(1), Pp.48-52.</w:t>
      </w:r>
    </w:p>
    <w:p w14:paraId="7253D17E" w14:textId="77777777" w:rsidR="009D12C0" w:rsidRPr="00A62630" w:rsidRDefault="009D12C0" w:rsidP="009D12C0">
      <w:pPr>
        <w:rPr>
          <w:lang w:val="en-IN"/>
        </w:rPr>
      </w:pPr>
      <w:r w:rsidRPr="00F42C09">
        <w:t xml:space="preserve">Ahmed, F., Rahman, M.U., Rehman, H.M., Imran, M., Dunay, A. And Hossain, M.B. </w:t>
      </w:r>
      <w:r>
        <w:t>(</w:t>
      </w:r>
      <w:r w:rsidRPr="00F42C09">
        <w:t>2024</w:t>
      </w:r>
      <w:r>
        <w:t>)</w:t>
      </w:r>
      <w:r w:rsidRPr="00F42C09">
        <w:t xml:space="preserve"> Corporate Capital Structure Effects </w:t>
      </w:r>
      <w:proofErr w:type="gramStart"/>
      <w:r w:rsidRPr="00F42C09">
        <w:t>On</w:t>
      </w:r>
      <w:proofErr w:type="gramEnd"/>
      <w:r w:rsidRPr="00F42C09">
        <w:t xml:space="preserve"> Corporate Performance Pursuing A Strategy Of Innovation In Manufacturing Companies. </w:t>
      </w:r>
      <w:proofErr w:type="spellStart"/>
      <w:r w:rsidRPr="00F42C09">
        <w:rPr>
          <w:i/>
          <w:iCs/>
        </w:rPr>
        <w:t>Heliyon</w:t>
      </w:r>
      <w:proofErr w:type="spellEnd"/>
      <w:r w:rsidRPr="00F42C09">
        <w:t>, </w:t>
      </w:r>
      <w:r w:rsidRPr="00F42C09">
        <w:rPr>
          <w:i/>
          <w:iCs/>
        </w:rPr>
        <w:t>10</w:t>
      </w:r>
      <w:r w:rsidRPr="00F42C09">
        <w:t>(3).</w:t>
      </w:r>
    </w:p>
    <w:p w14:paraId="1498C144" w14:textId="77777777" w:rsidR="009D12C0" w:rsidRDefault="009D12C0" w:rsidP="007661C1">
      <w:r w:rsidRPr="00220D24">
        <w:t>Altman, E.I.</w:t>
      </w:r>
      <w:r>
        <w:t xml:space="preserve"> (</w:t>
      </w:r>
      <w:r w:rsidRPr="00220D24">
        <w:t>2018</w:t>
      </w:r>
      <w:r>
        <w:t>)</w:t>
      </w:r>
      <w:r w:rsidRPr="00220D24">
        <w:t xml:space="preserve"> Applications Of Distress Prediction Models: What Have We Learned After 50 Years From The Z-Score </w:t>
      </w:r>
      <w:proofErr w:type="gramStart"/>
      <w:r w:rsidRPr="00220D24">
        <w:t>Models?.</w:t>
      </w:r>
      <w:proofErr w:type="gramEnd"/>
      <w:r w:rsidRPr="00220D24">
        <w:t> </w:t>
      </w:r>
      <w:r w:rsidRPr="00220D24">
        <w:rPr>
          <w:i/>
          <w:iCs/>
        </w:rPr>
        <w:t xml:space="preserve">International Journal </w:t>
      </w:r>
      <w:proofErr w:type="gramStart"/>
      <w:r w:rsidRPr="00220D24">
        <w:rPr>
          <w:i/>
          <w:iCs/>
        </w:rPr>
        <w:t>Of</w:t>
      </w:r>
      <w:proofErr w:type="gramEnd"/>
      <w:r w:rsidRPr="00220D24">
        <w:rPr>
          <w:i/>
          <w:iCs/>
        </w:rPr>
        <w:t xml:space="preserve"> Financial Studies</w:t>
      </w:r>
      <w:r w:rsidRPr="00220D24">
        <w:t>, </w:t>
      </w:r>
      <w:r w:rsidRPr="00220D24">
        <w:rPr>
          <w:i/>
          <w:iCs/>
        </w:rPr>
        <w:t>6</w:t>
      </w:r>
      <w:r w:rsidRPr="00220D24">
        <w:t>(3), P.70.</w:t>
      </w:r>
    </w:p>
    <w:p w14:paraId="433B1629" w14:textId="77777777" w:rsidR="009D12C0" w:rsidRPr="00B80955" w:rsidRDefault="009D12C0" w:rsidP="00B80955">
      <w:pPr>
        <w:rPr>
          <w:rFonts w:cs="Arial"/>
          <w:szCs w:val="24"/>
          <w:shd w:val="clear" w:color="auto" w:fill="FFFFFF"/>
        </w:rPr>
      </w:pPr>
      <w:r w:rsidRPr="00B80955">
        <w:rPr>
          <w:rFonts w:cs="Arial"/>
          <w:szCs w:val="24"/>
          <w:shd w:val="clear" w:color="auto" w:fill="FFFFFF"/>
        </w:rPr>
        <w:t xml:space="preserve">Asman, F.N., Fernandez, D., Jamaludin, N.A., Omar Zaki, H. And Ghazali, A.W. (2022) Cash Conversion Cycle </w:t>
      </w:r>
      <w:proofErr w:type="gramStart"/>
      <w:r w:rsidRPr="00B80955">
        <w:rPr>
          <w:rFonts w:cs="Arial"/>
          <w:szCs w:val="24"/>
          <w:shd w:val="clear" w:color="auto" w:fill="FFFFFF"/>
        </w:rPr>
        <w:t>And</w:t>
      </w:r>
      <w:proofErr w:type="gramEnd"/>
      <w:r w:rsidRPr="00B80955">
        <w:rPr>
          <w:rFonts w:cs="Arial"/>
          <w:szCs w:val="24"/>
          <w:shd w:val="clear" w:color="auto" w:fill="FFFFFF"/>
        </w:rPr>
        <w:t xml:space="preserve"> Firm’s Performance. </w:t>
      </w:r>
      <w:r w:rsidRPr="00B80955">
        <w:rPr>
          <w:rFonts w:cs="Arial"/>
          <w:i/>
          <w:iCs/>
          <w:szCs w:val="24"/>
          <w:shd w:val="clear" w:color="auto" w:fill="FFFFFF"/>
        </w:rPr>
        <w:t xml:space="preserve">International Journal </w:t>
      </w:r>
      <w:proofErr w:type="gramStart"/>
      <w:r w:rsidRPr="00B80955">
        <w:rPr>
          <w:rFonts w:cs="Arial"/>
          <w:i/>
          <w:iCs/>
          <w:szCs w:val="24"/>
          <w:shd w:val="clear" w:color="auto" w:fill="FFFFFF"/>
        </w:rPr>
        <w:t>Of</w:t>
      </w:r>
      <w:proofErr w:type="gramEnd"/>
      <w:r w:rsidRPr="00B80955">
        <w:rPr>
          <w:rFonts w:cs="Arial"/>
          <w:i/>
          <w:iCs/>
          <w:szCs w:val="24"/>
          <w:shd w:val="clear" w:color="auto" w:fill="FFFFFF"/>
        </w:rPr>
        <w:t xml:space="preserve"> Academic Research In Business And Social Sciences</w:t>
      </w:r>
      <w:r w:rsidRPr="00B80955">
        <w:rPr>
          <w:rFonts w:cs="Arial"/>
          <w:szCs w:val="24"/>
          <w:shd w:val="clear" w:color="auto" w:fill="FFFFFF"/>
        </w:rPr>
        <w:t>, </w:t>
      </w:r>
      <w:r w:rsidRPr="00B80955">
        <w:rPr>
          <w:rFonts w:cs="Arial"/>
          <w:i/>
          <w:iCs/>
          <w:szCs w:val="24"/>
          <w:shd w:val="clear" w:color="auto" w:fill="FFFFFF"/>
        </w:rPr>
        <w:t>12</w:t>
      </w:r>
      <w:r w:rsidRPr="00B80955">
        <w:rPr>
          <w:rFonts w:cs="Arial"/>
          <w:szCs w:val="24"/>
          <w:shd w:val="clear" w:color="auto" w:fill="FFFFFF"/>
        </w:rPr>
        <w:t>(11), Pp.2682-2692.</w:t>
      </w:r>
    </w:p>
    <w:p w14:paraId="4CCDEF2C" w14:textId="77777777" w:rsidR="009D12C0" w:rsidRDefault="009D12C0" w:rsidP="009D12C0">
      <w:proofErr w:type="spellStart"/>
      <w:r w:rsidRPr="00DF6497">
        <w:t>Asyik</w:t>
      </w:r>
      <w:proofErr w:type="spellEnd"/>
      <w:r w:rsidRPr="00DF6497">
        <w:t xml:space="preserve">, N.F., Dewi, M.A., </w:t>
      </w:r>
      <w:proofErr w:type="spellStart"/>
      <w:r w:rsidRPr="00DF6497">
        <w:t>Respatia</w:t>
      </w:r>
      <w:proofErr w:type="spellEnd"/>
      <w:r w:rsidRPr="00DF6497">
        <w:t>, W., Santoso, A. And Ilham, R.N.</w:t>
      </w:r>
      <w:r>
        <w:t xml:space="preserve"> (</w:t>
      </w:r>
      <w:r w:rsidRPr="00DF6497">
        <w:t>2024</w:t>
      </w:r>
      <w:r>
        <w:t>)</w:t>
      </w:r>
      <w:r w:rsidRPr="00DF6497">
        <w:t xml:space="preserve"> Good Corporate Governance Or Corporate Social Responsibility: Which Affects The Firm Value And </w:t>
      </w:r>
      <w:proofErr w:type="gramStart"/>
      <w:r w:rsidRPr="00DF6497">
        <w:t>Performance?.</w:t>
      </w:r>
      <w:proofErr w:type="gramEnd"/>
      <w:r w:rsidRPr="00DF6497">
        <w:t> </w:t>
      </w:r>
      <w:r w:rsidRPr="00DF6497">
        <w:rPr>
          <w:i/>
          <w:iCs/>
        </w:rPr>
        <w:t>Cogent Social Sciences</w:t>
      </w:r>
      <w:r w:rsidRPr="00DF6497">
        <w:t>, </w:t>
      </w:r>
      <w:r w:rsidRPr="00DF6497">
        <w:rPr>
          <w:i/>
          <w:iCs/>
        </w:rPr>
        <w:t>10</w:t>
      </w:r>
      <w:r w:rsidRPr="00DF6497">
        <w:t>(1), P.2378540.</w:t>
      </w:r>
    </w:p>
    <w:p w14:paraId="135D4161" w14:textId="77777777" w:rsidR="009D12C0" w:rsidRDefault="009D12C0" w:rsidP="007661C1">
      <w:r>
        <w:t xml:space="preserve">Bajaj Finserv. (2025) Difference Between Short-Term </w:t>
      </w:r>
      <w:proofErr w:type="gramStart"/>
      <w:r>
        <w:t>And</w:t>
      </w:r>
      <w:proofErr w:type="gramEnd"/>
      <w:r>
        <w:t xml:space="preserve"> Long-Term Financing Options. [Online]. Available At: </w:t>
      </w:r>
      <w:hyperlink r:id="rId36" w:history="1">
        <w:r w:rsidRPr="0010223C">
          <w:rPr>
            <w:rStyle w:val="Hyperlink"/>
          </w:rPr>
          <w:t>Https://Www.Bajajfinserv.In/Difference-Between-Short-And-Long-Term-Financing</w:t>
        </w:r>
      </w:hyperlink>
      <w:r>
        <w:t xml:space="preserve"> [Accessed On: 07.10.2025].</w:t>
      </w:r>
    </w:p>
    <w:p w14:paraId="7BA1EA45" w14:textId="77777777" w:rsidR="009D12C0" w:rsidRDefault="009D12C0" w:rsidP="007661C1">
      <w:r>
        <w:t xml:space="preserve">Bajaj Finserv. (2025) Gearing Ratios. [Online]. Available At: </w:t>
      </w:r>
      <w:hyperlink r:id="rId37" w:history="1">
        <w:r w:rsidRPr="0010223C">
          <w:rPr>
            <w:rStyle w:val="Hyperlink"/>
          </w:rPr>
          <w:t>Https://Www.Bajajfinserv.In/Gearing-Ratio</w:t>
        </w:r>
      </w:hyperlink>
      <w:r>
        <w:t xml:space="preserve"> [Accessed On: 07.10.2025].</w:t>
      </w:r>
    </w:p>
    <w:p w14:paraId="0DA55693" w14:textId="77777777" w:rsidR="009D12C0" w:rsidRPr="00B80955" w:rsidRDefault="009D12C0" w:rsidP="00B80955">
      <w:pPr>
        <w:rPr>
          <w:rFonts w:cs="Arial"/>
          <w:i/>
          <w:iCs/>
          <w:szCs w:val="24"/>
          <w:lang w:val="en-IN"/>
        </w:rPr>
      </w:pPr>
      <w:r w:rsidRPr="00B80955">
        <w:rPr>
          <w:rFonts w:cs="Arial"/>
          <w:szCs w:val="24"/>
          <w:shd w:val="clear" w:color="auto" w:fill="FFFFFF"/>
        </w:rPr>
        <w:t xml:space="preserve">Barnabas, B. And Oloyede, J. (2024) Cash Flow Optimization: Strategies </w:t>
      </w:r>
      <w:proofErr w:type="gramStart"/>
      <w:r w:rsidRPr="00B80955">
        <w:rPr>
          <w:rFonts w:cs="Arial"/>
          <w:szCs w:val="24"/>
          <w:shd w:val="clear" w:color="auto" w:fill="FFFFFF"/>
        </w:rPr>
        <w:t>For</w:t>
      </w:r>
      <w:proofErr w:type="gramEnd"/>
      <w:r w:rsidRPr="00B80955">
        <w:rPr>
          <w:rFonts w:cs="Arial"/>
          <w:szCs w:val="24"/>
          <w:shd w:val="clear" w:color="auto" w:fill="FFFFFF"/>
        </w:rPr>
        <w:t xml:space="preserve"> Enhancing Short-Term Liquidity. </w:t>
      </w:r>
      <w:r w:rsidRPr="00B80955">
        <w:rPr>
          <w:rFonts w:cs="Arial"/>
          <w:i/>
          <w:iCs/>
          <w:szCs w:val="24"/>
          <w:shd w:val="clear" w:color="auto" w:fill="FFFFFF"/>
        </w:rPr>
        <w:t xml:space="preserve">Available At </w:t>
      </w:r>
      <w:proofErr w:type="spellStart"/>
      <w:r w:rsidRPr="00B80955">
        <w:rPr>
          <w:rFonts w:cs="Arial"/>
          <w:i/>
          <w:iCs/>
          <w:szCs w:val="24"/>
          <w:shd w:val="clear" w:color="auto" w:fill="FFFFFF"/>
        </w:rPr>
        <w:t>Ssrn</w:t>
      </w:r>
      <w:proofErr w:type="spellEnd"/>
      <w:r w:rsidRPr="00B80955">
        <w:rPr>
          <w:rFonts w:cs="Arial"/>
          <w:i/>
          <w:iCs/>
          <w:szCs w:val="24"/>
          <w:shd w:val="clear" w:color="auto" w:fill="FFFFFF"/>
        </w:rPr>
        <w:t xml:space="preserve"> 5004465</w:t>
      </w:r>
      <w:r w:rsidRPr="00B80955">
        <w:rPr>
          <w:rFonts w:cs="Arial"/>
          <w:szCs w:val="24"/>
          <w:shd w:val="clear" w:color="auto" w:fill="FFFFFF"/>
        </w:rPr>
        <w:t>.</w:t>
      </w:r>
    </w:p>
    <w:p w14:paraId="1AF70279" w14:textId="77777777" w:rsidR="009D12C0" w:rsidRDefault="009D12C0" w:rsidP="009D12C0">
      <w:pPr>
        <w:rPr>
          <w:lang w:val="en-IN"/>
        </w:rPr>
      </w:pPr>
      <w:r>
        <w:t xml:space="preserve">Capstone Partner. (2023) </w:t>
      </w:r>
      <w:r w:rsidRPr="00A62630">
        <w:rPr>
          <w:lang w:val="en-IN"/>
        </w:rPr>
        <w:t xml:space="preserve">Advantages </w:t>
      </w:r>
      <w:proofErr w:type="gramStart"/>
      <w:r w:rsidRPr="00A62630">
        <w:rPr>
          <w:lang w:val="en-IN"/>
        </w:rPr>
        <w:t>And</w:t>
      </w:r>
      <w:proofErr w:type="gramEnd"/>
      <w:r w:rsidRPr="00A62630">
        <w:rPr>
          <w:lang w:val="en-IN"/>
        </w:rPr>
        <w:t xml:space="preserve"> Disadvantages Of Equity Financing</w:t>
      </w:r>
      <w:r>
        <w:rPr>
          <w:lang w:val="en-IN"/>
        </w:rPr>
        <w:t xml:space="preserve">. [Online]. Available At: </w:t>
      </w:r>
      <w:hyperlink r:id="rId38" w:history="1">
        <w:r w:rsidRPr="00711A5A">
          <w:rPr>
            <w:rStyle w:val="Hyperlink"/>
            <w:lang w:val="en-IN"/>
          </w:rPr>
          <w:t>Https://Www.Capstonepartners.Com/Insights/Article-Advantages-And-Disadvantages-Of-Equity-Financing/</w:t>
        </w:r>
      </w:hyperlink>
      <w:r>
        <w:rPr>
          <w:lang w:val="en-IN"/>
        </w:rPr>
        <w:t xml:space="preserve"> [Accessed On: 08.10.2025].</w:t>
      </w:r>
    </w:p>
    <w:p w14:paraId="112690DC" w14:textId="1B95C8EC" w:rsidR="009D12C0" w:rsidRDefault="009D12C0" w:rsidP="007661C1">
      <w:r>
        <w:t xml:space="preserve">CFI. (2025) Altman Z-Score Model. [Online]. Available At: </w:t>
      </w:r>
      <w:hyperlink r:id="rId39" w:history="1">
        <w:r w:rsidRPr="0010223C">
          <w:rPr>
            <w:rStyle w:val="Hyperlink"/>
          </w:rPr>
          <w:t>Https://Corporatefinanceinstitute.Com/Resources/Commercial-Lending/Altmans-Z-Score-Model/</w:t>
        </w:r>
      </w:hyperlink>
      <w:r>
        <w:t xml:space="preserve"> [Accessed On: 07.10.2025].</w:t>
      </w:r>
    </w:p>
    <w:p w14:paraId="0F90048B" w14:textId="12DB60A5" w:rsidR="009D12C0" w:rsidRDefault="009D12C0" w:rsidP="007661C1">
      <w:r>
        <w:lastRenderedPageBreak/>
        <w:t xml:space="preserve">CFI. (2025) Efficiency Ratios. [Online]. Available At: </w:t>
      </w:r>
      <w:hyperlink r:id="rId40" w:history="1">
        <w:r w:rsidRPr="0010223C">
          <w:rPr>
            <w:rStyle w:val="Hyperlink"/>
          </w:rPr>
          <w:t>Https://Corporatefinanceinstitute.Com/Resources/Accounting/Efficiency-Ratios/</w:t>
        </w:r>
      </w:hyperlink>
      <w:r>
        <w:t xml:space="preserve"> [Accessed On: 07.10.2025].</w:t>
      </w:r>
    </w:p>
    <w:p w14:paraId="230AF9F3" w14:textId="61BDF535" w:rsidR="009D12C0" w:rsidRDefault="009D12C0" w:rsidP="007661C1">
      <w:r>
        <w:t xml:space="preserve">CFI. (2025) Liquidity Ratios. [Online]. Available At: </w:t>
      </w:r>
      <w:hyperlink r:id="rId41" w:history="1">
        <w:r w:rsidRPr="0010223C">
          <w:rPr>
            <w:rStyle w:val="Hyperlink"/>
          </w:rPr>
          <w:t>Https://Corporatefinanceinstitute.Com/Resources/Accounting/Liquidity-Ratio/</w:t>
        </w:r>
      </w:hyperlink>
      <w:r>
        <w:t xml:space="preserve"> [Accessed On: 07.10.2025].</w:t>
      </w:r>
    </w:p>
    <w:p w14:paraId="7723B49E" w14:textId="6E2F1187" w:rsidR="009D12C0" w:rsidRDefault="009D12C0" w:rsidP="007661C1">
      <w:r>
        <w:t xml:space="preserve">CFI. (2025) Short-Term Loan. [Online]. Available At: </w:t>
      </w:r>
      <w:hyperlink r:id="rId42" w:history="1">
        <w:r w:rsidRPr="0010223C">
          <w:rPr>
            <w:rStyle w:val="Hyperlink"/>
          </w:rPr>
          <w:t>Https://Corporatefinanceinstitute.Com/Resources/Accounting/Short-Term-Loan/</w:t>
        </w:r>
      </w:hyperlink>
      <w:r>
        <w:t xml:space="preserve"> [Accessed On: 07.10.2025].</w:t>
      </w:r>
    </w:p>
    <w:p w14:paraId="2FD50D55" w14:textId="77777777" w:rsidR="009D12C0" w:rsidRPr="00DF6497" w:rsidRDefault="009D12C0" w:rsidP="009D12C0">
      <w:pPr>
        <w:rPr>
          <w:lang w:val="en-IN"/>
        </w:rPr>
      </w:pPr>
      <w:r w:rsidRPr="007A3F05">
        <w:t>Charbel, G., Assaad, R.H., Qiao, Y. And Labi, S.</w:t>
      </w:r>
      <w:r>
        <w:t xml:space="preserve"> (</w:t>
      </w:r>
      <w:r w:rsidRPr="007A3F05">
        <w:t>2025</w:t>
      </w:r>
      <w:r>
        <w:t>)</w:t>
      </w:r>
      <w:r w:rsidRPr="007A3F05">
        <w:t xml:space="preserve"> Predicting </w:t>
      </w:r>
      <w:proofErr w:type="gramStart"/>
      <w:r w:rsidRPr="007A3F05">
        <w:t>The</w:t>
      </w:r>
      <w:proofErr w:type="gramEnd"/>
      <w:r w:rsidRPr="007A3F05">
        <w:t xml:space="preserve"> Level Of Competition And Determining Optimal Bidding Strategies For Bundled Projects: Integrating Machine-Learning Algorithms And Probabilistic </w:t>
      </w:r>
      <w:proofErr w:type="spellStart"/>
      <w:r w:rsidRPr="007A3F05">
        <w:t>Modeling</w:t>
      </w:r>
      <w:proofErr w:type="spellEnd"/>
      <w:r w:rsidRPr="007A3F05">
        <w:t>. </w:t>
      </w:r>
      <w:r w:rsidRPr="007A3F05">
        <w:rPr>
          <w:i/>
          <w:iCs/>
        </w:rPr>
        <w:t xml:space="preserve">Journal Of Construction Engineering </w:t>
      </w:r>
      <w:proofErr w:type="gramStart"/>
      <w:r w:rsidRPr="007A3F05">
        <w:rPr>
          <w:i/>
          <w:iCs/>
        </w:rPr>
        <w:t>And</w:t>
      </w:r>
      <w:proofErr w:type="gramEnd"/>
      <w:r w:rsidRPr="007A3F05">
        <w:rPr>
          <w:i/>
          <w:iCs/>
        </w:rPr>
        <w:t xml:space="preserve"> Management</w:t>
      </w:r>
      <w:r w:rsidRPr="007A3F05">
        <w:t>, </w:t>
      </w:r>
      <w:r w:rsidRPr="007A3F05">
        <w:rPr>
          <w:i/>
          <w:iCs/>
        </w:rPr>
        <w:t>151</w:t>
      </w:r>
      <w:r w:rsidRPr="007A3F05">
        <w:t>(11), P.04025178.</w:t>
      </w:r>
    </w:p>
    <w:p w14:paraId="1B6D3A24" w14:textId="77777777" w:rsidR="009D12C0" w:rsidRDefault="009D12C0" w:rsidP="007661C1">
      <w:r w:rsidRPr="00C33F4D">
        <w:t xml:space="preserve">Chen, Y., Jin, Z. And Qin, B. </w:t>
      </w:r>
      <w:r>
        <w:t>(</w:t>
      </w:r>
      <w:r w:rsidRPr="00C33F4D">
        <w:t>2023</w:t>
      </w:r>
      <w:r>
        <w:t>)</w:t>
      </w:r>
      <w:r w:rsidRPr="00C33F4D">
        <w:t xml:space="preserve"> Economic Value Added </w:t>
      </w:r>
      <w:proofErr w:type="gramStart"/>
      <w:r w:rsidRPr="00C33F4D">
        <w:t>In</w:t>
      </w:r>
      <w:proofErr w:type="gramEnd"/>
      <w:r w:rsidRPr="00C33F4D">
        <w:t xml:space="preserve"> Performance Measurement: A Simulation Approach And Empirical Evidence. </w:t>
      </w:r>
      <w:r w:rsidRPr="00C33F4D">
        <w:rPr>
          <w:i/>
          <w:iCs/>
        </w:rPr>
        <w:t>Accounting &amp; Finance</w:t>
      </w:r>
      <w:r w:rsidRPr="00C33F4D">
        <w:t>, </w:t>
      </w:r>
      <w:r w:rsidRPr="00C33F4D">
        <w:rPr>
          <w:i/>
          <w:iCs/>
        </w:rPr>
        <w:t>63</w:t>
      </w:r>
      <w:r w:rsidRPr="00C33F4D">
        <w:t>(1), Pp.109-140.</w:t>
      </w:r>
    </w:p>
    <w:p w14:paraId="485C3CC3" w14:textId="77777777" w:rsidR="009D12C0" w:rsidRDefault="009D12C0" w:rsidP="009D12C0">
      <w:r w:rsidRPr="00C167ED">
        <w:t>Delapedra-Silva, V., Ferreira, P., Cunha, J. And Kimura, H</w:t>
      </w:r>
      <w:r>
        <w:t>. (</w:t>
      </w:r>
      <w:r w:rsidRPr="00C167ED">
        <w:t>2022</w:t>
      </w:r>
      <w:r>
        <w:t>)</w:t>
      </w:r>
      <w:r w:rsidRPr="00C167ED">
        <w:t xml:space="preserve"> Methods </w:t>
      </w:r>
      <w:proofErr w:type="gramStart"/>
      <w:r w:rsidRPr="00C167ED">
        <w:t>For</w:t>
      </w:r>
      <w:proofErr w:type="gramEnd"/>
      <w:r w:rsidRPr="00C167ED">
        <w:t xml:space="preserve"> Financial Assessment Of Renewable Energy Projects: A Review. </w:t>
      </w:r>
      <w:r w:rsidRPr="00C167ED">
        <w:rPr>
          <w:i/>
          <w:iCs/>
        </w:rPr>
        <w:t>Processes</w:t>
      </w:r>
      <w:r w:rsidRPr="00C167ED">
        <w:t>, </w:t>
      </w:r>
      <w:r w:rsidRPr="00C167ED">
        <w:rPr>
          <w:i/>
          <w:iCs/>
        </w:rPr>
        <w:t>10</w:t>
      </w:r>
      <w:r w:rsidRPr="00C167ED">
        <w:t>(2), P.184.</w:t>
      </w:r>
    </w:p>
    <w:p w14:paraId="1593DBD6" w14:textId="77777777" w:rsidR="009D12C0" w:rsidRDefault="009D12C0" w:rsidP="009D12C0">
      <w:r w:rsidRPr="00A62630">
        <w:t>Feldman, E.R.</w:t>
      </w:r>
      <w:r>
        <w:t xml:space="preserve"> (</w:t>
      </w:r>
      <w:r w:rsidRPr="00A62630">
        <w:t>2021</w:t>
      </w:r>
      <w:r>
        <w:t>)</w:t>
      </w:r>
      <w:r w:rsidRPr="00A62630">
        <w:t> </w:t>
      </w:r>
      <w:r w:rsidRPr="00A62630">
        <w:rPr>
          <w:i/>
          <w:iCs/>
        </w:rPr>
        <w:t xml:space="preserve">Restructuring </w:t>
      </w:r>
      <w:proofErr w:type="gramStart"/>
      <w:r w:rsidRPr="00A62630">
        <w:rPr>
          <w:i/>
          <w:iCs/>
        </w:rPr>
        <w:t>And</w:t>
      </w:r>
      <w:proofErr w:type="gramEnd"/>
      <w:r w:rsidRPr="00A62630">
        <w:rPr>
          <w:i/>
          <w:iCs/>
        </w:rPr>
        <w:t xml:space="preserve"> Divestitures</w:t>
      </w:r>
      <w:r w:rsidRPr="00A62630">
        <w:t> (Pp. 153-166). New York, Ny: Oxford University Press.</w:t>
      </w:r>
    </w:p>
    <w:p w14:paraId="64654FCC" w14:textId="77777777" w:rsidR="009D12C0" w:rsidRDefault="009D12C0" w:rsidP="009D12C0">
      <w:pPr>
        <w:rPr>
          <w:lang w:val="en-IN"/>
        </w:rPr>
      </w:pPr>
      <w:r w:rsidRPr="00F42C09">
        <w:t xml:space="preserve">Granja, J., Jiang, E.X., </w:t>
      </w:r>
      <w:proofErr w:type="spellStart"/>
      <w:r w:rsidRPr="00F42C09">
        <w:t>Matvos</w:t>
      </w:r>
      <w:proofErr w:type="spellEnd"/>
      <w:r w:rsidRPr="00F42C09">
        <w:t>, G., Piskorski, T. And Seru, A.</w:t>
      </w:r>
      <w:r>
        <w:t xml:space="preserve"> (</w:t>
      </w:r>
      <w:r w:rsidRPr="00F42C09">
        <w:t>2024</w:t>
      </w:r>
      <w:r>
        <w:t>)</w:t>
      </w:r>
      <w:r w:rsidRPr="00F42C09">
        <w:t> </w:t>
      </w:r>
      <w:r w:rsidRPr="00F42C09">
        <w:rPr>
          <w:i/>
          <w:iCs/>
        </w:rPr>
        <w:t xml:space="preserve">Book Value Risk Management </w:t>
      </w:r>
      <w:proofErr w:type="gramStart"/>
      <w:r w:rsidRPr="00F42C09">
        <w:rPr>
          <w:i/>
          <w:iCs/>
        </w:rPr>
        <w:t>Of</w:t>
      </w:r>
      <w:proofErr w:type="gramEnd"/>
      <w:r w:rsidRPr="00F42C09">
        <w:rPr>
          <w:i/>
          <w:iCs/>
        </w:rPr>
        <w:t xml:space="preserve"> Banks: Limited Hedging, </w:t>
      </w:r>
      <w:proofErr w:type="spellStart"/>
      <w:r w:rsidRPr="00F42C09">
        <w:rPr>
          <w:i/>
          <w:iCs/>
        </w:rPr>
        <w:t>Htm</w:t>
      </w:r>
      <w:proofErr w:type="spellEnd"/>
      <w:r w:rsidRPr="00F42C09">
        <w:rPr>
          <w:i/>
          <w:iCs/>
        </w:rPr>
        <w:t xml:space="preserve"> Accounting, And Rising Interest Rates</w:t>
      </w:r>
      <w:r w:rsidRPr="00F42C09">
        <w:t xml:space="preserve"> (No. W32293). National Bureau </w:t>
      </w:r>
      <w:proofErr w:type="gramStart"/>
      <w:r w:rsidRPr="00F42C09">
        <w:t>Of</w:t>
      </w:r>
      <w:proofErr w:type="gramEnd"/>
      <w:r w:rsidRPr="00F42C09">
        <w:t xml:space="preserve"> Economic Research.</w:t>
      </w:r>
    </w:p>
    <w:p w14:paraId="1DB321A6" w14:textId="77777777" w:rsidR="009D12C0" w:rsidRDefault="009D12C0" w:rsidP="007661C1">
      <w:r w:rsidRPr="00220D24">
        <w:t xml:space="preserve">Jain, Y.K. </w:t>
      </w:r>
      <w:r>
        <w:t>(</w:t>
      </w:r>
      <w:r w:rsidRPr="00220D24">
        <w:t>2024</w:t>
      </w:r>
      <w:r>
        <w:t>)</w:t>
      </w:r>
      <w:r w:rsidRPr="00220D24">
        <w:t> </w:t>
      </w:r>
      <w:r w:rsidRPr="00220D24">
        <w:rPr>
          <w:i/>
          <w:iCs/>
        </w:rPr>
        <w:t xml:space="preserve">Financial Management </w:t>
      </w:r>
      <w:proofErr w:type="gramStart"/>
      <w:r w:rsidRPr="00220D24">
        <w:rPr>
          <w:i/>
          <w:iCs/>
        </w:rPr>
        <w:t>And</w:t>
      </w:r>
      <w:proofErr w:type="gramEnd"/>
      <w:r w:rsidRPr="00220D24">
        <w:rPr>
          <w:i/>
          <w:iCs/>
        </w:rPr>
        <w:t xml:space="preserve"> Market Dynamics</w:t>
      </w:r>
      <w:r w:rsidRPr="00220D24">
        <w:t xml:space="preserve">. </w:t>
      </w:r>
      <w:proofErr w:type="spellStart"/>
      <w:r w:rsidRPr="00220D24">
        <w:t>Xoffencerpublication</w:t>
      </w:r>
      <w:proofErr w:type="spellEnd"/>
      <w:r w:rsidRPr="00220D24">
        <w:t>.</w:t>
      </w:r>
    </w:p>
    <w:p w14:paraId="7C1E9D4A" w14:textId="77777777" w:rsidR="009D12C0" w:rsidRDefault="009D12C0" w:rsidP="009D12C0">
      <w:r w:rsidRPr="00F42C09">
        <w:t xml:space="preserve">Jariah, A. And </w:t>
      </w:r>
      <w:proofErr w:type="spellStart"/>
      <w:r w:rsidRPr="00F42C09">
        <w:t>Lukiana</w:t>
      </w:r>
      <w:proofErr w:type="spellEnd"/>
      <w:r w:rsidRPr="00F42C09">
        <w:t>, N.</w:t>
      </w:r>
      <w:r>
        <w:t xml:space="preserve"> (</w:t>
      </w:r>
      <w:r w:rsidRPr="00F42C09">
        <w:t>2023</w:t>
      </w:r>
      <w:r>
        <w:t>)</w:t>
      </w:r>
      <w:r w:rsidRPr="00F42C09">
        <w:t xml:space="preserve"> Management </w:t>
      </w:r>
      <w:proofErr w:type="gramStart"/>
      <w:r w:rsidRPr="00F42C09">
        <w:t>Of</w:t>
      </w:r>
      <w:proofErr w:type="gramEnd"/>
      <w:r w:rsidRPr="00F42C09">
        <w:t xml:space="preserve"> Financial Performance Based On Capital Structure, Liquidity Ratio, Coverage And Activity. </w:t>
      </w:r>
      <w:r w:rsidRPr="00F42C09">
        <w:rPr>
          <w:i/>
          <w:iCs/>
        </w:rPr>
        <w:t xml:space="preserve">Assets: </w:t>
      </w:r>
      <w:proofErr w:type="spellStart"/>
      <w:r w:rsidRPr="00F42C09">
        <w:rPr>
          <w:i/>
          <w:iCs/>
        </w:rPr>
        <w:t>Jurnal</w:t>
      </w:r>
      <w:proofErr w:type="spellEnd"/>
      <w:r w:rsidRPr="00F42C09">
        <w:rPr>
          <w:i/>
          <w:iCs/>
        </w:rPr>
        <w:t xml:space="preserve"> </w:t>
      </w:r>
      <w:proofErr w:type="spellStart"/>
      <w:r w:rsidRPr="00F42C09">
        <w:rPr>
          <w:i/>
          <w:iCs/>
        </w:rPr>
        <w:t>Ilmiah</w:t>
      </w:r>
      <w:proofErr w:type="spellEnd"/>
      <w:r w:rsidRPr="00F42C09">
        <w:rPr>
          <w:i/>
          <w:iCs/>
        </w:rPr>
        <w:t xml:space="preserve"> </w:t>
      </w:r>
      <w:proofErr w:type="spellStart"/>
      <w:r w:rsidRPr="00F42C09">
        <w:rPr>
          <w:i/>
          <w:iCs/>
        </w:rPr>
        <w:t>Ilmu</w:t>
      </w:r>
      <w:proofErr w:type="spellEnd"/>
      <w:r w:rsidRPr="00F42C09">
        <w:rPr>
          <w:i/>
          <w:iCs/>
        </w:rPr>
        <w:t xml:space="preserve"> </w:t>
      </w:r>
      <w:proofErr w:type="spellStart"/>
      <w:r w:rsidRPr="00F42C09">
        <w:rPr>
          <w:i/>
          <w:iCs/>
        </w:rPr>
        <w:t>Akuntansi</w:t>
      </w:r>
      <w:proofErr w:type="spellEnd"/>
      <w:r w:rsidRPr="00F42C09">
        <w:rPr>
          <w:i/>
          <w:iCs/>
        </w:rPr>
        <w:t xml:space="preserve">, </w:t>
      </w:r>
      <w:proofErr w:type="spellStart"/>
      <w:r w:rsidRPr="00F42C09">
        <w:rPr>
          <w:i/>
          <w:iCs/>
        </w:rPr>
        <w:t>Keuangan</w:t>
      </w:r>
      <w:proofErr w:type="spellEnd"/>
      <w:r w:rsidRPr="00F42C09">
        <w:rPr>
          <w:i/>
          <w:iCs/>
        </w:rPr>
        <w:t xml:space="preserve"> Dan Pajak</w:t>
      </w:r>
      <w:r w:rsidRPr="00F42C09">
        <w:t>, </w:t>
      </w:r>
      <w:r w:rsidRPr="00F42C09">
        <w:rPr>
          <w:i/>
          <w:iCs/>
        </w:rPr>
        <w:t>7</w:t>
      </w:r>
      <w:r w:rsidRPr="00F42C09">
        <w:t>(2), Pp.1-7.</w:t>
      </w:r>
    </w:p>
    <w:p w14:paraId="3D8524BB" w14:textId="77777777" w:rsidR="009D12C0" w:rsidRDefault="009D12C0" w:rsidP="009D12C0">
      <w:r w:rsidRPr="000944D2">
        <w:lastRenderedPageBreak/>
        <w:t xml:space="preserve">Joy, J. </w:t>
      </w:r>
      <w:r>
        <w:t>(</w:t>
      </w:r>
      <w:r w:rsidRPr="000944D2">
        <w:t>2018</w:t>
      </w:r>
      <w:r>
        <w:t>)</w:t>
      </w:r>
      <w:r w:rsidRPr="000944D2">
        <w:t> </w:t>
      </w:r>
      <w:r w:rsidRPr="000944D2">
        <w:rPr>
          <w:i/>
          <w:iCs/>
        </w:rPr>
        <w:t xml:space="preserve">Divestitures </w:t>
      </w:r>
      <w:proofErr w:type="gramStart"/>
      <w:r w:rsidRPr="000944D2">
        <w:rPr>
          <w:i/>
          <w:iCs/>
        </w:rPr>
        <w:t>And</w:t>
      </w:r>
      <w:proofErr w:type="gramEnd"/>
      <w:r w:rsidRPr="000944D2">
        <w:rPr>
          <w:i/>
          <w:iCs/>
        </w:rPr>
        <w:t xml:space="preserve"> Spin-Offs: Lessons Learned In The Trenches Of The World’s Largest M&amp;A Deals</w:t>
      </w:r>
      <w:r w:rsidRPr="000944D2">
        <w:t>. Springer.</w:t>
      </w:r>
    </w:p>
    <w:p w14:paraId="37DEF5B9" w14:textId="77777777" w:rsidR="009D12C0" w:rsidRDefault="009D12C0" w:rsidP="007661C1">
      <w:proofErr w:type="spellStart"/>
      <w:r w:rsidRPr="007727AC">
        <w:t>Kurznack</w:t>
      </w:r>
      <w:proofErr w:type="spellEnd"/>
      <w:r w:rsidRPr="007727AC">
        <w:t xml:space="preserve">, L., Schoenmaker, D. And </w:t>
      </w:r>
      <w:proofErr w:type="spellStart"/>
      <w:r w:rsidRPr="007727AC">
        <w:t>Schramade</w:t>
      </w:r>
      <w:proofErr w:type="spellEnd"/>
      <w:r w:rsidRPr="007727AC">
        <w:t xml:space="preserve">, W. </w:t>
      </w:r>
      <w:r>
        <w:t>(</w:t>
      </w:r>
      <w:r w:rsidRPr="007727AC">
        <w:t>2021</w:t>
      </w:r>
      <w:r>
        <w:t>)</w:t>
      </w:r>
      <w:r w:rsidRPr="007727AC">
        <w:t xml:space="preserve"> A Model </w:t>
      </w:r>
      <w:proofErr w:type="gramStart"/>
      <w:r w:rsidRPr="007727AC">
        <w:t>Of</w:t>
      </w:r>
      <w:proofErr w:type="gramEnd"/>
      <w:r w:rsidRPr="007727AC">
        <w:t xml:space="preserve"> Long-Term Value Creation. </w:t>
      </w:r>
      <w:r w:rsidRPr="007727AC">
        <w:rPr>
          <w:i/>
          <w:iCs/>
        </w:rPr>
        <w:t>Journal Of Sustainable Finance &amp; Investment</w:t>
      </w:r>
      <w:r w:rsidRPr="007727AC">
        <w:t>, Pp.1-19.</w:t>
      </w:r>
    </w:p>
    <w:p w14:paraId="7F85813C" w14:textId="77777777" w:rsidR="009D12C0" w:rsidRDefault="009D12C0" w:rsidP="009D12C0">
      <w:r w:rsidRPr="00A62630">
        <w:t>Long, J. And Fisher, P.</w:t>
      </w:r>
      <w:r>
        <w:t xml:space="preserve"> (</w:t>
      </w:r>
      <w:r w:rsidRPr="00A62630">
        <w:t>2024</w:t>
      </w:r>
      <w:r>
        <w:t>)</w:t>
      </w:r>
      <w:r w:rsidRPr="00A62630">
        <w:t xml:space="preserve"> Central Bank Profit Distribution </w:t>
      </w:r>
      <w:proofErr w:type="gramStart"/>
      <w:r w:rsidRPr="00A62630">
        <w:t>And</w:t>
      </w:r>
      <w:proofErr w:type="gramEnd"/>
      <w:r w:rsidRPr="00A62630">
        <w:t xml:space="preserve"> Recapitalisation. </w:t>
      </w:r>
      <w:r w:rsidRPr="00A62630">
        <w:rPr>
          <w:i/>
          <w:iCs/>
        </w:rPr>
        <w:t xml:space="preserve">Bank Of England Staff Working </w:t>
      </w:r>
      <w:proofErr w:type="gramStart"/>
      <w:r w:rsidRPr="00A62630">
        <w:rPr>
          <w:i/>
          <w:iCs/>
        </w:rPr>
        <w:t>Paper,(</w:t>
      </w:r>
      <w:proofErr w:type="gramEnd"/>
      <w:r w:rsidRPr="00A62630">
        <w:rPr>
          <w:i/>
          <w:iCs/>
        </w:rPr>
        <w:t>1069)</w:t>
      </w:r>
      <w:r w:rsidRPr="00A62630">
        <w:t>.</w:t>
      </w:r>
    </w:p>
    <w:p w14:paraId="3FBBE27E" w14:textId="77777777" w:rsidR="009D12C0" w:rsidRDefault="009D12C0" w:rsidP="009D12C0">
      <w:pPr>
        <w:rPr>
          <w:lang w:val="en-IN"/>
        </w:rPr>
      </w:pPr>
      <w:proofErr w:type="spellStart"/>
      <w:r>
        <w:t>Oecd</w:t>
      </w:r>
      <w:proofErr w:type="spellEnd"/>
      <w:r>
        <w:t xml:space="preserve">. (2024) </w:t>
      </w:r>
      <w:r w:rsidRPr="00DF6497">
        <w:rPr>
          <w:lang w:val="en-IN"/>
        </w:rPr>
        <w:t xml:space="preserve">Base Erosion </w:t>
      </w:r>
      <w:proofErr w:type="gramStart"/>
      <w:r w:rsidRPr="00DF6497">
        <w:rPr>
          <w:lang w:val="en-IN"/>
        </w:rPr>
        <w:t>And</w:t>
      </w:r>
      <w:proofErr w:type="gramEnd"/>
      <w:r w:rsidRPr="00DF6497">
        <w:rPr>
          <w:lang w:val="en-IN"/>
        </w:rPr>
        <w:t xml:space="preserve"> Profit Shifting</w:t>
      </w:r>
      <w:r>
        <w:rPr>
          <w:lang w:val="en-IN"/>
        </w:rPr>
        <w:t xml:space="preserve">. [Online]. Available At: </w:t>
      </w:r>
      <w:hyperlink r:id="rId43" w:anchor=":~:text=BEPS%20undermines%20the%20fairness%20and,standard%2Dsetting%20on%20international%20tax" w:history="1">
        <w:r w:rsidRPr="00711A5A">
          <w:rPr>
            <w:rStyle w:val="Hyperlink"/>
            <w:lang w:val="en-IN"/>
          </w:rPr>
          <w:t>Https://Www.Oecd.Org/En/Topics/Base-Erosion-And-Profit-Shifting-Beps.Html#:~:Text=Beps%20undermines%20the%20fairness%20and,Standard%2dsetting%20on%20international%20tax</w:t>
        </w:r>
      </w:hyperlink>
      <w:r w:rsidRPr="00DF6497">
        <w:rPr>
          <w:lang w:val="en-IN"/>
        </w:rPr>
        <w:t>.</w:t>
      </w:r>
      <w:r>
        <w:rPr>
          <w:lang w:val="en-IN"/>
        </w:rPr>
        <w:t xml:space="preserve"> [Accessed On: 08.10.2025].</w:t>
      </w:r>
    </w:p>
    <w:p w14:paraId="25ECD3D1" w14:textId="77777777" w:rsidR="009D12C0" w:rsidRDefault="009D12C0" w:rsidP="007661C1">
      <w:proofErr w:type="spellStart"/>
      <w:r w:rsidRPr="00483F37">
        <w:t>Omodara</w:t>
      </w:r>
      <w:proofErr w:type="spellEnd"/>
      <w:r w:rsidRPr="00483F37">
        <w:t>, O.V.</w:t>
      </w:r>
      <w:r>
        <w:t xml:space="preserve"> (</w:t>
      </w:r>
      <w:r w:rsidRPr="00483F37">
        <w:t>2023</w:t>
      </w:r>
      <w:r>
        <w:t>)</w:t>
      </w:r>
      <w:r w:rsidRPr="00483F37">
        <w:t xml:space="preserve"> The Dynamics </w:t>
      </w:r>
      <w:proofErr w:type="gramStart"/>
      <w:r w:rsidRPr="00483F37">
        <w:t>Of</w:t>
      </w:r>
      <w:proofErr w:type="gramEnd"/>
      <w:r w:rsidRPr="00483F37">
        <w:t xml:space="preserve"> Short-Term Debt Ratio And Firm Performance: A Comprehensive Study Of Nigerian Manufacturing Firms. </w:t>
      </w:r>
      <w:proofErr w:type="spellStart"/>
      <w:r w:rsidRPr="00483F37">
        <w:rPr>
          <w:i/>
          <w:iCs/>
        </w:rPr>
        <w:t>Fuoye</w:t>
      </w:r>
      <w:proofErr w:type="spellEnd"/>
      <w:r w:rsidRPr="00483F37">
        <w:rPr>
          <w:i/>
          <w:iCs/>
        </w:rPr>
        <w:t xml:space="preserve"> Journal </w:t>
      </w:r>
      <w:proofErr w:type="gramStart"/>
      <w:r w:rsidRPr="00483F37">
        <w:rPr>
          <w:i/>
          <w:iCs/>
        </w:rPr>
        <w:t>Of</w:t>
      </w:r>
      <w:proofErr w:type="gramEnd"/>
      <w:r w:rsidRPr="00483F37">
        <w:rPr>
          <w:i/>
          <w:iCs/>
        </w:rPr>
        <w:t xml:space="preserve"> Accounting And Management</w:t>
      </w:r>
      <w:r w:rsidRPr="00483F37">
        <w:t>, </w:t>
      </w:r>
      <w:r w:rsidRPr="00483F37">
        <w:rPr>
          <w:i/>
          <w:iCs/>
        </w:rPr>
        <w:t>6</w:t>
      </w:r>
      <w:r w:rsidRPr="00483F37">
        <w:t>(2).</w:t>
      </w:r>
    </w:p>
    <w:p w14:paraId="0986BCD1" w14:textId="77777777" w:rsidR="009D12C0" w:rsidRDefault="009D12C0" w:rsidP="009D12C0">
      <w:proofErr w:type="spellStart"/>
      <w:r w:rsidRPr="00E97FEF">
        <w:t>Pamungkas</w:t>
      </w:r>
      <w:proofErr w:type="spellEnd"/>
      <w:r w:rsidRPr="00E97FEF">
        <w:t>, M.S.</w:t>
      </w:r>
      <w:r>
        <w:t xml:space="preserve"> (</w:t>
      </w:r>
      <w:r w:rsidRPr="00E97FEF">
        <w:t>2023</w:t>
      </w:r>
      <w:r>
        <w:t>)</w:t>
      </w:r>
      <w:r w:rsidRPr="00E97FEF">
        <w:t xml:space="preserve"> Capital Management Strategy </w:t>
      </w:r>
      <w:proofErr w:type="gramStart"/>
      <w:r w:rsidRPr="00E97FEF">
        <w:t>For</w:t>
      </w:r>
      <w:proofErr w:type="gramEnd"/>
      <w:r w:rsidRPr="00E97FEF">
        <w:t xml:space="preserve"> Liquidity Refinancing: A Study On </w:t>
      </w:r>
      <w:proofErr w:type="spellStart"/>
      <w:r w:rsidRPr="00E97FEF">
        <w:t>Smes'</w:t>
      </w:r>
      <w:proofErr w:type="spellEnd"/>
      <w:r w:rsidRPr="00E97FEF">
        <w:t xml:space="preserve"> Restructuring Solutions. </w:t>
      </w:r>
      <w:r w:rsidRPr="00E97FEF">
        <w:rPr>
          <w:i/>
          <w:iCs/>
        </w:rPr>
        <w:t xml:space="preserve">Sukuk: International Journal </w:t>
      </w:r>
      <w:proofErr w:type="gramStart"/>
      <w:r w:rsidRPr="00E97FEF">
        <w:rPr>
          <w:i/>
          <w:iCs/>
        </w:rPr>
        <w:t>Of</w:t>
      </w:r>
      <w:proofErr w:type="gramEnd"/>
      <w:r w:rsidRPr="00E97FEF">
        <w:rPr>
          <w:i/>
          <w:iCs/>
        </w:rPr>
        <w:t xml:space="preserve"> Banking, Finance, Management And Business</w:t>
      </w:r>
      <w:r w:rsidRPr="00E97FEF">
        <w:t>, </w:t>
      </w:r>
      <w:r w:rsidRPr="00E97FEF">
        <w:rPr>
          <w:i/>
          <w:iCs/>
        </w:rPr>
        <w:t>2</w:t>
      </w:r>
      <w:r w:rsidRPr="00E97FEF">
        <w:t>(</w:t>
      </w:r>
      <w:proofErr w:type="spellStart"/>
      <w:r w:rsidRPr="00E97FEF">
        <w:t>Ii</w:t>
      </w:r>
      <w:proofErr w:type="spellEnd"/>
      <w:r w:rsidRPr="00E97FEF">
        <w:t>), Pp.17-30.</w:t>
      </w:r>
    </w:p>
    <w:p w14:paraId="110640C5" w14:textId="77777777" w:rsidR="009D12C0" w:rsidRDefault="009D12C0" w:rsidP="009D12C0">
      <w:r w:rsidRPr="000C7C1A">
        <w:t xml:space="preserve">Pathways To Reform </w:t>
      </w:r>
      <w:proofErr w:type="gramStart"/>
      <w:r w:rsidRPr="000C7C1A">
        <w:t>Of</w:t>
      </w:r>
      <w:proofErr w:type="gramEnd"/>
      <w:r w:rsidRPr="000C7C1A">
        <w:t xml:space="preserve"> Capital Gains Taxation In Canada. </w:t>
      </w:r>
      <w:r w:rsidRPr="000C7C1A">
        <w:rPr>
          <w:i/>
          <w:iCs/>
        </w:rPr>
        <w:t xml:space="preserve">Finances Of The Nation </w:t>
      </w:r>
      <w:proofErr w:type="spellStart"/>
      <w:r w:rsidRPr="000C7C1A">
        <w:rPr>
          <w:i/>
          <w:iCs/>
        </w:rPr>
        <w:t>Commentaries</w:t>
      </w:r>
      <w:r w:rsidRPr="000C7C1A">
        <w:t>kesselman</w:t>
      </w:r>
      <w:proofErr w:type="spellEnd"/>
      <w:r w:rsidRPr="000C7C1A">
        <w:t>, J.R.</w:t>
      </w:r>
      <w:r>
        <w:t xml:space="preserve"> (</w:t>
      </w:r>
      <w:r w:rsidRPr="000C7C1A">
        <w:t>2023</w:t>
      </w:r>
      <w:proofErr w:type="gramStart"/>
      <w:r>
        <w:t>)</w:t>
      </w:r>
      <w:r w:rsidRPr="000C7C1A">
        <w:t xml:space="preserve"> ,</w:t>
      </w:r>
      <w:proofErr w:type="gramEnd"/>
      <w:r w:rsidRPr="000C7C1A">
        <w:t> </w:t>
      </w:r>
      <w:r w:rsidRPr="000C7C1A">
        <w:rPr>
          <w:i/>
          <w:iCs/>
        </w:rPr>
        <w:t>3</w:t>
      </w:r>
      <w:r w:rsidRPr="000C7C1A">
        <w:t>(5), Pp.1-68.</w:t>
      </w:r>
    </w:p>
    <w:p w14:paraId="37EF8ACD" w14:textId="77777777" w:rsidR="009D12C0" w:rsidRDefault="009D12C0" w:rsidP="007661C1">
      <w:r w:rsidRPr="005029CA">
        <w:t>Rashid, C.A</w:t>
      </w:r>
      <w:r>
        <w:t>. (</w:t>
      </w:r>
      <w:r w:rsidRPr="005029CA">
        <w:t>2021</w:t>
      </w:r>
      <w:r>
        <w:t>)</w:t>
      </w:r>
      <w:r w:rsidRPr="005029CA">
        <w:t xml:space="preserve"> The Efficiency </w:t>
      </w:r>
      <w:proofErr w:type="gramStart"/>
      <w:r w:rsidRPr="005029CA">
        <w:t>Of</w:t>
      </w:r>
      <w:proofErr w:type="gramEnd"/>
      <w:r w:rsidRPr="005029CA">
        <w:t xml:space="preserve"> Financial Ratios Analysis To Evaluate Company’s Profitability. </w:t>
      </w:r>
      <w:r w:rsidRPr="005029CA">
        <w:rPr>
          <w:i/>
          <w:iCs/>
        </w:rPr>
        <w:t xml:space="preserve">Journal Of Global Economics </w:t>
      </w:r>
      <w:proofErr w:type="gramStart"/>
      <w:r w:rsidRPr="005029CA">
        <w:rPr>
          <w:i/>
          <w:iCs/>
        </w:rPr>
        <w:t>And</w:t>
      </w:r>
      <w:proofErr w:type="gramEnd"/>
      <w:r w:rsidRPr="005029CA">
        <w:rPr>
          <w:i/>
          <w:iCs/>
        </w:rPr>
        <w:t xml:space="preserve"> Business</w:t>
      </w:r>
      <w:r w:rsidRPr="005029CA">
        <w:t>, </w:t>
      </w:r>
      <w:r w:rsidRPr="005029CA">
        <w:rPr>
          <w:i/>
          <w:iCs/>
        </w:rPr>
        <w:t>2</w:t>
      </w:r>
      <w:r w:rsidRPr="005029CA">
        <w:t>(4), Pp.119-132.</w:t>
      </w:r>
    </w:p>
    <w:p w14:paraId="7BACAE04" w14:textId="77777777" w:rsidR="009D12C0" w:rsidRDefault="009D12C0" w:rsidP="009D12C0">
      <w:r w:rsidRPr="00E97FEF">
        <w:t>Ray, K.G.</w:t>
      </w:r>
      <w:r>
        <w:t xml:space="preserve"> (</w:t>
      </w:r>
      <w:r w:rsidRPr="00E97FEF">
        <w:t>2022</w:t>
      </w:r>
      <w:r>
        <w:t>)</w:t>
      </w:r>
      <w:r w:rsidRPr="00E97FEF">
        <w:t> </w:t>
      </w:r>
      <w:r w:rsidRPr="00E97FEF">
        <w:rPr>
          <w:i/>
          <w:iCs/>
        </w:rPr>
        <w:t xml:space="preserve">Mergers </w:t>
      </w:r>
      <w:proofErr w:type="gramStart"/>
      <w:r w:rsidRPr="00E97FEF">
        <w:rPr>
          <w:i/>
          <w:iCs/>
        </w:rPr>
        <w:t>And</w:t>
      </w:r>
      <w:proofErr w:type="gramEnd"/>
      <w:r w:rsidRPr="00E97FEF">
        <w:rPr>
          <w:i/>
          <w:iCs/>
        </w:rPr>
        <w:t xml:space="preserve"> Acquisitions: Strategy, Valuation And Integration</w:t>
      </w:r>
      <w:r w:rsidRPr="00E97FEF">
        <w:t xml:space="preserve">. Phi Learning </w:t>
      </w:r>
      <w:proofErr w:type="spellStart"/>
      <w:r w:rsidRPr="00E97FEF">
        <w:t>Pvt.</w:t>
      </w:r>
      <w:proofErr w:type="spellEnd"/>
      <w:r w:rsidRPr="00E97FEF">
        <w:t xml:space="preserve"> Ltd.</w:t>
      </w:r>
    </w:p>
    <w:p w14:paraId="2A9CBD99" w14:textId="77777777" w:rsidR="009D12C0" w:rsidRPr="00B80955" w:rsidRDefault="009D12C0" w:rsidP="00B80955">
      <w:pPr>
        <w:rPr>
          <w:rFonts w:cs="Arial"/>
          <w:szCs w:val="24"/>
          <w:shd w:val="clear" w:color="auto" w:fill="FFFFFF"/>
        </w:rPr>
      </w:pPr>
      <w:r w:rsidRPr="00B80955">
        <w:rPr>
          <w:rFonts w:cs="Arial"/>
          <w:szCs w:val="24"/>
          <w:shd w:val="clear" w:color="auto" w:fill="FFFFFF"/>
        </w:rPr>
        <w:t xml:space="preserve">Seth, H., Chadha, S., Sharma, S.K. And Ruparel, N. (2021) Exploring Predictors </w:t>
      </w:r>
      <w:proofErr w:type="gramStart"/>
      <w:r w:rsidRPr="00B80955">
        <w:rPr>
          <w:rFonts w:cs="Arial"/>
          <w:szCs w:val="24"/>
          <w:shd w:val="clear" w:color="auto" w:fill="FFFFFF"/>
        </w:rPr>
        <w:t>Of</w:t>
      </w:r>
      <w:proofErr w:type="gramEnd"/>
      <w:r w:rsidRPr="00B80955">
        <w:rPr>
          <w:rFonts w:cs="Arial"/>
          <w:szCs w:val="24"/>
          <w:shd w:val="clear" w:color="auto" w:fill="FFFFFF"/>
        </w:rPr>
        <w:t xml:space="preserve"> Working Capital Management Efficiency And Their Influence On Firm Performance: An Integrated Dea-Sem Approach. </w:t>
      </w:r>
      <w:r w:rsidRPr="00B80955">
        <w:rPr>
          <w:rFonts w:cs="Arial"/>
          <w:i/>
          <w:iCs/>
          <w:szCs w:val="24"/>
          <w:shd w:val="clear" w:color="auto" w:fill="FFFFFF"/>
        </w:rPr>
        <w:t>Benchmarking: An International Journal</w:t>
      </w:r>
      <w:r w:rsidRPr="00B80955">
        <w:rPr>
          <w:rFonts w:cs="Arial"/>
          <w:szCs w:val="24"/>
          <w:shd w:val="clear" w:color="auto" w:fill="FFFFFF"/>
        </w:rPr>
        <w:t>, </w:t>
      </w:r>
      <w:r w:rsidRPr="00B80955">
        <w:rPr>
          <w:rFonts w:cs="Arial"/>
          <w:i/>
          <w:iCs/>
          <w:szCs w:val="24"/>
          <w:shd w:val="clear" w:color="auto" w:fill="FFFFFF"/>
        </w:rPr>
        <w:t>28</w:t>
      </w:r>
      <w:r w:rsidRPr="00B80955">
        <w:rPr>
          <w:rFonts w:cs="Arial"/>
          <w:szCs w:val="24"/>
          <w:shd w:val="clear" w:color="auto" w:fill="FFFFFF"/>
        </w:rPr>
        <w:t>(4), Pp.1120-1145.</w:t>
      </w:r>
    </w:p>
    <w:p w14:paraId="5A227105" w14:textId="77777777" w:rsidR="009D12C0" w:rsidRDefault="009D12C0" w:rsidP="009D12C0">
      <w:proofErr w:type="spellStart"/>
      <w:r w:rsidRPr="00F42C09">
        <w:lastRenderedPageBreak/>
        <w:t>Siagian</w:t>
      </w:r>
      <w:proofErr w:type="spellEnd"/>
      <w:r w:rsidRPr="00F42C09">
        <w:t xml:space="preserve">, H., </w:t>
      </w:r>
      <w:proofErr w:type="spellStart"/>
      <w:r w:rsidRPr="00F42C09">
        <w:t>Tarigan</w:t>
      </w:r>
      <w:proofErr w:type="spellEnd"/>
      <w:r w:rsidRPr="00F42C09">
        <w:t>, Z.J.H. And Jie, F.</w:t>
      </w:r>
      <w:r>
        <w:t xml:space="preserve"> (</w:t>
      </w:r>
      <w:r w:rsidRPr="00F42C09">
        <w:t>2021</w:t>
      </w:r>
      <w:r>
        <w:t>)</w:t>
      </w:r>
      <w:r w:rsidRPr="00F42C09">
        <w:t xml:space="preserve"> Supply Chain Integration Enables Resilience, Flexibility, And Innovation </w:t>
      </w:r>
      <w:proofErr w:type="gramStart"/>
      <w:r w:rsidRPr="00F42C09">
        <w:t>To</w:t>
      </w:r>
      <w:proofErr w:type="gramEnd"/>
      <w:r w:rsidRPr="00F42C09">
        <w:t xml:space="preserve"> Improve Business Performance In Covid-19 Era. </w:t>
      </w:r>
      <w:r w:rsidRPr="00F42C09">
        <w:rPr>
          <w:i/>
          <w:iCs/>
        </w:rPr>
        <w:t>Sustainability</w:t>
      </w:r>
      <w:r w:rsidRPr="00F42C09">
        <w:t>, </w:t>
      </w:r>
      <w:r w:rsidRPr="00F42C09">
        <w:rPr>
          <w:i/>
          <w:iCs/>
        </w:rPr>
        <w:t>13</w:t>
      </w:r>
      <w:r w:rsidRPr="00F42C09">
        <w:t>(9), P.4669.</w:t>
      </w:r>
    </w:p>
    <w:p w14:paraId="7656AFDE" w14:textId="77777777" w:rsidR="009D12C0" w:rsidRDefault="009D12C0" w:rsidP="00B80955">
      <w:pPr>
        <w:rPr>
          <w:rFonts w:cs="Arial"/>
          <w:szCs w:val="24"/>
          <w:shd w:val="clear" w:color="auto" w:fill="FFFFFF"/>
        </w:rPr>
      </w:pPr>
      <w:r w:rsidRPr="00B80955">
        <w:rPr>
          <w:rFonts w:cs="Arial"/>
          <w:szCs w:val="24"/>
          <w:shd w:val="clear" w:color="auto" w:fill="FFFFFF"/>
        </w:rPr>
        <w:t xml:space="preserve">Sunitha, B.K., </w:t>
      </w:r>
      <w:proofErr w:type="spellStart"/>
      <w:r w:rsidRPr="00B80955">
        <w:rPr>
          <w:rFonts w:cs="Arial"/>
          <w:szCs w:val="24"/>
          <w:shd w:val="clear" w:color="auto" w:fill="FFFFFF"/>
        </w:rPr>
        <w:t>Parappagoudar</w:t>
      </w:r>
      <w:proofErr w:type="spellEnd"/>
      <w:r w:rsidRPr="00B80955">
        <w:rPr>
          <w:rFonts w:cs="Arial"/>
          <w:szCs w:val="24"/>
          <w:shd w:val="clear" w:color="auto" w:fill="FFFFFF"/>
        </w:rPr>
        <w:t xml:space="preserve">, S.K., </w:t>
      </w:r>
      <w:proofErr w:type="spellStart"/>
      <w:r w:rsidRPr="00B80955">
        <w:rPr>
          <w:rFonts w:cs="Arial"/>
          <w:szCs w:val="24"/>
          <w:shd w:val="clear" w:color="auto" w:fill="FFFFFF"/>
        </w:rPr>
        <w:t>Sirwani</w:t>
      </w:r>
      <w:proofErr w:type="spellEnd"/>
      <w:r w:rsidRPr="00B80955">
        <w:rPr>
          <w:rFonts w:cs="Arial"/>
          <w:szCs w:val="24"/>
          <w:shd w:val="clear" w:color="auto" w:fill="FFFFFF"/>
        </w:rPr>
        <w:t xml:space="preserve">, H., </w:t>
      </w:r>
      <w:proofErr w:type="spellStart"/>
      <w:r w:rsidRPr="00B80955">
        <w:rPr>
          <w:rFonts w:cs="Arial"/>
          <w:szCs w:val="24"/>
          <w:shd w:val="clear" w:color="auto" w:fill="FFFFFF"/>
        </w:rPr>
        <w:t>Kanted</w:t>
      </w:r>
      <w:proofErr w:type="spellEnd"/>
      <w:r w:rsidRPr="00B80955">
        <w:rPr>
          <w:rFonts w:cs="Arial"/>
          <w:szCs w:val="24"/>
          <w:shd w:val="clear" w:color="auto" w:fill="FFFFFF"/>
        </w:rPr>
        <w:t xml:space="preserve">, P., Chopra, V., Mittal, Y. And </w:t>
      </w:r>
      <w:proofErr w:type="spellStart"/>
      <w:r w:rsidRPr="00B80955">
        <w:rPr>
          <w:rFonts w:cs="Arial"/>
          <w:szCs w:val="24"/>
          <w:shd w:val="clear" w:color="auto" w:fill="FFFFFF"/>
        </w:rPr>
        <w:t>Mandot</w:t>
      </w:r>
      <w:proofErr w:type="spellEnd"/>
      <w:r w:rsidRPr="00B80955">
        <w:rPr>
          <w:rFonts w:cs="Arial"/>
          <w:szCs w:val="24"/>
          <w:shd w:val="clear" w:color="auto" w:fill="FFFFFF"/>
        </w:rPr>
        <w:t>, A. (2025) Just-In-Time (Jit) Vs. Economic Order Quantity (</w:t>
      </w:r>
      <w:proofErr w:type="spellStart"/>
      <w:r w:rsidRPr="00B80955">
        <w:rPr>
          <w:rFonts w:cs="Arial"/>
          <w:szCs w:val="24"/>
          <w:shd w:val="clear" w:color="auto" w:fill="FFFFFF"/>
        </w:rPr>
        <w:t>Eoq</w:t>
      </w:r>
      <w:proofErr w:type="spellEnd"/>
      <w:r w:rsidRPr="00B80955">
        <w:rPr>
          <w:rFonts w:cs="Arial"/>
          <w:szCs w:val="24"/>
          <w:shd w:val="clear" w:color="auto" w:fill="FFFFFF"/>
        </w:rPr>
        <w:t xml:space="preserve">): A Comparative Study. </w:t>
      </w:r>
      <w:r w:rsidRPr="00B80955">
        <w:rPr>
          <w:rFonts w:cs="Arial"/>
          <w:i/>
          <w:iCs/>
          <w:szCs w:val="24"/>
          <w:shd w:val="clear" w:color="auto" w:fill="FFFFFF"/>
        </w:rPr>
        <w:t xml:space="preserve">International Journal </w:t>
      </w:r>
      <w:proofErr w:type="gramStart"/>
      <w:r w:rsidRPr="00B80955">
        <w:rPr>
          <w:rFonts w:cs="Arial"/>
          <w:i/>
          <w:iCs/>
          <w:szCs w:val="24"/>
          <w:shd w:val="clear" w:color="auto" w:fill="FFFFFF"/>
        </w:rPr>
        <w:t>Of</w:t>
      </w:r>
      <w:proofErr w:type="gramEnd"/>
      <w:r w:rsidRPr="00B80955">
        <w:rPr>
          <w:rFonts w:cs="Arial"/>
          <w:i/>
          <w:iCs/>
          <w:szCs w:val="24"/>
          <w:shd w:val="clear" w:color="auto" w:fill="FFFFFF"/>
        </w:rPr>
        <w:t xml:space="preserve"> Advanced Research In Arts, Science, Engineering &amp; Management,</w:t>
      </w:r>
      <w:r w:rsidRPr="00B80955">
        <w:rPr>
          <w:rFonts w:cs="Arial"/>
          <w:szCs w:val="24"/>
          <w:shd w:val="clear" w:color="auto" w:fill="FFFFFF"/>
        </w:rPr>
        <w:t> </w:t>
      </w:r>
      <w:r w:rsidRPr="00B80955">
        <w:rPr>
          <w:rFonts w:cs="Arial"/>
          <w:i/>
          <w:iCs/>
          <w:szCs w:val="24"/>
          <w:shd w:val="clear" w:color="auto" w:fill="FFFFFF"/>
        </w:rPr>
        <w:t>12</w:t>
      </w:r>
      <w:r w:rsidRPr="00B80955">
        <w:rPr>
          <w:rFonts w:cs="Arial"/>
          <w:szCs w:val="24"/>
          <w:shd w:val="clear" w:color="auto" w:fill="FFFFFF"/>
        </w:rPr>
        <w:t xml:space="preserve">(11), Pp. 707-718. </w:t>
      </w:r>
    </w:p>
    <w:p w14:paraId="76A5DCCB" w14:textId="77777777" w:rsidR="009D12C0" w:rsidRDefault="009D12C0" w:rsidP="009D12C0">
      <w:r w:rsidRPr="000944D2">
        <w:t xml:space="preserve">Van De Wetering, R., </w:t>
      </w:r>
      <w:proofErr w:type="spellStart"/>
      <w:r w:rsidRPr="000944D2">
        <w:t>Roelens</w:t>
      </w:r>
      <w:proofErr w:type="spellEnd"/>
      <w:r w:rsidRPr="000944D2">
        <w:t>, B. And De Langen, F.</w:t>
      </w:r>
      <w:r>
        <w:t xml:space="preserve"> (</w:t>
      </w:r>
      <w:r w:rsidRPr="000944D2">
        <w:t>2023</w:t>
      </w:r>
      <w:r>
        <w:t>)</w:t>
      </w:r>
      <w:r w:rsidRPr="000944D2">
        <w:t xml:space="preserve"> Improvisational </w:t>
      </w:r>
      <w:proofErr w:type="gramStart"/>
      <w:r w:rsidRPr="000944D2">
        <w:t>And</w:t>
      </w:r>
      <w:proofErr w:type="gramEnd"/>
      <w:r w:rsidRPr="000944D2">
        <w:t xml:space="preserve"> Dynamic Capabilities As Drivers Of Business Model Innovation: An Enterprise Architecture Perspective. </w:t>
      </w:r>
      <w:r w:rsidRPr="000944D2">
        <w:rPr>
          <w:i/>
          <w:iCs/>
        </w:rPr>
        <w:t xml:space="preserve">Pacific Asia Journal </w:t>
      </w:r>
      <w:proofErr w:type="gramStart"/>
      <w:r w:rsidRPr="000944D2">
        <w:rPr>
          <w:i/>
          <w:iCs/>
        </w:rPr>
        <w:t>Of</w:t>
      </w:r>
      <w:proofErr w:type="gramEnd"/>
      <w:r w:rsidRPr="000944D2">
        <w:rPr>
          <w:i/>
          <w:iCs/>
        </w:rPr>
        <w:t xml:space="preserve"> The Association For Information Systems</w:t>
      </w:r>
      <w:r w:rsidRPr="000944D2">
        <w:t>, </w:t>
      </w:r>
      <w:r w:rsidRPr="000944D2">
        <w:rPr>
          <w:i/>
          <w:iCs/>
        </w:rPr>
        <w:t>15</w:t>
      </w:r>
      <w:r w:rsidRPr="000944D2">
        <w:t>(1), P.1.</w:t>
      </w:r>
    </w:p>
    <w:p w14:paraId="54144F68" w14:textId="77777777" w:rsidR="009D12C0" w:rsidRDefault="009D12C0" w:rsidP="007661C1">
      <w:r>
        <w:t xml:space="preserve">World Bank Group. (2025) Long-Term Finance. [Online]. Available At: </w:t>
      </w:r>
      <w:hyperlink r:id="rId44" w:history="1">
        <w:r w:rsidRPr="0010223C">
          <w:rPr>
            <w:rStyle w:val="Hyperlink"/>
          </w:rPr>
          <w:t>Https://Www.Worldbank.Org/En/Publication/Gfdr/Gfdr-2016/Background/Long-Term-Finance</w:t>
        </w:r>
      </w:hyperlink>
      <w:r>
        <w:t xml:space="preserve"> [Accessed On: 07.10.2025].</w:t>
      </w:r>
    </w:p>
    <w:p w14:paraId="2A3725C5" w14:textId="77777777" w:rsidR="009D12C0" w:rsidRDefault="009D12C0" w:rsidP="009D12C0">
      <w:proofErr w:type="spellStart"/>
      <w:r w:rsidRPr="00F42C09">
        <w:t>Zumente</w:t>
      </w:r>
      <w:proofErr w:type="spellEnd"/>
      <w:r w:rsidRPr="00F42C09">
        <w:t xml:space="preserve">, I. And </w:t>
      </w:r>
      <w:proofErr w:type="spellStart"/>
      <w:r w:rsidRPr="00F42C09">
        <w:t>Bistrova</w:t>
      </w:r>
      <w:proofErr w:type="spellEnd"/>
      <w:r w:rsidRPr="00F42C09">
        <w:t>, J.</w:t>
      </w:r>
      <w:r>
        <w:t xml:space="preserve"> (</w:t>
      </w:r>
      <w:r w:rsidRPr="00F42C09">
        <w:t>2021</w:t>
      </w:r>
      <w:r>
        <w:t>)</w:t>
      </w:r>
      <w:r w:rsidRPr="00F42C09">
        <w:t xml:space="preserve"> </w:t>
      </w:r>
      <w:proofErr w:type="spellStart"/>
      <w:r w:rsidRPr="00F42C09">
        <w:t>Esg</w:t>
      </w:r>
      <w:proofErr w:type="spellEnd"/>
      <w:r w:rsidRPr="00F42C09">
        <w:t xml:space="preserve"> Importance </w:t>
      </w:r>
      <w:proofErr w:type="gramStart"/>
      <w:r w:rsidRPr="00F42C09">
        <w:t>For</w:t>
      </w:r>
      <w:proofErr w:type="gramEnd"/>
      <w:r w:rsidRPr="00F42C09">
        <w:t xml:space="preserve"> Long-Term Shareholder Value Creation: Literature Vs. Practice. </w:t>
      </w:r>
      <w:r w:rsidRPr="00F42C09">
        <w:rPr>
          <w:i/>
          <w:iCs/>
        </w:rPr>
        <w:t>Journal Of Open Innovation: Technology, Market, And Complexity</w:t>
      </w:r>
      <w:r w:rsidRPr="00F42C09">
        <w:t>, </w:t>
      </w:r>
      <w:r w:rsidRPr="00F42C09">
        <w:rPr>
          <w:i/>
          <w:iCs/>
        </w:rPr>
        <w:t>7</w:t>
      </w:r>
      <w:r w:rsidRPr="00F42C09">
        <w:t>(2), P.127.</w:t>
      </w:r>
    </w:p>
    <w:p w14:paraId="69AC4635" w14:textId="77777777" w:rsidR="009D12C0" w:rsidRDefault="009D12C0" w:rsidP="007661C1"/>
    <w:p w14:paraId="11387985" w14:textId="77777777" w:rsidR="007661C1" w:rsidRPr="00B80955" w:rsidRDefault="007661C1" w:rsidP="00B80955">
      <w:pPr>
        <w:rPr>
          <w:rFonts w:cs="Arial"/>
          <w:szCs w:val="24"/>
          <w:shd w:val="clear" w:color="auto" w:fill="FFFFFF"/>
        </w:rPr>
      </w:pPr>
    </w:p>
    <w:p w14:paraId="7E721693" w14:textId="7611B6EF" w:rsidR="006B52E9" w:rsidRPr="00B80955" w:rsidRDefault="006B52E9" w:rsidP="00B80955">
      <w:pPr>
        <w:rPr>
          <w:rFonts w:cs="Arial"/>
          <w:b/>
          <w:bCs/>
          <w:szCs w:val="24"/>
          <w:lang w:val="en-IN"/>
        </w:rPr>
      </w:pPr>
      <w:r w:rsidRPr="00B80955">
        <w:rPr>
          <w:rFonts w:cs="Arial"/>
          <w:b/>
          <w:bCs/>
          <w:szCs w:val="24"/>
          <w:lang w:val="en-IN"/>
        </w:rPr>
        <w:br w:type="page"/>
      </w:r>
    </w:p>
    <w:p w14:paraId="20A3ED75" w14:textId="59AEA77D" w:rsidR="00661AA5" w:rsidRDefault="006B52E9" w:rsidP="00B80955">
      <w:pPr>
        <w:pStyle w:val="Heading1"/>
        <w:spacing w:after="240"/>
        <w:rPr>
          <w:rFonts w:cs="Arial"/>
          <w:szCs w:val="24"/>
          <w:lang w:val="en-IN"/>
        </w:rPr>
      </w:pPr>
      <w:bookmarkStart w:id="28" w:name="_Toc210822746"/>
      <w:r w:rsidRPr="00B80955">
        <w:rPr>
          <w:rFonts w:cs="Arial"/>
          <w:szCs w:val="24"/>
          <w:lang w:val="en-IN"/>
        </w:rPr>
        <w:lastRenderedPageBreak/>
        <w:t>Appendix</w:t>
      </w:r>
      <w:bookmarkEnd w:id="28"/>
    </w:p>
    <w:p w14:paraId="6246306C" w14:textId="39EABED6" w:rsidR="007661C1" w:rsidRDefault="007661C1" w:rsidP="007661C1">
      <w:pPr>
        <w:pStyle w:val="Heading2"/>
        <w:rPr>
          <w:lang w:val="en-IN"/>
        </w:rPr>
      </w:pPr>
      <w:bookmarkStart w:id="29" w:name="_Toc210822747"/>
      <w:r>
        <w:rPr>
          <w:lang w:val="en-IN"/>
        </w:rPr>
        <w:t>Ratios</w:t>
      </w:r>
      <w:bookmarkEnd w:id="29"/>
    </w:p>
    <w:p w14:paraId="680F7FE9" w14:textId="7B6E92DF" w:rsidR="007661C1" w:rsidRDefault="00CC5AED" w:rsidP="007661C1">
      <w:pPr>
        <w:rPr>
          <w:lang w:val="en-IN"/>
        </w:rPr>
      </w:pPr>
      <w:r w:rsidRPr="00CC5AED">
        <w:rPr>
          <w:noProof/>
          <w:lang w:val="en-IN"/>
        </w:rPr>
        <w:drawing>
          <wp:inline distT="0" distB="0" distL="0" distR="0" wp14:anchorId="5C056195" wp14:editId="20D83ACE">
            <wp:extent cx="5731510" cy="2526665"/>
            <wp:effectExtent l="0" t="0" r="2540" b="6985"/>
            <wp:docPr id="1372195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195906" name=""/>
                    <pic:cNvPicPr/>
                  </pic:nvPicPr>
                  <pic:blipFill>
                    <a:blip r:embed="rId45"/>
                    <a:stretch>
                      <a:fillRect/>
                    </a:stretch>
                  </pic:blipFill>
                  <pic:spPr>
                    <a:xfrm>
                      <a:off x="0" y="0"/>
                      <a:ext cx="5731510" cy="2526665"/>
                    </a:xfrm>
                    <a:prstGeom prst="rect">
                      <a:avLst/>
                    </a:prstGeom>
                  </pic:spPr>
                </pic:pic>
              </a:graphicData>
            </a:graphic>
          </wp:inline>
        </w:drawing>
      </w:r>
    </w:p>
    <w:p w14:paraId="29188A38" w14:textId="41846423" w:rsidR="00CC5AED" w:rsidRDefault="00F81495" w:rsidP="007661C1">
      <w:pPr>
        <w:rPr>
          <w:lang w:val="en-IN"/>
        </w:rPr>
      </w:pPr>
      <w:r w:rsidRPr="00F81495">
        <w:rPr>
          <w:noProof/>
          <w:lang w:val="en-IN"/>
        </w:rPr>
        <w:drawing>
          <wp:inline distT="0" distB="0" distL="0" distR="0" wp14:anchorId="0F0268F6" wp14:editId="4DAA30F5">
            <wp:extent cx="5731510" cy="2666365"/>
            <wp:effectExtent l="0" t="0" r="2540" b="635"/>
            <wp:docPr id="1989760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760316" name=""/>
                    <pic:cNvPicPr/>
                  </pic:nvPicPr>
                  <pic:blipFill>
                    <a:blip r:embed="rId46"/>
                    <a:stretch>
                      <a:fillRect/>
                    </a:stretch>
                  </pic:blipFill>
                  <pic:spPr>
                    <a:xfrm>
                      <a:off x="0" y="0"/>
                      <a:ext cx="5731510" cy="2666365"/>
                    </a:xfrm>
                    <a:prstGeom prst="rect">
                      <a:avLst/>
                    </a:prstGeom>
                  </pic:spPr>
                </pic:pic>
              </a:graphicData>
            </a:graphic>
          </wp:inline>
        </w:drawing>
      </w:r>
    </w:p>
    <w:p w14:paraId="529E6A75" w14:textId="2A9C0772" w:rsidR="00F81495" w:rsidRDefault="00F81495" w:rsidP="007661C1">
      <w:pPr>
        <w:rPr>
          <w:lang w:val="en-IN"/>
        </w:rPr>
      </w:pPr>
      <w:r w:rsidRPr="00F81495">
        <w:rPr>
          <w:noProof/>
          <w:lang w:val="en-IN"/>
        </w:rPr>
        <w:drawing>
          <wp:inline distT="0" distB="0" distL="0" distR="0" wp14:anchorId="3ED663A0" wp14:editId="3C3DF170">
            <wp:extent cx="5731510" cy="1820545"/>
            <wp:effectExtent l="0" t="0" r="2540" b="8255"/>
            <wp:docPr id="618341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341072" name=""/>
                    <pic:cNvPicPr/>
                  </pic:nvPicPr>
                  <pic:blipFill>
                    <a:blip r:embed="rId47"/>
                    <a:stretch>
                      <a:fillRect/>
                    </a:stretch>
                  </pic:blipFill>
                  <pic:spPr>
                    <a:xfrm>
                      <a:off x="0" y="0"/>
                      <a:ext cx="5731510" cy="1820545"/>
                    </a:xfrm>
                    <a:prstGeom prst="rect">
                      <a:avLst/>
                    </a:prstGeom>
                  </pic:spPr>
                </pic:pic>
              </a:graphicData>
            </a:graphic>
          </wp:inline>
        </w:drawing>
      </w:r>
    </w:p>
    <w:p w14:paraId="181C6A5B" w14:textId="51B27046" w:rsidR="00F81495" w:rsidRDefault="00077ED4" w:rsidP="007661C1">
      <w:pPr>
        <w:rPr>
          <w:lang w:val="en-IN"/>
        </w:rPr>
      </w:pPr>
      <w:r w:rsidRPr="00077ED4">
        <w:rPr>
          <w:noProof/>
          <w:lang w:val="en-IN"/>
        </w:rPr>
        <w:lastRenderedPageBreak/>
        <w:drawing>
          <wp:inline distT="0" distB="0" distL="0" distR="0" wp14:anchorId="458A16DB" wp14:editId="6477B87F">
            <wp:extent cx="5731510" cy="2145030"/>
            <wp:effectExtent l="0" t="0" r="2540" b="7620"/>
            <wp:docPr id="87280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80241" name=""/>
                    <pic:cNvPicPr/>
                  </pic:nvPicPr>
                  <pic:blipFill>
                    <a:blip r:embed="rId48"/>
                    <a:stretch>
                      <a:fillRect/>
                    </a:stretch>
                  </pic:blipFill>
                  <pic:spPr>
                    <a:xfrm>
                      <a:off x="0" y="0"/>
                      <a:ext cx="5731510" cy="2145030"/>
                    </a:xfrm>
                    <a:prstGeom prst="rect">
                      <a:avLst/>
                    </a:prstGeom>
                  </pic:spPr>
                </pic:pic>
              </a:graphicData>
            </a:graphic>
          </wp:inline>
        </w:drawing>
      </w:r>
    </w:p>
    <w:p w14:paraId="628165F8" w14:textId="1ECA900D" w:rsidR="00077ED4" w:rsidRDefault="00077ED4" w:rsidP="007661C1">
      <w:pPr>
        <w:rPr>
          <w:lang w:val="en-IN"/>
        </w:rPr>
      </w:pPr>
      <w:r w:rsidRPr="00077ED4">
        <w:rPr>
          <w:noProof/>
          <w:lang w:val="en-IN"/>
        </w:rPr>
        <w:drawing>
          <wp:inline distT="0" distB="0" distL="0" distR="0" wp14:anchorId="5C04F8BF" wp14:editId="1A00390B">
            <wp:extent cx="5731510" cy="1437640"/>
            <wp:effectExtent l="0" t="0" r="2540" b="0"/>
            <wp:docPr id="1196738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738097" name=""/>
                    <pic:cNvPicPr/>
                  </pic:nvPicPr>
                  <pic:blipFill>
                    <a:blip r:embed="rId49"/>
                    <a:stretch>
                      <a:fillRect/>
                    </a:stretch>
                  </pic:blipFill>
                  <pic:spPr>
                    <a:xfrm>
                      <a:off x="0" y="0"/>
                      <a:ext cx="5731510" cy="1437640"/>
                    </a:xfrm>
                    <a:prstGeom prst="rect">
                      <a:avLst/>
                    </a:prstGeom>
                  </pic:spPr>
                </pic:pic>
              </a:graphicData>
            </a:graphic>
          </wp:inline>
        </w:drawing>
      </w:r>
    </w:p>
    <w:p w14:paraId="7F025FE1" w14:textId="1B0A8EE1" w:rsidR="00077ED4" w:rsidRPr="007661C1" w:rsidRDefault="00927A69" w:rsidP="007661C1">
      <w:pPr>
        <w:rPr>
          <w:lang w:val="en-IN"/>
        </w:rPr>
      </w:pPr>
      <w:r w:rsidRPr="00927A69">
        <w:rPr>
          <w:noProof/>
          <w:lang w:val="en-IN"/>
        </w:rPr>
        <w:drawing>
          <wp:inline distT="0" distB="0" distL="0" distR="0" wp14:anchorId="7F17FFC9" wp14:editId="1590D1E8">
            <wp:extent cx="5731510" cy="1506220"/>
            <wp:effectExtent l="0" t="0" r="2540" b="0"/>
            <wp:docPr id="529693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693575" name=""/>
                    <pic:cNvPicPr/>
                  </pic:nvPicPr>
                  <pic:blipFill>
                    <a:blip r:embed="rId50"/>
                    <a:stretch>
                      <a:fillRect/>
                    </a:stretch>
                  </pic:blipFill>
                  <pic:spPr>
                    <a:xfrm>
                      <a:off x="0" y="0"/>
                      <a:ext cx="5731510" cy="1506220"/>
                    </a:xfrm>
                    <a:prstGeom prst="rect">
                      <a:avLst/>
                    </a:prstGeom>
                  </pic:spPr>
                </pic:pic>
              </a:graphicData>
            </a:graphic>
          </wp:inline>
        </w:drawing>
      </w:r>
    </w:p>
    <w:p w14:paraId="1CE8563B" w14:textId="25AE827C" w:rsidR="006B52E9" w:rsidRPr="00B80955" w:rsidRDefault="006B52E9" w:rsidP="00B80955">
      <w:pPr>
        <w:pStyle w:val="Heading2"/>
        <w:spacing w:before="240" w:after="240"/>
        <w:rPr>
          <w:rFonts w:cs="Arial"/>
          <w:szCs w:val="24"/>
          <w:lang w:val="en-IN"/>
        </w:rPr>
      </w:pPr>
      <w:bookmarkStart w:id="30" w:name="_Toc210822748"/>
      <w:r w:rsidRPr="00B80955">
        <w:rPr>
          <w:rFonts w:cs="Arial"/>
          <w:szCs w:val="24"/>
          <w:lang w:val="en-IN"/>
        </w:rPr>
        <w:t>Cash Operating Cycle</w:t>
      </w:r>
      <w:bookmarkEnd w:id="30"/>
    </w:p>
    <w:p w14:paraId="06AD2384" w14:textId="38AF73E6" w:rsidR="006B52E9" w:rsidRPr="00B80955" w:rsidRDefault="00E25182" w:rsidP="00B80955">
      <w:pPr>
        <w:rPr>
          <w:rFonts w:cs="Arial"/>
          <w:b/>
          <w:bCs/>
          <w:i/>
          <w:iCs/>
          <w:szCs w:val="24"/>
          <w:lang w:val="en-IN"/>
        </w:rPr>
      </w:pPr>
      <w:r w:rsidRPr="00B80955">
        <w:rPr>
          <w:rFonts w:cs="Arial"/>
          <w:b/>
          <w:bCs/>
          <w:i/>
          <w:iCs/>
          <w:noProof/>
          <w:szCs w:val="24"/>
          <w:lang w:val="en-IN"/>
        </w:rPr>
        <w:drawing>
          <wp:inline distT="0" distB="0" distL="0" distR="0" wp14:anchorId="3DFE0609" wp14:editId="4B4AAE6E">
            <wp:extent cx="5731510" cy="1151890"/>
            <wp:effectExtent l="0" t="0" r="2540" b="0"/>
            <wp:docPr id="281452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452103" name=""/>
                    <pic:cNvPicPr/>
                  </pic:nvPicPr>
                  <pic:blipFill>
                    <a:blip r:embed="rId51"/>
                    <a:stretch>
                      <a:fillRect/>
                    </a:stretch>
                  </pic:blipFill>
                  <pic:spPr>
                    <a:xfrm>
                      <a:off x="0" y="0"/>
                      <a:ext cx="5731510" cy="1151890"/>
                    </a:xfrm>
                    <a:prstGeom prst="rect">
                      <a:avLst/>
                    </a:prstGeom>
                  </pic:spPr>
                </pic:pic>
              </a:graphicData>
            </a:graphic>
          </wp:inline>
        </w:drawing>
      </w:r>
    </w:p>
    <w:p w14:paraId="28802775" w14:textId="77777777" w:rsidR="00902006" w:rsidRPr="00B80955" w:rsidRDefault="00902006" w:rsidP="00B80955">
      <w:pPr>
        <w:rPr>
          <w:rFonts w:cs="Arial"/>
          <w:b/>
          <w:bCs/>
          <w:szCs w:val="24"/>
          <w:lang w:val="en-IN"/>
        </w:rPr>
      </w:pPr>
    </w:p>
    <w:p w14:paraId="1131C052" w14:textId="77777777" w:rsidR="00F01201" w:rsidRPr="00B80955" w:rsidRDefault="00F01201" w:rsidP="00B80955">
      <w:pPr>
        <w:rPr>
          <w:rFonts w:cs="Arial"/>
          <w:b/>
          <w:bCs/>
          <w:szCs w:val="24"/>
          <w:lang w:val="en-IN"/>
        </w:rPr>
      </w:pPr>
    </w:p>
    <w:sectPr w:rsidR="00F01201" w:rsidRPr="00B80955" w:rsidSect="000A7325">
      <w:headerReference w:type="even" r:id="rId52"/>
      <w:headerReference w:type="default" r:id="rId53"/>
      <w:footerReference w:type="even" r:id="rId54"/>
      <w:footerReference w:type="default" r:id="rId55"/>
      <w:headerReference w:type="first" r:id="rId56"/>
      <w:footerReference w:type="first" r:id="rId5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C78B6" w14:textId="77777777" w:rsidR="007E6DDA" w:rsidRDefault="007E6DDA" w:rsidP="000A7325">
      <w:pPr>
        <w:spacing w:before="0" w:after="0" w:line="240" w:lineRule="auto"/>
      </w:pPr>
      <w:r>
        <w:separator/>
      </w:r>
    </w:p>
  </w:endnote>
  <w:endnote w:type="continuationSeparator" w:id="0">
    <w:p w14:paraId="6DCC3870" w14:textId="77777777" w:rsidR="007E6DDA" w:rsidRDefault="007E6DDA" w:rsidP="000A732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A4D04" w14:textId="77777777" w:rsidR="000A7325" w:rsidRDefault="000A73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9297145"/>
      <w:docPartObj>
        <w:docPartGallery w:val="Page Numbers (Bottom of Page)"/>
        <w:docPartUnique/>
      </w:docPartObj>
    </w:sdtPr>
    <w:sdtEndPr>
      <w:rPr>
        <w:noProof/>
      </w:rPr>
    </w:sdtEndPr>
    <w:sdtContent>
      <w:p w14:paraId="36CEC11F" w14:textId="76C34563" w:rsidR="000A7325" w:rsidRDefault="000A73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ECBCE5" w14:textId="77777777" w:rsidR="000A7325" w:rsidRDefault="000A73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520677" w14:textId="77777777" w:rsidR="000A7325" w:rsidRDefault="000A73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30BB7" w14:textId="77777777" w:rsidR="007E6DDA" w:rsidRDefault="007E6DDA" w:rsidP="000A7325">
      <w:pPr>
        <w:spacing w:before="0" w:after="0" w:line="240" w:lineRule="auto"/>
      </w:pPr>
      <w:r>
        <w:separator/>
      </w:r>
    </w:p>
  </w:footnote>
  <w:footnote w:type="continuationSeparator" w:id="0">
    <w:p w14:paraId="51D0F24C" w14:textId="77777777" w:rsidR="007E6DDA" w:rsidRDefault="007E6DDA" w:rsidP="000A732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979EB" w14:textId="77777777" w:rsidR="000A7325" w:rsidRDefault="000A73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BFE778" w14:textId="77777777" w:rsidR="000A7325" w:rsidRDefault="000A73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CB44C0" w14:textId="77777777" w:rsidR="000A7325" w:rsidRDefault="000A73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43E68"/>
    <w:multiLevelType w:val="hybridMultilevel"/>
    <w:tmpl w:val="CDA23D5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0C3F77B6"/>
    <w:multiLevelType w:val="multilevel"/>
    <w:tmpl w:val="883268C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0D34430"/>
    <w:multiLevelType w:val="hybridMultilevel"/>
    <w:tmpl w:val="87928BDA"/>
    <w:lvl w:ilvl="0" w:tplc="40090019">
      <w:start w:val="1"/>
      <w:numFmt w:val="lowerLetter"/>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 w15:restartNumberingAfterBreak="0">
    <w:nsid w:val="3B00327D"/>
    <w:multiLevelType w:val="hybridMultilevel"/>
    <w:tmpl w:val="64BCEF16"/>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 w15:restartNumberingAfterBreak="0">
    <w:nsid w:val="588C3E1D"/>
    <w:multiLevelType w:val="hybridMultilevel"/>
    <w:tmpl w:val="78DE62B0"/>
    <w:lvl w:ilvl="0" w:tplc="40090019">
      <w:start w:val="1"/>
      <w:numFmt w:val="lowerLetter"/>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5" w15:restartNumberingAfterBreak="0">
    <w:nsid w:val="6490373B"/>
    <w:multiLevelType w:val="hybridMultilevel"/>
    <w:tmpl w:val="1F64B488"/>
    <w:lvl w:ilvl="0" w:tplc="40090019">
      <w:start w:val="1"/>
      <w:numFmt w:val="lowerLetter"/>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1332370999">
    <w:abstractNumId w:val="4"/>
  </w:num>
  <w:num w:numId="2" w16cid:durableId="46416202">
    <w:abstractNumId w:val="0"/>
  </w:num>
  <w:num w:numId="3" w16cid:durableId="621571923">
    <w:abstractNumId w:val="5"/>
  </w:num>
  <w:num w:numId="4" w16cid:durableId="542719731">
    <w:abstractNumId w:val="2"/>
  </w:num>
  <w:num w:numId="5" w16cid:durableId="590045615">
    <w:abstractNumId w:val="3"/>
  </w:num>
  <w:num w:numId="6" w16cid:durableId="12375879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GyNDQ1NrA0MzU2szRX0lEKTi0uzszPAykwqgUAbJ2jiiwAAAA="/>
  </w:docVars>
  <w:rsids>
    <w:rsidRoot w:val="00CC4948"/>
    <w:rsid w:val="00001152"/>
    <w:rsid w:val="000047C4"/>
    <w:rsid w:val="000200CD"/>
    <w:rsid w:val="00024880"/>
    <w:rsid w:val="00027D29"/>
    <w:rsid w:val="0003549A"/>
    <w:rsid w:val="0003591F"/>
    <w:rsid w:val="00062C91"/>
    <w:rsid w:val="00071428"/>
    <w:rsid w:val="00077ED4"/>
    <w:rsid w:val="000853A1"/>
    <w:rsid w:val="00087D6C"/>
    <w:rsid w:val="000945C5"/>
    <w:rsid w:val="000A7325"/>
    <w:rsid w:val="000B1297"/>
    <w:rsid w:val="000C0E7D"/>
    <w:rsid w:val="000C2BF5"/>
    <w:rsid w:val="000C7C66"/>
    <w:rsid w:val="000D5E14"/>
    <w:rsid w:val="000F474D"/>
    <w:rsid w:val="00101779"/>
    <w:rsid w:val="0010274E"/>
    <w:rsid w:val="001042D8"/>
    <w:rsid w:val="001133F2"/>
    <w:rsid w:val="0012142F"/>
    <w:rsid w:val="00125E28"/>
    <w:rsid w:val="0013781F"/>
    <w:rsid w:val="0015749B"/>
    <w:rsid w:val="00160E50"/>
    <w:rsid w:val="001619E4"/>
    <w:rsid w:val="00171369"/>
    <w:rsid w:val="0017452A"/>
    <w:rsid w:val="0018520C"/>
    <w:rsid w:val="001B6658"/>
    <w:rsid w:val="001B6BF7"/>
    <w:rsid w:val="001B7AE3"/>
    <w:rsid w:val="001C3970"/>
    <w:rsid w:val="001C7513"/>
    <w:rsid w:val="001D2B74"/>
    <w:rsid w:val="001D742C"/>
    <w:rsid w:val="001E0B51"/>
    <w:rsid w:val="001E3ED2"/>
    <w:rsid w:val="001E65C4"/>
    <w:rsid w:val="001F0946"/>
    <w:rsid w:val="001F5E19"/>
    <w:rsid w:val="0020292F"/>
    <w:rsid w:val="002046DD"/>
    <w:rsid w:val="00204C19"/>
    <w:rsid w:val="002163FD"/>
    <w:rsid w:val="00220A91"/>
    <w:rsid w:val="00221DA5"/>
    <w:rsid w:val="00226B39"/>
    <w:rsid w:val="0023668B"/>
    <w:rsid w:val="0023753E"/>
    <w:rsid w:val="00240201"/>
    <w:rsid w:val="002425C9"/>
    <w:rsid w:val="00242CA1"/>
    <w:rsid w:val="002430D1"/>
    <w:rsid w:val="002456D0"/>
    <w:rsid w:val="002506B9"/>
    <w:rsid w:val="00251E04"/>
    <w:rsid w:val="0025412C"/>
    <w:rsid w:val="00267554"/>
    <w:rsid w:val="00277513"/>
    <w:rsid w:val="002971B2"/>
    <w:rsid w:val="002A09EA"/>
    <w:rsid w:val="002A249D"/>
    <w:rsid w:val="002A3C0E"/>
    <w:rsid w:val="002B115C"/>
    <w:rsid w:val="002C05D3"/>
    <w:rsid w:val="002C2553"/>
    <w:rsid w:val="002D3C6E"/>
    <w:rsid w:val="002D58AD"/>
    <w:rsid w:val="002D7F9E"/>
    <w:rsid w:val="002E4F87"/>
    <w:rsid w:val="002E50FB"/>
    <w:rsid w:val="002E5A2F"/>
    <w:rsid w:val="002F7D21"/>
    <w:rsid w:val="00303D90"/>
    <w:rsid w:val="0030790B"/>
    <w:rsid w:val="003123BE"/>
    <w:rsid w:val="00322902"/>
    <w:rsid w:val="003277E6"/>
    <w:rsid w:val="00347F85"/>
    <w:rsid w:val="00373E3F"/>
    <w:rsid w:val="003B2519"/>
    <w:rsid w:val="003B4315"/>
    <w:rsid w:val="003B5FCC"/>
    <w:rsid w:val="003C2669"/>
    <w:rsid w:val="003D31E2"/>
    <w:rsid w:val="003D3F16"/>
    <w:rsid w:val="003E4308"/>
    <w:rsid w:val="003F7739"/>
    <w:rsid w:val="004025CE"/>
    <w:rsid w:val="004234ED"/>
    <w:rsid w:val="00425673"/>
    <w:rsid w:val="00443865"/>
    <w:rsid w:val="00447A4E"/>
    <w:rsid w:val="0045081B"/>
    <w:rsid w:val="00452669"/>
    <w:rsid w:val="00474471"/>
    <w:rsid w:val="0048191D"/>
    <w:rsid w:val="004923D3"/>
    <w:rsid w:val="004948F2"/>
    <w:rsid w:val="004B3C43"/>
    <w:rsid w:val="004C21F5"/>
    <w:rsid w:val="004C46F2"/>
    <w:rsid w:val="004C7715"/>
    <w:rsid w:val="004C7B06"/>
    <w:rsid w:val="004D1A96"/>
    <w:rsid w:val="004D30D4"/>
    <w:rsid w:val="004D51A9"/>
    <w:rsid w:val="004D5A65"/>
    <w:rsid w:val="004D7AD4"/>
    <w:rsid w:val="004E015E"/>
    <w:rsid w:val="004E52BD"/>
    <w:rsid w:val="004E5CAA"/>
    <w:rsid w:val="004E682B"/>
    <w:rsid w:val="005005D5"/>
    <w:rsid w:val="00501B45"/>
    <w:rsid w:val="005032BA"/>
    <w:rsid w:val="0050587D"/>
    <w:rsid w:val="005211A3"/>
    <w:rsid w:val="0052342A"/>
    <w:rsid w:val="00533BA9"/>
    <w:rsid w:val="00574DDB"/>
    <w:rsid w:val="00580C6A"/>
    <w:rsid w:val="005934C6"/>
    <w:rsid w:val="005A55C5"/>
    <w:rsid w:val="005A7F05"/>
    <w:rsid w:val="005B05C4"/>
    <w:rsid w:val="005B36A3"/>
    <w:rsid w:val="005B41DA"/>
    <w:rsid w:val="005B7D06"/>
    <w:rsid w:val="005C18EA"/>
    <w:rsid w:val="005C5F29"/>
    <w:rsid w:val="005E3A9D"/>
    <w:rsid w:val="005E6277"/>
    <w:rsid w:val="005F1168"/>
    <w:rsid w:val="005F1689"/>
    <w:rsid w:val="005F16F0"/>
    <w:rsid w:val="00621A6A"/>
    <w:rsid w:val="006328C7"/>
    <w:rsid w:val="00636E90"/>
    <w:rsid w:val="00661AA5"/>
    <w:rsid w:val="006654AF"/>
    <w:rsid w:val="0066735F"/>
    <w:rsid w:val="00667B43"/>
    <w:rsid w:val="006747BF"/>
    <w:rsid w:val="0069502A"/>
    <w:rsid w:val="006A4380"/>
    <w:rsid w:val="006B52E9"/>
    <w:rsid w:val="006C07AB"/>
    <w:rsid w:val="006C22E7"/>
    <w:rsid w:val="006C4A0B"/>
    <w:rsid w:val="006D0DEB"/>
    <w:rsid w:val="006F226A"/>
    <w:rsid w:val="006F3206"/>
    <w:rsid w:val="0070772F"/>
    <w:rsid w:val="00730B7E"/>
    <w:rsid w:val="007337AD"/>
    <w:rsid w:val="007372CF"/>
    <w:rsid w:val="00747D09"/>
    <w:rsid w:val="007627CA"/>
    <w:rsid w:val="007661C1"/>
    <w:rsid w:val="007708C9"/>
    <w:rsid w:val="00772087"/>
    <w:rsid w:val="00782D0B"/>
    <w:rsid w:val="0078456D"/>
    <w:rsid w:val="007A6F37"/>
    <w:rsid w:val="007B7456"/>
    <w:rsid w:val="007C3843"/>
    <w:rsid w:val="007C40DB"/>
    <w:rsid w:val="007D7BC2"/>
    <w:rsid w:val="007E6DDA"/>
    <w:rsid w:val="007F4F79"/>
    <w:rsid w:val="008024CD"/>
    <w:rsid w:val="0080569D"/>
    <w:rsid w:val="00810B1A"/>
    <w:rsid w:val="00827966"/>
    <w:rsid w:val="008322FB"/>
    <w:rsid w:val="00832760"/>
    <w:rsid w:val="0084058E"/>
    <w:rsid w:val="008530F2"/>
    <w:rsid w:val="0085399A"/>
    <w:rsid w:val="0085522D"/>
    <w:rsid w:val="0086039D"/>
    <w:rsid w:val="00863F01"/>
    <w:rsid w:val="008A6441"/>
    <w:rsid w:val="008B08C7"/>
    <w:rsid w:val="008B2252"/>
    <w:rsid w:val="008B5DD0"/>
    <w:rsid w:val="008C09FD"/>
    <w:rsid w:val="008C104B"/>
    <w:rsid w:val="008C56BC"/>
    <w:rsid w:val="008E1A98"/>
    <w:rsid w:val="008E43EC"/>
    <w:rsid w:val="00902006"/>
    <w:rsid w:val="00912153"/>
    <w:rsid w:val="0091731B"/>
    <w:rsid w:val="00927A69"/>
    <w:rsid w:val="009327CE"/>
    <w:rsid w:val="00932C6A"/>
    <w:rsid w:val="009330D7"/>
    <w:rsid w:val="00941045"/>
    <w:rsid w:val="00944E69"/>
    <w:rsid w:val="00951CE1"/>
    <w:rsid w:val="009532F0"/>
    <w:rsid w:val="00970D4A"/>
    <w:rsid w:val="00982748"/>
    <w:rsid w:val="00983AF2"/>
    <w:rsid w:val="009857F2"/>
    <w:rsid w:val="00987D66"/>
    <w:rsid w:val="00994936"/>
    <w:rsid w:val="009A35C8"/>
    <w:rsid w:val="009A6A21"/>
    <w:rsid w:val="009B541A"/>
    <w:rsid w:val="009B628D"/>
    <w:rsid w:val="009D12C0"/>
    <w:rsid w:val="009E4E1C"/>
    <w:rsid w:val="009F20C9"/>
    <w:rsid w:val="00A02035"/>
    <w:rsid w:val="00A022AA"/>
    <w:rsid w:val="00A06E0E"/>
    <w:rsid w:val="00A1085E"/>
    <w:rsid w:val="00A116FC"/>
    <w:rsid w:val="00A144EF"/>
    <w:rsid w:val="00A21185"/>
    <w:rsid w:val="00A21DEB"/>
    <w:rsid w:val="00A34DE7"/>
    <w:rsid w:val="00A47491"/>
    <w:rsid w:val="00A52FFB"/>
    <w:rsid w:val="00A5359A"/>
    <w:rsid w:val="00A551B8"/>
    <w:rsid w:val="00A562D8"/>
    <w:rsid w:val="00A73B1B"/>
    <w:rsid w:val="00A777F9"/>
    <w:rsid w:val="00A85131"/>
    <w:rsid w:val="00A85D9E"/>
    <w:rsid w:val="00A9273C"/>
    <w:rsid w:val="00AA1D70"/>
    <w:rsid w:val="00AA501F"/>
    <w:rsid w:val="00AB52EB"/>
    <w:rsid w:val="00AC1831"/>
    <w:rsid w:val="00AE0455"/>
    <w:rsid w:val="00AE4C98"/>
    <w:rsid w:val="00AF296A"/>
    <w:rsid w:val="00AF60EA"/>
    <w:rsid w:val="00B142C3"/>
    <w:rsid w:val="00B2280D"/>
    <w:rsid w:val="00B2560E"/>
    <w:rsid w:val="00B561D5"/>
    <w:rsid w:val="00B80955"/>
    <w:rsid w:val="00B94459"/>
    <w:rsid w:val="00BA135E"/>
    <w:rsid w:val="00BA26F4"/>
    <w:rsid w:val="00BB1BFA"/>
    <w:rsid w:val="00BB3493"/>
    <w:rsid w:val="00BC7F10"/>
    <w:rsid w:val="00BE678F"/>
    <w:rsid w:val="00C040F2"/>
    <w:rsid w:val="00C04650"/>
    <w:rsid w:val="00C14BDB"/>
    <w:rsid w:val="00C15387"/>
    <w:rsid w:val="00C213CE"/>
    <w:rsid w:val="00C320E3"/>
    <w:rsid w:val="00C37780"/>
    <w:rsid w:val="00C408CC"/>
    <w:rsid w:val="00C959B3"/>
    <w:rsid w:val="00CA1653"/>
    <w:rsid w:val="00CA19C5"/>
    <w:rsid w:val="00CA3C80"/>
    <w:rsid w:val="00CB4E93"/>
    <w:rsid w:val="00CC4948"/>
    <w:rsid w:val="00CC5AED"/>
    <w:rsid w:val="00D00D54"/>
    <w:rsid w:val="00D023DA"/>
    <w:rsid w:val="00D1109D"/>
    <w:rsid w:val="00D1382C"/>
    <w:rsid w:val="00D16AF4"/>
    <w:rsid w:val="00D2278B"/>
    <w:rsid w:val="00D231F8"/>
    <w:rsid w:val="00D24203"/>
    <w:rsid w:val="00D24D24"/>
    <w:rsid w:val="00D266A3"/>
    <w:rsid w:val="00D33F72"/>
    <w:rsid w:val="00D44D19"/>
    <w:rsid w:val="00D564D2"/>
    <w:rsid w:val="00D60C55"/>
    <w:rsid w:val="00D64941"/>
    <w:rsid w:val="00D73750"/>
    <w:rsid w:val="00D74164"/>
    <w:rsid w:val="00D83DE3"/>
    <w:rsid w:val="00D84066"/>
    <w:rsid w:val="00D92C1D"/>
    <w:rsid w:val="00D96B2F"/>
    <w:rsid w:val="00DC0CFC"/>
    <w:rsid w:val="00DD2ABD"/>
    <w:rsid w:val="00DE057F"/>
    <w:rsid w:val="00DE0D4A"/>
    <w:rsid w:val="00DE2A48"/>
    <w:rsid w:val="00E10A78"/>
    <w:rsid w:val="00E16A26"/>
    <w:rsid w:val="00E17885"/>
    <w:rsid w:val="00E237EF"/>
    <w:rsid w:val="00E25182"/>
    <w:rsid w:val="00E26F5F"/>
    <w:rsid w:val="00E304F8"/>
    <w:rsid w:val="00E3576B"/>
    <w:rsid w:val="00E368DB"/>
    <w:rsid w:val="00E44409"/>
    <w:rsid w:val="00E44F30"/>
    <w:rsid w:val="00E476E2"/>
    <w:rsid w:val="00E52E94"/>
    <w:rsid w:val="00E72A4A"/>
    <w:rsid w:val="00E82E8B"/>
    <w:rsid w:val="00E87B5B"/>
    <w:rsid w:val="00EA1B40"/>
    <w:rsid w:val="00EA1CFA"/>
    <w:rsid w:val="00EA57C7"/>
    <w:rsid w:val="00EA6C69"/>
    <w:rsid w:val="00EB040C"/>
    <w:rsid w:val="00EB5C04"/>
    <w:rsid w:val="00ED0DDB"/>
    <w:rsid w:val="00EE2B51"/>
    <w:rsid w:val="00F01201"/>
    <w:rsid w:val="00F103BD"/>
    <w:rsid w:val="00F147D4"/>
    <w:rsid w:val="00F15702"/>
    <w:rsid w:val="00F221F8"/>
    <w:rsid w:val="00F27B49"/>
    <w:rsid w:val="00F3309B"/>
    <w:rsid w:val="00F43D74"/>
    <w:rsid w:val="00F5166A"/>
    <w:rsid w:val="00F57BC2"/>
    <w:rsid w:val="00F7172B"/>
    <w:rsid w:val="00F72768"/>
    <w:rsid w:val="00F74AB7"/>
    <w:rsid w:val="00F803F2"/>
    <w:rsid w:val="00F81495"/>
    <w:rsid w:val="00F90AE3"/>
    <w:rsid w:val="00F92E90"/>
    <w:rsid w:val="00F93E3D"/>
    <w:rsid w:val="00FA1119"/>
    <w:rsid w:val="00FB6F8C"/>
    <w:rsid w:val="00FD20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F0D830"/>
  <w15:chartTrackingRefBased/>
  <w15:docId w15:val="{40BD15E3-6FE2-4EE8-8FBE-A6D8DA8A0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3E3D"/>
    <w:rPr>
      <w:rFonts w:ascii="Arial" w:hAnsi="Arial"/>
      <w:sz w:val="24"/>
      <w:lang w:val="en-GB"/>
    </w:rPr>
  </w:style>
  <w:style w:type="paragraph" w:styleId="Heading1">
    <w:name w:val="heading 1"/>
    <w:basedOn w:val="Normal"/>
    <w:next w:val="Normal"/>
    <w:link w:val="Heading1Char"/>
    <w:uiPriority w:val="9"/>
    <w:qFormat/>
    <w:rsid w:val="00D74164"/>
    <w:pPr>
      <w:keepNext/>
      <w:keepLines/>
      <w:spacing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60E50"/>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F147D4"/>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CC494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C494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C494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C494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C4948"/>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C4948"/>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60E50"/>
    <w:pPr>
      <w:spacing w:after="0"/>
    </w:pPr>
    <w:rPr>
      <w:rFonts w:ascii="Times New Roman" w:hAnsi="Times New Roman"/>
      <w:sz w:val="24"/>
    </w:rPr>
  </w:style>
  <w:style w:type="paragraph" w:styleId="Title">
    <w:name w:val="Title"/>
    <w:basedOn w:val="Normal"/>
    <w:next w:val="Normal"/>
    <w:link w:val="TitleChar"/>
    <w:uiPriority w:val="10"/>
    <w:qFormat/>
    <w:rsid w:val="004D7AD4"/>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4D7AD4"/>
    <w:rPr>
      <w:rFonts w:ascii="Times New Roman" w:eastAsiaTheme="majorEastAsia" w:hAnsi="Times New Roman" w:cstheme="majorBidi"/>
      <w:b/>
      <w:spacing w:val="-10"/>
      <w:kern w:val="28"/>
      <w:sz w:val="40"/>
      <w:szCs w:val="56"/>
    </w:rPr>
  </w:style>
  <w:style w:type="character" w:customStyle="1" w:styleId="Heading2Char">
    <w:name w:val="Heading 2 Char"/>
    <w:basedOn w:val="DefaultParagraphFont"/>
    <w:link w:val="Heading2"/>
    <w:uiPriority w:val="9"/>
    <w:rsid w:val="00160E50"/>
    <w:rPr>
      <w:rFonts w:ascii="Times New Roman" w:eastAsiaTheme="majorEastAsia" w:hAnsi="Times New Roman" w:cstheme="majorBidi"/>
      <w:b/>
      <w:i/>
      <w:sz w:val="24"/>
      <w:szCs w:val="26"/>
    </w:rPr>
  </w:style>
  <w:style w:type="character" w:customStyle="1" w:styleId="Heading1Char">
    <w:name w:val="Heading 1 Char"/>
    <w:basedOn w:val="DefaultParagraphFont"/>
    <w:link w:val="Heading1"/>
    <w:uiPriority w:val="9"/>
    <w:rsid w:val="00D74164"/>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semiHidden/>
    <w:rsid w:val="00F147D4"/>
    <w:rPr>
      <w:rFonts w:ascii="Times New Roman" w:eastAsiaTheme="majorEastAsia" w:hAnsi="Times New Roman" w:cstheme="majorBidi"/>
      <w:i/>
      <w:sz w:val="24"/>
      <w:szCs w:val="24"/>
      <w:lang w:val="en-GB"/>
    </w:rPr>
  </w:style>
  <w:style w:type="character" w:customStyle="1" w:styleId="Heading4Char">
    <w:name w:val="Heading 4 Char"/>
    <w:basedOn w:val="DefaultParagraphFont"/>
    <w:link w:val="Heading4"/>
    <w:uiPriority w:val="9"/>
    <w:semiHidden/>
    <w:rsid w:val="00CC4948"/>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CC4948"/>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CC4948"/>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CC4948"/>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CC4948"/>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CC4948"/>
    <w:rPr>
      <w:rFonts w:eastAsiaTheme="majorEastAsia" w:cstheme="majorBidi"/>
      <w:color w:val="272727" w:themeColor="text1" w:themeTint="D8"/>
      <w:sz w:val="24"/>
      <w:lang w:val="en-GB"/>
    </w:rPr>
  </w:style>
  <w:style w:type="paragraph" w:styleId="Subtitle">
    <w:name w:val="Subtitle"/>
    <w:basedOn w:val="Normal"/>
    <w:next w:val="Normal"/>
    <w:link w:val="SubtitleChar"/>
    <w:uiPriority w:val="11"/>
    <w:qFormat/>
    <w:rsid w:val="00CC494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494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C494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C4948"/>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CC4948"/>
    <w:pPr>
      <w:ind w:left="720"/>
      <w:contextualSpacing/>
    </w:pPr>
  </w:style>
  <w:style w:type="character" w:styleId="IntenseEmphasis">
    <w:name w:val="Intense Emphasis"/>
    <w:basedOn w:val="DefaultParagraphFont"/>
    <w:uiPriority w:val="21"/>
    <w:qFormat/>
    <w:rsid w:val="00CC4948"/>
    <w:rPr>
      <w:i/>
      <w:iCs/>
      <w:color w:val="2F5496" w:themeColor="accent1" w:themeShade="BF"/>
    </w:rPr>
  </w:style>
  <w:style w:type="paragraph" w:styleId="IntenseQuote">
    <w:name w:val="Intense Quote"/>
    <w:basedOn w:val="Normal"/>
    <w:next w:val="Normal"/>
    <w:link w:val="IntenseQuoteChar"/>
    <w:uiPriority w:val="30"/>
    <w:qFormat/>
    <w:rsid w:val="00CC494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C4948"/>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CC4948"/>
    <w:rPr>
      <w:b/>
      <w:bCs/>
      <w:smallCaps/>
      <w:color w:val="2F5496" w:themeColor="accent1" w:themeShade="BF"/>
      <w:spacing w:val="5"/>
    </w:rPr>
  </w:style>
  <w:style w:type="paragraph" w:styleId="Caption">
    <w:name w:val="caption"/>
    <w:basedOn w:val="Normal"/>
    <w:next w:val="Normal"/>
    <w:uiPriority w:val="35"/>
    <w:unhideWhenUsed/>
    <w:qFormat/>
    <w:rsid w:val="005934C6"/>
    <w:pPr>
      <w:spacing w:before="0" w:after="200" w:line="240" w:lineRule="auto"/>
    </w:pPr>
    <w:rPr>
      <w:i/>
      <w:iCs/>
      <w:color w:val="44546A" w:themeColor="text2"/>
      <w:sz w:val="18"/>
      <w:szCs w:val="18"/>
    </w:rPr>
  </w:style>
  <w:style w:type="character" w:styleId="Strong">
    <w:name w:val="Strong"/>
    <w:basedOn w:val="DefaultParagraphFont"/>
    <w:uiPriority w:val="22"/>
    <w:qFormat/>
    <w:rsid w:val="00BA135E"/>
    <w:rPr>
      <w:b/>
      <w:bCs/>
    </w:rPr>
  </w:style>
  <w:style w:type="paragraph" w:styleId="Header">
    <w:name w:val="header"/>
    <w:basedOn w:val="Normal"/>
    <w:link w:val="HeaderChar"/>
    <w:uiPriority w:val="99"/>
    <w:unhideWhenUsed/>
    <w:rsid w:val="000A732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A7325"/>
    <w:rPr>
      <w:rFonts w:ascii="Arial" w:hAnsi="Arial"/>
      <w:sz w:val="24"/>
      <w:lang w:val="en-GB"/>
    </w:rPr>
  </w:style>
  <w:style w:type="paragraph" w:styleId="Footer">
    <w:name w:val="footer"/>
    <w:basedOn w:val="Normal"/>
    <w:link w:val="FooterChar"/>
    <w:uiPriority w:val="99"/>
    <w:unhideWhenUsed/>
    <w:rsid w:val="000A732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A7325"/>
    <w:rPr>
      <w:rFonts w:ascii="Arial" w:hAnsi="Arial"/>
      <w:sz w:val="24"/>
      <w:lang w:val="en-GB"/>
    </w:rPr>
  </w:style>
  <w:style w:type="paragraph" w:styleId="TOCHeading">
    <w:name w:val="TOC Heading"/>
    <w:basedOn w:val="Heading1"/>
    <w:next w:val="Normal"/>
    <w:uiPriority w:val="39"/>
    <w:unhideWhenUsed/>
    <w:qFormat/>
    <w:rsid w:val="008C56BC"/>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8C56BC"/>
    <w:pPr>
      <w:spacing w:after="100"/>
    </w:pPr>
  </w:style>
  <w:style w:type="paragraph" w:styleId="TOC2">
    <w:name w:val="toc 2"/>
    <w:basedOn w:val="Normal"/>
    <w:next w:val="Normal"/>
    <w:autoRedefine/>
    <w:uiPriority w:val="39"/>
    <w:unhideWhenUsed/>
    <w:rsid w:val="008C56BC"/>
    <w:pPr>
      <w:spacing w:after="100"/>
      <w:ind w:left="240"/>
    </w:pPr>
  </w:style>
  <w:style w:type="character" w:styleId="Hyperlink">
    <w:name w:val="Hyperlink"/>
    <w:basedOn w:val="DefaultParagraphFont"/>
    <w:uiPriority w:val="99"/>
    <w:unhideWhenUsed/>
    <w:rsid w:val="008C56BC"/>
    <w:rPr>
      <w:color w:val="0563C1" w:themeColor="hyperlink"/>
      <w:u w:val="single"/>
    </w:rPr>
  </w:style>
  <w:style w:type="table" w:styleId="TableGrid">
    <w:name w:val="Table Grid"/>
    <w:basedOn w:val="TableNormal"/>
    <w:uiPriority w:val="39"/>
    <w:rsid w:val="00125E28"/>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4">
    <w:name w:val="List Table 3 Accent 4"/>
    <w:basedOn w:val="TableNormal"/>
    <w:uiPriority w:val="48"/>
    <w:rsid w:val="00125E28"/>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PlainTable5">
    <w:name w:val="Plain Table 5"/>
    <w:basedOn w:val="TableNormal"/>
    <w:uiPriority w:val="45"/>
    <w:rsid w:val="00580C6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5">
    <w:name w:val="Grid Table 4 Accent 5"/>
    <w:basedOn w:val="TableNormal"/>
    <w:uiPriority w:val="49"/>
    <w:rsid w:val="00580C6A"/>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E44F3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diagramData" Target="diagrams/data1.xml"/><Relationship Id="rId26" Type="http://schemas.openxmlformats.org/officeDocument/2006/relationships/diagramColors" Target="diagrams/colors2.xml"/><Relationship Id="rId39" Type="http://schemas.openxmlformats.org/officeDocument/2006/relationships/hyperlink" Target="https://corporatefinanceinstitute.com/resources/commercial-lending/altmans-z-score-model/" TargetMode="External"/><Relationship Id="rId21" Type="http://schemas.openxmlformats.org/officeDocument/2006/relationships/diagramColors" Target="diagrams/colors1.xml"/><Relationship Id="rId34" Type="http://schemas.openxmlformats.org/officeDocument/2006/relationships/image" Target="media/image6.png"/><Relationship Id="rId42" Type="http://schemas.openxmlformats.org/officeDocument/2006/relationships/hyperlink" Target="https://corporatefinanceinstitute.com/resources/accounting/short-term-loan/" TargetMode="External"/><Relationship Id="rId47" Type="http://schemas.openxmlformats.org/officeDocument/2006/relationships/image" Target="media/image10.png"/><Relationship Id="rId50" Type="http://schemas.openxmlformats.org/officeDocument/2006/relationships/image" Target="media/image13.png"/><Relationship Id="rId55"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diagramLayout" Target="diagrams/layout3.xml"/><Relationship Id="rId11" Type="http://schemas.openxmlformats.org/officeDocument/2006/relationships/chart" Target="charts/chart3.xml"/><Relationship Id="rId24" Type="http://schemas.openxmlformats.org/officeDocument/2006/relationships/diagramLayout" Target="diagrams/layout2.xml"/><Relationship Id="rId32" Type="http://schemas.microsoft.com/office/2007/relationships/diagramDrawing" Target="diagrams/drawing3.xml"/><Relationship Id="rId37" Type="http://schemas.openxmlformats.org/officeDocument/2006/relationships/hyperlink" Target="https://www.bajajfinserv.in/gearing-ratio" TargetMode="External"/><Relationship Id="rId40" Type="http://schemas.openxmlformats.org/officeDocument/2006/relationships/hyperlink" Target="https://corporatefinanceinstitute.com/resources/accounting/efficiency-ratios/" TargetMode="External"/><Relationship Id="rId45" Type="http://schemas.openxmlformats.org/officeDocument/2006/relationships/image" Target="media/image8.png"/><Relationship Id="rId53" Type="http://schemas.openxmlformats.org/officeDocument/2006/relationships/header" Target="header2.xm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microsoft.com/office/2007/relationships/diagramDrawing" Target="diagrams/drawing1.xml"/><Relationship Id="rId27" Type="http://schemas.microsoft.com/office/2007/relationships/diagramDrawing" Target="diagrams/drawing2.xml"/><Relationship Id="rId30" Type="http://schemas.openxmlformats.org/officeDocument/2006/relationships/diagramQuickStyle" Target="diagrams/quickStyle3.xml"/><Relationship Id="rId35" Type="http://schemas.openxmlformats.org/officeDocument/2006/relationships/image" Target="media/image7.png"/><Relationship Id="rId43" Type="http://schemas.openxmlformats.org/officeDocument/2006/relationships/hyperlink" Target="https://www.oecd.org/en/topics/base-erosion-and-profit-shifting-beps.html" TargetMode="External"/><Relationship Id="rId48" Type="http://schemas.openxmlformats.org/officeDocument/2006/relationships/image" Target="media/image11.png"/><Relationship Id="rId56" Type="http://schemas.openxmlformats.org/officeDocument/2006/relationships/header" Target="header3.xml"/><Relationship Id="rId8" Type="http://schemas.openxmlformats.org/officeDocument/2006/relationships/image" Target="media/image1.png"/><Relationship Id="rId51" Type="http://schemas.openxmlformats.org/officeDocument/2006/relationships/image" Target="media/image14.png"/><Relationship Id="rId3" Type="http://schemas.openxmlformats.org/officeDocument/2006/relationships/styles" Target="styles.xml"/><Relationship Id="rId12" Type="http://schemas.openxmlformats.org/officeDocument/2006/relationships/chart" Target="charts/chart4.xml"/><Relationship Id="rId17" Type="http://schemas.openxmlformats.org/officeDocument/2006/relationships/image" Target="media/image4.png"/><Relationship Id="rId25" Type="http://schemas.openxmlformats.org/officeDocument/2006/relationships/diagramQuickStyle" Target="diagrams/quickStyle2.xml"/><Relationship Id="rId33" Type="http://schemas.openxmlformats.org/officeDocument/2006/relationships/image" Target="media/image5.png"/><Relationship Id="rId38" Type="http://schemas.openxmlformats.org/officeDocument/2006/relationships/hyperlink" Target="https://www.capstonepartners.com/insights/article-advantages-and-disadvantages-of-equity-financing/" TargetMode="External"/><Relationship Id="rId46" Type="http://schemas.openxmlformats.org/officeDocument/2006/relationships/image" Target="media/image9.png"/><Relationship Id="rId59" Type="http://schemas.openxmlformats.org/officeDocument/2006/relationships/theme" Target="theme/theme1.xml"/><Relationship Id="rId20" Type="http://schemas.openxmlformats.org/officeDocument/2006/relationships/diagramQuickStyle" Target="diagrams/quickStyle1.xml"/><Relationship Id="rId41" Type="http://schemas.openxmlformats.org/officeDocument/2006/relationships/hyperlink" Target="https://corporatefinanceinstitute.com/resources/accounting/liquidity-ratio/"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diagramData" Target="diagrams/data2.xml"/><Relationship Id="rId28" Type="http://schemas.openxmlformats.org/officeDocument/2006/relationships/diagramData" Target="diagrams/data3.xml"/><Relationship Id="rId36" Type="http://schemas.openxmlformats.org/officeDocument/2006/relationships/hyperlink" Target="https://www.bajajfinserv.in/difference-between-short-and-long-term-financing" TargetMode="External"/><Relationship Id="rId49" Type="http://schemas.openxmlformats.org/officeDocument/2006/relationships/image" Target="media/image12.png"/><Relationship Id="rId57" Type="http://schemas.openxmlformats.org/officeDocument/2006/relationships/footer" Target="footer3.xml"/><Relationship Id="rId10" Type="http://schemas.openxmlformats.org/officeDocument/2006/relationships/chart" Target="charts/chart2.xml"/><Relationship Id="rId31" Type="http://schemas.openxmlformats.org/officeDocument/2006/relationships/diagramColors" Target="diagrams/colors3.xml"/><Relationship Id="rId44" Type="http://schemas.openxmlformats.org/officeDocument/2006/relationships/hyperlink" Target="https://www.worldbank.org/en/publication/gfdr/gfdr-2016/background/long-term-finance" TargetMode="External"/><Relationship Id="rId52"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arna%20jain\Downloads\H1378.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arna%20jain\Downloads\H1378.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arna%20jain\Downloads\H1378.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arna%20jain\Downloads\H1378.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arna%20jain\Downloads\H1378.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arna%20jain\Downloads\H1378.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baseline="0">
                <a:solidFill>
                  <a:schemeClr val="lt1"/>
                </a:solidFill>
                <a:latin typeface="+mn-lt"/>
                <a:ea typeface="+mn-ea"/>
                <a:cs typeface="+mn-cs"/>
              </a:defRPr>
            </a:pPr>
            <a:r>
              <a:rPr lang="en-IN"/>
              <a:t>Profitability Ratios</a:t>
            </a:r>
          </a:p>
        </c:rich>
      </c:tx>
      <c:overlay val="0"/>
      <c:spPr>
        <a:noFill/>
        <a:ln>
          <a:noFill/>
        </a:ln>
        <a:effectLst/>
      </c:spPr>
      <c:txPr>
        <a:bodyPr rot="0" spcFirstLastPara="1" vertOverflow="ellipsis" vert="horz" wrap="square" anchor="ctr" anchorCtr="1"/>
        <a:lstStyle/>
        <a:p>
          <a:pPr>
            <a:defRPr sz="1800" b="1"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profitability!$J$5</c:f>
              <c:strCache>
                <c:ptCount val="1"/>
                <c:pt idx="0">
                  <c:v>Gross profit ratio</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cat>
            <c:numRef>
              <c:f>profitability!$K$4:$O$4</c:f>
              <c:numCache>
                <c:formatCode>General</c:formatCode>
                <c:ptCount val="5"/>
                <c:pt idx="0">
                  <c:v>2024</c:v>
                </c:pt>
                <c:pt idx="1">
                  <c:v>2023</c:v>
                </c:pt>
                <c:pt idx="2">
                  <c:v>2022</c:v>
                </c:pt>
                <c:pt idx="3">
                  <c:v>2021</c:v>
                </c:pt>
                <c:pt idx="4">
                  <c:v>2020</c:v>
                </c:pt>
              </c:numCache>
            </c:numRef>
          </c:cat>
          <c:val>
            <c:numRef>
              <c:f>profitability!$K$5:$O$5</c:f>
              <c:numCache>
                <c:formatCode>0.0%</c:formatCode>
                <c:ptCount val="5"/>
                <c:pt idx="0">
                  <c:v>0.28868083640811487</c:v>
                </c:pt>
                <c:pt idx="1">
                  <c:v>0.23203324002216635</c:v>
                </c:pt>
                <c:pt idx="2">
                  <c:v>0.28059275800505207</c:v>
                </c:pt>
                <c:pt idx="3">
                  <c:v>0.28759212901552855</c:v>
                </c:pt>
                <c:pt idx="4">
                  <c:v>0.28674432224897506</c:v>
                </c:pt>
              </c:numCache>
            </c:numRef>
          </c:val>
          <c:extLst>
            <c:ext xmlns:c16="http://schemas.microsoft.com/office/drawing/2014/chart" uri="{C3380CC4-5D6E-409C-BE32-E72D297353CC}">
              <c16:uniqueId val="{00000000-0B78-4124-8873-6A368AAF3F6B}"/>
            </c:ext>
          </c:extLst>
        </c:ser>
        <c:ser>
          <c:idx val="1"/>
          <c:order val="1"/>
          <c:tx>
            <c:strRef>
              <c:f>profitability!$J$6</c:f>
              <c:strCache>
                <c:ptCount val="1"/>
                <c:pt idx="0">
                  <c:v>Operating profit ratio</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cat>
            <c:numRef>
              <c:f>profitability!$K$4:$O$4</c:f>
              <c:numCache>
                <c:formatCode>General</c:formatCode>
                <c:ptCount val="5"/>
                <c:pt idx="0">
                  <c:v>2024</c:v>
                </c:pt>
                <c:pt idx="1">
                  <c:v>2023</c:v>
                </c:pt>
                <c:pt idx="2">
                  <c:v>2022</c:v>
                </c:pt>
                <c:pt idx="3">
                  <c:v>2021</c:v>
                </c:pt>
                <c:pt idx="4">
                  <c:v>2020</c:v>
                </c:pt>
              </c:numCache>
            </c:numRef>
          </c:cat>
          <c:val>
            <c:numRef>
              <c:f>profitability!$K$6:$O$6</c:f>
              <c:numCache>
                <c:formatCode>0.00%</c:formatCode>
                <c:ptCount val="5"/>
                <c:pt idx="0">
                  <c:v>-3.8738448993235905E-2</c:v>
                </c:pt>
                <c:pt idx="1">
                  <c:v>-0.20287686969178775</c:v>
                </c:pt>
                <c:pt idx="2">
                  <c:v>2.6804188292605634E-2</c:v>
                </c:pt>
                <c:pt idx="3">
                  <c:v>3.8651799694814845E-2</c:v>
                </c:pt>
                <c:pt idx="4">
                  <c:v>6.0628294397084663E-2</c:v>
                </c:pt>
              </c:numCache>
            </c:numRef>
          </c:val>
          <c:extLst>
            <c:ext xmlns:c16="http://schemas.microsoft.com/office/drawing/2014/chart" uri="{C3380CC4-5D6E-409C-BE32-E72D297353CC}">
              <c16:uniqueId val="{00000001-0B78-4124-8873-6A368AAF3F6B}"/>
            </c:ext>
          </c:extLst>
        </c:ser>
        <c:ser>
          <c:idx val="2"/>
          <c:order val="2"/>
          <c:tx>
            <c:strRef>
              <c:f>profitability!$J$7</c:f>
              <c:strCache>
                <c:ptCount val="1"/>
                <c:pt idx="0">
                  <c:v>Net profit ratio</c:v>
                </c:pt>
              </c:strCache>
            </c:strRef>
          </c:tx>
          <c:spPr>
            <a:solidFill>
              <a:schemeClr val="accent3">
                <a:alpha val="88000"/>
              </a:schemeClr>
            </a:solidFill>
            <a:ln>
              <a:solidFill>
                <a:schemeClr val="accent3">
                  <a:lumMod val="50000"/>
                </a:schemeClr>
              </a:solidFill>
            </a:ln>
            <a:effectLst/>
            <a:scene3d>
              <a:camera prst="orthographicFront"/>
              <a:lightRig rig="threePt" dir="t"/>
            </a:scene3d>
            <a:sp3d prstMaterial="flat">
              <a:contourClr>
                <a:schemeClr val="accent3">
                  <a:lumMod val="50000"/>
                </a:schemeClr>
              </a:contourClr>
            </a:sp3d>
          </c:spPr>
          <c:invertIfNegative val="0"/>
          <c:cat>
            <c:numRef>
              <c:f>profitability!$K$4:$O$4</c:f>
              <c:numCache>
                <c:formatCode>General</c:formatCode>
                <c:ptCount val="5"/>
                <c:pt idx="0">
                  <c:v>2024</c:v>
                </c:pt>
                <c:pt idx="1">
                  <c:v>2023</c:v>
                </c:pt>
                <c:pt idx="2">
                  <c:v>2022</c:v>
                </c:pt>
                <c:pt idx="3">
                  <c:v>2021</c:v>
                </c:pt>
                <c:pt idx="4">
                  <c:v>2020</c:v>
                </c:pt>
              </c:numCache>
            </c:numRef>
          </c:cat>
          <c:val>
            <c:numRef>
              <c:f>profitability!$K$7:$O$7</c:f>
              <c:numCache>
                <c:formatCode>0.00%</c:formatCode>
                <c:ptCount val="5"/>
                <c:pt idx="0">
                  <c:v>-6.0851551994408414E-2</c:v>
                </c:pt>
                <c:pt idx="1">
                  <c:v>-0.23364577114901167</c:v>
                </c:pt>
                <c:pt idx="2">
                  <c:v>7.4988346405626153E-4</c:v>
                </c:pt>
                <c:pt idx="3">
                  <c:v>8.8114733661124791E-3</c:v>
                </c:pt>
                <c:pt idx="4">
                  <c:v>6.2751350296089026E-2</c:v>
                </c:pt>
              </c:numCache>
            </c:numRef>
          </c:val>
          <c:extLst>
            <c:ext xmlns:c16="http://schemas.microsoft.com/office/drawing/2014/chart" uri="{C3380CC4-5D6E-409C-BE32-E72D297353CC}">
              <c16:uniqueId val="{00000002-0B78-4124-8873-6A368AAF3F6B}"/>
            </c:ext>
          </c:extLst>
        </c:ser>
        <c:dLbls>
          <c:showLegendKey val="0"/>
          <c:showVal val="0"/>
          <c:showCatName val="0"/>
          <c:showSerName val="0"/>
          <c:showPercent val="0"/>
          <c:showBubbleSize val="0"/>
        </c:dLbls>
        <c:gapWidth val="84"/>
        <c:gapDepth val="53"/>
        <c:shape val="box"/>
        <c:axId val="1305642911"/>
        <c:axId val="1305643871"/>
        <c:axId val="0"/>
      </c:bar3DChart>
      <c:catAx>
        <c:axId val="130564291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crossAx val="1305643871"/>
        <c:crosses val="autoZero"/>
        <c:auto val="1"/>
        <c:lblAlgn val="ctr"/>
        <c:lblOffset val="100"/>
        <c:noMultiLvlLbl val="0"/>
      </c:catAx>
      <c:valAx>
        <c:axId val="1305643871"/>
        <c:scaling>
          <c:orientation val="minMax"/>
        </c:scaling>
        <c:delete val="1"/>
        <c:axPos val="l"/>
        <c:numFmt formatCode="0.0%" sourceLinked="1"/>
        <c:majorTickMark val="out"/>
        <c:minorTickMark val="none"/>
        <c:tickLblPos val="nextTo"/>
        <c:crossAx val="1305642911"/>
        <c:crosses val="autoZero"/>
        <c:crossBetween val="between"/>
      </c:valAx>
      <c:dTable>
        <c:showHorzBorder val="1"/>
        <c:showVertBorder val="1"/>
        <c:showOutline val="1"/>
        <c:showKeys val="1"/>
        <c:spPr>
          <a:noFill/>
          <a:ln w="9525">
            <a:solidFill>
              <a:schemeClr val="dk1">
                <a:lumMod val="50000"/>
                <a:lumOff val="50000"/>
              </a:schemeClr>
            </a:solidFill>
          </a:ln>
          <a:effectLst/>
        </c:spPr>
        <c:txPr>
          <a:bodyPr rot="0" spcFirstLastPara="1" vertOverflow="ellipsis" vert="horz" wrap="square" anchor="ctr" anchorCtr="1"/>
          <a:lstStyle/>
          <a:p>
            <a:pPr rtl="0">
              <a:defRPr sz="900" b="1" i="0" u="none" strike="noStrike" kern="1200" baseline="0">
                <a:solidFill>
                  <a:schemeClr val="lt1">
                    <a:lumMod val="7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b="1"/>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IN"/>
              <a:t>Liquidity Ratios</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liquidity!$J$5</c:f>
              <c:strCache>
                <c:ptCount val="1"/>
                <c:pt idx="0">
                  <c:v>Current Ratio</c:v>
                </c:pt>
              </c:strCache>
            </c:strRef>
          </c:tx>
          <c:spPr>
            <a:solidFill>
              <a:schemeClr val="accent1"/>
            </a:solidFill>
            <a:ln>
              <a:noFill/>
            </a:ln>
            <a:effectLst/>
            <a:sp3d/>
          </c:spPr>
          <c:invertIfNegative val="0"/>
          <c:cat>
            <c:numRef>
              <c:f>liquidity!$K$4:$O$4</c:f>
              <c:numCache>
                <c:formatCode>General</c:formatCode>
                <c:ptCount val="5"/>
                <c:pt idx="0">
                  <c:v>2024</c:v>
                </c:pt>
                <c:pt idx="1">
                  <c:v>2023</c:v>
                </c:pt>
                <c:pt idx="2">
                  <c:v>2022</c:v>
                </c:pt>
                <c:pt idx="3">
                  <c:v>2021</c:v>
                </c:pt>
                <c:pt idx="4">
                  <c:v>2020</c:v>
                </c:pt>
              </c:numCache>
            </c:numRef>
          </c:cat>
          <c:val>
            <c:numRef>
              <c:f>liquidity!$K$5:$O$5</c:f>
              <c:numCache>
                <c:formatCode>0.000</c:formatCode>
                <c:ptCount val="5"/>
                <c:pt idx="0">
                  <c:v>1.5319506478574272</c:v>
                </c:pt>
                <c:pt idx="1">
                  <c:v>1.6062935934668752</c:v>
                </c:pt>
                <c:pt idx="2">
                  <c:v>1.5615804280441441</c:v>
                </c:pt>
                <c:pt idx="3">
                  <c:v>1.5551947303113194</c:v>
                </c:pt>
                <c:pt idx="4">
                  <c:v>1.8207509330956493</c:v>
                </c:pt>
              </c:numCache>
            </c:numRef>
          </c:val>
          <c:extLst>
            <c:ext xmlns:c16="http://schemas.microsoft.com/office/drawing/2014/chart" uri="{C3380CC4-5D6E-409C-BE32-E72D297353CC}">
              <c16:uniqueId val="{00000000-02A8-4E50-8676-D9F9F5F9A12F}"/>
            </c:ext>
          </c:extLst>
        </c:ser>
        <c:ser>
          <c:idx val="1"/>
          <c:order val="1"/>
          <c:tx>
            <c:strRef>
              <c:f>liquidity!$J$6</c:f>
              <c:strCache>
                <c:ptCount val="1"/>
                <c:pt idx="0">
                  <c:v>Acid test ratio</c:v>
                </c:pt>
              </c:strCache>
            </c:strRef>
          </c:tx>
          <c:spPr>
            <a:solidFill>
              <a:schemeClr val="accent3"/>
            </a:solidFill>
            <a:ln>
              <a:noFill/>
            </a:ln>
            <a:effectLst/>
            <a:sp3d/>
          </c:spPr>
          <c:invertIfNegative val="0"/>
          <c:cat>
            <c:numRef>
              <c:f>liquidity!$K$4:$O$4</c:f>
              <c:numCache>
                <c:formatCode>General</c:formatCode>
                <c:ptCount val="5"/>
                <c:pt idx="0">
                  <c:v>2024</c:v>
                </c:pt>
                <c:pt idx="1">
                  <c:v>2023</c:v>
                </c:pt>
                <c:pt idx="2">
                  <c:v>2022</c:v>
                </c:pt>
                <c:pt idx="3">
                  <c:v>2021</c:v>
                </c:pt>
                <c:pt idx="4">
                  <c:v>2020</c:v>
                </c:pt>
              </c:numCache>
            </c:numRef>
          </c:cat>
          <c:val>
            <c:numRef>
              <c:f>liquidity!$K$6:$O$6</c:f>
              <c:numCache>
                <c:formatCode>0.000</c:formatCode>
                <c:ptCount val="5"/>
                <c:pt idx="0">
                  <c:v>1.0306271360974408</c:v>
                </c:pt>
                <c:pt idx="1">
                  <c:v>1.0585176359619728</c:v>
                </c:pt>
                <c:pt idx="2">
                  <c:v>0.9140123710578224</c:v>
                </c:pt>
                <c:pt idx="3">
                  <c:v>0.93491307135575474</c:v>
                </c:pt>
                <c:pt idx="4">
                  <c:v>1.1498690880730877</c:v>
                </c:pt>
              </c:numCache>
            </c:numRef>
          </c:val>
          <c:extLst>
            <c:ext xmlns:c16="http://schemas.microsoft.com/office/drawing/2014/chart" uri="{C3380CC4-5D6E-409C-BE32-E72D297353CC}">
              <c16:uniqueId val="{00000001-02A8-4E50-8676-D9F9F5F9A12F}"/>
            </c:ext>
          </c:extLst>
        </c:ser>
        <c:ser>
          <c:idx val="2"/>
          <c:order val="2"/>
          <c:tx>
            <c:strRef>
              <c:f>liquidity!$J$7</c:f>
              <c:strCache>
                <c:ptCount val="1"/>
                <c:pt idx="0">
                  <c:v>Cash Ratio</c:v>
                </c:pt>
              </c:strCache>
            </c:strRef>
          </c:tx>
          <c:spPr>
            <a:solidFill>
              <a:schemeClr val="accent5"/>
            </a:solidFill>
            <a:ln>
              <a:noFill/>
            </a:ln>
            <a:effectLst/>
            <a:sp3d/>
          </c:spPr>
          <c:invertIfNegative val="0"/>
          <c:cat>
            <c:numRef>
              <c:f>liquidity!$K$4:$O$4</c:f>
              <c:numCache>
                <c:formatCode>General</c:formatCode>
                <c:ptCount val="5"/>
                <c:pt idx="0">
                  <c:v>2024</c:v>
                </c:pt>
                <c:pt idx="1">
                  <c:v>2023</c:v>
                </c:pt>
                <c:pt idx="2">
                  <c:v>2022</c:v>
                </c:pt>
                <c:pt idx="3">
                  <c:v>2021</c:v>
                </c:pt>
                <c:pt idx="4">
                  <c:v>2020</c:v>
                </c:pt>
              </c:numCache>
            </c:numRef>
          </c:cat>
          <c:val>
            <c:numRef>
              <c:f>liquidity!$K$7:$O$7</c:f>
              <c:numCache>
                <c:formatCode>0.000</c:formatCode>
                <c:ptCount val="5"/>
                <c:pt idx="0">
                  <c:v>0.16920102848551086</c:v>
                </c:pt>
                <c:pt idx="1">
                  <c:v>0.26529029215379651</c:v>
                </c:pt>
                <c:pt idx="2">
                  <c:v>0.30830634767384385</c:v>
                </c:pt>
                <c:pt idx="3">
                  <c:v>0.28051958835170004</c:v>
                </c:pt>
                <c:pt idx="4">
                  <c:v>0.31838337697064228</c:v>
                </c:pt>
              </c:numCache>
            </c:numRef>
          </c:val>
          <c:extLst>
            <c:ext xmlns:c16="http://schemas.microsoft.com/office/drawing/2014/chart" uri="{C3380CC4-5D6E-409C-BE32-E72D297353CC}">
              <c16:uniqueId val="{00000002-02A8-4E50-8676-D9F9F5F9A12F}"/>
            </c:ext>
          </c:extLst>
        </c:ser>
        <c:dLbls>
          <c:showLegendKey val="0"/>
          <c:showVal val="0"/>
          <c:showCatName val="0"/>
          <c:showSerName val="0"/>
          <c:showPercent val="0"/>
          <c:showBubbleSize val="0"/>
        </c:dLbls>
        <c:gapWidth val="150"/>
        <c:shape val="box"/>
        <c:axId val="777573887"/>
        <c:axId val="777575807"/>
        <c:axId val="0"/>
      </c:bar3DChart>
      <c:catAx>
        <c:axId val="77757388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777575807"/>
        <c:crosses val="autoZero"/>
        <c:auto val="1"/>
        <c:lblAlgn val="ctr"/>
        <c:lblOffset val="100"/>
        <c:noMultiLvlLbl val="0"/>
      </c:catAx>
      <c:valAx>
        <c:axId val="777575807"/>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777573887"/>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1"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solidFill>
                <a:latin typeface="+mn-lt"/>
                <a:ea typeface="+mn-ea"/>
                <a:cs typeface="+mn-cs"/>
              </a:defRPr>
            </a:pPr>
            <a:r>
              <a:rPr lang="en-IN"/>
              <a:t>Gearing ratios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solidFill>
              <a:latin typeface="+mn-lt"/>
              <a:ea typeface="+mn-ea"/>
              <a:cs typeface="+mn-cs"/>
            </a:defRPr>
          </a:pPr>
          <a:endParaRPr lang="en-US"/>
        </a:p>
      </c:txPr>
    </c:title>
    <c:autoTitleDeleted val="0"/>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gearing!$J$5</c:f>
              <c:strCache>
                <c:ptCount val="1"/>
                <c:pt idx="0">
                  <c:v>Debt-equity ratio</c:v>
                </c:pt>
              </c:strCache>
            </c:strRef>
          </c:tx>
          <c:spPr>
            <a:pattFill prst="ltDnDiag">
              <a:fgClr>
                <a:schemeClr val="accent2"/>
              </a:fgClr>
              <a:bgClr>
                <a:schemeClr val="accent2">
                  <a:lumMod val="20000"/>
                  <a:lumOff val="80000"/>
                </a:schemeClr>
              </a:bgClr>
            </a:pattFill>
            <a:ln>
              <a:solidFill>
                <a:schemeClr val="accent2"/>
              </a:solidFill>
            </a:ln>
            <a:effectLst/>
            <a:sp3d>
              <a:contourClr>
                <a:schemeClr val="accent2"/>
              </a:contourClr>
            </a:sp3d>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gearing!$K$4:$O$4</c:f>
              <c:numCache>
                <c:formatCode>General</c:formatCode>
                <c:ptCount val="5"/>
                <c:pt idx="0">
                  <c:v>2024</c:v>
                </c:pt>
                <c:pt idx="1">
                  <c:v>2023</c:v>
                </c:pt>
                <c:pt idx="2">
                  <c:v>2022</c:v>
                </c:pt>
                <c:pt idx="3">
                  <c:v>2021</c:v>
                </c:pt>
                <c:pt idx="4">
                  <c:v>2020</c:v>
                </c:pt>
              </c:numCache>
            </c:numRef>
          </c:cat>
          <c:val>
            <c:numRef>
              <c:f>gearing!$K$5:$O$5</c:f>
              <c:numCache>
                <c:formatCode>0.000</c:formatCode>
                <c:ptCount val="5"/>
                <c:pt idx="0">
                  <c:v>7.8103262466934456E-2</c:v>
                </c:pt>
                <c:pt idx="1">
                  <c:v>8.8329979879275655E-2</c:v>
                </c:pt>
                <c:pt idx="2">
                  <c:v>7.1846381973577345E-2</c:v>
                </c:pt>
                <c:pt idx="3">
                  <c:v>6.382338765496523E-2</c:v>
                </c:pt>
                <c:pt idx="4">
                  <c:v>5.5789799585701925E-2</c:v>
                </c:pt>
              </c:numCache>
            </c:numRef>
          </c:val>
          <c:extLst>
            <c:ext xmlns:c16="http://schemas.microsoft.com/office/drawing/2014/chart" uri="{C3380CC4-5D6E-409C-BE32-E72D297353CC}">
              <c16:uniqueId val="{00000000-F04F-431F-83B9-F599B6008CF4}"/>
            </c:ext>
          </c:extLst>
        </c:ser>
        <c:ser>
          <c:idx val="1"/>
          <c:order val="1"/>
          <c:tx>
            <c:strRef>
              <c:f>gearing!$J$6</c:f>
              <c:strCache>
                <c:ptCount val="1"/>
                <c:pt idx="0">
                  <c:v>Debt Ratio</c:v>
                </c:pt>
              </c:strCache>
            </c:strRef>
          </c:tx>
          <c:spPr>
            <a:pattFill prst="ltDnDiag">
              <a:fgClr>
                <a:schemeClr val="accent4"/>
              </a:fgClr>
              <a:bgClr>
                <a:schemeClr val="accent4">
                  <a:lumMod val="20000"/>
                  <a:lumOff val="80000"/>
                </a:schemeClr>
              </a:bgClr>
            </a:pattFill>
            <a:ln>
              <a:solidFill>
                <a:schemeClr val="accent4"/>
              </a:solidFill>
            </a:ln>
            <a:effectLst/>
            <a:sp3d>
              <a:contourClr>
                <a:schemeClr val="accent4"/>
              </a:contourClr>
            </a:sp3d>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gearing!$K$4:$O$4</c:f>
              <c:numCache>
                <c:formatCode>General</c:formatCode>
                <c:ptCount val="5"/>
                <c:pt idx="0">
                  <c:v>2024</c:v>
                </c:pt>
                <c:pt idx="1">
                  <c:v>2023</c:v>
                </c:pt>
                <c:pt idx="2">
                  <c:v>2022</c:v>
                </c:pt>
                <c:pt idx="3">
                  <c:v>2021</c:v>
                </c:pt>
                <c:pt idx="4">
                  <c:v>2020</c:v>
                </c:pt>
              </c:numCache>
            </c:numRef>
          </c:cat>
          <c:val>
            <c:numRef>
              <c:f>gearing!$K$6:$O$6</c:f>
              <c:numCache>
                <c:formatCode>0.000</c:formatCode>
                <c:ptCount val="5"/>
                <c:pt idx="0">
                  <c:v>0.52650964577521853</c:v>
                </c:pt>
                <c:pt idx="1">
                  <c:v>0.4972349608848125</c:v>
                </c:pt>
                <c:pt idx="2">
                  <c:v>0.46762059095966979</c:v>
                </c:pt>
                <c:pt idx="3">
                  <c:v>0.4592924827764584</c:v>
                </c:pt>
                <c:pt idx="4">
                  <c:v>0.38603343197005624</c:v>
                </c:pt>
              </c:numCache>
            </c:numRef>
          </c:val>
          <c:extLst>
            <c:ext xmlns:c16="http://schemas.microsoft.com/office/drawing/2014/chart" uri="{C3380CC4-5D6E-409C-BE32-E72D297353CC}">
              <c16:uniqueId val="{00000001-F04F-431F-83B9-F599B6008CF4}"/>
            </c:ext>
          </c:extLst>
        </c:ser>
        <c:dLbls>
          <c:showLegendKey val="0"/>
          <c:showVal val="1"/>
          <c:showCatName val="0"/>
          <c:showSerName val="0"/>
          <c:showPercent val="0"/>
          <c:showBubbleSize val="0"/>
        </c:dLbls>
        <c:gapWidth val="160"/>
        <c:gapDepth val="0"/>
        <c:shape val="box"/>
        <c:axId val="1460246383"/>
        <c:axId val="1460251663"/>
        <c:axId val="0"/>
      </c:bar3DChart>
      <c:catAx>
        <c:axId val="146024638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crossAx val="1460251663"/>
        <c:crosses val="autoZero"/>
        <c:auto val="1"/>
        <c:lblAlgn val="ctr"/>
        <c:lblOffset val="100"/>
        <c:noMultiLvlLbl val="0"/>
      </c:catAx>
      <c:valAx>
        <c:axId val="1460251663"/>
        <c:scaling>
          <c:orientation val="minMax"/>
        </c:scaling>
        <c:delete val="0"/>
        <c:axPos val="l"/>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crossAx val="146024638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b="1">
          <a:solidFill>
            <a:schemeClr val="tx1"/>
          </a:solidFill>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spc="0" baseline="0">
                <a:solidFill>
                  <a:schemeClr val="tx1"/>
                </a:solidFill>
                <a:latin typeface="+mn-lt"/>
                <a:ea typeface="+mn-ea"/>
                <a:cs typeface="+mn-cs"/>
              </a:defRPr>
            </a:pPr>
            <a:r>
              <a:rPr lang="en-IN" sz="1800"/>
              <a:t>Efficiency Ratios</a:t>
            </a:r>
          </a:p>
        </c:rich>
      </c:tx>
      <c:overlay val="0"/>
      <c:spPr>
        <a:noFill/>
        <a:ln>
          <a:noFill/>
        </a:ln>
        <a:effectLst/>
      </c:spPr>
      <c:txPr>
        <a:bodyPr rot="0" spcFirstLastPara="1" vertOverflow="ellipsis" vert="horz" wrap="square" anchor="ctr" anchorCtr="1"/>
        <a:lstStyle/>
        <a:p>
          <a:pPr>
            <a:defRPr sz="1800" b="1" i="0" u="none" strike="noStrike" kern="1200" spc="0" baseline="0">
              <a:solidFill>
                <a:schemeClr val="tx1"/>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efficiency!$J$5</c:f>
              <c:strCache>
                <c:ptCount val="1"/>
                <c:pt idx="0">
                  <c:v>Receivables turnover days</c:v>
                </c:pt>
              </c:strCache>
            </c:strRef>
          </c:tx>
          <c:spPr>
            <a:solidFill>
              <a:schemeClr val="accent6"/>
            </a:solidFill>
            <a:ln>
              <a:noFill/>
            </a:ln>
            <a:effectLst/>
            <a:sp3d/>
          </c:spPr>
          <c:invertIfNegative val="0"/>
          <c:cat>
            <c:numRef>
              <c:f>efficiency!$K$4:$O$4</c:f>
              <c:numCache>
                <c:formatCode>General</c:formatCode>
                <c:ptCount val="5"/>
                <c:pt idx="0">
                  <c:v>2024</c:v>
                </c:pt>
                <c:pt idx="1">
                  <c:v>2023</c:v>
                </c:pt>
                <c:pt idx="2">
                  <c:v>2022</c:v>
                </c:pt>
                <c:pt idx="3">
                  <c:v>2021</c:v>
                </c:pt>
                <c:pt idx="4">
                  <c:v>2020</c:v>
                </c:pt>
              </c:numCache>
            </c:numRef>
          </c:cat>
          <c:val>
            <c:numRef>
              <c:f>efficiency!$K$5:$O$5</c:f>
              <c:numCache>
                <c:formatCode>0</c:formatCode>
                <c:ptCount val="5"/>
                <c:pt idx="0">
                  <c:v>105.54228004021485</c:v>
                </c:pt>
                <c:pt idx="1">
                  <c:v>97.744929921490183</c:v>
                </c:pt>
                <c:pt idx="2">
                  <c:v>75.552675167802548</c:v>
                </c:pt>
                <c:pt idx="3">
                  <c:v>78.396473083533635</c:v>
                </c:pt>
                <c:pt idx="4">
                  <c:v>76.857950478297653</c:v>
                </c:pt>
              </c:numCache>
            </c:numRef>
          </c:val>
          <c:extLst>
            <c:ext xmlns:c16="http://schemas.microsoft.com/office/drawing/2014/chart" uri="{C3380CC4-5D6E-409C-BE32-E72D297353CC}">
              <c16:uniqueId val="{00000000-B29B-4A3A-9E8D-A83D6B760768}"/>
            </c:ext>
          </c:extLst>
        </c:ser>
        <c:ser>
          <c:idx val="1"/>
          <c:order val="1"/>
          <c:tx>
            <c:strRef>
              <c:f>efficiency!$J$6</c:f>
              <c:strCache>
                <c:ptCount val="1"/>
                <c:pt idx="0">
                  <c:v>Payables turnover days</c:v>
                </c:pt>
              </c:strCache>
            </c:strRef>
          </c:tx>
          <c:spPr>
            <a:solidFill>
              <a:schemeClr val="accent5"/>
            </a:solidFill>
            <a:ln>
              <a:noFill/>
            </a:ln>
            <a:effectLst/>
            <a:sp3d/>
          </c:spPr>
          <c:invertIfNegative val="0"/>
          <c:cat>
            <c:numRef>
              <c:f>efficiency!$K$4:$O$4</c:f>
              <c:numCache>
                <c:formatCode>General</c:formatCode>
                <c:ptCount val="5"/>
                <c:pt idx="0">
                  <c:v>2024</c:v>
                </c:pt>
                <c:pt idx="1">
                  <c:v>2023</c:v>
                </c:pt>
                <c:pt idx="2">
                  <c:v>2022</c:v>
                </c:pt>
                <c:pt idx="3">
                  <c:v>2021</c:v>
                </c:pt>
                <c:pt idx="4">
                  <c:v>2020</c:v>
                </c:pt>
              </c:numCache>
            </c:numRef>
          </c:cat>
          <c:val>
            <c:numRef>
              <c:f>efficiency!$K$6:$O$6</c:f>
              <c:numCache>
                <c:formatCode>0</c:formatCode>
                <c:ptCount val="5"/>
                <c:pt idx="0">
                  <c:v>93.601705324243014</c:v>
                </c:pt>
                <c:pt idx="1">
                  <c:v>64.469614149403682</c:v>
                </c:pt>
                <c:pt idx="2">
                  <c:v>66.719284227025113</c:v>
                </c:pt>
                <c:pt idx="3">
                  <c:v>78.952777272239402</c:v>
                </c:pt>
                <c:pt idx="4">
                  <c:v>69.290424338083682</c:v>
                </c:pt>
              </c:numCache>
            </c:numRef>
          </c:val>
          <c:extLst>
            <c:ext xmlns:c16="http://schemas.microsoft.com/office/drawing/2014/chart" uri="{C3380CC4-5D6E-409C-BE32-E72D297353CC}">
              <c16:uniqueId val="{00000001-B29B-4A3A-9E8D-A83D6B760768}"/>
            </c:ext>
          </c:extLst>
        </c:ser>
        <c:ser>
          <c:idx val="2"/>
          <c:order val="2"/>
          <c:tx>
            <c:strRef>
              <c:f>efficiency!$J$7</c:f>
              <c:strCache>
                <c:ptCount val="1"/>
                <c:pt idx="0">
                  <c:v>Inventory turnover days</c:v>
                </c:pt>
              </c:strCache>
            </c:strRef>
          </c:tx>
          <c:spPr>
            <a:solidFill>
              <a:schemeClr val="accent4"/>
            </a:solidFill>
            <a:ln>
              <a:noFill/>
            </a:ln>
            <a:effectLst/>
            <a:sp3d/>
          </c:spPr>
          <c:invertIfNegative val="0"/>
          <c:cat>
            <c:numRef>
              <c:f>efficiency!$K$4:$O$4</c:f>
              <c:numCache>
                <c:formatCode>General</c:formatCode>
                <c:ptCount val="5"/>
                <c:pt idx="0">
                  <c:v>2024</c:v>
                </c:pt>
                <c:pt idx="1">
                  <c:v>2023</c:v>
                </c:pt>
                <c:pt idx="2">
                  <c:v>2022</c:v>
                </c:pt>
                <c:pt idx="3">
                  <c:v>2021</c:v>
                </c:pt>
                <c:pt idx="4">
                  <c:v>2020</c:v>
                </c:pt>
              </c:numCache>
            </c:numRef>
          </c:cat>
          <c:val>
            <c:numRef>
              <c:f>efficiency!$K$7:$O$7</c:f>
              <c:numCache>
                <c:formatCode>0</c:formatCode>
                <c:ptCount val="5"/>
                <c:pt idx="0">
                  <c:v>103.11898107766524</c:v>
                </c:pt>
                <c:pt idx="1">
                  <c:v>99.783042270445378</c:v>
                </c:pt>
                <c:pt idx="2">
                  <c:v>131.04081350410669</c:v>
                </c:pt>
                <c:pt idx="3">
                  <c:v>114.51887135837381</c:v>
                </c:pt>
                <c:pt idx="4">
                  <c:v>100.26127675492218</c:v>
                </c:pt>
              </c:numCache>
            </c:numRef>
          </c:val>
          <c:extLst>
            <c:ext xmlns:c16="http://schemas.microsoft.com/office/drawing/2014/chart" uri="{C3380CC4-5D6E-409C-BE32-E72D297353CC}">
              <c16:uniqueId val="{00000002-B29B-4A3A-9E8D-A83D6B760768}"/>
            </c:ext>
          </c:extLst>
        </c:ser>
        <c:dLbls>
          <c:showLegendKey val="0"/>
          <c:showVal val="0"/>
          <c:showCatName val="0"/>
          <c:showSerName val="0"/>
          <c:showPercent val="0"/>
          <c:showBubbleSize val="0"/>
        </c:dLbls>
        <c:gapWidth val="150"/>
        <c:shape val="box"/>
        <c:axId val="1460256463"/>
        <c:axId val="1460245423"/>
        <c:axId val="0"/>
      </c:bar3DChart>
      <c:catAx>
        <c:axId val="146025646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crossAx val="1460245423"/>
        <c:crosses val="autoZero"/>
        <c:auto val="1"/>
        <c:lblAlgn val="ctr"/>
        <c:lblOffset val="100"/>
        <c:noMultiLvlLbl val="0"/>
      </c:catAx>
      <c:valAx>
        <c:axId val="146024542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crossAx val="1460256463"/>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1" i="0" u="none" strike="noStrike" kern="1200" baseline="0">
                <a:solidFill>
                  <a:schemeClr val="tx1"/>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b="1">
          <a:solidFill>
            <a:schemeClr val="tx1"/>
          </a:solidFill>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600" b="1" i="0" u="none" strike="noStrike" kern="1200" cap="none" spc="20" baseline="0">
                <a:solidFill>
                  <a:schemeClr val="tx1"/>
                </a:solidFill>
                <a:latin typeface="+mn-lt"/>
                <a:ea typeface="+mn-ea"/>
                <a:cs typeface="+mn-cs"/>
              </a:defRPr>
            </a:pPr>
            <a:r>
              <a:rPr lang="en-IN" sz="1600"/>
              <a:t>Investment Ratios</a:t>
            </a:r>
          </a:p>
        </c:rich>
      </c:tx>
      <c:overlay val="0"/>
      <c:spPr>
        <a:noFill/>
        <a:ln>
          <a:noFill/>
        </a:ln>
        <a:effectLst/>
      </c:spPr>
      <c:txPr>
        <a:bodyPr rot="0" spcFirstLastPara="1" vertOverflow="ellipsis" vert="horz" wrap="square" anchor="ctr" anchorCtr="1"/>
        <a:lstStyle/>
        <a:p>
          <a:pPr>
            <a:defRPr sz="1600" b="1" i="0" u="none" strike="noStrike" kern="1200" cap="none" spc="20" baseline="0">
              <a:solidFill>
                <a:schemeClr val="tx1"/>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investment!$J$5</c:f>
              <c:strCache>
                <c:ptCount val="1"/>
                <c:pt idx="0">
                  <c:v>Return on assets</c:v>
                </c:pt>
              </c:strCache>
            </c:strRef>
          </c:tx>
          <c:spPr>
            <a:gradFill rotWithShape="1">
              <a:gsLst>
                <a:gs pos="0">
                  <a:schemeClr val="accent2">
                    <a:shade val="76000"/>
                    <a:lumMod val="110000"/>
                    <a:satMod val="105000"/>
                    <a:tint val="67000"/>
                  </a:schemeClr>
                </a:gs>
                <a:gs pos="50000">
                  <a:schemeClr val="accent2">
                    <a:shade val="76000"/>
                    <a:lumMod val="105000"/>
                    <a:satMod val="103000"/>
                    <a:tint val="73000"/>
                  </a:schemeClr>
                </a:gs>
                <a:gs pos="100000">
                  <a:schemeClr val="accent2">
                    <a:shade val="76000"/>
                    <a:lumMod val="105000"/>
                    <a:satMod val="109000"/>
                    <a:tint val="81000"/>
                  </a:schemeClr>
                </a:gs>
              </a:gsLst>
              <a:lin ang="5400000" scaled="0"/>
            </a:gradFill>
            <a:ln w="9525" cap="flat" cmpd="sng" algn="ctr">
              <a:solidFill>
                <a:schemeClr val="accent2">
                  <a:shade val="76000"/>
                  <a:shade val="95000"/>
                </a:schemeClr>
              </a:solidFill>
              <a:round/>
            </a:ln>
            <a:effectLst/>
            <a:sp3d contourW="9525">
              <a:contourClr>
                <a:schemeClr val="accent2">
                  <a:shade val="76000"/>
                  <a:shade val="95000"/>
                </a:schemeClr>
              </a:contourClr>
            </a:sp3d>
          </c:spPr>
          <c:invertIfNegative val="0"/>
          <c:cat>
            <c:numRef>
              <c:f>investment!$K$4:$O$4</c:f>
              <c:numCache>
                <c:formatCode>General</c:formatCode>
                <c:ptCount val="5"/>
                <c:pt idx="0">
                  <c:v>2024</c:v>
                </c:pt>
                <c:pt idx="1">
                  <c:v>2023</c:v>
                </c:pt>
                <c:pt idx="2">
                  <c:v>2022</c:v>
                </c:pt>
                <c:pt idx="3">
                  <c:v>2021</c:v>
                </c:pt>
                <c:pt idx="4">
                  <c:v>2020</c:v>
                </c:pt>
              </c:numCache>
            </c:numRef>
          </c:cat>
          <c:val>
            <c:numRef>
              <c:f>investment!$K$5:$O$5</c:f>
              <c:numCache>
                <c:formatCode>0.00%</c:formatCode>
                <c:ptCount val="5"/>
                <c:pt idx="0">
                  <c:v>-7.4311745022483097E-2</c:v>
                </c:pt>
                <c:pt idx="1">
                  <c:v>-0.27604869166441864</c:v>
                </c:pt>
                <c:pt idx="2">
                  <c:v>8.0727859838980649E-4</c:v>
                </c:pt>
                <c:pt idx="3">
                  <c:v>1.0387030026570106E-2</c:v>
                </c:pt>
                <c:pt idx="4">
                  <c:v>7.5588390914969925E-2</c:v>
                </c:pt>
              </c:numCache>
            </c:numRef>
          </c:val>
          <c:extLst>
            <c:ext xmlns:c16="http://schemas.microsoft.com/office/drawing/2014/chart" uri="{C3380CC4-5D6E-409C-BE32-E72D297353CC}">
              <c16:uniqueId val="{00000000-FF94-48F8-ACD4-2E3F630F7970}"/>
            </c:ext>
          </c:extLst>
        </c:ser>
        <c:ser>
          <c:idx val="1"/>
          <c:order val="1"/>
          <c:tx>
            <c:strRef>
              <c:f>investment!$J$6</c:f>
              <c:strCache>
                <c:ptCount val="1"/>
                <c:pt idx="0">
                  <c:v>Earnings per share</c:v>
                </c:pt>
              </c:strCache>
            </c:strRef>
          </c:tx>
          <c:spPr>
            <a:gradFill rotWithShape="1">
              <a:gsLst>
                <a:gs pos="0">
                  <a:schemeClr val="accent2">
                    <a:tint val="77000"/>
                    <a:lumMod val="110000"/>
                    <a:satMod val="105000"/>
                    <a:tint val="67000"/>
                  </a:schemeClr>
                </a:gs>
                <a:gs pos="50000">
                  <a:schemeClr val="accent2">
                    <a:tint val="77000"/>
                    <a:lumMod val="105000"/>
                    <a:satMod val="103000"/>
                    <a:tint val="73000"/>
                  </a:schemeClr>
                </a:gs>
                <a:gs pos="100000">
                  <a:schemeClr val="accent2">
                    <a:tint val="77000"/>
                    <a:lumMod val="105000"/>
                    <a:satMod val="109000"/>
                    <a:tint val="81000"/>
                  </a:schemeClr>
                </a:gs>
              </a:gsLst>
              <a:lin ang="5400000" scaled="0"/>
            </a:gradFill>
            <a:ln w="9525" cap="flat" cmpd="sng" algn="ctr">
              <a:solidFill>
                <a:schemeClr val="accent2">
                  <a:tint val="77000"/>
                  <a:shade val="95000"/>
                </a:schemeClr>
              </a:solidFill>
              <a:round/>
            </a:ln>
            <a:effectLst/>
            <a:sp3d contourW="9525">
              <a:contourClr>
                <a:schemeClr val="accent2">
                  <a:tint val="77000"/>
                  <a:shade val="95000"/>
                </a:schemeClr>
              </a:contourClr>
            </a:sp3d>
          </c:spPr>
          <c:invertIfNegative val="0"/>
          <c:cat>
            <c:numRef>
              <c:f>investment!$K$4:$O$4</c:f>
              <c:numCache>
                <c:formatCode>General</c:formatCode>
                <c:ptCount val="5"/>
                <c:pt idx="0">
                  <c:v>2024</c:v>
                </c:pt>
                <c:pt idx="1">
                  <c:v>2023</c:v>
                </c:pt>
                <c:pt idx="2">
                  <c:v>2022</c:v>
                </c:pt>
                <c:pt idx="3">
                  <c:v>2021</c:v>
                </c:pt>
                <c:pt idx="4">
                  <c:v>2020</c:v>
                </c:pt>
              </c:numCache>
            </c:numRef>
          </c:cat>
          <c:val>
            <c:numRef>
              <c:f>investment!$K$6:$O$6</c:f>
              <c:numCache>
                <c:formatCode>0.00</c:formatCode>
                <c:ptCount val="5"/>
                <c:pt idx="0">
                  <c:v>-1.8542325796743575</c:v>
                </c:pt>
                <c:pt idx="1">
                  <c:v>-7.6420070011668608</c:v>
                </c:pt>
                <c:pt idx="2">
                  <c:v>3.2039675667165236E-2</c:v>
                </c:pt>
                <c:pt idx="3">
                  <c:v>0.39368733754177498</c:v>
                </c:pt>
                <c:pt idx="4">
                  <c:v>2.77636219678975</c:v>
                </c:pt>
              </c:numCache>
            </c:numRef>
          </c:val>
          <c:extLst>
            <c:ext xmlns:c16="http://schemas.microsoft.com/office/drawing/2014/chart" uri="{C3380CC4-5D6E-409C-BE32-E72D297353CC}">
              <c16:uniqueId val="{00000001-FF94-48F8-ACD4-2E3F630F7970}"/>
            </c:ext>
          </c:extLst>
        </c:ser>
        <c:dLbls>
          <c:showLegendKey val="0"/>
          <c:showVal val="0"/>
          <c:showCatName val="0"/>
          <c:showSerName val="0"/>
          <c:showPercent val="0"/>
          <c:showBubbleSize val="0"/>
        </c:dLbls>
        <c:gapWidth val="150"/>
        <c:shape val="box"/>
        <c:axId val="1460247823"/>
        <c:axId val="1460255503"/>
        <c:axId val="0"/>
      </c:bar3DChart>
      <c:catAx>
        <c:axId val="146024782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1" i="0" u="none" strike="noStrike" kern="1200" baseline="0">
                <a:solidFill>
                  <a:schemeClr val="tx1"/>
                </a:solidFill>
                <a:latin typeface="+mn-lt"/>
                <a:ea typeface="+mn-ea"/>
                <a:cs typeface="+mn-cs"/>
              </a:defRPr>
            </a:pPr>
            <a:endParaRPr lang="en-US"/>
          </a:p>
        </c:txPr>
        <c:crossAx val="1460255503"/>
        <c:crosses val="autoZero"/>
        <c:auto val="1"/>
        <c:lblAlgn val="ctr"/>
        <c:lblOffset val="100"/>
        <c:noMultiLvlLbl val="0"/>
      </c:catAx>
      <c:valAx>
        <c:axId val="146025550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1000" b="1" i="0" u="none" strike="noStrike" kern="1200" baseline="0">
                <a:solidFill>
                  <a:schemeClr val="tx1"/>
                </a:solidFill>
                <a:latin typeface="+mn-lt"/>
                <a:ea typeface="+mn-ea"/>
                <a:cs typeface="+mn-cs"/>
              </a:defRPr>
            </a:pPr>
            <a:endParaRPr lang="en-US"/>
          </a:p>
        </c:txPr>
        <c:crossAx val="1460247823"/>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1000" b="1" i="0" u="none" strike="noStrike" kern="1200" baseline="0">
                <a:solidFill>
                  <a:schemeClr val="tx1"/>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000" b="1">
          <a:solidFill>
            <a:schemeClr val="tx1"/>
          </a:solidFill>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solidFill>
                <a:latin typeface="+mn-lt"/>
                <a:ea typeface="+mn-ea"/>
                <a:cs typeface="+mn-cs"/>
              </a:defRPr>
            </a:pPr>
            <a:r>
              <a:rPr lang="en-IN"/>
              <a:t>Cash flows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solidFill>
              <a:latin typeface="+mn-lt"/>
              <a:ea typeface="+mn-ea"/>
              <a:cs typeface="+mn-cs"/>
            </a:defRPr>
          </a:pPr>
          <a:endParaRPr lang="en-US"/>
        </a:p>
      </c:txPr>
    </c:title>
    <c:autoTitleDeleted val="0"/>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'cash flows'!$J$5</c:f>
              <c:strCache>
                <c:ptCount val="1"/>
                <c:pt idx="0">
                  <c:v>Operating cash flow ratio</c:v>
                </c:pt>
              </c:strCache>
            </c:strRef>
          </c:tx>
          <c:spPr>
            <a:pattFill prst="ltDnDiag">
              <a:fgClr>
                <a:schemeClr val="accent2"/>
              </a:fgClr>
              <a:bgClr>
                <a:schemeClr val="accent2">
                  <a:lumMod val="20000"/>
                  <a:lumOff val="80000"/>
                </a:schemeClr>
              </a:bgClr>
            </a:pattFill>
            <a:ln>
              <a:solidFill>
                <a:schemeClr val="accent2"/>
              </a:solidFill>
            </a:ln>
            <a:effectLst/>
            <a:sp3d>
              <a:contourClr>
                <a:schemeClr val="accent2"/>
              </a:contourClr>
            </a:sp3d>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flows'!$K$4:$O$4</c:f>
              <c:numCache>
                <c:formatCode>General</c:formatCode>
                <c:ptCount val="5"/>
                <c:pt idx="0">
                  <c:v>2024</c:v>
                </c:pt>
                <c:pt idx="1">
                  <c:v>2023</c:v>
                </c:pt>
                <c:pt idx="2">
                  <c:v>2022</c:v>
                </c:pt>
                <c:pt idx="3">
                  <c:v>2021</c:v>
                </c:pt>
                <c:pt idx="4">
                  <c:v>2020</c:v>
                </c:pt>
              </c:numCache>
            </c:numRef>
          </c:cat>
          <c:val>
            <c:numRef>
              <c:f>'cash flows'!$K$5:$O$5</c:f>
              <c:numCache>
                <c:formatCode>0.000</c:formatCode>
                <c:ptCount val="5"/>
                <c:pt idx="0">
                  <c:v>9.3637667334213567E-2</c:v>
                </c:pt>
                <c:pt idx="1">
                  <c:v>0.15631593317943754</c:v>
                </c:pt>
                <c:pt idx="2">
                  <c:v>5.0472807232310728E-2</c:v>
                </c:pt>
                <c:pt idx="3">
                  <c:v>0.18581833781545942</c:v>
                </c:pt>
                <c:pt idx="4">
                  <c:v>0.40884630382708487</c:v>
                </c:pt>
              </c:numCache>
            </c:numRef>
          </c:val>
          <c:extLst>
            <c:ext xmlns:c16="http://schemas.microsoft.com/office/drawing/2014/chart" uri="{C3380CC4-5D6E-409C-BE32-E72D297353CC}">
              <c16:uniqueId val="{00000000-2BC6-4182-993B-3AB2F212CC35}"/>
            </c:ext>
          </c:extLst>
        </c:ser>
        <c:ser>
          <c:idx val="1"/>
          <c:order val="1"/>
          <c:tx>
            <c:strRef>
              <c:f>'cash flows'!$J$6</c:f>
              <c:strCache>
                <c:ptCount val="1"/>
                <c:pt idx="0">
                  <c:v>Cash flow margin</c:v>
                </c:pt>
              </c:strCache>
            </c:strRef>
          </c:tx>
          <c:spPr>
            <a:pattFill prst="ltDnDiag">
              <a:fgClr>
                <a:schemeClr val="accent4"/>
              </a:fgClr>
              <a:bgClr>
                <a:schemeClr val="accent4">
                  <a:lumMod val="20000"/>
                  <a:lumOff val="80000"/>
                </a:schemeClr>
              </a:bgClr>
            </a:pattFill>
            <a:ln>
              <a:solidFill>
                <a:schemeClr val="accent4"/>
              </a:solidFill>
            </a:ln>
            <a:effectLst/>
            <a:sp3d>
              <a:contourClr>
                <a:schemeClr val="accent4"/>
              </a:contourClr>
            </a:sp3d>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flows'!$K$4:$O$4</c:f>
              <c:numCache>
                <c:formatCode>General</c:formatCode>
                <c:ptCount val="5"/>
                <c:pt idx="0">
                  <c:v>2024</c:v>
                </c:pt>
                <c:pt idx="1">
                  <c:v>2023</c:v>
                </c:pt>
                <c:pt idx="2">
                  <c:v>2022</c:v>
                </c:pt>
                <c:pt idx="3">
                  <c:v>2021</c:v>
                </c:pt>
                <c:pt idx="4">
                  <c:v>2020</c:v>
                </c:pt>
              </c:numCache>
            </c:numRef>
          </c:cat>
          <c:val>
            <c:numRef>
              <c:f>'cash flows'!$K$6:$O$6</c:f>
              <c:numCache>
                <c:formatCode>0.00%</c:formatCode>
                <c:ptCount val="5"/>
                <c:pt idx="0">
                  <c:v>3.7535548864335661E-2</c:v>
                </c:pt>
                <c:pt idx="1">
                  <c:v>5.9911001600639308E-2</c:v>
                </c:pt>
                <c:pt idx="2">
                  <c:v>2.0130778202159E-2</c:v>
                </c:pt>
                <c:pt idx="3">
                  <c:v>6.6959551331278816E-2</c:v>
                </c:pt>
                <c:pt idx="4">
                  <c:v>0.11939871152469578</c:v>
                </c:pt>
              </c:numCache>
            </c:numRef>
          </c:val>
          <c:extLst>
            <c:ext xmlns:c16="http://schemas.microsoft.com/office/drawing/2014/chart" uri="{C3380CC4-5D6E-409C-BE32-E72D297353CC}">
              <c16:uniqueId val="{00000001-2BC6-4182-993B-3AB2F212CC35}"/>
            </c:ext>
          </c:extLst>
        </c:ser>
        <c:dLbls>
          <c:showLegendKey val="0"/>
          <c:showVal val="1"/>
          <c:showCatName val="0"/>
          <c:showSerName val="0"/>
          <c:showPercent val="0"/>
          <c:showBubbleSize val="0"/>
        </c:dLbls>
        <c:gapWidth val="160"/>
        <c:gapDepth val="0"/>
        <c:shape val="box"/>
        <c:axId val="1460260783"/>
        <c:axId val="1460266063"/>
        <c:axId val="0"/>
      </c:bar3DChart>
      <c:catAx>
        <c:axId val="146026078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crossAx val="1460266063"/>
        <c:crosses val="autoZero"/>
        <c:auto val="1"/>
        <c:lblAlgn val="ctr"/>
        <c:lblOffset val="100"/>
        <c:noMultiLvlLbl val="0"/>
      </c:catAx>
      <c:valAx>
        <c:axId val="1460266063"/>
        <c:scaling>
          <c:orientation val="minMax"/>
        </c:scaling>
        <c:delete val="0"/>
        <c:axPos val="l"/>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crossAx val="146026078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b="1">
          <a:solidFill>
            <a:schemeClr val="tx1"/>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5">
  <a:schemeClr val="accent2"/>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C874A26-1B31-4BCD-9997-EE549DEC944F}" type="doc">
      <dgm:prSet loTypeId="urn:microsoft.com/office/officeart/2005/8/layout/arrow4" loCatId="relationship" qsTypeId="urn:microsoft.com/office/officeart/2005/8/quickstyle/3d2" qsCatId="3D" csTypeId="urn:microsoft.com/office/officeart/2005/8/colors/colorful3" csCatId="colorful" phldr="1"/>
      <dgm:spPr/>
      <dgm:t>
        <a:bodyPr/>
        <a:lstStyle/>
        <a:p>
          <a:endParaRPr lang="en-IN"/>
        </a:p>
      </dgm:t>
    </dgm:pt>
    <dgm:pt modelId="{0AC92671-81C5-479F-94DE-DD83A6C00BC2}">
      <dgm:prSet phldrT="[Text]"/>
      <dgm:spPr/>
      <dgm:t>
        <a:bodyPr/>
        <a:lstStyle/>
        <a:p>
          <a:r>
            <a:rPr lang="en-IN" b="1"/>
            <a:t>Short-term Finance</a:t>
          </a:r>
        </a:p>
      </dgm:t>
    </dgm:pt>
    <dgm:pt modelId="{B99D6941-0920-47EA-937D-59202DD59B88}" type="parTrans" cxnId="{195DD688-737A-4EC2-8FB0-8EEF63DFE887}">
      <dgm:prSet/>
      <dgm:spPr/>
      <dgm:t>
        <a:bodyPr/>
        <a:lstStyle/>
        <a:p>
          <a:endParaRPr lang="en-IN"/>
        </a:p>
      </dgm:t>
    </dgm:pt>
    <dgm:pt modelId="{9BE40324-E7C5-43A5-8AB7-CE99C49ABD89}" type="sibTrans" cxnId="{195DD688-737A-4EC2-8FB0-8EEF63DFE887}">
      <dgm:prSet/>
      <dgm:spPr/>
      <dgm:t>
        <a:bodyPr/>
        <a:lstStyle/>
        <a:p>
          <a:endParaRPr lang="en-IN"/>
        </a:p>
      </dgm:t>
    </dgm:pt>
    <dgm:pt modelId="{01F71EA5-DFFA-403F-9C27-1CEB52B63052}">
      <dgm:prSet phldrT="[Text]"/>
      <dgm:spPr/>
      <dgm:t>
        <a:bodyPr/>
        <a:lstStyle/>
        <a:p>
          <a:r>
            <a:rPr lang="en-IN" b="1"/>
            <a:t>Long-term Finance</a:t>
          </a:r>
        </a:p>
      </dgm:t>
    </dgm:pt>
    <dgm:pt modelId="{7897A174-5DBE-49BF-B53A-EF3F811E34AF}" type="parTrans" cxnId="{E9DBE546-3D65-41B7-A7F9-3C0D227FC60C}">
      <dgm:prSet/>
      <dgm:spPr/>
      <dgm:t>
        <a:bodyPr/>
        <a:lstStyle/>
        <a:p>
          <a:endParaRPr lang="en-IN"/>
        </a:p>
      </dgm:t>
    </dgm:pt>
    <dgm:pt modelId="{18C9C849-8397-4E26-BFB9-F4BBFEBA8F00}" type="sibTrans" cxnId="{E9DBE546-3D65-41B7-A7F9-3C0D227FC60C}">
      <dgm:prSet/>
      <dgm:spPr/>
      <dgm:t>
        <a:bodyPr/>
        <a:lstStyle/>
        <a:p>
          <a:endParaRPr lang="en-IN"/>
        </a:p>
      </dgm:t>
    </dgm:pt>
    <dgm:pt modelId="{9A22833E-690D-4678-BF31-79E61961A0F7}" type="pres">
      <dgm:prSet presAssocID="{5C874A26-1B31-4BCD-9997-EE549DEC944F}" presName="compositeShape" presStyleCnt="0">
        <dgm:presLayoutVars>
          <dgm:chMax val="2"/>
          <dgm:dir/>
          <dgm:resizeHandles val="exact"/>
        </dgm:presLayoutVars>
      </dgm:prSet>
      <dgm:spPr/>
    </dgm:pt>
    <dgm:pt modelId="{A374BFA9-61B8-4B52-BE98-62DE38291EE6}" type="pres">
      <dgm:prSet presAssocID="{0AC92671-81C5-479F-94DE-DD83A6C00BC2}" presName="upArrow" presStyleLbl="node1" presStyleIdx="0" presStyleCnt="2"/>
      <dgm:spPr/>
    </dgm:pt>
    <dgm:pt modelId="{0F934795-713B-405A-A13E-D2DC58FAB9BA}" type="pres">
      <dgm:prSet presAssocID="{0AC92671-81C5-479F-94DE-DD83A6C00BC2}" presName="upArrowText" presStyleLbl="revTx" presStyleIdx="0" presStyleCnt="2">
        <dgm:presLayoutVars>
          <dgm:chMax val="0"/>
          <dgm:bulletEnabled val="1"/>
        </dgm:presLayoutVars>
      </dgm:prSet>
      <dgm:spPr/>
    </dgm:pt>
    <dgm:pt modelId="{86E70E46-685A-4052-B91D-33EB7A5805DA}" type="pres">
      <dgm:prSet presAssocID="{01F71EA5-DFFA-403F-9C27-1CEB52B63052}" presName="downArrow" presStyleLbl="node1" presStyleIdx="1" presStyleCnt="2"/>
      <dgm:spPr/>
    </dgm:pt>
    <dgm:pt modelId="{6CE15CB5-0174-4333-B6BE-5B3CA027EA6B}" type="pres">
      <dgm:prSet presAssocID="{01F71EA5-DFFA-403F-9C27-1CEB52B63052}" presName="downArrowText" presStyleLbl="revTx" presStyleIdx="1" presStyleCnt="2">
        <dgm:presLayoutVars>
          <dgm:chMax val="0"/>
          <dgm:bulletEnabled val="1"/>
        </dgm:presLayoutVars>
      </dgm:prSet>
      <dgm:spPr/>
    </dgm:pt>
  </dgm:ptLst>
  <dgm:cxnLst>
    <dgm:cxn modelId="{C62F1E46-78DD-4C0A-B44B-F79DEF1D62A3}" type="presOf" srcId="{0AC92671-81C5-479F-94DE-DD83A6C00BC2}" destId="{0F934795-713B-405A-A13E-D2DC58FAB9BA}" srcOrd="0" destOrd="0" presId="urn:microsoft.com/office/officeart/2005/8/layout/arrow4"/>
    <dgm:cxn modelId="{E9DBE546-3D65-41B7-A7F9-3C0D227FC60C}" srcId="{5C874A26-1B31-4BCD-9997-EE549DEC944F}" destId="{01F71EA5-DFFA-403F-9C27-1CEB52B63052}" srcOrd="1" destOrd="0" parTransId="{7897A174-5DBE-49BF-B53A-EF3F811E34AF}" sibTransId="{18C9C849-8397-4E26-BFB9-F4BBFEBA8F00}"/>
    <dgm:cxn modelId="{195DD688-737A-4EC2-8FB0-8EEF63DFE887}" srcId="{5C874A26-1B31-4BCD-9997-EE549DEC944F}" destId="{0AC92671-81C5-479F-94DE-DD83A6C00BC2}" srcOrd="0" destOrd="0" parTransId="{B99D6941-0920-47EA-937D-59202DD59B88}" sibTransId="{9BE40324-E7C5-43A5-8AB7-CE99C49ABD89}"/>
    <dgm:cxn modelId="{9BF01699-2D1E-40DE-B597-DD832A4FBF3B}" type="presOf" srcId="{01F71EA5-DFFA-403F-9C27-1CEB52B63052}" destId="{6CE15CB5-0174-4333-B6BE-5B3CA027EA6B}" srcOrd="0" destOrd="0" presId="urn:microsoft.com/office/officeart/2005/8/layout/arrow4"/>
    <dgm:cxn modelId="{94B8CBA1-59DF-4D47-8178-B4C07EB0E094}" type="presOf" srcId="{5C874A26-1B31-4BCD-9997-EE549DEC944F}" destId="{9A22833E-690D-4678-BF31-79E61961A0F7}" srcOrd="0" destOrd="0" presId="urn:microsoft.com/office/officeart/2005/8/layout/arrow4"/>
    <dgm:cxn modelId="{EE0352DF-EA72-4C53-BD5B-2ACD15285A85}" type="presParOf" srcId="{9A22833E-690D-4678-BF31-79E61961A0F7}" destId="{A374BFA9-61B8-4B52-BE98-62DE38291EE6}" srcOrd="0" destOrd="0" presId="urn:microsoft.com/office/officeart/2005/8/layout/arrow4"/>
    <dgm:cxn modelId="{A8898A93-0742-494F-B043-7BA9302106C4}" type="presParOf" srcId="{9A22833E-690D-4678-BF31-79E61961A0F7}" destId="{0F934795-713B-405A-A13E-D2DC58FAB9BA}" srcOrd="1" destOrd="0" presId="urn:microsoft.com/office/officeart/2005/8/layout/arrow4"/>
    <dgm:cxn modelId="{334FD8F1-83A7-4589-BA74-2FD62DB80E9E}" type="presParOf" srcId="{9A22833E-690D-4678-BF31-79E61961A0F7}" destId="{86E70E46-685A-4052-B91D-33EB7A5805DA}" srcOrd="2" destOrd="0" presId="urn:microsoft.com/office/officeart/2005/8/layout/arrow4"/>
    <dgm:cxn modelId="{426DC7DB-E512-4DC7-9272-740805098DC3}" type="presParOf" srcId="{9A22833E-690D-4678-BF31-79E61961A0F7}" destId="{6CE15CB5-0174-4333-B6BE-5B3CA027EA6B}" srcOrd="3" destOrd="0" presId="urn:microsoft.com/office/officeart/2005/8/layout/arrow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17BE94C-3FC2-400E-B9DB-3556F4C52A63}" type="doc">
      <dgm:prSet loTypeId="urn:microsoft.com/office/officeart/2005/8/layout/list1" loCatId="list" qsTypeId="urn:microsoft.com/office/officeart/2005/8/quickstyle/simple4" qsCatId="simple" csTypeId="urn:microsoft.com/office/officeart/2005/8/colors/colorful4" csCatId="colorful" phldr="1"/>
      <dgm:spPr/>
      <dgm:t>
        <a:bodyPr/>
        <a:lstStyle/>
        <a:p>
          <a:endParaRPr lang="en-IN"/>
        </a:p>
      </dgm:t>
    </dgm:pt>
    <dgm:pt modelId="{F8AD39D9-C384-4F12-B791-65CFB5CB7EBC}">
      <dgm:prSet phldrT="[Text]"/>
      <dgm:spPr/>
      <dgm:t>
        <a:bodyPr/>
        <a:lstStyle/>
        <a:p>
          <a:r>
            <a:rPr lang="en-IN" b="1">
              <a:latin typeface="Arial" panose="020B0604020202020204" pitchFamily="34" charset="0"/>
              <a:cs typeface="Arial" panose="020B0604020202020204" pitchFamily="34" charset="0"/>
            </a:rPr>
            <a:t>Taxation </a:t>
          </a:r>
        </a:p>
      </dgm:t>
    </dgm:pt>
    <dgm:pt modelId="{C4B6E516-EBCD-422A-9634-FF122FE91B94}" type="parTrans" cxnId="{CDBD5425-B776-4EB5-A2C6-7C226B66AA33}">
      <dgm:prSet/>
      <dgm:spPr/>
      <dgm:t>
        <a:bodyPr/>
        <a:lstStyle/>
        <a:p>
          <a:endParaRPr lang="en-IN"/>
        </a:p>
      </dgm:t>
    </dgm:pt>
    <dgm:pt modelId="{69866B07-3939-4843-AB49-83B01EFA97D8}" type="sibTrans" cxnId="{CDBD5425-B776-4EB5-A2C6-7C226B66AA33}">
      <dgm:prSet/>
      <dgm:spPr/>
      <dgm:t>
        <a:bodyPr/>
        <a:lstStyle/>
        <a:p>
          <a:endParaRPr lang="en-IN"/>
        </a:p>
      </dgm:t>
    </dgm:pt>
    <dgm:pt modelId="{14273AEF-C597-4A73-85C7-C36750E6536C}">
      <dgm:prSet phldrT="[Text]"/>
      <dgm:spPr/>
      <dgm:t>
        <a:bodyPr/>
        <a:lstStyle/>
        <a:p>
          <a:r>
            <a:rPr lang="en-IN" b="1">
              <a:latin typeface="Arial" panose="020B0604020202020204" pitchFamily="34" charset="0"/>
              <a:cs typeface="Arial" panose="020B0604020202020204" pitchFamily="34" charset="0"/>
            </a:rPr>
            <a:t>Inflation Risks</a:t>
          </a:r>
        </a:p>
      </dgm:t>
    </dgm:pt>
    <dgm:pt modelId="{117C33C5-1318-4D9E-8CD2-3EBA4B8168FC}" type="parTrans" cxnId="{AFBDC11F-3982-4D07-8751-68B4C5998143}">
      <dgm:prSet/>
      <dgm:spPr/>
      <dgm:t>
        <a:bodyPr/>
        <a:lstStyle/>
        <a:p>
          <a:endParaRPr lang="en-IN"/>
        </a:p>
      </dgm:t>
    </dgm:pt>
    <dgm:pt modelId="{01E21D7A-5DA4-47D1-8001-5ADE907B8FCA}" type="sibTrans" cxnId="{AFBDC11F-3982-4D07-8751-68B4C5998143}">
      <dgm:prSet/>
      <dgm:spPr/>
      <dgm:t>
        <a:bodyPr/>
        <a:lstStyle/>
        <a:p>
          <a:endParaRPr lang="en-IN"/>
        </a:p>
      </dgm:t>
    </dgm:pt>
    <dgm:pt modelId="{46F152FB-193E-407B-8AC0-0A5A441FBABD}">
      <dgm:prSet phldrT="[Text]"/>
      <dgm:spPr/>
      <dgm:t>
        <a:bodyPr/>
        <a:lstStyle/>
        <a:p>
          <a:r>
            <a:rPr lang="en-IN" b="1">
              <a:latin typeface="Arial" panose="020B0604020202020204" pitchFamily="34" charset="0"/>
              <a:cs typeface="Arial" panose="020B0604020202020204" pitchFamily="34" charset="0"/>
            </a:rPr>
            <a:t>CSR Consideration</a:t>
          </a:r>
        </a:p>
      </dgm:t>
    </dgm:pt>
    <dgm:pt modelId="{93B3E8D0-9F0F-491D-A515-38F593B998FC}" type="parTrans" cxnId="{E89C0DB6-28C8-4E74-82A0-7037ABC2DF16}">
      <dgm:prSet/>
      <dgm:spPr/>
      <dgm:t>
        <a:bodyPr/>
        <a:lstStyle/>
        <a:p>
          <a:endParaRPr lang="en-IN"/>
        </a:p>
      </dgm:t>
    </dgm:pt>
    <dgm:pt modelId="{A24D450D-027C-4E33-9664-417D114FCAA3}" type="sibTrans" cxnId="{E89C0DB6-28C8-4E74-82A0-7037ABC2DF16}">
      <dgm:prSet/>
      <dgm:spPr/>
      <dgm:t>
        <a:bodyPr/>
        <a:lstStyle/>
        <a:p>
          <a:endParaRPr lang="en-IN"/>
        </a:p>
      </dgm:t>
    </dgm:pt>
    <dgm:pt modelId="{92B2423B-B9DD-450F-8AFA-8F8E30FB5B88}" type="pres">
      <dgm:prSet presAssocID="{417BE94C-3FC2-400E-B9DB-3556F4C52A63}" presName="linear" presStyleCnt="0">
        <dgm:presLayoutVars>
          <dgm:dir/>
          <dgm:animLvl val="lvl"/>
          <dgm:resizeHandles val="exact"/>
        </dgm:presLayoutVars>
      </dgm:prSet>
      <dgm:spPr/>
    </dgm:pt>
    <dgm:pt modelId="{469EA5D5-A08A-43B1-ADF5-7495AD752E78}" type="pres">
      <dgm:prSet presAssocID="{F8AD39D9-C384-4F12-B791-65CFB5CB7EBC}" presName="parentLin" presStyleCnt="0"/>
      <dgm:spPr/>
    </dgm:pt>
    <dgm:pt modelId="{3912D7E8-CCB9-40A0-95A3-927A2DD04B1D}" type="pres">
      <dgm:prSet presAssocID="{F8AD39D9-C384-4F12-B791-65CFB5CB7EBC}" presName="parentLeftMargin" presStyleLbl="node1" presStyleIdx="0" presStyleCnt="3"/>
      <dgm:spPr/>
    </dgm:pt>
    <dgm:pt modelId="{7E122549-8C63-4E0C-8BD8-A3FBC2989076}" type="pres">
      <dgm:prSet presAssocID="{F8AD39D9-C384-4F12-B791-65CFB5CB7EBC}" presName="parentText" presStyleLbl="node1" presStyleIdx="0" presStyleCnt="3">
        <dgm:presLayoutVars>
          <dgm:chMax val="0"/>
          <dgm:bulletEnabled val="1"/>
        </dgm:presLayoutVars>
      </dgm:prSet>
      <dgm:spPr/>
    </dgm:pt>
    <dgm:pt modelId="{47B7A47D-571C-461F-A52E-0EC8E359DFB1}" type="pres">
      <dgm:prSet presAssocID="{F8AD39D9-C384-4F12-B791-65CFB5CB7EBC}" presName="negativeSpace" presStyleCnt="0"/>
      <dgm:spPr/>
    </dgm:pt>
    <dgm:pt modelId="{59B9E4CA-5DC6-4F6A-B889-61FA6E34E0E9}" type="pres">
      <dgm:prSet presAssocID="{F8AD39D9-C384-4F12-B791-65CFB5CB7EBC}" presName="childText" presStyleLbl="conFgAcc1" presStyleIdx="0" presStyleCnt="3">
        <dgm:presLayoutVars>
          <dgm:bulletEnabled val="1"/>
        </dgm:presLayoutVars>
      </dgm:prSet>
      <dgm:spPr/>
    </dgm:pt>
    <dgm:pt modelId="{EC4B09A9-BF04-4508-AEF8-7B8CBFA133B2}" type="pres">
      <dgm:prSet presAssocID="{69866B07-3939-4843-AB49-83B01EFA97D8}" presName="spaceBetweenRectangles" presStyleCnt="0"/>
      <dgm:spPr/>
    </dgm:pt>
    <dgm:pt modelId="{F2609921-2641-43CC-90A4-8ABC4DC65858}" type="pres">
      <dgm:prSet presAssocID="{14273AEF-C597-4A73-85C7-C36750E6536C}" presName="parentLin" presStyleCnt="0"/>
      <dgm:spPr/>
    </dgm:pt>
    <dgm:pt modelId="{332F6C14-8B27-4B40-AB09-CAAADC4B9F72}" type="pres">
      <dgm:prSet presAssocID="{14273AEF-C597-4A73-85C7-C36750E6536C}" presName="parentLeftMargin" presStyleLbl="node1" presStyleIdx="0" presStyleCnt="3"/>
      <dgm:spPr/>
    </dgm:pt>
    <dgm:pt modelId="{1967DE60-4C31-4421-8483-217A20C73FC8}" type="pres">
      <dgm:prSet presAssocID="{14273AEF-C597-4A73-85C7-C36750E6536C}" presName="parentText" presStyleLbl="node1" presStyleIdx="1" presStyleCnt="3">
        <dgm:presLayoutVars>
          <dgm:chMax val="0"/>
          <dgm:bulletEnabled val="1"/>
        </dgm:presLayoutVars>
      </dgm:prSet>
      <dgm:spPr/>
    </dgm:pt>
    <dgm:pt modelId="{E24218DA-34F4-4101-A6BE-B69091BF8CCE}" type="pres">
      <dgm:prSet presAssocID="{14273AEF-C597-4A73-85C7-C36750E6536C}" presName="negativeSpace" presStyleCnt="0"/>
      <dgm:spPr/>
    </dgm:pt>
    <dgm:pt modelId="{A45EF35B-3E37-4209-A63F-9A01D6A785E6}" type="pres">
      <dgm:prSet presAssocID="{14273AEF-C597-4A73-85C7-C36750E6536C}" presName="childText" presStyleLbl="conFgAcc1" presStyleIdx="1" presStyleCnt="3">
        <dgm:presLayoutVars>
          <dgm:bulletEnabled val="1"/>
        </dgm:presLayoutVars>
      </dgm:prSet>
      <dgm:spPr/>
    </dgm:pt>
    <dgm:pt modelId="{4367FE7A-6E74-4D6A-8601-B6DA0F89560F}" type="pres">
      <dgm:prSet presAssocID="{01E21D7A-5DA4-47D1-8001-5ADE907B8FCA}" presName="spaceBetweenRectangles" presStyleCnt="0"/>
      <dgm:spPr/>
    </dgm:pt>
    <dgm:pt modelId="{EB2E148B-585B-4113-87CD-760A885A6FD6}" type="pres">
      <dgm:prSet presAssocID="{46F152FB-193E-407B-8AC0-0A5A441FBABD}" presName="parentLin" presStyleCnt="0"/>
      <dgm:spPr/>
    </dgm:pt>
    <dgm:pt modelId="{E660D6C7-C18E-4311-B633-60FBFD88F008}" type="pres">
      <dgm:prSet presAssocID="{46F152FB-193E-407B-8AC0-0A5A441FBABD}" presName="parentLeftMargin" presStyleLbl="node1" presStyleIdx="1" presStyleCnt="3"/>
      <dgm:spPr/>
    </dgm:pt>
    <dgm:pt modelId="{3B9E3F1D-296C-4566-A1C2-2147D6449B58}" type="pres">
      <dgm:prSet presAssocID="{46F152FB-193E-407B-8AC0-0A5A441FBABD}" presName="parentText" presStyleLbl="node1" presStyleIdx="2" presStyleCnt="3">
        <dgm:presLayoutVars>
          <dgm:chMax val="0"/>
          <dgm:bulletEnabled val="1"/>
        </dgm:presLayoutVars>
      </dgm:prSet>
      <dgm:spPr/>
    </dgm:pt>
    <dgm:pt modelId="{B7D5D0AF-2C8E-499E-B2A8-BE51E2308B6D}" type="pres">
      <dgm:prSet presAssocID="{46F152FB-193E-407B-8AC0-0A5A441FBABD}" presName="negativeSpace" presStyleCnt="0"/>
      <dgm:spPr/>
    </dgm:pt>
    <dgm:pt modelId="{9D2AF372-0011-4F91-AB16-CDB5B9AD8FA3}" type="pres">
      <dgm:prSet presAssocID="{46F152FB-193E-407B-8AC0-0A5A441FBABD}" presName="childText" presStyleLbl="conFgAcc1" presStyleIdx="2" presStyleCnt="3">
        <dgm:presLayoutVars>
          <dgm:bulletEnabled val="1"/>
        </dgm:presLayoutVars>
      </dgm:prSet>
      <dgm:spPr/>
    </dgm:pt>
  </dgm:ptLst>
  <dgm:cxnLst>
    <dgm:cxn modelId="{AFBDC11F-3982-4D07-8751-68B4C5998143}" srcId="{417BE94C-3FC2-400E-B9DB-3556F4C52A63}" destId="{14273AEF-C597-4A73-85C7-C36750E6536C}" srcOrd="1" destOrd="0" parTransId="{117C33C5-1318-4D9E-8CD2-3EBA4B8168FC}" sibTransId="{01E21D7A-5DA4-47D1-8001-5ADE907B8FCA}"/>
    <dgm:cxn modelId="{CDBD5425-B776-4EB5-A2C6-7C226B66AA33}" srcId="{417BE94C-3FC2-400E-B9DB-3556F4C52A63}" destId="{F8AD39D9-C384-4F12-B791-65CFB5CB7EBC}" srcOrd="0" destOrd="0" parTransId="{C4B6E516-EBCD-422A-9634-FF122FE91B94}" sibTransId="{69866B07-3939-4843-AB49-83B01EFA97D8}"/>
    <dgm:cxn modelId="{14588145-BAD7-4D45-910A-C8E04838B28B}" type="presOf" srcId="{F8AD39D9-C384-4F12-B791-65CFB5CB7EBC}" destId="{3912D7E8-CCB9-40A0-95A3-927A2DD04B1D}" srcOrd="0" destOrd="0" presId="urn:microsoft.com/office/officeart/2005/8/layout/list1"/>
    <dgm:cxn modelId="{6B46DE75-B2F3-4FA4-AA10-CC968B6540F8}" type="presOf" srcId="{46F152FB-193E-407B-8AC0-0A5A441FBABD}" destId="{E660D6C7-C18E-4311-B633-60FBFD88F008}" srcOrd="0" destOrd="0" presId="urn:microsoft.com/office/officeart/2005/8/layout/list1"/>
    <dgm:cxn modelId="{59256D83-9708-4D74-A805-58558E147F46}" type="presOf" srcId="{14273AEF-C597-4A73-85C7-C36750E6536C}" destId="{332F6C14-8B27-4B40-AB09-CAAADC4B9F72}" srcOrd="0" destOrd="0" presId="urn:microsoft.com/office/officeart/2005/8/layout/list1"/>
    <dgm:cxn modelId="{1718CC8B-AE9F-44AB-A30F-13BE3C9848EB}" type="presOf" srcId="{F8AD39D9-C384-4F12-B791-65CFB5CB7EBC}" destId="{7E122549-8C63-4E0C-8BD8-A3FBC2989076}" srcOrd="1" destOrd="0" presId="urn:microsoft.com/office/officeart/2005/8/layout/list1"/>
    <dgm:cxn modelId="{94FBAE8C-F61C-483E-B0F0-43DCFA9732FF}" type="presOf" srcId="{417BE94C-3FC2-400E-B9DB-3556F4C52A63}" destId="{92B2423B-B9DD-450F-8AFA-8F8E30FB5B88}" srcOrd="0" destOrd="0" presId="urn:microsoft.com/office/officeart/2005/8/layout/list1"/>
    <dgm:cxn modelId="{A8FB7998-5723-42B2-936E-4F7883374A48}" type="presOf" srcId="{46F152FB-193E-407B-8AC0-0A5A441FBABD}" destId="{3B9E3F1D-296C-4566-A1C2-2147D6449B58}" srcOrd="1" destOrd="0" presId="urn:microsoft.com/office/officeart/2005/8/layout/list1"/>
    <dgm:cxn modelId="{E89C0DB6-28C8-4E74-82A0-7037ABC2DF16}" srcId="{417BE94C-3FC2-400E-B9DB-3556F4C52A63}" destId="{46F152FB-193E-407B-8AC0-0A5A441FBABD}" srcOrd="2" destOrd="0" parTransId="{93B3E8D0-9F0F-491D-A515-38F593B998FC}" sibTransId="{A24D450D-027C-4E33-9664-417D114FCAA3}"/>
    <dgm:cxn modelId="{0C2430E1-D5AD-4940-AB11-2B8CBDA5B43C}" type="presOf" srcId="{14273AEF-C597-4A73-85C7-C36750E6536C}" destId="{1967DE60-4C31-4421-8483-217A20C73FC8}" srcOrd="1" destOrd="0" presId="urn:microsoft.com/office/officeart/2005/8/layout/list1"/>
    <dgm:cxn modelId="{3C26427A-C096-4676-91FD-163912F53E0A}" type="presParOf" srcId="{92B2423B-B9DD-450F-8AFA-8F8E30FB5B88}" destId="{469EA5D5-A08A-43B1-ADF5-7495AD752E78}" srcOrd="0" destOrd="0" presId="urn:microsoft.com/office/officeart/2005/8/layout/list1"/>
    <dgm:cxn modelId="{AF31B7AF-4CED-44CE-B111-FFB14577F2BB}" type="presParOf" srcId="{469EA5D5-A08A-43B1-ADF5-7495AD752E78}" destId="{3912D7E8-CCB9-40A0-95A3-927A2DD04B1D}" srcOrd="0" destOrd="0" presId="urn:microsoft.com/office/officeart/2005/8/layout/list1"/>
    <dgm:cxn modelId="{2F35727A-8866-4FFE-B91F-EDFA265912F9}" type="presParOf" srcId="{469EA5D5-A08A-43B1-ADF5-7495AD752E78}" destId="{7E122549-8C63-4E0C-8BD8-A3FBC2989076}" srcOrd="1" destOrd="0" presId="urn:microsoft.com/office/officeart/2005/8/layout/list1"/>
    <dgm:cxn modelId="{3919DEA6-2724-4831-958A-754C20E41900}" type="presParOf" srcId="{92B2423B-B9DD-450F-8AFA-8F8E30FB5B88}" destId="{47B7A47D-571C-461F-A52E-0EC8E359DFB1}" srcOrd="1" destOrd="0" presId="urn:microsoft.com/office/officeart/2005/8/layout/list1"/>
    <dgm:cxn modelId="{8C499C19-6F6B-4F89-8EE9-3D94F4733052}" type="presParOf" srcId="{92B2423B-B9DD-450F-8AFA-8F8E30FB5B88}" destId="{59B9E4CA-5DC6-4F6A-B889-61FA6E34E0E9}" srcOrd="2" destOrd="0" presId="urn:microsoft.com/office/officeart/2005/8/layout/list1"/>
    <dgm:cxn modelId="{6A0007AE-DC2A-4C6D-BB82-6AECB9333D1D}" type="presParOf" srcId="{92B2423B-B9DD-450F-8AFA-8F8E30FB5B88}" destId="{EC4B09A9-BF04-4508-AEF8-7B8CBFA133B2}" srcOrd="3" destOrd="0" presId="urn:microsoft.com/office/officeart/2005/8/layout/list1"/>
    <dgm:cxn modelId="{F828A2BA-8EEF-4508-BDCF-C94D868B852A}" type="presParOf" srcId="{92B2423B-B9DD-450F-8AFA-8F8E30FB5B88}" destId="{F2609921-2641-43CC-90A4-8ABC4DC65858}" srcOrd="4" destOrd="0" presId="urn:microsoft.com/office/officeart/2005/8/layout/list1"/>
    <dgm:cxn modelId="{CA0EC858-A819-45F6-B517-8A8FC9251D4D}" type="presParOf" srcId="{F2609921-2641-43CC-90A4-8ABC4DC65858}" destId="{332F6C14-8B27-4B40-AB09-CAAADC4B9F72}" srcOrd="0" destOrd="0" presId="urn:microsoft.com/office/officeart/2005/8/layout/list1"/>
    <dgm:cxn modelId="{CF1679CF-8948-4F21-AEA4-8EE401866C0E}" type="presParOf" srcId="{F2609921-2641-43CC-90A4-8ABC4DC65858}" destId="{1967DE60-4C31-4421-8483-217A20C73FC8}" srcOrd="1" destOrd="0" presId="urn:microsoft.com/office/officeart/2005/8/layout/list1"/>
    <dgm:cxn modelId="{696ADDC4-2C9C-482A-A27D-905352FD7F67}" type="presParOf" srcId="{92B2423B-B9DD-450F-8AFA-8F8E30FB5B88}" destId="{E24218DA-34F4-4101-A6BE-B69091BF8CCE}" srcOrd="5" destOrd="0" presId="urn:microsoft.com/office/officeart/2005/8/layout/list1"/>
    <dgm:cxn modelId="{296B30BC-0894-44EA-ABDF-5A5C30621B55}" type="presParOf" srcId="{92B2423B-B9DD-450F-8AFA-8F8E30FB5B88}" destId="{A45EF35B-3E37-4209-A63F-9A01D6A785E6}" srcOrd="6" destOrd="0" presId="urn:microsoft.com/office/officeart/2005/8/layout/list1"/>
    <dgm:cxn modelId="{E88B3BA0-D822-4D74-B98A-F0A4253FC7E1}" type="presParOf" srcId="{92B2423B-B9DD-450F-8AFA-8F8E30FB5B88}" destId="{4367FE7A-6E74-4D6A-8601-B6DA0F89560F}" srcOrd="7" destOrd="0" presId="urn:microsoft.com/office/officeart/2005/8/layout/list1"/>
    <dgm:cxn modelId="{B7F0F2F5-09CA-4062-97E0-E05DD7E5794E}" type="presParOf" srcId="{92B2423B-B9DD-450F-8AFA-8F8E30FB5B88}" destId="{EB2E148B-585B-4113-87CD-760A885A6FD6}" srcOrd="8" destOrd="0" presId="urn:microsoft.com/office/officeart/2005/8/layout/list1"/>
    <dgm:cxn modelId="{3DCB9B42-6B1D-4536-8A94-02AEC4490324}" type="presParOf" srcId="{EB2E148B-585B-4113-87CD-760A885A6FD6}" destId="{E660D6C7-C18E-4311-B633-60FBFD88F008}" srcOrd="0" destOrd="0" presId="urn:microsoft.com/office/officeart/2005/8/layout/list1"/>
    <dgm:cxn modelId="{E19C136B-5FCB-4900-BAAC-05CCFF6D050C}" type="presParOf" srcId="{EB2E148B-585B-4113-87CD-760A885A6FD6}" destId="{3B9E3F1D-296C-4566-A1C2-2147D6449B58}" srcOrd="1" destOrd="0" presId="urn:microsoft.com/office/officeart/2005/8/layout/list1"/>
    <dgm:cxn modelId="{E1C9AEF6-0762-4C41-8DBB-D3A8E3900000}" type="presParOf" srcId="{92B2423B-B9DD-450F-8AFA-8F8E30FB5B88}" destId="{B7D5D0AF-2C8E-499E-B2A8-BE51E2308B6D}" srcOrd="9" destOrd="0" presId="urn:microsoft.com/office/officeart/2005/8/layout/list1"/>
    <dgm:cxn modelId="{816740F9-CD49-4FE5-A579-CA973F556A37}" type="presParOf" srcId="{92B2423B-B9DD-450F-8AFA-8F8E30FB5B88}" destId="{9D2AF372-0011-4F91-AB16-CDB5B9AD8FA3}" srcOrd="10" destOrd="0" presId="urn:microsoft.com/office/officeart/2005/8/layout/list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72273DA-8995-4E7F-9927-D6ADE0A767BA}" type="doc">
      <dgm:prSet loTypeId="urn:microsoft.com/office/officeart/2005/8/layout/cycle8" loCatId="cycle" qsTypeId="urn:microsoft.com/office/officeart/2005/8/quickstyle/simple5" qsCatId="simple" csTypeId="urn:microsoft.com/office/officeart/2005/8/colors/colorful4" csCatId="colorful" phldr="1"/>
      <dgm:spPr/>
    </dgm:pt>
    <dgm:pt modelId="{D2D7F7F7-E31F-4CCD-983B-2180360660DE}">
      <dgm:prSet phldrT="[Text]"/>
      <dgm:spPr/>
      <dgm:t>
        <a:bodyPr/>
        <a:lstStyle/>
        <a:p>
          <a:r>
            <a:rPr lang="en-IN" b="1">
              <a:latin typeface="Arial" panose="020B0604020202020204" pitchFamily="34" charset="0"/>
              <a:cs typeface="Arial" panose="020B0604020202020204" pitchFamily="34" charset="0"/>
            </a:rPr>
            <a:t>NPV</a:t>
          </a:r>
        </a:p>
      </dgm:t>
    </dgm:pt>
    <dgm:pt modelId="{11AA7374-9D80-4004-89B2-2A9F4E048770}" type="parTrans" cxnId="{FD1DE37C-3DF4-4326-AA5C-4F2E864DA4B1}">
      <dgm:prSet/>
      <dgm:spPr/>
      <dgm:t>
        <a:bodyPr/>
        <a:lstStyle/>
        <a:p>
          <a:endParaRPr lang="en-IN"/>
        </a:p>
      </dgm:t>
    </dgm:pt>
    <dgm:pt modelId="{1FCA7DB2-FEB3-4471-AA05-4E3642B90C3A}" type="sibTrans" cxnId="{FD1DE37C-3DF4-4326-AA5C-4F2E864DA4B1}">
      <dgm:prSet/>
      <dgm:spPr/>
      <dgm:t>
        <a:bodyPr/>
        <a:lstStyle/>
        <a:p>
          <a:endParaRPr lang="en-IN"/>
        </a:p>
      </dgm:t>
    </dgm:pt>
    <dgm:pt modelId="{5B8E8D40-4574-451F-9097-CB50E66C2C8A}">
      <dgm:prSet phldrT="[Text]"/>
      <dgm:spPr/>
      <dgm:t>
        <a:bodyPr/>
        <a:lstStyle/>
        <a:p>
          <a:r>
            <a:rPr lang="en-IN" b="1">
              <a:latin typeface="Arial" panose="020B0604020202020204" pitchFamily="34" charset="0"/>
              <a:cs typeface="Arial" panose="020B0604020202020204" pitchFamily="34" charset="0"/>
            </a:rPr>
            <a:t>ARR</a:t>
          </a:r>
        </a:p>
      </dgm:t>
    </dgm:pt>
    <dgm:pt modelId="{7AB677F9-45AD-47BD-B0E7-43F5E545DE32}" type="parTrans" cxnId="{F4EABD4E-AE0D-4DA8-BC68-FBB50E8F2481}">
      <dgm:prSet/>
      <dgm:spPr/>
      <dgm:t>
        <a:bodyPr/>
        <a:lstStyle/>
        <a:p>
          <a:endParaRPr lang="en-IN"/>
        </a:p>
      </dgm:t>
    </dgm:pt>
    <dgm:pt modelId="{E661D05A-9B3B-4A0C-A65E-0EA8E914A7A0}" type="sibTrans" cxnId="{F4EABD4E-AE0D-4DA8-BC68-FBB50E8F2481}">
      <dgm:prSet/>
      <dgm:spPr/>
      <dgm:t>
        <a:bodyPr/>
        <a:lstStyle/>
        <a:p>
          <a:endParaRPr lang="en-IN"/>
        </a:p>
      </dgm:t>
    </dgm:pt>
    <dgm:pt modelId="{1686EBDC-C5D0-4DBA-9525-957473136A89}">
      <dgm:prSet phldrT="[Text]"/>
      <dgm:spPr/>
      <dgm:t>
        <a:bodyPr/>
        <a:lstStyle/>
        <a:p>
          <a:r>
            <a:rPr lang="en-IN" b="1">
              <a:latin typeface="Arial" panose="020B0604020202020204" pitchFamily="34" charset="0"/>
              <a:cs typeface="Arial" panose="020B0604020202020204" pitchFamily="34" charset="0"/>
            </a:rPr>
            <a:t>IRR</a:t>
          </a:r>
        </a:p>
      </dgm:t>
    </dgm:pt>
    <dgm:pt modelId="{3D9951EE-77A5-444C-9C1C-E387296FA4AA}" type="parTrans" cxnId="{2FF2E7A4-71B7-4069-BE0B-763D624030FC}">
      <dgm:prSet/>
      <dgm:spPr/>
      <dgm:t>
        <a:bodyPr/>
        <a:lstStyle/>
        <a:p>
          <a:endParaRPr lang="en-IN"/>
        </a:p>
      </dgm:t>
    </dgm:pt>
    <dgm:pt modelId="{7011E044-ED28-4AB1-B549-AC7B4C12BD10}" type="sibTrans" cxnId="{2FF2E7A4-71B7-4069-BE0B-763D624030FC}">
      <dgm:prSet/>
      <dgm:spPr/>
      <dgm:t>
        <a:bodyPr/>
        <a:lstStyle/>
        <a:p>
          <a:endParaRPr lang="en-IN"/>
        </a:p>
      </dgm:t>
    </dgm:pt>
    <dgm:pt modelId="{D91FA864-7953-4CE0-8D37-BE3E99B5A818}">
      <dgm:prSet phldrT="[Text]"/>
      <dgm:spPr/>
      <dgm:t>
        <a:bodyPr/>
        <a:lstStyle/>
        <a:p>
          <a:r>
            <a:rPr lang="en-IN" b="1">
              <a:latin typeface="Arial" panose="020B0604020202020204" pitchFamily="34" charset="0"/>
              <a:cs typeface="Arial" panose="020B0604020202020204" pitchFamily="34" charset="0"/>
            </a:rPr>
            <a:t>PI</a:t>
          </a:r>
        </a:p>
      </dgm:t>
    </dgm:pt>
    <dgm:pt modelId="{BB208A77-C889-4109-8FC6-D8B70A74834C}" type="parTrans" cxnId="{85921695-5D04-44B5-8E14-8A39C977D0D9}">
      <dgm:prSet/>
      <dgm:spPr/>
      <dgm:t>
        <a:bodyPr/>
        <a:lstStyle/>
        <a:p>
          <a:endParaRPr lang="en-IN"/>
        </a:p>
      </dgm:t>
    </dgm:pt>
    <dgm:pt modelId="{FC6C442C-D87B-4D5F-8A08-3402124F1670}" type="sibTrans" cxnId="{85921695-5D04-44B5-8E14-8A39C977D0D9}">
      <dgm:prSet/>
      <dgm:spPr/>
      <dgm:t>
        <a:bodyPr/>
        <a:lstStyle/>
        <a:p>
          <a:endParaRPr lang="en-IN"/>
        </a:p>
      </dgm:t>
    </dgm:pt>
    <dgm:pt modelId="{E99D30C8-C54B-471C-8F7C-24F175BD45D7}">
      <dgm:prSet phldrT="[Text]"/>
      <dgm:spPr/>
      <dgm:t>
        <a:bodyPr/>
        <a:lstStyle/>
        <a:p>
          <a:r>
            <a:rPr lang="en-IN" b="1">
              <a:latin typeface="Arial" panose="020B0604020202020204" pitchFamily="34" charset="0"/>
              <a:cs typeface="Arial" panose="020B0604020202020204" pitchFamily="34" charset="0"/>
            </a:rPr>
            <a:t>Payback Period</a:t>
          </a:r>
        </a:p>
      </dgm:t>
    </dgm:pt>
    <dgm:pt modelId="{0638A781-2B63-430D-BF19-ED96A5777969}" type="parTrans" cxnId="{38137CEE-5CF9-4C27-86E1-4D32819E2AAB}">
      <dgm:prSet/>
      <dgm:spPr/>
      <dgm:t>
        <a:bodyPr/>
        <a:lstStyle/>
        <a:p>
          <a:endParaRPr lang="en-IN"/>
        </a:p>
      </dgm:t>
    </dgm:pt>
    <dgm:pt modelId="{E4053492-C293-4E9D-AD60-2BC739EB5068}" type="sibTrans" cxnId="{38137CEE-5CF9-4C27-86E1-4D32819E2AAB}">
      <dgm:prSet/>
      <dgm:spPr/>
      <dgm:t>
        <a:bodyPr/>
        <a:lstStyle/>
        <a:p>
          <a:endParaRPr lang="en-IN"/>
        </a:p>
      </dgm:t>
    </dgm:pt>
    <dgm:pt modelId="{0FDF8815-2859-45B3-9281-1583D80559EC}" type="pres">
      <dgm:prSet presAssocID="{072273DA-8995-4E7F-9927-D6ADE0A767BA}" presName="compositeShape" presStyleCnt="0">
        <dgm:presLayoutVars>
          <dgm:chMax val="7"/>
          <dgm:dir/>
          <dgm:resizeHandles val="exact"/>
        </dgm:presLayoutVars>
      </dgm:prSet>
      <dgm:spPr/>
    </dgm:pt>
    <dgm:pt modelId="{B6AF455C-526D-43EE-9688-2A58C16445F0}" type="pres">
      <dgm:prSet presAssocID="{072273DA-8995-4E7F-9927-D6ADE0A767BA}" presName="wedge1" presStyleLbl="node1" presStyleIdx="0" presStyleCnt="5"/>
      <dgm:spPr/>
    </dgm:pt>
    <dgm:pt modelId="{F1D6DDE4-A0D2-4E4B-ADCA-533549E412A7}" type="pres">
      <dgm:prSet presAssocID="{072273DA-8995-4E7F-9927-D6ADE0A767BA}" presName="dummy1a" presStyleCnt="0"/>
      <dgm:spPr/>
    </dgm:pt>
    <dgm:pt modelId="{BB20DF0A-E34A-440E-9B98-5040CC82C3E8}" type="pres">
      <dgm:prSet presAssocID="{072273DA-8995-4E7F-9927-D6ADE0A767BA}" presName="dummy1b" presStyleCnt="0"/>
      <dgm:spPr/>
    </dgm:pt>
    <dgm:pt modelId="{8B9DAFBE-146B-49A0-80AC-55DBBCAEB4A8}" type="pres">
      <dgm:prSet presAssocID="{072273DA-8995-4E7F-9927-D6ADE0A767BA}" presName="wedge1Tx" presStyleLbl="node1" presStyleIdx="0" presStyleCnt="5">
        <dgm:presLayoutVars>
          <dgm:chMax val="0"/>
          <dgm:chPref val="0"/>
          <dgm:bulletEnabled val="1"/>
        </dgm:presLayoutVars>
      </dgm:prSet>
      <dgm:spPr/>
    </dgm:pt>
    <dgm:pt modelId="{68E7F90A-B61F-4229-9236-DAFC38AC15AA}" type="pres">
      <dgm:prSet presAssocID="{072273DA-8995-4E7F-9927-D6ADE0A767BA}" presName="wedge2" presStyleLbl="node1" presStyleIdx="1" presStyleCnt="5"/>
      <dgm:spPr/>
    </dgm:pt>
    <dgm:pt modelId="{C82733C2-1BE5-4D25-A0BA-C8A0CB4C0DD5}" type="pres">
      <dgm:prSet presAssocID="{072273DA-8995-4E7F-9927-D6ADE0A767BA}" presName="dummy2a" presStyleCnt="0"/>
      <dgm:spPr/>
    </dgm:pt>
    <dgm:pt modelId="{15A85140-5CEC-4F27-A4C1-6585BED957E2}" type="pres">
      <dgm:prSet presAssocID="{072273DA-8995-4E7F-9927-D6ADE0A767BA}" presName="dummy2b" presStyleCnt="0"/>
      <dgm:spPr/>
    </dgm:pt>
    <dgm:pt modelId="{3F0E2CCA-5EB1-46AA-8862-30EDAD5FE9B0}" type="pres">
      <dgm:prSet presAssocID="{072273DA-8995-4E7F-9927-D6ADE0A767BA}" presName="wedge2Tx" presStyleLbl="node1" presStyleIdx="1" presStyleCnt="5">
        <dgm:presLayoutVars>
          <dgm:chMax val="0"/>
          <dgm:chPref val="0"/>
          <dgm:bulletEnabled val="1"/>
        </dgm:presLayoutVars>
      </dgm:prSet>
      <dgm:spPr/>
    </dgm:pt>
    <dgm:pt modelId="{2B918097-C73C-473B-9F52-EDCBE2222CAC}" type="pres">
      <dgm:prSet presAssocID="{072273DA-8995-4E7F-9927-D6ADE0A767BA}" presName="wedge3" presStyleLbl="node1" presStyleIdx="2" presStyleCnt="5"/>
      <dgm:spPr/>
    </dgm:pt>
    <dgm:pt modelId="{169D2F35-F243-467A-9648-764D2FB5A080}" type="pres">
      <dgm:prSet presAssocID="{072273DA-8995-4E7F-9927-D6ADE0A767BA}" presName="dummy3a" presStyleCnt="0"/>
      <dgm:spPr/>
    </dgm:pt>
    <dgm:pt modelId="{17F95566-74D7-44F8-80FB-26C5D4DEEF3C}" type="pres">
      <dgm:prSet presAssocID="{072273DA-8995-4E7F-9927-D6ADE0A767BA}" presName="dummy3b" presStyleCnt="0"/>
      <dgm:spPr/>
    </dgm:pt>
    <dgm:pt modelId="{EA139929-1900-4994-BCD5-FB3060A830DB}" type="pres">
      <dgm:prSet presAssocID="{072273DA-8995-4E7F-9927-D6ADE0A767BA}" presName="wedge3Tx" presStyleLbl="node1" presStyleIdx="2" presStyleCnt="5">
        <dgm:presLayoutVars>
          <dgm:chMax val="0"/>
          <dgm:chPref val="0"/>
          <dgm:bulletEnabled val="1"/>
        </dgm:presLayoutVars>
      </dgm:prSet>
      <dgm:spPr/>
    </dgm:pt>
    <dgm:pt modelId="{07082777-FBCC-4891-AF6F-D092D2F21D84}" type="pres">
      <dgm:prSet presAssocID="{072273DA-8995-4E7F-9927-D6ADE0A767BA}" presName="wedge4" presStyleLbl="node1" presStyleIdx="3" presStyleCnt="5"/>
      <dgm:spPr/>
    </dgm:pt>
    <dgm:pt modelId="{B086FC50-B2F9-4FA3-82C7-9E08DFB12C24}" type="pres">
      <dgm:prSet presAssocID="{072273DA-8995-4E7F-9927-D6ADE0A767BA}" presName="dummy4a" presStyleCnt="0"/>
      <dgm:spPr/>
    </dgm:pt>
    <dgm:pt modelId="{18357D3A-052C-4C52-81A4-CA21259F7112}" type="pres">
      <dgm:prSet presAssocID="{072273DA-8995-4E7F-9927-D6ADE0A767BA}" presName="dummy4b" presStyleCnt="0"/>
      <dgm:spPr/>
    </dgm:pt>
    <dgm:pt modelId="{76447E65-1EAB-4BE6-B572-83E70716378C}" type="pres">
      <dgm:prSet presAssocID="{072273DA-8995-4E7F-9927-D6ADE0A767BA}" presName="wedge4Tx" presStyleLbl="node1" presStyleIdx="3" presStyleCnt="5">
        <dgm:presLayoutVars>
          <dgm:chMax val="0"/>
          <dgm:chPref val="0"/>
          <dgm:bulletEnabled val="1"/>
        </dgm:presLayoutVars>
      </dgm:prSet>
      <dgm:spPr/>
    </dgm:pt>
    <dgm:pt modelId="{AABC6AD6-49AF-445E-A904-779D96ACAF04}" type="pres">
      <dgm:prSet presAssocID="{072273DA-8995-4E7F-9927-D6ADE0A767BA}" presName="wedge5" presStyleLbl="node1" presStyleIdx="4" presStyleCnt="5"/>
      <dgm:spPr/>
    </dgm:pt>
    <dgm:pt modelId="{7EA9A6FA-2648-456B-A80C-F232EEC40291}" type="pres">
      <dgm:prSet presAssocID="{072273DA-8995-4E7F-9927-D6ADE0A767BA}" presName="dummy5a" presStyleCnt="0"/>
      <dgm:spPr/>
    </dgm:pt>
    <dgm:pt modelId="{5CEA749C-B927-4629-B9D3-83FF31048E29}" type="pres">
      <dgm:prSet presAssocID="{072273DA-8995-4E7F-9927-D6ADE0A767BA}" presName="dummy5b" presStyleCnt="0"/>
      <dgm:spPr/>
    </dgm:pt>
    <dgm:pt modelId="{419C8904-2C9C-4D13-9DD7-3BBA1A34F4F4}" type="pres">
      <dgm:prSet presAssocID="{072273DA-8995-4E7F-9927-D6ADE0A767BA}" presName="wedge5Tx" presStyleLbl="node1" presStyleIdx="4" presStyleCnt="5">
        <dgm:presLayoutVars>
          <dgm:chMax val="0"/>
          <dgm:chPref val="0"/>
          <dgm:bulletEnabled val="1"/>
        </dgm:presLayoutVars>
      </dgm:prSet>
      <dgm:spPr/>
    </dgm:pt>
    <dgm:pt modelId="{CAE109C1-D92E-4764-9EFA-EFF5137CBDEE}" type="pres">
      <dgm:prSet presAssocID="{1FCA7DB2-FEB3-4471-AA05-4E3642B90C3A}" presName="arrowWedge1" presStyleLbl="fgSibTrans2D1" presStyleIdx="0" presStyleCnt="5"/>
      <dgm:spPr/>
    </dgm:pt>
    <dgm:pt modelId="{BC0AB1BF-7484-4F69-BCEC-10BFD8F18EBF}" type="pres">
      <dgm:prSet presAssocID="{E661D05A-9B3B-4A0C-A65E-0EA8E914A7A0}" presName="arrowWedge2" presStyleLbl="fgSibTrans2D1" presStyleIdx="1" presStyleCnt="5"/>
      <dgm:spPr/>
    </dgm:pt>
    <dgm:pt modelId="{ACB4C631-6D32-4E99-B8B0-B3CA76BCF08D}" type="pres">
      <dgm:prSet presAssocID="{7011E044-ED28-4AB1-B549-AC7B4C12BD10}" presName="arrowWedge3" presStyleLbl="fgSibTrans2D1" presStyleIdx="2" presStyleCnt="5"/>
      <dgm:spPr/>
    </dgm:pt>
    <dgm:pt modelId="{E426FB6D-F86D-4B51-99F5-0F065105BC98}" type="pres">
      <dgm:prSet presAssocID="{FC6C442C-D87B-4D5F-8A08-3402124F1670}" presName="arrowWedge4" presStyleLbl="fgSibTrans2D1" presStyleIdx="3" presStyleCnt="5"/>
      <dgm:spPr/>
    </dgm:pt>
    <dgm:pt modelId="{883BAD49-C62F-4A4A-B574-4540BD9D7389}" type="pres">
      <dgm:prSet presAssocID="{E4053492-C293-4E9D-AD60-2BC739EB5068}" presName="arrowWedge5" presStyleLbl="fgSibTrans2D1" presStyleIdx="4" presStyleCnt="5"/>
      <dgm:spPr/>
    </dgm:pt>
  </dgm:ptLst>
  <dgm:cxnLst>
    <dgm:cxn modelId="{DD861F2D-6B7C-458F-B727-26B927F073F0}" type="presOf" srcId="{D2D7F7F7-E31F-4CCD-983B-2180360660DE}" destId="{B6AF455C-526D-43EE-9688-2A58C16445F0}" srcOrd="0" destOrd="0" presId="urn:microsoft.com/office/officeart/2005/8/layout/cycle8"/>
    <dgm:cxn modelId="{6BC9BD30-3D08-4062-887A-2C32E89D0DBD}" type="presOf" srcId="{5B8E8D40-4574-451F-9097-CB50E66C2C8A}" destId="{68E7F90A-B61F-4229-9236-DAFC38AC15AA}" srcOrd="0" destOrd="0" presId="urn:microsoft.com/office/officeart/2005/8/layout/cycle8"/>
    <dgm:cxn modelId="{D93C8535-6BFC-4328-A500-C5A5CE27FF9F}" type="presOf" srcId="{D91FA864-7953-4CE0-8D37-BE3E99B5A818}" destId="{76447E65-1EAB-4BE6-B572-83E70716378C}" srcOrd="1" destOrd="0" presId="urn:microsoft.com/office/officeart/2005/8/layout/cycle8"/>
    <dgm:cxn modelId="{CAEDF146-B634-460B-AACE-F965FFD022FB}" type="presOf" srcId="{1686EBDC-C5D0-4DBA-9525-957473136A89}" destId="{EA139929-1900-4994-BCD5-FB3060A830DB}" srcOrd="1" destOrd="0" presId="urn:microsoft.com/office/officeart/2005/8/layout/cycle8"/>
    <dgm:cxn modelId="{6B99784D-8E58-4CF8-97F8-BC075D5A86DE}" type="presOf" srcId="{1686EBDC-C5D0-4DBA-9525-957473136A89}" destId="{2B918097-C73C-473B-9F52-EDCBE2222CAC}" srcOrd="0" destOrd="0" presId="urn:microsoft.com/office/officeart/2005/8/layout/cycle8"/>
    <dgm:cxn modelId="{F4EABD4E-AE0D-4DA8-BC68-FBB50E8F2481}" srcId="{072273DA-8995-4E7F-9927-D6ADE0A767BA}" destId="{5B8E8D40-4574-451F-9097-CB50E66C2C8A}" srcOrd="1" destOrd="0" parTransId="{7AB677F9-45AD-47BD-B0E7-43F5E545DE32}" sibTransId="{E661D05A-9B3B-4A0C-A65E-0EA8E914A7A0}"/>
    <dgm:cxn modelId="{FD1DE37C-3DF4-4326-AA5C-4F2E864DA4B1}" srcId="{072273DA-8995-4E7F-9927-D6ADE0A767BA}" destId="{D2D7F7F7-E31F-4CCD-983B-2180360660DE}" srcOrd="0" destOrd="0" parTransId="{11AA7374-9D80-4004-89B2-2A9F4E048770}" sibTransId="{1FCA7DB2-FEB3-4471-AA05-4E3642B90C3A}"/>
    <dgm:cxn modelId="{85921695-5D04-44B5-8E14-8A39C977D0D9}" srcId="{072273DA-8995-4E7F-9927-D6ADE0A767BA}" destId="{D91FA864-7953-4CE0-8D37-BE3E99B5A818}" srcOrd="3" destOrd="0" parTransId="{BB208A77-C889-4109-8FC6-D8B70A74834C}" sibTransId="{FC6C442C-D87B-4D5F-8A08-3402124F1670}"/>
    <dgm:cxn modelId="{2973B795-1C15-4CDB-B8BD-9D9DD25C9B9C}" type="presOf" srcId="{D2D7F7F7-E31F-4CCD-983B-2180360660DE}" destId="{8B9DAFBE-146B-49A0-80AC-55DBBCAEB4A8}" srcOrd="1" destOrd="0" presId="urn:microsoft.com/office/officeart/2005/8/layout/cycle8"/>
    <dgm:cxn modelId="{CF558D9A-94CA-4A74-8537-6481DD2D1F3A}" type="presOf" srcId="{E99D30C8-C54B-471C-8F7C-24F175BD45D7}" destId="{419C8904-2C9C-4D13-9DD7-3BBA1A34F4F4}" srcOrd="1" destOrd="0" presId="urn:microsoft.com/office/officeart/2005/8/layout/cycle8"/>
    <dgm:cxn modelId="{43C0EF9A-23FA-44EF-88DE-2712918D8CCF}" type="presOf" srcId="{5B8E8D40-4574-451F-9097-CB50E66C2C8A}" destId="{3F0E2CCA-5EB1-46AA-8862-30EDAD5FE9B0}" srcOrd="1" destOrd="0" presId="urn:microsoft.com/office/officeart/2005/8/layout/cycle8"/>
    <dgm:cxn modelId="{2FF2E7A4-71B7-4069-BE0B-763D624030FC}" srcId="{072273DA-8995-4E7F-9927-D6ADE0A767BA}" destId="{1686EBDC-C5D0-4DBA-9525-957473136A89}" srcOrd="2" destOrd="0" parTransId="{3D9951EE-77A5-444C-9C1C-E387296FA4AA}" sibTransId="{7011E044-ED28-4AB1-B549-AC7B4C12BD10}"/>
    <dgm:cxn modelId="{1F829FB9-04C1-411D-A65A-21387F9BC6CC}" type="presOf" srcId="{072273DA-8995-4E7F-9927-D6ADE0A767BA}" destId="{0FDF8815-2859-45B3-9281-1583D80559EC}" srcOrd="0" destOrd="0" presId="urn:microsoft.com/office/officeart/2005/8/layout/cycle8"/>
    <dgm:cxn modelId="{9AAC8ED0-A742-4F0C-8DA0-38F59917A8B1}" type="presOf" srcId="{D91FA864-7953-4CE0-8D37-BE3E99B5A818}" destId="{07082777-FBCC-4891-AF6F-D092D2F21D84}" srcOrd="0" destOrd="0" presId="urn:microsoft.com/office/officeart/2005/8/layout/cycle8"/>
    <dgm:cxn modelId="{38137CEE-5CF9-4C27-86E1-4D32819E2AAB}" srcId="{072273DA-8995-4E7F-9927-D6ADE0A767BA}" destId="{E99D30C8-C54B-471C-8F7C-24F175BD45D7}" srcOrd="4" destOrd="0" parTransId="{0638A781-2B63-430D-BF19-ED96A5777969}" sibTransId="{E4053492-C293-4E9D-AD60-2BC739EB5068}"/>
    <dgm:cxn modelId="{B35CA7FB-3B56-4F28-81B2-F423A3D8F662}" type="presOf" srcId="{E99D30C8-C54B-471C-8F7C-24F175BD45D7}" destId="{AABC6AD6-49AF-445E-A904-779D96ACAF04}" srcOrd="0" destOrd="0" presId="urn:microsoft.com/office/officeart/2005/8/layout/cycle8"/>
    <dgm:cxn modelId="{B58ADAD6-9E6E-4AF5-8AFF-07F870D1BD53}" type="presParOf" srcId="{0FDF8815-2859-45B3-9281-1583D80559EC}" destId="{B6AF455C-526D-43EE-9688-2A58C16445F0}" srcOrd="0" destOrd="0" presId="urn:microsoft.com/office/officeart/2005/8/layout/cycle8"/>
    <dgm:cxn modelId="{79BBB008-B43A-4406-8903-9C950D4A8C76}" type="presParOf" srcId="{0FDF8815-2859-45B3-9281-1583D80559EC}" destId="{F1D6DDE4-A0D2-4E4B-ADCA-533549E412A7}" srcOrd="1" destOrd="0" presId="urn:microsoft.com/office/officeart/2005/8/layout/cycle8"/>
    <dgm:cxn modelId="{595D5435-7366-42AF-B44A-4264C10F5A70}" type="presParOf" srcId="{0FDF8815-2859-45B3-9281-1583D80559EC}" destId="{BB20DF0A-E34A-440E-9B98-5040CC82C3E8}" srcOrd="2" destOrd="0" presId="urn:microsoft.com/office/officeart/2005/8/layout/cycle8"/>
    <dgm:cxn modelId="{38F0A389-066B-4A86-A1AC-1B0DE204B14E}" type="presParOf" srcId="{0FDF8815-2859-45B3-9281-1583D80559EC}" destId="{8B9DAFBE-146B-49A0-80AC-55DBBCAEB4A8}" srcOrd="3" destOrd="0" presId="urn:microsoft.com/office/officeart/2005/8/layout/cycle8"/>
    <dgm:cxn modelId="{75B39F3D-BBE2-4F8B-8FBC-DFCB5E787312}" type="presParOf" srcId="{0FDF8815-2859-45B3-9281-1583D80559EC}" destId="{68E7F90A-B61F-4229-9236-DAFC38AC15AA}" srcOrd="4" destOrd="0" presId="urn:microsoft.com/office/officeart/2005/8/layout/cycle8"/>
    <dgm:cxn modelId="{C9F9E016-1BB3-4388-8C83-EDAEAE0FE2DF}" type="presParOf" srcId="{0FDF8815-2859-45B3-9281-1583D80559EC}" destId="{C82733C2-1BE5-4D25-A0BA-C8A0CB4C0DD5}" srcOrd="5" destOrd="0" presId="urn:microsoft.com/office/officeart/2005/8/layout/cycle8"/>
    <dgm:cxn modelId="{CC43B50A-5E75-4912-AFAA-6095EE60289D}" type="presParOf" srcId="{0FDF8815-2859-45B3-9281-1583D80559EC}" destId="{15A85140-5CEC-4F27-A4C1-6585BED957E2}" srcOrd="6" destOrd="0" presId="urn:microsoft.com/office/officeart/2005/8/layout/cycle8"/>
    <dgm:cxn modelId="{A0E9349A-DA90-48C0-8D7D-B1265DC3AF6C}" type="presParOf" srcId="{0FDF8815-2859-45B3-9281-1583D80559EC}" destId="{3F0E2CCA-5EB1-46AA-8862-30EDAD5FE9B0}" srcOrd="7" destOrd="0" presId="urn:microsoft.com/office/officeart/2005/8/layout/cycle8"/>
    <dgm:cxn modelId="{9A8E3EBD-4D4D-446A-A769-0C9DF2388AFF}" type="presParOf" srcId="{0FDF8815-2859-45B3-9281-1583D80559EC}" destId="{2B918097-C73C-473B-9F52-EDCBE2222CAC}" srcOrd="8" destOrd="0" presId="urn:microsoft.com/office/officeart/2005/8/layout/cycle8"/>
    <dgm:cxn modelId="{C2F4895D-AD8A-4636-AEAA-7BED52492CE2}" type="presParOf" srcId="{0FDF8815-2859-45B3-9281-1583D80559EC}" destId="{169D2F35-F243-467A-9648-764D2FB5A080}" srcOrd="9" destOrd="0" presId="urn:microsoft.com/office/officeart/2005/8/layout/cycle8"/>
    <dgm:cxn modelId="{B605E76E-4E16-48D4-BA20-186F97077D3A}" type="presParOf" srcId="{0FDF8815-2859-45B3-9281-1583D80559EC}" destId="{17F95566-74D7-44F8-80FB-26C5D4DEEF3C}" srcOrd="10" destOrd="0" presId="urn:microsoft.com/office/officeart/2005/8/layout/cycle8"/>
    <dgm:cxn modelId="{291D0723-7B60-4367-907C-24B1CABBD150}" type="presParOf" srcId="{0FDF8815-2859-45B3-9281-1583D80559EC}" destId="{EA139929-1900-4994-BCD5-FB3060A830DB}" srcOrd="11" destOrd="0" presId="urn:microsoft.com/office/officeart/2005/8/layout/cycle8"/>
    <dgm:cxn modelId="{F8B33A69-143D-4B1D-9A6E-ABCEE0B1C8EE}" type="presParOf" srcId="{0FDF8815-2859-45B3-9281-1583D80559EC}" destId="{07082777-FBCC-4891-AF6F-D092D2F21D84}" srcOrd="12" destOrd="0" presId="urn:microsoft.com/office/officeart/2005/8/layout/cycle8"/>
    <dgm:cxn modelId="{A819F2E8-E234-4C2F-8428-28D130247F4E}" type="presParOf" srcId="{0FDF8815-2859-45B3-9281-1583D80559EC}" destId="{B086FC50-B2F9-4FA3-82C7-9E08DFB12C24}" srcOrd="13" destOrd="0" presId="urn:microsoft.com/office/officeart/2005/8/layout/cycle8"/>
    <dgm:cxn modelId="{93BCE607-D28A-4F3C-9ABA-3940F7686334}" type="presParOf" srcId="{0FDF8815-2859-45B3-9281-1583D80559EC}" destId="{18357D3A-052C-4C52-81A4-CA21259F7112}" srcOrd="14" destOrd="0" presId="urn:microsoft.com/office/officeart/2005/8/layout/cycle8"/>
    <dgm:cxn modelId="{E8B73097-C397-45EF-A857-74742C7E1DCC}" type="presParOf" srcId="{0FDF8815-2859-45B3-9281-1583D80559EC}" destId="{76447E65-1EAB-4BE6-B572-83E70716378C}" srcOrd="15" destOrd="0" presId="urn:microsoft.com/office/officeart/2005/8/layout/cycle8"/>
    <dgm:cxn modelId="{DC044551-2F97-4ADC-A17F-38FF9C6BD392}" type="presParOf" srcId="{0FDF8815-2859-45B3-9281-1583D80559EC}" destId="{AABC6AD6-49AF-445E-A904-779D96ACAF04}" srcOrd="16" destOrd="0" presId="urn:microsoft.com/office/officeart/2005/8/layout/cycle8"/>
    <dgm:cxn modelId="{9E51FE81-D204-4EEC-9CDD-3873A7D5CAD2}" type="presParOf" srcId="{0FDF8815-2859-45B3-9281-1583D80559EC}" destId="{7EA9A6FA-2648-456B-A80C-F232EEC40291}" srcOrd="17" destOrd="0" presId="urn:microsoft.com/office/officeart/2005/8/layout/cycle8"/>
    <dgm:cxn modelId="{8819BF0E-6706-4639-BE59-260D46038854}" type="presParOf" srcId="{0FDF8815-2859-45B3-9281-1583D80559EC}" destId="{5CEA749C-B927-4629-B9D3-83FF31048E29}" srcOrd="18" destOrd="0" presId="urn:microsoft.com/office/officeart/2005/8/layout/cycle8"/>
    <dgm:cxn modelId="{8F76F92D-8CE7-43FD-B4ED-3ABFF1C58736}" type="presParOf" srcId="{0FDF8815-2859-45B3-9281-1583D80559EC}" destId="{419C8904-2C9C-4D13-9DD7-3BBA1A34F4F4}" srcOrd="19" destOrd="0" presId="urn:microsoft.com/office/officeart/2005/8/layout/cycle8"/>
    <dgm:cxn modelId="{91B39087-1322-4E48-A48E-30FFF6116505}" type="presParOf" srcId="{0FDF8815-2859-45B3-9281-1583D80559EC}" destId="{CAE109C1-D92E-4764-9EFA-EFF5137CBDEE}" srcOrd="20" destOrd="0" presId="urn:microsoft.com/office/officeart/2005/8/layout/cycle8"/>
    <dgm:cxn modelId="{E2BEA4E1-4208-4852-ABDB-23C03288A7B0}" type="presParOf" srcId="{0FDF8815-2859-45B3-9281-1583D80559EC}" destId="{BC0AB1BF-7484-4F69-BCEC-10BFD8F18EBF}" srcOrd="21" destOrd="0" presId="urn:microsoft.com/office/officeart/2005/8/layout/cycle8"/>
    <dgm:cxn modelId="{37F8A197-05D1-4F80-82F8-19A6BCDBF37A}" type="presParOf" srcId="{0FDF8815-2859-45B3-9281-1583D80559EC}" destId="{ACB4C631-6D32-4E99-B8B0-B3CA76BCF08D}" srcOrd="22" destOrd="0" presId="urn:microsoft.com/office/officeart/2005/8/layout/cycle8"/>
    <dgm:cxn modelId="{BC8A89D3-9610-4F4C-AB99-FB82C59A6818}" type="presParOf" srcId="{0FDF8815-2859-45B3-9281-1583D80559EC}" destId="{E426FB6D-F86D-4B51-99F5-0F065105BC98}" srcOrd="23" destOrd="0" presId="urn:microsoft.com/office/officeart/2005/8/layout/cycle8"/>
    <dgm:cxn modelId="{70584B9A-6F79-4F4B-8C39-5D71139B43A3}" type="presParOf" srcId="{0FDF8815-2859-45B3-9281-1583D80559EC}" destId="{883BAD49-C62F-4A4A-B574-4540BD9D7389}" srcOrd="24" destOrd="0" presId="urn:microsoft.com/office/officeart/2005/8/layout/cycle8"/>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374BFA9-61B8-4B52-BE98-62DE38291EE6}">
      <dsp:nvSpPr>
        <dsp:cNvPr id="0" name=""/>
        <dsp:cNvSpPr/>
      </dsp:nvSpPr>
      <dsp:spPr>
        <a:xfrm>
          <a:off x="200387" y="0"/>
          <a:ext cx="1604467" cy="1203350"/>
        </a:xfrm>
        <a:prstGeom prst="upArrow">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0F934795-713B-405A-A13E-D2DC58FAB9BA}">
      <dsp:nvSpPr>
        <dsp:cNvPr id="0" name=""/>
        <dsp:cNvSpPr/>
      </dsp:nvSpPr>
      <dsp:spPr>
        <a:xfrm>
          <a:off x="1852988" y="0"/>
          <a:ext cx="3226003" cy="12033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41808" tIns="0" rIns="241808" bIns="241808" numCol="1" spcCol="1270" anchor="ctr" anchorCtr="0">
          <a:noAutofit/>
        </a:bodyPr>
        <a:lstStyle/>
        <a:p>
          <a:pPr marL="0" lvl="0" indent="0" algn="l" defTabSz="1511300">
            <a:lnSpc>
              <a:spcPct val="90000"/>
            </a:lnSpc>
            <a:spcBef>
              <a:spcPct val="0"/>
            </a:spcBef>
            <a:spcAft>
              <a:spcPct val="35000"/>
            </a:spcAft>
            <a:buNone/>
          </a:pPr>
          <a:r>
            <a:rPr lang="en-IN" sz="3400" b="1" kern="1200"/>
            <a:t>Short-term Finance</a:t>
          </a:r>
        </a:p>
      </dsp:txBody>
      <dsp:txXfrm>
        <a:off x="1852988" y="0"/>
        <a:ext cx="3226003" cy="1203350"/>
      </dsp:txXfrm>
    </dsp:sp>
    <dsp:sp modelId="{86E70E46-685A-4052-B91D-33EB7A5805DA}">
      <dsp:nvSpPr>
        <dsp:cNvPr id="0" name=""/>
        <dsp:cNvSpPr/>
      </dsp:nvSpPr>
      <dsp:spPr>
        <a:xfrm>
          <a:off x="681727" y="1303629"/>
          <a:ext cx="1604467" cy="1203350"/>
        </a:xfrm>
        <a:prstGeom prst="downArrow">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6CE15CB5-0174-4333-B6BE-5B3CA027EA6B}">
      <dsp:nvSpPr>
        <dsp:cNvPr id="0" name=""/>
        <dsp:cNvSpPr/>
      </dsp:nvSpPr>
      <dsp:spPr>
        <a:xfrm>
          <a:off x="2334329" y="1303629"/>
          <a:ext cx="3226003" cy="12033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41808" tIns="0" rIns="241808" bIns="241808" numCol="1" spcCol="1270" anchor="ctr" anchorCtr="0">
          <a:noAutofit/>
        </a:bodyPr>
        <a:lstStyle/>
        <a:p>
          <a:pPr marL="0" lvl="0" indent="0" algn="l" defTabSz="1511300">
            <a:lnSpc>
              <a:spcPct val="90000"/>
            </a:lnSpc>
            <a:spcBef>
              <a:spcPct val="0"/>
            </a:spcBef>
            <a:spcAft>
              <a:spcPct val="35000"/>
            </a:spcAft>
            <a:buNone/>
          </a:pPr>
          <a:r>
            <a:rPr lang="en-IN" sz="3400" b="1" kern="1200"/>
            <a:t>Long-term Finance</a:t>
          </a:r>
        </a:p>
      </dsp:txBody>
      <dsp:txXfrm>
        <a:off x="2334329" y="1303629"/>
        <a:ext cx="3226003" cy="120335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B9E4CA-5DC6-4F6A-B889-61FA6E34E0E9}">
      <dsp:nvSpPr>
        <dsp:cNvPr id="0" name=""/>
        <dsp:cNvSpPr/>
      </dsp:nvSpPr>
      <dsp:spPr>
        <a:xfrm>
          <a:off x="0" y="365519"/>
          <a:ext cx="5798820" cy="554400"/>
        </a:xfrm>
        <a:prstGeom prst="rect">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 modelId="{7E122549-8C63-4E0C-8BD8-A3FBC2989076}">
      <dsp:nvSpPr>
        <dsp:cNvPr id="0" name=""/>
        <dsp:cNvSpPr/>
      </dsp:nvSpPr>
      <dsp:spPr>
        <a:xfrm>
          <a:off x="289941" y="40799"/>
          <a:ext cx="4059174" cy="649440"/>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3427" tIns="0" rIns="153427" bIns="0" numCol="1" spcCol="1270" anchor="ctr" anchorCtr="0">
          <a:noAutofit/>
        </a:bodyPr>
        <a:lstStyle/>
        <a:p>
          <a:pPr marL="0" lvl="0" indent="0" algn="l" defTabSz="977900">
            <a:lnSpc>
              <a:spcPct val="90000"/>
            </a:lnSpc>
            <a:spcBef>
              <a:spcPct val="0"/>
            </a:spcBef>
            <a:spcAft>
              <a:spcPct val="35000"/>
            </a:spcAft>
            <a:buNone/>
          </a:pPr>
          <a:r>
            <a:rPr lang="en-IN" sz="2200" b="1" kern="1200">
              <a:latin typeface="Arial" panose="020B0604020202020204" pitchFamily="34" charset="0"/>
              <a:cs typeface="Arial" panose="020B0604020202020204" pitchFamily="34" charset="0"/>
            </a:rPr>
            <a:t>Taxation </a:t>
          </a:r>
        </a:p>
      </dsp:txBody>
      <dsp:txXfrm>
        <a:off x="321644" y="72502"/>
        <a:ext cx="3995768" cy="586034"/>
      </dsp:txXfrm>
    </dsp:sp>
    <dsp:sp modelId="{A45EF35B-3E37-4209-A63F-9A01D6A785E6}">
      <dsp:nvSpPr>
        <dsp:cNvPr id="0" name=""/>
        <dsp:cNvSpPr/>
      </dsp:nvSpPr>
      <dsp:spPr>
        <a:xfrm>
          <a:off x="0" y="1363439"/>
          <a:ext cx="5798820" cy="554400"/>
        </a:xfrm>
        <a:prstGeom prst="rect">
          <a:avLst/>
        </a:prstGeom>
        <a:solidFill>
          <a:schemeClr val="lt1">
            <a:alpha val="90000"/>
            <a:hueOff val="0"/>
            <a:satOff val="0"/>
            <a:lumOff val="0"/>
            <a:alphaOff val="0"/>
          </a:schemeClr>
        </a:solidFill>
        <a:ln w="6350" cap="flat" cmpd="sng" algn="ctr">
          <a:solidFill>
            <a:schemeClr val="accent4">
              <a:hueOff val="4900445"/>
              <a:satOff val="-20388"/>
              <a:lumOff val="4804"/>
              <a:alphaOff val="0"/>
            </a:schemeClr>
          </a:solidFill>
          <a:prstDash val="solid"/>
          <a:miter lim="800000"/>
        </a:ln>
        <a:effectLst/>
      </dsp:spPr>
      <dsp:style>
        <a:lnRef idx="1">
          <a:scrgbClr r="0" g="0" b="0"/>
        </a:lnRef>
        <a:fillRef idx="1">
          <a:scrgbClr r="0" g="0" b="0"/>
        </a:fillRef>
        <a:effectRef idx="0">
          <a:scrgbClr r="0" g="0" b="0"/>
        </a:effectRef>
        <a:fontRef idx="minor"/>
      </dsp:style>
    </dsp:sp>
    <dsp:sp modelId="{1967DE60-4C31-4421-8483-217A20C73FC8}">
      <dsp:nvSpPr>
        <dsp:cNvPr id="0" name=""/>
        <dsp:cNvSpPr/>
      </dsp:nvSpPr>
      <dsp:spPr>
        <a:xfrm>
          <a:off x="289941" y="1038720"/>
          <a:ext cx="4059174" cy="649440"/>
        </a:xfrm>
        <a:prstGeom prst="roundRect">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3427" tIns="0" rIns="153427" bIns="0" numCol="1" spcCol="1270" anchor="ctr" anchorCtr="0">
          <a:noAutofit/>
        </a:bodyPr>
        <a:lstStyle/>
        <a:p>
          <a:pPr marL="0" lvl="0" indent="0" algn="l" defTabSz="977900">
            <a:lnSpc>
              <a:spcPct val="90000"/>
            </a:lnSpc>
            <a:spcBef>
              <a:spcPct val="0"/>
            </a:spcBef>
            <a:spcAft>
              <a:spcPct val="35000"/>
            </a:spcAft>
            <a:buNone/>
          </a:pPr>
          <a:r>
            <a:rPr lang="en-IN" sz="2200" b="1" kern="1200">
              <a:latin typeface="Arial" panose="020B0604020202020204" pitchFamily="34" charset="0"/>
              <a:cs typeface="Arial" panose="020B0604020202020204" pitchFamily="34" charset="0"/>
            </a:rPr>
            <a:t>Inflation Risks</a:t>
          </a:r>
        </a:p>
      </dsp:txBody>
      <dsp:txXfrm>
        <a:off x="321644" y="1070423"/>
        <a:ext cx="3995768" cy="586034"/>
      </dsp:txXfrm>
    </dsp:sp>
    <dsp:sp modelId="{9D2AF372-0011-4F91-AB16-CDB5B9AD8FA3}">
      <dsp:nvSpPr>
        <dsp:cNvPr id="0" name=""/>
        <dsp:cNvSpPr/>
      </dsp:nvSpPr>
      <dsp:spPr>
        <a:xfrm>
          <a:off x="0" y="2361360"/>
          <a:ext cx="5798820" cy="554400"/>
        </a:xfrm>
        <a:prstGeom prst="rect">
          <a:avLst/>
        </a:prstGeom>
        <a:solidFill>
          <a:schemeClr val="lt1">
            <a:alpha val="90000"/>
            <a:hueOff val="0"/>
            <a:satOff val="0"/>
            <a:lumOff val="0"/>
            <a:alphaOff val="0"/>
          </a:schemeClr>
        </a:solidFill>
        <a:ln w="6350" cap="flat" cmpd="sng" algn="ctr">
          <a:solidFill>
            <a:schemeClr val="accent4">
              <a:hueOff val="9800891"/>
              <a:satOff val="-40777"/>
              <a:lumOff val="9608"/>
              <a:alphaOff val="0"/>
            </a:schemeClr>
          </a:solidFill>
          <a:prstDash val="solid"/>
          <a:miter lim="800000"/>
        </a:ln>
        <a:effectLst/>
      </dsp:spPr>
      <dsp:style>
        <a:lnRef idx="1">
          <a:scrgbClr r="0" g="0" b="0"/>
        </a:lnRef>
        <a:fillRef idx="1">
          <a:scrgbClr r="0" g="0" b="0"/>
        </a:fillRef>
        <a:effectRef idx="0">
          <a:scrgbClr r="0" g="0" b="0"/>
        </a:effectRef>
        <a:fontRef idx="minor"/>
      </dsp:style>
    </dsp:sp>
    <dsp:sp modelId="{3B9E3F1D-296C-4566-A1C2-2147D6449B58}">
      <dsp:nvSpPr>
        <dsp:cNvPr id="0" name=""/>
        <dsp:cNvSpPr/>
      </dsp:nvSpPr>
      <dsp:spPr>
        <a:xfrm>
          <a:off x="289941" y="2036639"/>
          <a:ext cx="4059174" cy="649440"/>
        </a:xfrm>
        <a:prstGeom prst="roundRect">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3427" tIns="0" rIns="153427" bIns="0" numCol="1" spcCol="1270" anchor="ctr" anchorCtr="0">
          <a:noAutofit/>
        </a:bodyPr>
        <a:lstStyle/>
        <a:p>
          <a:pPr marL="0" lvl="0" indent="0" algn="l" defTabSz="977900">
            <a:lnSpc>
              <a:spcPct val="90000"/>
            </a:lnSpc>
            <a:spcBef>
              <a:spcPct val="0"/>
            </a:spcBef>
            <a:spcAft>
              <a:spcPct val="35000"/>
            </a:spcAft>
            <a:buNone/>
          </a:pPr>
          <a:r>
            <a:rPr lang="en-IN" sz="2200" b="1" kern="1200">
              <a:latin typeface="Arial" panose="020B0604020202020204" pitchFamily="34" charset="0"/>
              <a:cs typeface="Arial" panose="020B0604020202020204" pitchFamily="34" charset="0"/>
            </a:rPr>
            <a:t>CSR Consideration</a:t>
          </a:r>
        </a:p>
      </dsp:txBody>
      <dsp:txXfrm>
        <a:off x="321644" y="2068342"/>
        <a:ext cx="3995768" cy="58603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6AF455C-526D-43EE-9688-2A58C16445F0}">
      <dsp:nvSpPr>
        <dsp:cNvPr id="0" name=""/>
        <dsp:cNvSpPr/>
      </dsp:nvSpPr>
      <dsp:spPr>
        <a:xfrm>
          <a:off x="1519917" y="197633"/>
          <a:ext cx="2681935" cy="2681935"/>
        </a:xfrm>
        <a:prstGeom prst="pie">
          <a:avLst>
            <a:gd name="adj1" fmla="val 16200000"/>
            <a:gd name="adj2" fmla="val 2052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IN" sz="1500" b="1" kern="1200">
              <a:latin typeface="Arial" panose="020B0604020202020204" pitchFamily="34" charset="0"/>
              <a:cs typeface="Arial" panose="020B0604020202020204" pitchFamily="34" charset="0"/>
            </a:rPr>
            <a:t>NPV</a:t>
          </a:r>
        </a:p>
      </dsp:txBody>
      <dsp:txXfrm>
        <a:off x="2918993" y="648453"/>
        <a:ext cx="862050" cy="574700"/>
      </dsp:txXfrm>
    </dsp:sp>
    <dsp:sp modelId="{68E7F90A-B61F-4229-9236-DAFC38AC15AA}">
      <dsp:nvSpPr>
        <dsp:cNvPr id="0" name=""/>
        <dsp:cNvSpPr/>
      </dsp:nvSpPr>
      <dsp:spPr>
        <a:xfrm>
          <a:off x="1542905" y="269151"/>
          <a:ext cx="2681935" cy="2681935"/>
        </a:xfrm>
        <a:prstGeom prst="pie">
          <a:avLst>
            <a:gd name="adj1" fmla="val 20520000"/>
            <a:gd name="adj2" fmla="val 3240000"/>
          </a:avLst>
        </a:prstGeom>
        <a:gradFill rotWithShape="0">
          <a:gsLst>
            <a:gs pos="0">
              <a:schemeClr val="accent4">
                <a:hueOff val="2450223"/>
                <a:satOff val="-10194"/>
                <a:lumOff val="2402"/>
                <a:alphaOff val="0"/>
                <a:satMod val="103000"/>
                <a:lumMod val="102000"/>
                <a:tint val="94000"/>
              </a:schemeClr>
            </a:gs>
            <a:gs pos="50000">
              <a:schemeClr val="accent4">
                <a:hueOff val="2450223"/>
                <a:satOff val="-10194"/>
                <a:lumOff val="2402"/>
                <a:alphaOff val="0"/>
                <a:satMod val="110000"/>
                <a:lumMod val="100000"/>
                <a:shade val="100000"/>
              </a:schemeClr>
            </a:gs>
            <a:gs pos="100000">
              <a:schemeClr val="accent4">
                <a:hueOff val="2450223"/>
                <a:satOff val="-10194"/>
                <a:lumOff val="240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IN" sz="1500" b="1" kern="1200">
              <a:latin typeface="Arial" panose="020B0604020202020204" pitchFamily="34" charset="0"/>
              <a:cs typeface="Arial" panose="020B0604020202020204" pitchFamily="34" charset="0"/>
            </a:rPr>
            <a:t>ARR</a:t>
          </a:r>
        </a:p>
      </dsp:txBody>
      <dsp:txXfrm>
        <a:off x="3270199" y="1494540"/>
        <a:ext cx="798195" cy="638556"/>
      </dsp:txXfrm>
    </dsp:sp>
    <dsp:sp modelId="{2B918097-C73C-473B-9F52-EDCBE2222CAC}">
      <dsp:nvSpPr>
        <dsp:cNvPr id="0" name=""/>
        <dsp:cNvSpPr/>
      </dsp:nvSpPr>
      <dsp:spPr>
        <a:xfrm>
          <a:off x="1482242" y="313211"/>
          <a:ext cx="2681935" cy="2681935"/>
        </a:xfrm>
        <a:prstGeom prst="pie">
          <a:avLst>
            <a:gd name="adj1" fmla="val 3240000"/>
            <a:gd name="adj2" fmla="val 7560000"/>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IN" sz="1500" b="1" kern="1200">
              <a:latin typeface="Arial" panose="020B0604020202020204" pitchFamily="34" charset="0"/>
              <a:cs typeface="Arial" panose="020B0604020202020204" pitchFamily="34" charset="0"/>
            </a:rPr>
            <a:t>IRR</a:t>
          </a:r>
        </a:p>
      </dsp:txBody>
      <dsp:txXfrm>
        <a:off x="2440076" y="2196951"/>
        <a:ext cx="766267" cy="702411"/>
      </dsp:txXfrm>
    </dsp:sp>
    <dsp:sp modelId="{07082777-FBCC-4891-AF6F-D092D2F21D84}">
      <dsp:nvSpPr>
        <dsp:cNvPr id="0" name=""/>
        <dsp:cNvSpPr/>
      </dsp:nvSpPr>
      <dsp:spPr>
        <a:xfrm>
          <a:off x="1421579" y="269151"/>
          <a:ext cx="2681935" cy="2681935"/>
        </a:xfrm>
        <a:prstGeom prst="pie">
          <a:avLst>
            <a:gd name="adj1" fmla="val 7560000"/>
            <a:gd name="adj2" fmla="val 11880000"/>
          </a:avLst>
        </a:prstGeom>
        <a:gradFill rotWithShape="0">
          <a:gsLst>
            <a:gs pos="0">
              <a:schemeClr val="accent4">
                <a:hueOff val="7350668"/>
                <a:satOff val="-30583"/>
                <a:lumOff val="7206"/>
                <a:alphaOff val="0"/>
                <a:satMod val="103000"/>
                <a:lumMod val="102000"/>
                <a:tint val="94000"/>
              </a:schemeClr>
            </a:gs>
            <a:gs pos="50000">
              <a:schemeClr val="accent4">
                <a:hueOff val="7350668"/>
                <a:satOff val="-30583"/>
                <a:lumOff val="7206"/>
                <a:alphaOff val="0"/>
                <a:satMod val="110000"/>
                <a:lumMod val="100000"/>
                <a:shade val="100000"/>
              </a:schemeClr>
            </a:gs>
            <a:gs pos="100000">
              <a:schemeClr val="accent4">
                <a:hueOff val="7350668"/>
                <a:satOff val="-30583"/>
                <a:lumOff val="72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IN" sz="1500" b="1" kern="1200">
              <a:latin typeface="Arial" panose="020B0604020202020204" pitchFamily="34" charset="0"/>
              <a:cs typeface="Arial" panose="020B0604020202020204" pitchFamily="34" charset="0"/>
            </a:rPr>
            <a:t>PI</a:t>
          </a:r>
        </a:p>
      </dsp:txBody>
      <dsp:txXfrm>
        <a:off x="1578025" y="1494540"/>
        <a:ext cx="798195" cy="638556"/>
      </dsp:txXfrm>
    </dsp:sp>
    <dsp:sp modelId="{AABC6AD6-49AF-445E-A904-779D96ACAF04}">
      <dsp:nvSpPr>
        <dsp:cNvPr id="0" name=""/>
        <dsp:cNvSpPr/>
      </dsp:nvSpPr>
      <dsp:spPr>
        <a:xfrm>
          <a:off x="1444567" y="197633"/>
          <a:ext cx="2681935" cy="2681935"/>
        </a:xfrm>
        <a:prstGeom prst="pie">
          <a:avLst>
            <a:gd name="adj1" fmla="val 11880000"/>
            <a:gd name="adj2" fmla="val 16200000"/>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IN" sz="1500" b="1" kern="1200">
              <a:latin typeface="Arial" panose="020B0604020202020204" pitchFamily="34" charset="0"/>
              <a:cs typeface="Arial" panose="020B0604020202020204" pitchFamily="34" charset="0"/>
            </a:rPr>
            <a:t>Payback Period</a:t>
          </a:r>
        </a:p>
      </dsp:txBody>
      <dsp:txXfrm>
        <a:off x="1865375" y="648453"/>
        <a:ext cx="862050" cy="574700"/>
      </dsp:txXfrm>
    </dsp:sp>
    <dsp:sp modelId="{CAE109C1-D92E-4764-9EFA-EFF5137CBDEE}">
      <dsp:nvSpPr>
        <dsp:cNvPr id="0" name=""/>
        <dsp:cNvSpPr/>
      </dsp:nvSpPr>
      <dsp:spPr>
        <a:xfrm>
          <a:off x="1353766" y="31608"/>
          <a:ext cx="3013984" cy="3013984"/>
        </a:xfrm>
        <a:prstGeom prst="circularArrow">
          <a:avLst>
            <a:gd name="adj1" fmla="val 5085"/>
            <a:gd name="adj2" fmla="val 327528"/>
            <a:gd name="adj3" fmla="val 20192361"/>
            <a:gd name="adj4" fmla="val 16200324"/>
            <a:gd name="adj5" fmla="val 5932"/>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BC0AB1BF-7484-4F69-BCEC-10BFD8F18EBF}">
      <dsp:nvSpPr>
        <dsp:cNvPr id="0" name=""/>
        <dsp:cNvSpPr/>
      </dsp:nvSpPr>
      <dsp:spPr>
        <a:xfrm>
          <a:off x="1377065" y="103103"/>
          <a:ext cx="3013984" cy="3013984"/>
        </a:xfrm>
        <a:prstGeom prst="circularArrow">
          <a:avLst>
            <a:gd name="adj1" fmla="val 5085"/>
            <a:gd name="adj2" fmla="val 327528"/>
            <a:gd name="adj3" fmla="val 2912753"/>
            <a:gd name="adj4" fmla="val 20519953"/>
            <a:gd name="adj5" fmla="val 5932"/>
          </a:avLst>
        </a:prstGeom>
        <a:gradFill rotWithShape="0">
          <a:gsLst>
            <a:gs pos="0">
              <a:schemeClr val="accent4">
                <a:hueOff val="2450223"/>
                <a:satOff val="-10194"/>
                <a:lumOff val="2402"/>
                <a:alphaOff val="0"/>
                <a:satMod val="103000"/>
                <a:lumMod val="102000"/>
                <a:tint val="94000"/>
              </a:schemeClr>
            </a:gs>
            <a:gs pos="50000">
              <a:schemeClr val="accent4">
                <a:hueOff val="2450223"/>
                <a:satOff val="-10194"/>
                <a:lumOff val="2402"/>
                <a:alphaOff val="0"/>
                <a:satMod val="110000"/>
                <a:lumMod val="100000"/>
                <a:shade val="100000"/>
              </a:schemeClr>
            </a:gs>
            <a:gs pos="100000">
              <a:schemeClr val="accent4">
                <a:hueOff val="2450223"/>
                <a:satOff val="-10194"/>
                <a:lumOff val="240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ACB4C631-6D32-4E99-B8B0-B3CA76BCF08D}">
      <dsp:nvSpPr>
        <dsp:cNvPr id="0" name=""/>
        <dsp:cNvSpPr/>
      </dsp:nvSpPr>
      <dsp:spPr>
        <a:xfrm>
          <a:off x="1316217" y="147298"/>
          <a:ext cx="3013984" cy="3013984"/>
        </a:xfrm>
        <a:prstGeom prst="circularArrow">
          <a:avLst>
            <a:gd name="adj1" fmla="val 5085"/>
            <a:gd name="adj2" fmla="val 327528"/>
            <a:gd name="adj3" fmla="val 7232777"/>
            <a:gd name="adj4" fmla="val 3239695"/>
            <a:gd name="adj5" fmla="val 5932"/>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426FB6D-F86D-4B51-99F5-0F065105BC98}">
      <dsp:nvSpPr>
        <dsp:cNvPr id="0" name=""/>
        <dsp:cNvSpPr/>
      </dsp:nvSpPr>
      <dsp:spPr>
        <a:xfrm>
          <a:off x="1255369" y="103103"/>
          <a:ext cx="3013984" cy="3013984"/>
        </a:xfrm>
        <a:prstGeom prst="circularArrow">
          <a:avLst>
            <a:gd name="adj1" fmla="val 5085"/>
            <a:gd name="adj2" fmla="val 327528"/>
            <a:gd name="adj3" fmla="val 11552519"/>
            <a:gd name="adj4" fmla="val 7559718"/>
            <a:gd name="adj5" fmla="val 5932"/>
          </a:avLst>
        </a:prstGeom>
        <a:gradFill rotWithShape="0">
          <a:gsLst>
            <a:gs pos="0">
              <a:schemeClr val="accent4">
                <a:hueOff val="7350668"/>
                <a:satOff val="-30583"/>
                <a:lumOff val="7206"/>
                <a:alphaOff val="0"/>
                <a:satMod val="103000"/>
                <a:lumMod val="102000"/>
                <a:tint val="94000"/>
              </a:schemeClr>
            </a:gs>
            <a:gs pos="50000">
              <a:schemeClr val="accent4">
                <a:hueOff val="7350668"/>
                <a:satOff val="-30583"/>
                <a:lumOff val="7206"/>
                <a:alphaOff val="0"/>
                <a:satMod val="110000"/>
                <a:lumMod val="100000"/>
                <a:shade val="100000"/>
              </a:schemeClr>
            </a:gs>
            <a:gs pos="100000">
              <a:schemeClr val="accent4">
                <a:hueOff val="7350668"/>
                <a:satOff val="-30583"/>
                <a:lumOff val="72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883BAD49-C62F-4A4A-B574-4540BD9D7389}">
      <dsp:nvSpPr>
        <dsp:cNvPr id="0" name=""/>
        <dsp:cNvSpPr/>
      </dsp:nvSpPr>
      <dsp:spPr>
        <a:xfrm>
          <a:off x="1278669" y="31608"/>
          <a:ext cx="3013984" cy="3013984"/>
        </a:xfrm>
        <a:prstGeom prst="circularArrow">
          <a:avLst>
            <a:gd name="adj1" fmla="val 5085"/>
            <a:gd name="adj2" fmla="val 327528"/>
            <a:gd name="adj3" fmla="val 15872148"/>
            <a:gd name="adj4" fmla="val 11880111"/>
            <a:gd name="adj5" fmla="val 5932"/>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arrow4">
  <dgm:title val=""/>
  <dgm:desc val=""/>
  <dgm:catLst>
    <dgm:cat type="relationship" pri="8000"/>
    <dgm:cat type="process" pri="30000"/>
  </dgm:catLst>
  <dgm:samp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shape xmlns:r="http://schemas.openxmlformats.org/officeDocument/2006/relationships" r:blip="">
      <dgm:adjLst/>
    </dgm:shape>
    <dgm:presOf/>
    <dgm:choose name="Name0">
      <dgm:if name="Name1" func="var" arg="dir" op="equ" val="norm">
        <dgm:choose name="Name2">
          <dgm:if name="Name3" axis="ch" ptType="node" func="cnt" op="lte" val="1">
            <dgm:constrLst>
              <dgm:constr type="primFontSz" for="des" ptType="node" op="equ" val="65"/>
              <dgm:constr type="w" for="ch" forName="upArrow" refType="w" fact="0.33"/>
              <dgm:constr type="h" for="ch" forName="upArrow" refType="h"/>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dgm:constr type="b" for="ch" forName="upArrowText" refType="h" fact="0.48"/>
              <dgm:constr type="l" for="ch" forName="upArrowText" refType="w" refFor="ch" refForName="upArrow" fact="1.03"/>
            </dgm:constrLst>
          </dgm:if>
          <dgm:else name="Name4">
            <dgm:constrLst>
              <dgm:constr type="primFontSz" for="des" ptType="node" op="equ" val="65"/>
              <dgm:constr type="w" for="ch" forName="upArrow" refType="w" fact="0.33"/>
              <dgm:constr type="h" for="ch" forName="upArrow" refType="h" fact="0.48"/>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fact="0.48"/>
              <dgm:constr type="b" for="ch" forName="upArrowText" refType="h" fact="0.48"/>
              <dgm:constr type="l" for="ch" forName="upArrowText" refType="w" refFor="ch" refForName="upArrow" fact="1.03"/>
              <dgm:constr type="w" for="ch" forName="downArrow" refType="w" fact="0.33"/>
              <dgm:constr type="h" for="ch" forName="downArrow" refType="h" fact="0.48"/>
              <dgm:constr type="t" for="ch" forName="downArrow" refType="h" fact="0.52"/>
              <dgm:constr type="l" for="ch" forName="downArrow" refType="w" refFor="ch" refForName="downArrow" fact="0.3"/>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refType="w" refFor="ch" refForName="downArrow" fact="1.33"/>
            </dgm:constrLst>
          </dgm:else>
        </dgm:choose>
      </dgm:if>
      <dgm:else name="Name5">
        <dgm:choose name="Name6">
          <dgm:if name="Name7" axis="ch" ptType="node" func="cnt" op="lte" val="1">
            <dgm:constrLst>
              <dgm:constr type="primFontSz" for="des" ptType="node" op="equ" val="65"/>
              <dgm:constr type="w" for="ch" forName="upArrow" refType="w" fact="0.33"/>
              <dgm:constr type="h" for="ch" forName="upArrow" refType="h"/>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dgm:constr type="t" for="ch" forName="upArrowText"/>
              <dgm:constr type="l" for="ch" forName="upArrowText" refType="w" fact="0.1"/>
            </dgm:constrLst>
          </dgm:if>
          <dgm:else name="Name8">
            <dgm:constrLst>
              <dgm:constr type="primFontSz" for="des" ptType="node" op="equ" val="65"/>
              <dgm:constr type="w" for="ch" forName="upArrow" refType="w" fact="0.33"/>
              <dgm:constr type="h" for="ch" forName="upArrow" refType="h" fact="0.48"/>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fact="0.48"/>
              <dgm:constr type="t" for="ch" forName="upArrowText"/>
              <dgm:constr type="l" for="ch" forName="upArrowText" refType="w" fact="0.1"/>
              <dgm:constr type="w" for="ch" forName="downArrow" refType="w" fact="0.33"/>
              <dgm:constr type="h" for="ch" forName="downArrow" refType="h" fact="0.48"/>
              <dgm:constr type="t" for="ch" forName="downArrow" refType="h" fact="0.52"/>
              <dgm:constr type="l" for="ch" forName="downArrow" refType="w" fact="0.57"/>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dgm:constrLst>
          </dgm:else>
        </dgm:choose>
      </dgm:else>
    </dgm:choose>
    <dgm:ruleLst/>
    <dgm:forEach name="Name9" axis="ch" ptType="node" cnt="1">
      <dgm:layoutNode name="upArrow" styleLbl="node1">
        <dgm:alg type="sp"/>
        <dgm:shape xmlns:r="http://schemas.openxmlformats.org/officeDocument/2006/relationships" type="upArrow" r:blip="">
          <dgm:adjLst/>
        </dgm:shape>
        <dgm:presOf/>
        <dgm:constrLst/>
        <dgm:ruleLst/>
      </dgm:layoutNode>
      <dgm:layoutNode name="upArrowText" styleLbl="revTx">
        <dgm:varLst>
          <dgm:chMax val="0"/>
          <dgm:bulletEnabled val="1"/>
        </dgm:varLst>
        <dgm:choose name="Name10">
          <dgm:if name="Name11" axis="root des" ptType="all node" func="maxDepth" op="gt" val="1">
            <dgm:alg type="tx">
              <dgm:param type="parTxLTRAlign" val="l"/>
              <dgm:param type="parTxRTLAlign" val="r"/>
              <dgm:param type="txAnchorVertCh" val="mid"/>
            </dgm:alg>
          </dgm:if>
          <dgm:else name="Name12">
            <dgm:choose name="Name13">
              <dgm:if name="Name14" func="var" arg="dir" op="equ" val="norm">
                <dgm:alg type="tx">
                  <dgm:param type="parTxLTRAlign" val="l"/>
                  <dgm:param type="parTxRTLAlign" val="l"/>
                  <dgm:param type="txAnchorVertCh" val="mid"/>
                </dgm:alg>
              </dgm:if>
              <dgm:else name="Name15">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forEach name="Name16" axis="ch" ptType="node" st="2" cnt="1">
      <dgm:layoutNode name="downArrow" styleLbl="node1">
        <dgm:alg type="sp"/>
        <dgm:shape xmlns:r="http://schemas.openxmlformats.org/officeDocument/2006/relationships" type="downArrow" r:blip="">
          <dgm:adjLst/>
        </dgm:shape>
        <dgm:presOf/>
        <dgm:constrLst/>
        <dgm:ruleLst/>
      </dgm:layoutNode>
      <dgm:layoutNode name="downArrowText" styleLbl="revTx">
        <dgm:varLst>
          <dgm:chMax val="0"/>
          <dgm:bulletEnabled val="1"/>
        </dgm:varLst>
        <dgm:choose name="Name17">
          <dgm:if name="Name18" axis="root des" ptType="all node" func="maxDepth" op="gt" val="1">
            <dgm:alg type="tx">
              <dgm:param type="parTxLTRAlign" val="l"/>
              <dgm:param type="parTxRTLAlign" val="r"/>
              <dgm:param type="txAnchorVertCh" val="mid"/>
            </dgm:alg>
          </dgm:if>
          <dgm:else name="Name19">
            <dgm:choose name="Name20">
              <dgm:if name="Name21" func="var" arg="dir" op="equ" val="norm">
                <dgm:alg type="tx">
                  <dgm:param type="parTxLTRAlign" val="l"/>
                  <dgm:param type="parTxRTLAlign" val="l"/>
                  <dgm:param type="txAnchorVertCh" val="mid"/>
                </dgm:alg>
              </dgm:if>
              <dgm:else name="Name22">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607546-7C1A-4350-BBD8-7CDCCE462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6879</Words>
  <Characters>39216</Characters>
  <Application>Microsoft Office Word</Application>
  <DocSecurity>0</DocSecurity>
  <Lines>326</Lines>
  <Paragraphs>92</Paragraphs>
  <ScaleCrop>false</ScaleCrop>
  <Company/>
  <LinksUpToDate>false</LinksUpToDate>
  <CharactersWithSpaces>46003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farhan shekh</cp:lastModifiedBy>
  <cp:revision>5</cp:revision>
  <dcterms:created xsi:type="dcterms:W3CDTF">2025-10-10T05:07:00Z</dcterms:created>
  <dcterms:modified xsi:type="dcterms:W3CDTF">2025-10-24T04:23:00Z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530a5da1-6dbb-4db2-ae0b-bdb34403ba01</vt:lpwstr>
  </property>
</Properties>
</file>