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b w:val="1"/>
          <w:sz w:val="24"/>
          <w:szCs w:val="24"/>
        </w:rPr>
      </w:pPr>
      <w:r w:rsidDel="00000000" w:rsidR="00000000" w:rsidRPr="00000000">
        <w:rPr>
          <w:b w:val="1"/>
          <w:sz w:val="24"/>
          <w:szCs w:val="24"/>
          <w:rtl w:val="0"/>
        </w:rPr>
        <w:t xml:space="preserve">Referring to the case studies and scenarios provided, critically examine one  (Death of someone close) of these themes and evaluate how they might impact the mental health of the child or young person and critically discuss the lifelong implications of this.</w:t>
      </w:r>
    </w:p>
    <w:p w:rsidR="00000000" w:rsidDel="00000000" w:rsidP="00000000" w:rsidRDefault="00000000" w:rsidRPr="00000000" w14:paraId="00000002">
      <w:pPr>
        <w:pageBreakBefore w:val="0"/>
        <w:spacing w:line="480" w:lineRule="auto"/>
        <w:rPr>
          <w:b w:val="1"/>
        </w:rPr>
      </w:pPr>
      <w:r w:rsidDel="00000000" w:rsidR="00000000" w:rsidRPr="00000000">
        <w:rPr>
          <w:rtl w:val="0"/>
        </w:rPr>
      </w:r>
    </w:p>
    <w:p w:rsidR="00000000" w:rsidDel="00000000" w:rsidP="00000000" w:rsidRDefault="00000000" w:rsidRPr="00000000" w14:paraId="00000003">
      <w:pPr>
        <w:pageBreakBefore w:val="0"/>
        <w:spacing w:line="480" w:lineRule="auto"/>
        <w:rPr/>
      </w:pPr>
      <w:r w:rsidDel="00000000" w:rsidR="00000000" w:rsidRPr="00000000">
        <w:rPr>
          <w:rtl w:val="0"/>
        </w:rPr>
        <w:t xml:space="preserve">This essay will critically examine the psychological and non psychological implications of Adverse Childhood Experiences on adolescent bereavement and health implications. The basis and definitions of the parameters will be elaborated upon. The factors of Adversity on bereaving adolescents will be considered in depth and the comorbidity of these factors will be outlined upon followed by a conclusion.</w:t>
      </w:r>
      <w:r w:rsidDel="00000000" w:rsidR="00000000" w:rsidRPr="00000000">
        <w:rPr>
          <w:rtl w:val="0"/>
        </w:rPr>
      </w:r>
    </w:p>
    <w:p w:rsidR="00000000" w:rsidDel="00000000" w:rsidP="00000000" w:rsidRDefault="00000000" w:rsidRPr="00000000" w14:paraId="00000004">
      <w:pPr>
        <w:pageBreakBefore w:val="0"/>
        <w:spacing w:line="480" w:lineRule="auto"/>
        <w:rPr/>
      </w:pPr>
      <w:r w:rsidDel="00000000" w:rsidR="00000000" w:rsidRPr="00000000">
        <w:rPr>
          <w:rtl w:val="0"/>
        </w:rPr>
      </w:r>
    </w:p>
    <w:p w:rsidR="00000000" w:rsidDel="00000000" w:rsidP="00000000" w:rsidRDefault="00000000" w:rsidRPr="00000000" w14:paraId="00000005">
      <w:pPr>
        <w:pageBreakBefore w:val="0"/>
        <w:spacing w:line="480" w:lineRule="auto"/>
        <w:rPr/>
      </w:pPr>
      <w:r w:rsidDel="00000000" w:rsidR="00000000" w:rsidRPr="00000000">
        <w:rPr>
          <w:rtl w:val="0"/>
        </w:rPr>
        <w:t xml:space="preserve">The Kaiser Permanente consortium ran the largest pre-funded, charitable, health care dispatch system in America, this included over 20,000 adult men and women who were provided services in the Department of Preventative Medicine (Waite &amp; Ryan, 2020). These people were asked if they would like to be involved in a study to acquire a greater comprehension of the influence of childhood events and the effect this has on adult health condition. The Adverse Childhood Experiences (ACE) study involved roughly 17,000 participants (Leitch, 2017). Researchers at the Centers for Disease Control and Prevention (CDC) devised the research procedure which would allow for comparisons of current adult health conditions to prior childhood experiences of the past, with persons who were serviced at the Department of Preventative Medicine. The study, implemented exams and surveys and took place in two waves at Kaiser Permanente from 1995 to 1997, the participants were traced for roughly more than a decade (Murphy et al., 2014).</w:t>
      </w:r>
    </w:p>
    <w:p w:rsidR="00000000" w:rsidDel="00000000" w:rsidP="00000000" w:rsidRDefault="00000000" w:rsidRPr="00000000" w14:paraId="00000006">
      <w:pPr>
        <w:pageBreakBefore w:val="0"/>
        <w:spacing w:line="480" w:lineRule="auto"/>
        <w:rPr/>
      </w:pPr>
      <w:r w:rsidDel="00000000" w:rsidR="00000000" w:rsidRPr="00000000">
        <w:rPr>
          <w:rtl w:val="0"/>
        </w:rPr>
      </w:r>
    </w:p>
    <w:p w:rsidR="00000000" w:rsidDel="00000000" w:rsidP="00000000" w:rsidRDefault="00000000" w:rsidRPr="00000000" w14:paraId="00000007">
      <w:pPr>
        <w:pageBreakBefore w:val="0"/>
        <w:spacing w:line="480" w:lineRule="auto"/>
        <w:rPr/>
      </w:pPr>
      <w:r w:rsidDel="00000000" w:rsidR="00000000" w:rsidRPr="00000000">
        <w:rPr>
          <w:rtl w:val="0"/>
        </w:rPr>
      </w:r>
    </w:p>
    <w:p w:rsidR="00000000" w:rsidDel="00000000" w:rsidP="00000000" w:rsidRDefault="00000000" w:rsidRPr="00000000" w14:paraId="00000008">
      <w:pPr>
        <w:pageBreakBefore w:val="0"/>
        <w:spacing w:line="480" w:lineRule="auto"/>
        <w:rPr/>
      </w:pPr>
      <w:r w:rsidDel="00000000" w:rsidR="00000000" w:rsidRPr="00000000">
        <w:rPr>
          <w:rtl w:val="0"/>
        </w:rPr>
      </w:r>
    </w:p>
    <w:p w:rsidR="00000000" w:rsidDel="00000000" w:rsidP="00000000" w:rsidRDefault="00000000" w:rsidRPr="00000000" w14:paraId="00000009">
      <w:pPr>
        <w:pageBreakBefore w:val="0"/>
        <w:spacing w:line="480" w:lineRule="auto"/>
        <w:rPr/>
      </w:pPr>
      <w:r w:rsidDel="00000000" w:rsidR="00000000" w:rsidRPr="00000000">
        <w:rPr>
          <w:rtl w:val="0"/>
        </w:rPr>
      </w:r>
    </w:p>
    <w:p w:rsidR="00000000" w:rsidDel="00000000" w:rsidP="00000000" w:rsidRDefault="00000000" w:rsidRPr="00000000" w14:paraId="0000000A">
      <w:pPr>
        <w:pageBreakBefore w:val="0"/>
        <w:spacing w:line="480" w:lineRule="auto"/>
        <w:rPr/>
      </w:pPr>
      <w:r w:rsidDel="00000000" w:rsidR="00000000" w:rsidRPr="00000000">
        <w:rPr>
          <w:rtl w:val="0"/>
        </w:rPr>
      </w:r>
    </w:p>
    <w:p w:rsidR="00000000" w:rsidDel="00000000" w:rsidP="00000000" w:rsidRDefault="00000000" w:rsidRPr="00000000" w14:paraId="0000000B">
      <w:pPr>
        <w:pageBreakBefore w:val="0"/>
        <w:spacing w:line="480" w:lineRule="auto"/>
        <w:rPr/>
      </w:pPr>
      <w:r w:rsidDel="00000000" w:rsidR="00000000" w:rsidRPr="00000000">
        <w:rPr>
          <w:rtl w:val="0"/>
        </w:rPr>
        <w:t xml:space="preserve">The findings of the ACE study dissuaded the notion that only low income, ethnic minority and racial groups were liable to Adverse Childhood Experiences and its lingering later life effects as the research highlighted that even well-off, middle class persons with medical insurance were susceptible to ACEs. Furthermore, it was crucial for health sector professionals  to recognise that ACEs take place as clusters; it is mandatory to seek answers with the provision of even a single ACE occurring and being reported inorder to detect if other ACEs have occurred (Fulford, 2017). </w:t>
      </w:r>
    </w:p>
    <w:p w:rsidR="00000000" w:rsidDel="00000000" w:rsidP="00000000" w:rsidRDefault="00000000" w:rsidRPr="00000000" w14:paraId="0000000C">
      <w:pPr>
        <w:pageBreakBefore w:val="0"/>
        <w:spacing w:line="480" w:lineRule="auto"/>
        <w:rPr/>
      </w:pPr>
      <w:r w:rsidDel="00000000" w:rsidR="00000000" w:rsidRPr="00000000">
        <w:rPr>
          <w:rtl w:val="0"/>
        </w:rPr>
      </w:r>
    </w:p>
    <w:p w:rsidR="00000000" w:rsidDel="00000000" w:rsidP="00000000" w:rsidRDefault="00000000" w:rsidRPr="00000000" w14:paraId="0000000D">
      <w:pPr>
        <w:pageBreakBefore w:val="0"/>
        <w:spacing w:line="480" w:lineRule="auto"/>
        <w:rPr/>
      </w:pPr>
      <w:r w:rsidDel="00000000" w:rsidR="00000000" w:rsidRPr="00000000">
        <w:rPr>
          <w:rtl w:val="0"/>
        </w:rPr>
        <w:t xml:space="preserve">It may be surmised that health sector professionals  see patients in appointments with a comorbidity of ACEs daily. In hindsight, these people may be those patients which are the more difficult persons to work with in the daily work routine (Waite &amp; Ryan, 2020). The critical ACEs study found a firm graded link between the extent of exposure to household discord, neglect or abuse during childhood years and various risk components for some of the factors which cause increased mortality in adulthood.</w:t>
      </w:r>
    </w:p>
    <w:p w:rsidR="00000000" w:rsidDel="00000000" w:rsidP="00000000" w:rsidRDefault="00000000" w:rsidRPr="00000000" w14:paraId="0000000E">
      <w:pPr>
        <w:pageBreakBefore w:val="0"/>
        <w:spacing w:line="480" w:lineRule="auto"/>
        <w:rPr/>
      </w:pPr>
      <w:r w:rsidDel="00000000" w:rsidR="00000000" w:rsidRPr="00000000">
        <w:rPr>
          <w:rtl w:val="0"/>
        </w:rPr>
      </w:r>
    </w:p>
    <w:p w:rsidR="00000000" w:rsidDel="00000000" w:rsidP="00000000" w:rsidRDefault="00000000" w:rsidRPr="00000000" w14:paraId="0000000F">
      <w:pPr>
        <w:pageBreakBefore w:val="0"/>
        <w:spacing w:line="480" w:lineRule="auto"/>
        <w:rPr/>
      </w:pPr>
      <w:r w:rsidDel="00000000" w:rsidR="00000000" w:rsidRPr="00000000">
        <w:rPr>
          <w:rtl w:val="0"/>
        </w:rPr>
        <w:t xml:space="preserve">ACEs remarkably have a persistent effect on the lives of  individuals well past the date of initial occurrence of  past negative events, these incidents are altered somewhat from being psycho social phenomena into mental malfunctions, social afflictions and biological diseases (About the CDC-Kaiser ACE Study, 2016). The landmark findings of the ACE study should be used as an indicator inline with personal awareness of the firm correlation to risk behaviours (e.g., sex risk actions, smoking, obesity, drug and alcohol abuse), severe unhealthy states (e.g., cirrhosis of the liver and cardiovascular disease), less life consolidation (e.g., work avoidance, suicide and depression), and also premature death.</w:t>
      </w:r>
    </w:p>
    <w:p w:rsidR="00000000" w:rsidDel="00000000" w:rsidP="00000000" w:rsidRDefault="00000000" w:rsidRPr="00000000" w14:paraId="00000010">
      <w:pPr>
        <w:pageBreakBefore w:val="0"/>
        <w:spacing w:line="480" w:lineRule="auto"/>
        <w:rPr/>
      </w:pPr>
      <w:r w:rsidDel="00000000" w:rsidR="00000000" w:rsidRPr="00000000">
        <w:rPr>
          <w:rtl w:val="0"/>
        </w:rPr>
      </w:r>
    </w:p>
    <w:p w:rsidR="00000000" w:rsidDel="00000000" w:rsidP="00000000" w:rsidRDefault="00000000" w:rsidRPr="00000000" w14:paraId="00000011">
      <w:pPr>
        <w:pageBreakBefore w:val="0"/>
        <w:spacing w:line="480" w:lineRule="auto"/>
        <w:rPr/>
      </w:pPr>
      <w:r w:rsidDel="00000000" w:rsidR="00000000" w:rsidRPr="00000000">
        <w:rPr>
          <w:rtl w:val="0"/>
        </w:rPr>
      </w:r>
    </w:p>
    <w:p w:rsidR="00000000" w:rsidDel="00000000" w:rsidP="00000000" w:rsidRDefault="00000000" w:rsidRPr="00000000" w14:paraId="00000012">
      <w:pPr>
        <w:pageBreakBefore w:val="0"/>
        <w:spacing w:line="480" w:lineRule="auto"/>
        <w:rPr/>
      </w:pPr>
      <w:r w:rsidDel="00000000" w:rsidR="00000000" w:rsidRPr="00000000">
        <w:rPr>
          <w:rtl w:val="0"/>
        </w:rPr>
      </w:r>
    </w:p>
    <w:p w:rsidR="00000000" w:rsidDel="00000000" w:rsidP="00000000" w:rsidRDefault="00000000" w:rsidRPr="00000000" w14:paraId="00000013">
      <w:pPr>
        <w:pageBreakBefore w:val="0"/>
        <w:spacing w:line="480" w:lineRule="auto"/>
        <w:rPr/>
      </w:pPr>
      <w:r w:rsidDel="00000000" w:rsidR="00000000" w:rsidRPr="00000000">
        <w:rPr>
          <w:rtl w:val="0"/>
        </w:rPr>
      </w:r>
    </w:p>
    <w:p w:rsidR="00000000" w:rsidDel="00000000" w:rsidP="00000000" w:rsidRDefault="00000000" w:rsidRPr="00000000" w14:paraId="00000014">
      <w:pPr>
        <w:pageBreakBefore w:val="0"/>
        <w:spacing w:line="480" w:lineRule="auto"/>
        <w:rPr/>
      </w:pPr>
      <w:r w:rsidDel="00000000" w:rsidR="00000000" w:rsidRPr="00000000">
        <w:rPr>
          <w:rtl w:val="0"/>
        </w:rPr>
        <w:t xml:space="preserve">Every person experiences stress or adversity in their life, the stress response indicates the behavioural and physiological reaction to differentiating demands of the social and physical environment. Psychologists delineate toxic stress as the human body's continued exposure to heightened stress  hormone levels which become maladaptive and injuring, this is specifically troublesome in adolescent and child development as it promotes mental health and physiological disparities (Shonkoff et al., 2012). These differences reveal post hastily since 2/10 children of families approaching or living in poverty show emotional or behavioural issues, compared to less than 10% of children from monetarily stable homes (Blitz et al., 2016). These incessant requirements disrupt and challenge homeostasis which is necessary for the self-regulation of the body as it is responsible for maintaining inner stability.</w:t>
      </w:r>
    </w:p>
    <w:p w:rsidR="00000000" w:rsidDel="00000000" w:rsidP="00000000" w:rsidRDefault="00000000" w:rsidRPr="00000000" w14:paraId="00000015">
      <w:pPr>
        <w:pageBreakBefore w:val="0"/>
        <w:spacing w:line="480" w:lineRule="auto"/>
        <w:rPr/>
      </w:pPr>
      <w:r w:rsidDel="00000000" w:rsidR="00000000" w:rsidRPr="00000000">
        <w:rPr>
          <w:rtl w:val="0"/>
        </w:rPr>
      </w:r>
    </w:p>
    <w:p w:rsidR="00000000" w:rsidDel="00000000" w:rsidP="00000000" w:rsidRDefault="00000000" w:rsidRPr="00000000" w14:paraId="00000016">
      <w:pPr>
        <w:pageBreakBefore w:val="0"/>
        <w:spacing w:line="480" w:lineRule="auto"/>
        <w:rPr/>
      </w:pPr>
      <w:r w:rsidDel="00000000" w:rsidR="00000000" w:rsidRPr="00000000">
        <w:rPr>
          <w:rtl w:val="0"/>
        </w:rPr>
        <w:t xml:space="preserve">There is toxic, tolerable and positive stress, the foremost is characterised on the assumption of the base difference that it is the most likely to create lingering bodily dysregulations because of the duration and intensity of responses it elicits (Shonkoff et al., 2012). Positive stress creates a  mild to medium level, short-lived bodily condition (e.g., vacation planning, childbirth, wedding). Unequivocally, key to children, especially to accommodate positive stress is the existence of a responsive and compassionate adult who aids the girl/boy to tackle the stress factor. Tolerable stress entails significant life scenarios; irregular experiences which exude a critical threat or adversity (Waite &amp; Ryan, 2020). Factors creating such experiences may include family member death; the loss of a loved one, a life endangering injury or illness, a contentious legal divorce, acts of terrorism, or a weather disaster. Fundamentally, the core attribute  which facilitates this category of stress response to be manageable  is the degree of safety ensuring adult social links which allow the child to adaptively cope and feel in control (Waite &amp; Ryan, 2020).</w:t>
      </w:r>
    </w:p>
    <w:p w:rsidR="00000000" w:rsidDel="00000000" w:rsidP="00000000" w:rsidRDefault="00000000" w:rsidRPr="00000000" w14:paraId="00000017">
      <w:pPr>
        <w:pageBreakBefore w:val="0"/>
        <w:spacing w:line="480" w:lineRule="auto"/>
        <w:rPr/>
      </w:pPr>
      <w:r w:rsidDel="00000000" w:rsidR="00000000" w:rsidRPr="00000000">
        <w:rPr>
          <w:rtl w:val="0"/>
        </w:rPr>
      </w:r>
    </w:p>
    <w:p w:rsidR="00000000" w:rsidDel="00000000" w:rsidP="00000000" w:rsidRDefault="00000000" w:rsidRPr="00000000" w14:paraId="00000018">
      <w:pPr>
        <w:pageBreakBefore w:val="0"/>
        <w:spacing w:line="480" w:lineRule="auto"/>
        <w:rPr/>
      </w:pPr>
      <w:r w:rsidDel="00000000" w:rsidR="00000000" w:rsidRPr="00000000">
        <w:rPr>
          <w:rtl w:val="0"/>
        </w:rPr>
      </w:r>
    </w:p>
    <w:p w:rsidR="00000000" w:rsidDel="00000000" w:rsidP="00000000" w:rsidRDefault="00000000" w:rsidRPr="00000000" w14:paraId="00000019">
      <w:pPr>
        <w:pageBreakBefore w:val="0"/>
        <w:spacing w:line="480" w:lineRule="auto"/>
        <w:rPr/>
      </w:pPr>
      <w:r w:rsidDel="00000000" w:rsidR="00000000" w:rsidRPr="00000000">
        <w:rPr>
          <w:rtl w:val="0"/>
        </w:rPr>
        <w:t xml:space="preserve">Toxic stress is the definition created by the Center on the Developing Child of Harvard University, it is the least safe stress response. This stress stems from severe, prolonged, and/or frequent activation of the bodily stress responses and the autonomic nervous network not having the safety of a nurturing adult (Dowd, 2017). The age of toxic stress exposure is a crucial facet to recognise, the older the brain, the less vulnerable it is to the maladaptive influence of toxic stress.</w:t>
      </w:r>
    </w:p>
    <w:p w:rsidR="00000000" w:rsidDel="00000000" w:rsidP="00000000" w:rsidRDefault="00000000" w:rsidRPr="00000000" w14:paraId="0000001A">
      <w:pPr>
        <w:pageBreakBefore w:val="0"/>
        <w:spacing w:line="480" w:lineRule="auto"/>
        <w:rPr/>
      </w:pPr>
      <w:r w:rsidDel="00000000" w:rsidR="00000000" w:rsidRPr="00000000">
        <w:rPr>
          <w:rtl w:val="0"/>
        </w:rPr>
      </w:r>
    </w:p>
    <w:p w:rsidR="00000000" w:rsidDel="00000000" w:rsidP="00000000" w:rsidRDefault="00000000" w:rsidRPr="00000000" w14:paraId="0000001B">
      <w:pPr>
        <w:pageBreakBefore w:val="0"/>
        <w:spacing w:line="480" w:lineRule="auto"/>
        <w:rPr/>
      </w:pPr>
      <w:r w:rsidDel="00000000" w:rsidR="00000000" w:rsidRPr="00000000">
        <w:rPr>
          <w:rtl w:val="0"/>
        </w:rPr>
        <w:t xml:space="preserve">The chronic disruption of the neuro-endocrine immune system as a result of chronic stressors  makes it difficult or at times impossible for the body to re-engage the state of homeostasis; the body's regular pleasant state (Blitz et al., 2016). The chronic disruption of the neuro-endocrine immune system becomes toxic in situations which are not nurturing for the young person or child, or if they have a genetic or biological weakness to stress.</w:t>
      </w:r>
    </w:p>
    <w:p w:rsidR="00000000" w:rsidDel="00000000" w:rsidP="00000000" w:rsidRDefault="00000000" w:rsidRPr="00000000" w14:paraId="0000001C">
      <w:pPr>
        <w:pageBreakBefore w:val="0"/>
        <w:spacing w:line="480" w:lineRule="auto"/>
        <w:rPr/>
      </w:pPr>
      <w:r w:rsidDel="00000000" w:rsidR="00000000" w:rsidRPr="00000000">
        <w:rPr>
          <w:rtl w:val="0"/>
        </w:rPr>
      </w:r>
    </w:p>
    <w:p w:rsidR="00000000" w:rsidDel="00000000" w:rsidP="00000000" w:rsidRDefault="00000000" w:rsidRPr="00000000" w14:paraId="0000001D">
      <w:pPr>
        <w:pageBreakBefore w:val="0"/>
        <w:spacing w:line="480" w:lineRule="auto"/>
        <w:rPr/>
      </w:pPr>
      <w:r w:rsidDel="00000000" w:rsidR="00000000" w:rsidRPr="00000000">
        <w:rPr>
          <w:rtl w:val="0"/>
        </w:rPr>
        <w:t xml:space="preserve">Despite stress responses at times being adaptive when reacting to acute, instant danger such as flight trouble, experiencing damaging stress can consistently activate stress response and subsequently the flow of stress hormones within the body (Shern et al., 2016). This persistent activation disturbs metabolic, organ and neural circuit systems during soft development phases (i.e. intervals in growth maturity when the situational contexts of the world has significant affect on the development of a person especially a young person or adolescent) initiating a disruption of the stress response framework, this is called the biological fixing of experience (Anderson et al., 2015). The part toxic stress has in adversity regarding the initial years of an adolescent's life and in the medical functions of health differences highlights the significance of the appropriate study of plausible risk components in the life of a young person and their given environment.</w:t>
      </w:r>
    </w:p>
    <w:p w:rsidR="00000000" w:rsidDel="00000000" w:rsidP="00000000" w:rsidRDefault="00000000" w:rsidRPr="00000000" w14:paraId="0000001E">
      <w:pPr>
        <w:pageBreakBefore w:val="0"/>
        <w:spacing w:line="480" w:lineRule="auto"/>
        <w:rPr/>
      </w:pPr>
      <w:r w:rsidDel="00000000" w:rsidR="00000000" w:rsidRPr="00000000">
        <w:rPr>
          <w:rtl w:val="0"/>
        </w:rPr>
      </w:r>
    </w:p>
    <w:p w:rsidR="00000000" w:rsidDel="00000000" w:rsidP="00000000" w:rsidRDefault="00000000" w:rsidRPr="00000000" w14:paraId="0000001F">
      <w:pPr>
        <w:pageBreakBefore w:val="0"/>
        <w:spacing w:line="480" w:lineRule="auto"/>
        <w:rPr/>
      </w:pPr>
      <w:r w:rsidDel="00000000" w:rsidR="00000000" w:rsidRPr="00000000">
        <w:rPr>
          <w:rtl w:val="0"/>
        </w:rPr>
      </w:r>
    </w:p>
    <w:p w:rsidR="00000000" w:rsidDel="00000000" w:rsidP="00000000" w:rsidRDefault="00000000" w:rsidRPr="00000000" w14:paraId="00000020">
      <w:pPr>
        <w:pageBreakBefore w:val="0"/>
        <w:spacing w:line="480" w:lineRule="auto"/>
        <w:rPr/>
      </w:pPr>
      <w:r w:rsidDel="00000000" w:rsidR="00000000" w:rsidRPr="00000000">
        <w:rPr>
          <w:rtl w:val="0"/>
        </w:rPr>
      </w:r>
    </w:p>
    <w:p w:rsidR="00000000" w:rsidDel="00000000" w:rsidP="00000000" w:rsidRDefault="00000000" w:rsidRPr="00000000" w14:paraId="00000021">
      <w:pPr>
        <w:pageBreakBefore w:val="0"/>
        <w:spacing w:line="480" w:lineRule="auto"/>
        <w:rPr/>
      </w:pPr>
      <w:r w:rsidDel="00000000" w:rsidR="00000000" w:rsidRPr="00000000">
        <w:rPr>
          <w:rtl w:val="0"/>
        </w:rPr>
        <w:t xml:space="preserve">Adversity, an occurrence, condition, or state of prolonged or critical difficulty, made up of harmful life states recognised to be critically linked to adjustment issues which may have an influence on a adolescent's development, physical and mental health, as well as education (Bloom, 2014). Obviously, adversity is a term applicable to suggest challenging experiences one may face which has negative connotations. For a young person, exposure to stressors and adversity include low stability in the family household, insufficient safety, poverty and non access to good quality learning and this can negatively influence their life prospects.</w:t>
      </w:r>
    </w:p>
    <w:p w:rsidR="00000000" w:rsidDel="00000000" w:rsidP="00000000" w:rsidRDefault="00000000" w:rsidRPr="00000000" w14:paraId="00000022">
      <w:pPr>
        <w:pageBreakBefore w:val="0"/>
        <w:spacing w:line="480" w:lineRule="auto"/>
        <w:rPr/>
      </w:pPr>
      <w:r w:rsidDel="00000000" w:rsidR="00000000" w:rsidRPr="00000000">
        <w:rPr>
          <w:rtl w:val="0"/>
        </w:rPr>
      </w:r>
    </w:p>
    <w:p w:rsidR="00000000" w:rsidDel="00000000" w:rsidP="00000000" w:rsidRDefault="00000000" w:rsidRPr="00000000" w14:paraId="00000023">
      <w:pPr>
        <w:pageBreakBefore w:val="0"/>
        <w:spacing w:line="480" w:lineRule="auto"/>
        <w:rPr/>
      </w:pPr>
      <w:r w:rsidDel="00000000" w:rsidR="00000000" w:rsidRPr="00000000">
        <w:rPr>
          <w:rtl w:val="0"/>
        </w:rPr>
        <w:t xml:space="preserve">Early life adversities can include many non positive experiences prior to adulthood, this can range from traumatic to unpleasant, with examples including natural disaster, sexual, emotional or physical abuse and the loss of a loved one such as a parent (Kuras et al., 2017). Such adversities are composed of events that are prone to necessitate conscientious adaptations by the adolescent or young person and this is an implausible  digression from the  expected situational context. Furthermore, it is estimated that more than 48% percent of the American population has experienced adversity in their life course of human development (McLaughlin, 2016). Individually, the degree of struggle a person faces can increase their susceptibility depending on different factors such as age, coping approaches and personality features. One example is when an individual encounters significant adversity with low adaptive coping methods and is therefore more likely to encounter post traumatic stress disorder (PTSD), this is a critical threat to health and mental wellness (Ungar, 2015).</w:t>
      </w:r>
    </w:p>
    <w:p w:rsidR="00000000" w:rsidDel="00000000" w:rsidP="00000000" w:rsidRDefault="00000000" w:rsidRPr="00000000" w14:paraId="00000024">
      <w:pPr>
        <w:pageBreakBefore w:val="0"/>
        <w:spacing w:line="480" w:lineRule="auto"/>
        <w:rPr/>
      </w:pPr>
      <w:r w:rsidDel="00000000" w:rsidR="00000000" w:rsidRPr="00000000">
        <w:rPr>
          <w:rtl w:val="0"/>
        </w:rPr>
      </w:r>
    </w:p>
    <w:p w:rsidR="00000000" w:rsidDel="00000000" w:rsidP="00000000" w:rsidRDefault="00000000" w:rsidRPr="00000000" w14:paraId="00000025">
      <w:pPr>
        <w:pageBreakBefore w:val="0"/>
        <w:spacing w:line="480" w:lineRule="auto"/>
        <w:rPr/>
      </w:pPr>
      <w:r w:rsidDel="00000000" w:rsidR="00000000" w:rsidRPr="00000000">
        <w:rPr>
          <w:rtl w:val="0"/>
        </w:rPr>
        <w:t xml:space="preserve">The date in which a traumatic event occurs is significant, whilst trauma can be encountered at any given time of an adolescent's life, studies indicate that when worrisome scenarios are faced during childhood, this can facilitate critical impairments to cognitive, emotional, and social development (Feuer-Edwards et al., 2016). It is important to recognise that traumatic scenarios taking place in a young person's life is one type of adversity, and that not all adversity is traumatic. These range from absence of a care provider, poverty and neglect (McLaughlin, 2016). Interestingly, adolescent and child populations have a non dissimilar distributions in terms of encounters with traumatic experiences; roughly 13/25 of children abused are female and 12/25 are male (Greyber et al., 2015).</w:t>
      </w:r>
    </w:p>
    <w:p w:rsidR="00000000" w:rsidDel="00000000" w:rsidP="00000000" w:rsidRDefault="00000000" w:rsidRPr="00000000" w14:paraId="00000026">
      <w:pPr>
        <w:pageBreakBefore w:val="0"/>
        <w:spacing w:line="480" w:lineRule="auto"/>
        <w:rPr/>
      </w:pPr>
      <w:r w:rsidDel="00000000" w:rsidR="00000000" w:rsidRPr="00000000">
        <w:rPr>
          <w:rtl w:val="0"/>
        </w:rPr>
      </w:r>
    </w:p>
    <w:p w:rsidR="00000000" w:rsidDel="00000000" w:rsidP="00000000" w:rsidRDefault="00000000" w:rsidRPr="00000000" w14:paraId="00000027">
      <w:pPr>
        <w:pageBreakBefore w:val="0"/>
        <w:spacing w:line="480" w:lineRule="auto"/>
        <w:rPr/>
      </w:pPr>
      <w:r w:rsidDel="00000000" w:rsidR="00000000" w:rsidRPr="00000000">
        <w:rPr>
          <w:rtl w:val="0"/>
        </w:rPr>
        <w:t xml:space="preserve">Epidemiological scrutiny posits that between 90%-58% of young people have experienced at least one traumatic event, with the majority of these survivors facing multiple traumatic scenarios (Martin et al., 2016). Every adolescents reaction to trauma will not be the same as it is dependent upon their trauma history, quantity and quality of societal rapport, levels of temperaments, and resilience. Moreover, the influences of traumatic or adverse experiences varies regarding the extent of its effect; often trauma can be resolved by its own merit, though in some cases the traumatic responses to adverse circumstance remains hidden until the person utilises it (Feuer-Edwards et al., 2016). Furthermore, post traumatic stress can affect others, people will encounter extreme degrees of stress for a duration of weeks or days following a notable event. This post traumatic stress from adverse encounters can facilitate the formation of PTSD symptomology for more than two months following the negative scenario experienced (Feuer-Edwards et al., 2016).</w:t>
      </w:r>
    </w:p>
    <w:p w:rsidR="00000000" w:rsidDel="00000000" w:rsidP="00000000" w:rsidRDefault="00000000" w:rsidRPr="00000000" w14:paraId="00000028">
      <w:pPr>
        <w:pageBreakBefore w:val="0"/>
        <w:spacing w:line="480" w:lineRule="auto"/>
        <w:rPr/>
      </w:pPr>
      <w:r w:rsidDel="00000000" w:rsidR="00000000" w:rsidRPr="00000000">
        <w:rPr>
          <w:rtl w:val="0"/>
        </w:rPr>
      </w:r>
    </w:p>
    <w:p w:rsidR="00000000" w:rsidDel="00000000" w:rsidP="00000000" w:rsidRDefault="00000000" w:rsidRPr="00000000" w14:paraId="00000029">
      <w:pPr>
        <w:pageBreakBefore w:val="0"/>
        <w:spacing w:line="480" w:lineRule="auto"/>
        <w:ind w:left="0" w:firstLine="0"/>
        <w:rPr/>
      </w:pPr>
      <w:r w:rsidDel="00000000" w:rsidR="00000000" w:rsidRPr="00000000">
        <w:rPr>
          <w:rtl w:val="0"/>
        </w:rPr>
        <w:t xml:space="preserve">It is important to recognise that adverse childhood experiences cause trauma and it is a significant negative factor which can lower an adolescent's belief and morale regarding the assumptions of the safety and goodness of daily life (Brunzell et al., 2016). In childhood, trauma forms when the boy or girl witnesses an outer danger; and consequently experiences sharp distress signal response which facilitates the bodily stress response with continued dysregulation to critical psychological and neurological networks.</w:t>
      </w:r>
    </w:p>
    <w:p w:rsidR="00000000" w:rsidDel="00000000" w:rsidP="00000000" w:rsidRDefault="00000000" w:rsidRPr="00000000" w14:paraId="0000002A">
      <w:pPr>
        <w:pageBreakBefore w:val="0"/>
        <w:spacing w:line="480" w:lineRule="auto"/>
        <w:ind w:left="0" w:firstLine="0"/>
        <w:rPr/>
      </w:pPr>
      <w:r w:rsidDel="00000000" w:rsidR="00000000" w:rsidRPr="00000000">
        <w:rPr>
          <w:rtl w:val="0"/>
        </w:rPr>
      </w:r>
    </w:p>
    <w:p w:rsidR="00000000" w:rsidDel="00000000" w:rsidP="00000000" w:rsidRDefault="00000000" w:rsidRPr="00000000" w14:paraId="0000002B">
      <w:pPr>
        <w:pageBreakBefore w:val="0"/>
        <w:spacing w:line="480" w:lineRule="auto"/>
        <w:ind w:left="0" w:firstLine="0"/>
        <w:rPr/>
      </w:pPr>
      <w:r w:rsidDel="00000000" w:rsidR="00000000" w:rsidRPr="00000000">
        <w:rPr>
          <w:rtl w:val="0"/>
        </w:rPr>
        <w:t xml:space="preserve">When children and infants face trauma, the forming brain is adversely influenced in addition to the healthy attachment of the primary caregiver who presides over the child/infant (Brunzell et al., 2016). Critically, trauma affects all facets of a young person's development. However, the neurodevelopmental basis posits that trauma is not intrinsically an event as it is observed from the experiencer and their response to an incident and continued afflictions on the diverse stress associated with biological networks such as the central nervous system (Brunzell et al., 2016). Adverse traumatic events create heightened feelings of detachment, isolation, anger, guilt, shame, hypervigilance, hopelessness, helplessness and the potential to ruin social relationships.Traumatic events are typically categorised as either type one trauma or type two trauma, the first pertains to acts of nature or god and this leads to the notion of bereavement (Courtois &amp; Gold, 2009).</w:t>
      </w:r>
    </w:p>
    <w:p w:rsidR="00000000" w:rsidDel="00000000" w:rsidP="00000000" w:rsidRDefault="00000000" w:rsidRPr="00000000" w14:paraId="0000002C">
      <w:pPr>
        <w:pageBreakBefore w:val="0"/>
        <w:spacing w:line="480" w:lineRule="auto"/>
        <w:ind w:left="0" w:firstLine="0"/>
        <w:rPr/>
      </w:pPr>
      <w:r w:rsidDel="00000000" w:rsidR="00000000" w:rsidRPr="00000000">
        <w:rPr>
          <w:rtl w:val="0"/>
        </w:rPr>
      </w:r>
    </w:p>
    <w:p w:rsidR="00000000" w:rsidDel="00000000" w:rsidP="00000000" w:rsidRDefault="00000000" w:rsidRPr="00000000" w14:paraId="0000002D">
      <w:pPr>
        <w:pageBreakBefore w:val="0"/>
        <w:spacing w:line="480" w:lineRule="auto"/>
        <w:ind w:left="0" w:firstLine="0"/>
        <w:rPr/>
      </w:pPr>
      <w:r w:rsidDel="00000000" w:rsidR="00000000" w:rsidRPr="00000000">
        <w:rPr>
          <w:rtl w:val="0"/>
        </w:rPr>
        <w:t xml:space="preserve">Mental bereavement processing is propelled by the completion tendency, a mental need towards fresh incongruent information to be implemented with the bereaving person's current belief system (Horowitz, 1993). This completion tendency retains the adverse information in present memory until it is finished processing and the scenario is resolved. There is a standard clash between the need to reconcile and resolve the scenario in the individual's history as a way to avoid painful emotions (Gold, 2017). When the visual information of the scenario (intrusive remembrance, nightmares, flashbacks), thoughts regarding the purpose of the negative event, and emotional linkages become unbearable, mental defence  systems assume control and the bereaving individual exhibits avoidance or numbing.</w:t>
      </w:r>
    </w:p>
    <w:p w:rsidR="00000000" w:rsidDel="00000000" w:rsidP="00000000" w:rsidRDefault="00000000" w:rsidRPr="00000000" w14:paraId="0000002E">
      <w:pPr>
        <w:pageBreakBefore w:val="0"/>
        <w:spacing w:line="480" w:lineRule="auto"/>
        <w:rPr/>
      </w:pPr>
      <w:r w:rsidDel="00000000" w:rsidR="00000000" w:rsidRPr="00000000">
        <w:rPr>
          <w:rtl w:val="0"/>
        </w:rPr>
      </w:r>
    </w:p>
    <w:p w:rsidR="00000000" w:rsidDel="00000000" w:rsidP="00000000" w:rsidRDefault="00000000" w:rsidRPr="00000000" w14:paraId="0000002F">
      <w:pPr>
        <w:pageBreakBefore w:val="0"/>
        <w:spacing w:line="480" w:lineRule="auto"/>
        <w:rPr/>
      </w:pPr>
      <w:r w:rsidDel="00000000" w:rsidR="00000000" w:rsidRPr="00000000">
        <w:rPr>
          <w:rtl w:val="0"/>
        </w:rPr>
        <w:t xml:space="preserve">A core insight of attachment theory pertains to the notion that mental mechanisms underpin responses to such finite disruption and to the less temporary permanent disassociation  caused by the death of a loved one such as a family member (Bowlby, 1980). The demise event of the attachment figure exacerbates the regular functional adaptive reaction to loss and it can become prolonged and severe, this is different from healthy or normal mourning qualitatively and quantitatively. The problematic forms of grieving can include unremittent seeking, distracted obsession over the death or the factors associated with the loss, and the inability to readily accept the truth of the matter (Parkes &amp; Prigerson, 2009).</w:t>
      </w:r>
    </w:p>
    <w:p w:rsidR="00000000" w:rsidDel="00000000" w:rsidP="00000000" w:rsidRDefault="00000000" w:rsidRPr="00000000" w14:paraId="00000030">
      <w:pPr>
        <w:pageBreakBefore w:val="0"/>
        <w:spacing w:line="480" w:lineRule="auto"/>
        <w:rPr/>
      </w:pPr>
      <w:r w:rsidDel="00000000" w:rsidR="00000000" w:rsidRPr="00000000">
        <w:rPr>
          <w:rtl w:val="0"/>
        </w:rPr>
      </w:r>
    </w:p>
    <w:p w:rsidR="00000000" w:rsidDel="00000000" w:rsidP="00000000" w:rsidRDefault="00000000" w:rsidRPr="00000000" w14:paraId="00000031">
      <w:pPr>
        <w:pageBreakBefore w:val="0"/>
        <w:spacing w:line="480" w:lineRule="auto"/>
        <w:rPr/>
      </w:pPr>
      <w:r w:rsidDel="00000000" w:rsidR="00000000" w:rsidRPr="00000000">
        <w:rPr>
          <w:rtl w:val="0"/>
        </w:rPr>
        <w:t xml:space="preserve">Adolescence is a core phase of human development which functions as the bridge to adulthood. Comprehending risk factors such as ACEs exposure regarding difficult adolescent growth to adulthood is important as it provides a gauge moulded at earlier stages which are intrinsically linked to health and wellness in later years of life in adulthood (Waite &amp; Ryan, 2020). The existence of Aces in adolescents is higher than found in younger boys and girls but it is less likely to be reported. The Fourth National Incidence Survey of Child Abuse and Neglect found that roughly for every one thousand adolescents there were 21, 12-14 year olds who experienced abuse; whilst for every one hundred children there were 8.5, 0-2 year olds that experienced similar adversities (Flaherty et al., 2013). Critically, roughly 0.8% of these particular teenagers' cases were upgraded to require child protective teams for poor treatment. Over half (27/50), of adolescents 12-17 year olds in America have encountered an ACE, and roughly 7/25 encountered more than one ACE (Soleimanpour et al., 2017).</w:t>
      </w:r>
    </w:p>
    <w:p w:rsidR="00000000" w:rsidDel="00000000" w:rsidP="00000000" w:rsidRDefault="00000000" w:rsidRPr="00000000" w14:paraId="00000032">
      <w:pPr>
        <w:pageBreakBefore w:val="0"/>
        <w:spacing w:line="480" w:lineRule="auto"/>
        <w:rPr/>
      </w:pPr>
      <w:r w:rsidDel="00000000" w:rsidR="00000000" w:rsidRPr="00000000">
        <w:rPr>
          <w:rtl w:val="0"/>
        </w:rPr>
      </w:r>
    </w:p>
    <w:p w:rsidR="00000000" w:rsidDel="00000000" w:rsidP="00000000" w:rsidRDefault="00000000" w:rsidRPr="00000000" w14:paraId="00000033">
      <w:pPr>
        <w:pageBreakBefore w:val="0"/>
        <w:spacing w:line="480" w:lineRule="auto"/>
        <w:rPr/>
      </w:pPr>
      <w:r w:rsidDel="00000000" w:rsidR="00000000" w:rsidRPr="00000000">
        <w:rPr>
          <w:rtl w:val="0"/>
        </w:rPr>
        <w:t xml:space="preserve">The social emotive parts of the human brain lead thought and are linked to often intense, emotional responses to stressful events including ACEs (Waite &amp; Ryan, 2020). This is indicated in the life path progression as persons age from secondary education to further education and finally university; the frontal granular cortex develops and the control mechanisms of the brain achieve increased influence, this affects mental outcomes in heightened adverse events.</w:t>
      </w:r>
    </w:p>
    <w:p w:rsidR="00000000" w:rsidDel="00000000" w:rsidP="00000000" w:rsidRDefault="00000000" w:rsidRPr="00000000" w14:paraId="00000034">
      <w:pPr>
        <w:pageBreakBefore w:val="0"/>
        <w:spacing w:line="480" w:lineRule="auto"/>
        <w:ind w:left="0" w:firstLine="0"/>
        <w:rPr/>
      </w:pPr>
      <w:r w:rsidDel="00000000" w:rsidR="00000000" w:rsidRPr="00000000">
        <w:rPr>
          <w:rtl w:val="0"/>
        </w:rPr>
      </w:r>
    </w:p>
    <w:p w:rsidR="00000000" w:rsidDel="00000000" w:rsidP="00000000" w:rsidRDefault="00000000" w:rsidRPr="00000000" w14:paraId="00000035">
      <w:pPr>
        <w:pageBreakBefore w:val="0"/>
        <w:spacing w:line="480" w:lineRule="auto"/>
        <w:ind w:left="0" w:firstLine="0"/>
        <w:rPr/>
      </w:pPr>
      <w:r w:rsidDel="00000000" w:rsidR="00000000" w:rsidRPr="00000000">
        <w:rPr>
          <w:rtl w:val="0"/>
        </w:rPr>
        <w:t xml:space="preserve">The ACEs of teenagers whose afflictions go undetected may develop psychological symptoms involving lack of certainty regarding the sense of self (Dudley, 2015). This non consolidated sense of self can become excessive and make  the adolescent who doesn't have parental support and nurture feel bleak emptiness. This bleak emptiness may be maladaptively followed by self harm such as cutting, this is typically done to realise the pain sensation and to view the physiological bleeding outcome inorder to discern that he/she is alive (Dudley, 2015). Relationship issues are also not uncommon and are found in volatile but intense relationships. Such relational difficulties are due to a need for secure attachments which allow the adolescent to feel full inorder to quell fears of desolation and abandonment (Dudley, 2015). The complexities are facilitated by quick changing recognitions of close persons such as loved ones, the  changes can be from admiring them to devaluing them because of feelings of an assumed lack of care on behalf of the other party.</w:t>
      </w:r>
    </w:p>
    <w:p w:rsidR="00000000" w:rsidDel="00000000" w:rsidP="00000000" w:rsidRDefault="00000000" w:rsidRPr="00000000" w14:paraId="00000036">
      <w:pPr>
        <w:pageBreakBefore w:val="0"/>
        <w:spacing w:line="480" w:lineRule="auto"/>
        <w:rPr/>
      </w:pPr>
      <w:r w:rsidDel="00000000" w:rsidR="00000000" w:rsidRPr="00000000">
        <w:rPr>
          <w:rtl w:val="0"/>
        </w:rPr>
      </w:r>
    </w:p>
    <w:p w:rsidR="00000000" w:rsidDel="00000000" w:rsidP="00000000" w:rsidRDefault="00000000" w:rsidRPr="00000000" w14:paraId="00000037">
      <w:pPr>
        <w:pageBreakBefore w:val="0"/>
        <w:spacing w:line="480" w:lineRule="auto"/>
        <w:rPr/>
      </w:pPr>
      <w:r w:rsidDel="00000000" w:rsidR="00000000" w:rsidRPr="00000000">
        <w:rPr>
          <w:rtl w:val="0"/>
        </w:rPr>
        <w:t xml:space="preserve">Notably, modern society encourages teenagers to have less opportunities for bonding with an available, trustworthy and dependable adult (Bloom, 2015). This social drought of plausible opportunity becomes a more substantial problem during puberty when the desire to become independent from initial care providers is progressively typical but the select other relational option is the peer. ACE affected adolescents encounter issues in normalising mood due to severe anxious, irritable, or depressive reactions to non-trauma situations </w:t>
      </w:r>
    </w:p>
    <w:p w:rsidR="00000000" w:rsidDel="00000000" w:rsidP="00000000" w:rsidRDefault="00000000" w:rsidRPr="00000000" w14:paraId="00000038">
      <w:pPr>
        <w:pageBreakBefore w:val="0"/>
        <w:spacing w:line="480" w:lineRule="auto"/>
        <w:rPr/>
      </w:pPr>
      <w:r w:rsidDel="00000000" w:rsidR="00000000" w:rsidRPr="00000000">
        <w:rPr>
          <w:rtl w:val="0"/>
        </w:rPr>
        <w:t xml:space="preserve">(Bloom, 2013). The mood fluctuations may give rise to forceful or misplaced anger surges and suicidal behaviour.</w:t>
      </w:r>
    </w:p>
    <w:p w:rsidR="00000000" w:rsidDel="00000000" w:rsidP="00000000" w:rsidRDefault="00000000" w:rsidRPr="00000000" w14:paraId="00000039">
      <w:pPr>
        <w:pageBreakBefore w:val="0"/>
        <w:spacing w:line="480" w:lineRule="auto"/>
        <w:rPr/>
      </w:pPr>
      <w:r w:rsidDel="00000000" w:rsidR="00000000" w:rsidRPr="00000000">
        <w:rPr>
          <w:rtl w:val="0"/>
        </w:rPr>
      </w:r>
    </w:p>
    <w:p w:rsidR="00000000" w:rsidDel="00000000" w:rsidP="00000000" w:rsidRDefault="00000000" w:rsidRPr="00000000" w14:paraId="0000003A">
      <w:pPr>
        <w:pageBreakBefore w:val="0"/>
        <w:spacing w:line="480" w:lineRule="auto"/>
        <w:rPr/>
      </w:pPr>
      <w:r w:rsidDel="00000000" w:rsidR="00000000" w:rsidRPr="00000000">
        <w:rPr>
          <w:rtl w:val="0"/>
        </w:rPr>
        <w:t xml:space="preserve">It is important to comprehend that familial functioning such as non negative parent-child interactions lessen the adverse influence of additive ACEs on teenage emotional health and physiological well being (Balistreri &amp; Alvira-Hammond, 2016). The positive family processing allows for a cover of protection when a member of the cohort is faced with adversity and lowers the deleterious link between many adverse factors (e.g., teenager mental health, parent divorce). ACEs have deleterious effects during adolescence and childhood, such adversities can scar the progression and pathing in old age and mid life, respectively (Infurna et al., 2015). ACEs are associated with low emotional backing and increased stress in social links in adulthood, less levels of wellness, and early onset of operational ailments, limitations and premature death.</w:t>
      </w:r>
    </w:p>
    <w:p w:rsidR="00000000" w:rsidDel="00000000" w:rsidP="00000000" w:rsidRDefault="00000000" w:rsidRPr="00000000" w14:paraId="0000003B">
      <w:pPr>
        <w:pageBreakBefore w:val="0"/>
        <w:spacing w:line="480" w:lineRule="auto"/>
        <w:rPr/>
      </w:pPr>
      <w:r w:rsidDel="00000000" w:rsidR="00000000" w:rsidRPr="00000000">
        <w:rPr>
          <w:rtl w:val="0"/>
        </w:rPr>
      </w:r>
    </w:p>
    <w:p w:rsidR="00000000" w:rsidDel="00000000" w:rsidP="00000000" w:rsidRDefault="00000000" w:rsidRPr="00000000" w14:paraId="0000003C">
      <w:pPr>
        <w:pageBreakBefore w:val="0"/>
        <w:spacing w:line="480" w:lineRule="auto"/>
        <w:rPr/>
      </w:pPr>
      <w:r w:rsidDel="00000000" w:rsidR="00000000" w:rsidRPr="00000000">
        <w:rPr>
          <w:rtl w:val="0"/>
        </w:rPr>
      </w:r>
    </w:p>
    <w:p w:rsidR="00000000" w:rsidDel="00000000" w:rsidP="00000000" w:rsidRDefault="00000000" w:rsidRPr="00000000" w14:paraId="0000003D">
      <w:pPr>
        <w:pageBreakBefore w:val="0"/>
        <w:spacing w:line="480" w:lineRule="auto"/>
        <w:rPr/>
      </w:pPr>
      <w:r w:rsidDel="00000000" w:rsidR="00000000" w:rsidRPr="00000000">
        <w:rPr>
          <w:rtl w:val="0"/>
        </w:rPr>
        <w:t xml:space="preserve">It has been found that a non low prevalence of parent death for homeless adults initial years of child life in comparison to the standard populace (20%+ versus 0.3%) (Slopen et al., 2016). Early parent death may have an implication on the  puberty period development that is adolescence with respects to the economic and psychological influence of the family network. </w:t>
      </w:r>
    </w:p>
    <w:p w:rsidR="00000000" w:rsidDel="00000000" w:rsidP="00000000" w:rsidRDefault="00000000" w:rsidRPr="00000000" w14:paraId="0000003E">
      <w:pPr>
        <w:pageBreakBefore w:val="0"/>
        <w:spacing w:line="480" w:lineRule="auto"/>
        <w:rPr/>
      </w:pPr>
      <w:r w:rsidDel="00000000" w:rsidR="00000000" w:rsidRPr="00000000">
        <w:rPr>
          <w:rtl w:val="0"/>
        </w:rPr>
      </w:r>
    </w:p>
    <w:p w:rsidR="00000000" w:rsidDel="00000000" w:rsidP="00000000" w:rsidRDefault="00000000" w:rsidRPr="00000000" w14:paraId="0000003F">
      <w:pPr>
        <w:pageBreakBefore w:val="0"/>
        <w:spacing w:line="480" w:lineRule="auto"/>
        <w:rPr/>
      </w:pPr>
      <w:r w:rsidDel="00000000" w:rsidR="00000000" w:rsidRPr="00000000">
        <w:rPr>
          <w:rtl w:val="0"/>
        </w:rPr>
        <w:t xml:space="preserve">It may be inferred that the bereaving adolescent is being suggested to recompose significant portions of their life path in order to accommodate the loss of a loved one, and to exude themselves into a different yet purposeful standard, one which acknowledges the past associated with the deceased (Neimeyer et al., 2014). In a sense, grieving may be observed as the often distraught search for life meaning and relationships which have been disturbed, at times adversely through loss. Moreover, difficulties  in relating the loss of a close person has been linked to poor bereavement potentialities regarding diverse populations (Neimeyer et al., 2011). Further more consolidating evidence indicates that an inability to implement the meaning of the loss can be a power gauge of the influence of violent death, suicide and homicide, in a similar vein to the rise of spiritual conflict within the bereaving individual.</w:t>
      </w:r>
    </w:p>
    <w:p w:rsidR="00000000" w:rsidDel="00000000" w:rsidP="00000000" w:rsidRDefault="00000000" w:rsidRPr="00000000" w14:paraId="00000040">
      <w:pPr>
        <w:pageBreakBefore w:val="0"/>
        <w:spacing w:line="480" w:lineRule="auto"/>
        <w:ind w:left="0" w:firstLine="0"/>
        <w:rPr/>
      </w:pPr>
      <w:r w:rsidDel="00000000" w:rsidR="00000000" w:rsidRPr="00000000">
        <w:rPr>
          <w:rtl w:val="0"/>
        </w:rPr>
      </w:r>
    </w:p>
    <w:p w:rsidR="00000000" w:rsidDel="00000000" w:rsidP="00000000" w:rsidRDefault="00000000" w:rsidRPr="00000000" w14:paraId="00000041">
      <w:pPr>
        <w:pageBreakBefore w:val="0"/>
        <w:spacing w:line="480" w:lineRule="auto"/>
        <w:ind w:left="0" w:firstLine="0"/>
        <w:rPr/>
      </w:pPr>
      <w:r w:rsidDel="00000000" w:rsidR="00000000" w:rsidRPr="00000000">
        <w:rPr>
          <w:rtl w:val="0"/>
        </w:rPr>
        <w:t xml:space="preserve">In conclusion ACEs have a significant effect on the physical and mental health of the affected adolescent but it has to be recognised that this negative effect can persist into adulthood whereby the implications of adversities have a far more detrimental outlier and if not addressed can lead to major actions such as destructive maladaptive outcomes.</w:t>
      </w:r>
    </w:p>
    <w:p w:rsidR="00000000" w:rsidDel="00000000" w:rsidP="00000000" w:rsidRDefault="00000000" w:rsidRPr="00000000" w14:paraId="00000042">
      <w:pPr>
        <w:pageBreakBefore w:val="0"/>
        <w:spacing w:line="480" w:lineRule="auto"/>
        <w:ind w:left="0" w:firstLine="0"/>
        <w:rPr/>
      </w:pPr>
      <w:r w:rsidDel="00000000" w:rsidR="00000000" w:rsidRPr="00000000">
        <w:rPr>
          <w:rtl w:val="0"/>
        </w:rPr>
      </w:r>
    </w:p>
    <w:p w:rsidR="00000000" w:rsidDel="00000000" w:rsidP="00000000" w:rsidRDefault="00000000" w:rsidRPr="00000000" w14:paraId="00000043">
      <w:pPr>
        <w:pageBreakBefore w:val="0"/>
        <w:spacing w:line="480" w:lineRule="auto"/>
        <w:ind w:left="0" w:firstLine="0"/>
        <w:rPr/>
      </w:pPr>
      <w:r w:rsidDel="00000000" w:rsidR="00000000" w:rsidRPr="00000000">
        <w:rPr>
          <w:rtl w:val="0"/>
        </w:rPr>
      </w:r>
    </w:p>
    <w:p w:rsidR="00000000" w:rsidDel="00000000" w:rsidP="00000000" w:rsidRDefault="00000000" w:rsidRPr="00000000" w14:paraId="00000044">
      <w:pPr>
        <w:pageBreakBefore w:val="0"/>
        <w:spacing w:line="480" w:lineRule="auto"/>
        <w:rPr/>
      </w:pPr>
      <w:r w:rsidDel="00000000" w:rsidR="00000000" w:rsidRPr="00000000">
        <w:rPr>
          <w:rtl w:val="0"/>
        </w:rPr>
      </w:r>
    </w:p>
    <w:p w:rsidR="00000000" w:rsidDel="00000000" w:rsidP="00000000" w:rsidRDefault="00000000" w:rsidRPr="00000000" w14:paraId="00000045">
      <w:pPr>
        <w:pageBreakBefore w:val="0"/>
        <w:spacing w:line="480" w:lineRule="auto"/>
        <w:rPr/>
      </w:pPr>
      <w:r w:rsidDel="00000000" w:rsidR="00000000" w:rsidRPr="00000000">
        <w:rPr>
          <w:rtl w:val="0"/>
        </w:rPr>
      </w:r>
    </w:p>
    <w:p w:rsidR="00000000" w:rsidDel="00000000" w:rsidP="00000000" w:rsidRDefault="00000000" w:rsidRPr="00000000" w14:paraId="00000046">
      <w:pPr>
        <w:pageBreakBefore w:val="0"/>
        <w:spacing w:line="480" w:lineRule="auto"/>
        <w:rPr/>
      </w:pPr>
      <w:r w:rsidDel="00000000" w:rsidR="00000000" w:rsidRPr="00000000">
        <w:rPr>
          <w:rtl w:val="0"/>
        </w:rPr>
      </w:r>
    </w:p>
    <w:p w:rsidR="00000000" w:rsidDel="00000000" w:rsidP="00000000" w:rsidRDefault="00000000" w:rsidRPr="00000000" w14:paraId="00000047">
      <w:pPr>
        <w:pageBreakBefore w:val="0"/>
        <w:spacing w:line="480" w:lineRule="auto"/>
        <w:rPr/>
      </w:pPr>
      <w:r w:rsidDel="00000000" w:rsidR="00000000" w:rsidRPr="00000000">
        <w:rPr>
          <w:rtl w:val="0"/>
        </w:rPr>
      </w:r>
    </w:p>
    <w:p w:rsidR="00000000" w:rsidDel="00000000" w:rsidP="00000000" w:rsidRDefault="00000000" w:rsidRPr="00000000" w14:paraId="00000048">
      <w:pPr>
        <w:pageBreakBefore w:val="0"/>
        <w:spacing w:line="480" w:lineRule="auto"/>
        <w:rPr/>
      </w:pPr>
      <w:r w:rsidDel="00000000" w:rsidR="00000000" w:rsidRPr="00000000">
        <w:rPr>
          <w:rtl w:val="0"/>
        </w:rPr>
      </w:r>
    </w:p>
    <w:p w:rsidR="00000000" w:rsidDel="00000000" w:rsidP="00000000" w:rsidRDefault="00000000" w:rsidRPr="00000000" w14:paraId="00000049">
      <w:pPr>
        <w:pageBreakBefore w:val="0"/>
        <w:rPr>
          <w:b w:val="1"/>
          <w:sz w:val="24"/>
          <w:szCs w:val="24"/>
        </w:rPr>
      </w:pPr>
      <w:r w:rsidDel="00000000" w:rsidR="00000000" w:rsidRPr="00000000">
        <w:rPr>
          <w:b w:val="1"/>
          <w:sz w:val="24"/>
          <w:szCs w:val="24"/>
          <w:rtl w:val="0"/>
        </w:rPr>
        <w:t xml:space="preserve">References  </w:t>
      </w:r>
    </w:p>
    <w:p w:rsidR="00000000" w:rsidDel="00000000" w:rsidP="00000000" w:rsidRDefault="00000000" w:rsidRPr="00000000" w14:paraId="0000004A">
      <w:pPr>
        <w:pageBreakBefore w:val="0"/>
        <w:rPr>
          <w:b w:val="1"/>
          <w:sz w:val="24"/>
          <w:szCs w:val="24"/>
        </w:rPr>
      </w:pPr>
      <w:r w:rsidDel="00000000" w:rsidR="00000000" w:rsidRPr="00000000">
        <w:rPr>
          <w:rtl w:val="0"/>
        </w:rPr>
      </w:r>
    </w:p>
    <w:p w:rsidR="00000000" w:rsidDel="00000000" w:rsidP="00000000" w:rsidRDefault="00000000" w:rsidRPr="00000000" w14:paraId="0000004B">
      <w:pPr>
        <w:pBdr>
          <w:left w:color="auto" w:space="0" w:sz="0" w:val="none"/>
        </w:pBdr>
        <w:spacing w:line="480" w:lineRule="auto"/>
        <w:ind w:left="720"/>
        <w:rPr>
          <w:sz w:val="24"/>
          <w:szCs w:val="24"/>
        </w:rPr>
      </w:pPr>
      <w:r w:rsidDel="00000000" w:rsidR="00000000" w:rsidRPr="00000000">
        <w:rPr>
          <w:i w:val="1"/>
          <w:sz w:val="24"/>
          <w:szCs w:val="24"/>
          <w:rtl w:val="0"/>
        </w:rPr>
        <w:t xml:space="preserve">About the CDC-Kaiser ACE Study</w:t>
      </w:r>
      <w:r w:rsidDel="00000000" w:rsidR="00000000" w:rsidRPr="00000000">
        <w:rPr>
          <w:sz w:val="24"/>
          <w:szCs w:val="24"/>
          <w:rtl w:val="0"/>
        </w:rPr>
        <w:t xml:space="preserve">. (2016). Centers for Disease Control and Prevention (CDC). Retrieved February 18, 2024, from https://www.cdc.gov/violenceprevention/aces/about.html</w:t>
      </w:r>
    </w:p>
    <w:p w:rsidR="00000000" w:rsidDel="00000000" w:rsidP="00000000" w:rsidRDefault="00000000" w:rsidRPr="00000000" w14:paraId="0000004C">
      <w:pPr>
        <w:pBdr>
          <w:left w:color="auto" w:space="0" w:sz="0" w:val="none"/>
        </w:pBdr>
        <w:spacing w:line="480" w:lineRule="auto"/>
        <w:ind w:left="720"/>
        <w:rPr>
          <w:sz w:val="24"/>
          <w:szCs w:val="24"/>
        </w:rPr>
      </w:pPr>
      <w:r w:rsidDel="00000000" w:rsidR="00000000" w:rsidRPr="00000000">
        <w:rPr>
          <w:sz w:val="24"/>
          <w:szCs w:val="24"/>
          <w:rtl w:val="0"/>
        </w:rPr>
        <w:t xml:space="preserve">Anderson, E., Blitz, L., &amp; Saastamoinen, M. (2015). Exploring a school–university model for professional development with classroom staff: Teaching trauma-informed approaches. </w:t>
      </w:r>
      <w:r w:rsidDel="00000000" w:rsidR="00000000" w:rsidRPr="00000000">
        <w:rPr>
          <w:i w:val="1"/>
          <w:sz w:val="24"/>
          <w:szCs w:val="24"/>
          <w:rtl w:val="0"/>
        </w:rPr>
        <w:t xml:space="preserve">School Community  Journal</w:t>
      </w:r>
      <w:r w:rsidDel="00000000" w:rsidR="00000000" w:rsidRPr="00000000">
        <w:rPr>
          <w:sz w:val="24"/>
          <w:szCs w:val="24"/>
          <w:rtl w:val="0"/>
        </w:rPr>
        <w:t xml:space="preserve">, </w:t>
      </w:r>
      <w:r w:rsidDel="00000000" w:rsidR="00000000" w:rsidRPr="00000000">
        <w:rPr>
          <w:i w:val="1"/>
          <w:sz w:val="24"/>
          <w:szCs w:val="24"/>
          <w:rtl w:val="0"/>
        </w:rPr>
        <w:t xml:space="preserve">25</w:t>
      </w:r>
      <w:r w:rsidDel="00000000" w:rsidR="00000000" w:rsidRPr="00000000">
        <w:rPr>
          <w:sz w:val="24"/>
          <w:szCs w:val="24"/>
          <w:rtl w:val="0"/>
        </w:rPr>
        <w:t xml:space="preserve">(2), 113–134.</w:t>
      </w:r>
    </w:p>
    <w:p w:rsidR="00000000" w:rsidDel="00000000" w:rsidP="00000000" w:rsidRDefault="00000000" w:rsidRPr="00000000" w14:paraId="0000004D">
      <w:pPr>
        <w:pBdr>
          <w:left w:color="auto" w:space="0" w:sz="0" w:val="none"/>
        </w:pBdr>
        <w:spacing w:line="480" w:lineRule="auto"/>
        <w:ind w:left="720"/>
        <w:rPr>
          <w:sz w:val="24"/>
          <w:szCs w:val="24"/>
        </w:rPr>
      </w:pPr>
      <w:r w:rsidDel="00000000" w:rsidR="00000000" w:rsidRPr="00000000">
        <w:rPr>
          <w:sz w:val="24"/>
          <w:szCs w:val="24"/>
          <w:rtl w:val="0"/>
        </w:rPr>
        <w:t xml:space="preserve">Balistreri, K. S., &amp; Alvira-Hammond, M. (2016). Adverse childhood experiences, family functioning and adolescent health and emotional well-being. </w:t>
      </w:r>
      <w:r w:rsidDel="00000000" w:rsidR="00000000" w:rsidRPr="00000000">
        <w:rPr>
          <w:i w:val="1"/>
          <w:sz w:val="24"/>
          <w:szCs w:val="24"/>
          <w:rtl w:val="0"/>
        </w:rPr>
        <w:t xml:space="preserve">Public Health</w:t>
      </w:r>
      <w:r w:rsidDel="00000000" w:rsidR="00000000" w:rsidRPr="00000000">
        <w:rPr>
          <w:sz w:val="24"/>
          <w:szCs w:val="24"/>
          <w:rtl w:val="0"/>
        </w:rPr>
        <w:t xml:space="preserve">, </w:t>
      </w:r>
      <w:r w:rsidDel="00000000" w:rsidR="00000000" w:rsidRPr="00000000">
        <w:rPr>
          <w:i w:val="1"/>
          <w:sz w:val="24"/>
          <w:szCs w:val="24"/>
          <w:rtl w:val="0"/>
        </w:rPr>
        <w:t xml:space="preserve">132</w:t>
      </w:r>
      <w:r w:rsidDel="00000000" w:rsidR="00000000" w:rsidRPr="00000000">
        <w:rPr>
          <w:sz w:val="24"/>
          <w:szCs w:val="24"/>
          <w:rtl w:val="0"/>
        </w:rPr>
        <w:t xml:space="preserve">, 72–78.</w:t>
      </w:r>
    </w:p>
    <w:p w:rsidR="00000000" w:rsidDel="00000000" w:rsidP="00000000" w:rsidRDefault="00000000" w:rsidRPr="00000000" w14:paraId="0000004E">
      <w:pPr>
        <w:pBdr>
          <w:left w:color="auto" w:space="0" w:sz="0" w:val="none"/>
        </w:pBdr>
        <w:spacing w:line="480" w:lineRule="auto"/>
        <w:ind w:left="720"/>
        <w:rPr>
          <w:sz w:val="24"/>
          <w:szCs w:val="24"/>
        </w:rPr>
      </w:pPr>
      <w:r w:rsidDel="00000000" w:rsidR="00000000" w:rsidRPr="00000000">
        <w:rPr>
          <w:sz w:val="24"/>
          <w:szCs w:val="24"/>
          <w:rtl w:val="0"/>
        </w:rPr>
        <w:t xml:space="preserve">Blitz, L. V., Anderson, E. M., &amp; Saastamoinen, M. (2016). Assessing Perceptions of culture and trauma in an Elementary school: Informing a model for Culturally Responsive Trauma-Informed Schools. </w:t>
      </w:r>
      <w:r w:rsidDel="00000000" w:rsidR="00000000" w:rsidRPr="00000000">
        <w:rPr>
          <w:i w:val="1"/>
          <w:sz w:val="24"/>
          <w:szCs w:val="24"/>
          <w:rtl w:val="0"/>
        </w:rPr>
        <w:t xml:space="preserve">The Urban Review</w:t>
      </w:r>
      <w:r w:rsidDel="00000000" w:rsidR="00000000" w:rsidRPr="00000000">
        <w:rPr>
          <w:sz w:val="24"/>
          <w:szCs w:val="24"/>
          <w:rtl w:val="0"/>
        </w:rPr>
        <w:t xml:space="preserve">, </w:t>
      </w:r>
      <w:r w:rsidDel="00000000" w:rsidR="00000000" w:rsidRPr="00000000">
        <w:rPr>
          <w:i w:val="1"/>
          <w:sz w:val="24"/>
          <w:szCs w:val="24"/>
          <w:rtl w:val="0"/>
        </w:rPr>
        <w:t xml:space="preserve">48</w:t>
      </w:r>
      <w:r w:rsidDel="00000000" w:rsidR="00000000" w:rsidRPr="00000000">
        <w:rPr>
          <w:sz w:val="24"/>
          <w:szCs w:val="24"/>
          <w:rtl w:val="0"/>
        </w:rPr>
        <w:t xml:space="preserve">(4), 520–542. https://doi.org/10.1007/s11256-016-0366-9</w:t>
      </w:r>
    </w:p>
    <w:p w:rsidR="00000000" w:rsidDel="00000000" w:rsidP="00000000" w:rsidRDefault="00000000" w:rsidRPr="00000000" w14:paraId="0000004F">
      <w:pPr>
        <w:pBdr>
          <w:left w:color="auto" w:space="0" w:sz="0" w:val="none"/>
        </w:pBdr>
        <w:spacing w:line="480" w:lineRule="auto"/>
        <w:ind w:left="720"/>
        <w:rPr>
          <w:sz w:val="24"/>
          <w:szCs w:val="24"/>
        </w:rPr>
      </w:pPr>
      <w:r w:rsidDel="00000000" w:rsidR="00000000" w:rsidRPr="00000000">
        <w:rPr>
          <w:sz w:val="24"/>
          <w:szCs w:val="24"/>
          <w:rtl w:val="0"/>
        </w:rPr>
        <w:t xml:space="preserve">Bloom, S. L. (2013). The impact of trauma on development and well-being. In </w:t>
      </w:r>
      <w:r w:rsidDel="00000000" w:rsidR="00000000" w:rsidRPr="00000000">
        <w:rPr>
          <w:i w:val="1"/>
          <w:sz w:val="24"/>
          <w:szCs w:val="24"/>
          <w:rtl w:val="0"/>
        </w:rPr>
        <w:t xml:space="preserve">American Academy of Pediatrics eBooks</w:t>
      </w:r>
      <w:r w:rsidDel="00000000" w:rsidR="00000000" w:rsidRPr="00000000">
        <w:rPr>
          <w:sz w:val="24"/>
          <w:szCs w:val="24"/>
          <w:rtl w:val="0"/>
        </w:rPr>
        <w:t xml:space="preserve"> (pp. 37–47).</w:t>
      </w:r>
    </w:p>
    <w:p w:rsidR="00000000" w:rsidDel="00000000" w:rsidP="00000000" w:rsidRDefault="00000000" w:rsidRPr="00000000" w14:paraId="00000050">
      <w:pPr>
        <w:pBdr>
          <w:left w:color="auto" w:space="0" w:sz="0" w:val="none"/>
        </w:pBdr>
        <w:spacing w:line="480" w:lineRule="auto"/>
        <w:ind w:left="720"/>
        <w:rPr>
          <w:sz w:val="24"/>
          <w:szCs w:val="24"/>
        </w:rPr>
      </w:pPr>
      <w:r w:rsidDel="00000000" w:rsidR="00000000" w:rsidRPr="00000000">
        <w:rPr>
          <w:sz w:val="24"/>
          <w:szCs w:val="24"/>
          <w:rtl w:val="0"/>
        </w:rPr>
        <w:t xml:space="preserve">Bloom, S. L. (2014). The impact of trauma on development and well-being. In </w:t>
      </w:r>
      <w:r w:rsidDel="00000000" w:rsidR="00000000" w:rsidRPr="00000000">
        <w:rPr>
          <w:i w:val="1"/>
          <w:sz w:val="24"/>
          <w:szCs w:val="24"/>
          <w:rtl w:val="0"/>
        </w:rPr>
        <w:t xml:space="preserve">American Academy of Pediatrics eBooks</w:t>
      </w:r>
      <w:r w:rsidDel="00000000" w:rsidR="00000000" w:rsidRPr="00000000">
        <w:rPr>
          <w:sz w:val="24"/>
          <w:szCs w:val="24"/>
          <w:rtl w:val="0"/>
        </w:rPr>
        <w:t xml:space="preserve"> (pp. 37–47).</w:t>
      </w:r>
    </w:p>
    <w:p w:rsidR="00000000" w:rsidDel="00000000" w:rsidP="00000000" w:rsidRDefault="00000000" w:rsidRPr="00000000" w14:paraId="00000051">
      <w:pPr>
        <w:pBdr>
          <w:left w:color="auto" w:space="0" w:sz="0" w:val="none"/>
        </w:pBdr>
        <w:spacing w:line="480" w:lineRule="auto"/>
        <w:ind w:left="720"/>
        <w:rPr>
          <w:sz w:val="24"/>
          <w:szCs w:val="24"/>
        </w:rPr>
      </w:pPr>
      <w:r w:rsidDel="00000000" w:rsidR="00000000" w:rsidRPr="00000000">
        <w:rPr>
          <w:sz w:val="24"/>
          <w:szCs w:val="24"/>
          <w:rtl w:val="0"/>
        </w:rPr>
        <w:t xml:space="preserve">Bloom, S. L. (2015). </w:t>
      </w:r>
      <w:r w:rsidDel="00000000" w:rsidR="00000000" w:rsidRPr="00000000">
        <w:rPr>
          <w:i w:val="1"/>
          <w:sz w:val="24"/>
          <w:szCs w:val="24"/>
          <w:rtl w:val="0"/>
        </w:rPr>
        <w:t xml:space="preserve">Trauma-informed, trauma-responsive, trauma-specific</w:t>
      </w:r>
      <w:r w:rsidDel="00000000" w:rsidR="00000000" w:rsidRPr="00000000">
        <w:rPr>
          <w:sz w:val="24"/>
          <w:szCs w:val="24"/>
          <w:rtl w:val="0"/>
        </w:rPr>
        <w:t xml:space="preserve">.</w:t>
      </w:r>
    </w:p>
    <w:p w:rsidR="00000000" w:rsidDel="00000000" w:rsidP="00000000" w:rsidRDefault="00000000" w:rsidRPr="00000000" w14:paraId="00000052">
      <w:pPr>
        <w:pBdr>
          <w:left w:color="auto" w:space="0" w:sz="0" w:val="none"/>
        </w:pBdr>
        <w:spacing w:line="480" w:lineRule="auto"/>
        <w:ind w:left="720"/>
        <w:rPr>
          <w:sz w:val="24"/>
          <w:szCs w:val="24"/>
        </w:rPr>
      </w:pPr>
      <w:r w:rsidDel="00000000" w:rsidR="00000000" w:rsidRPr="00000000">
        <w:rPr>
          <w:sz w:val="24"/>
          <w:szCs w:val="24"/>
          <w:rtl w:val="0"/>
        </w:rPr>
        <w:t xml:space="preserve">Bowlby, J. (1980). </w:t>
      </w:r>
      <w:r w:rsidDel="00000000" w:rsidR="00000000" w:rsidRPr="00000000">
        <w:rPr>
          <w:i w:val="1"/>
          <w:sz w:val="24"/>
          <w:szCs w:val="24"/>
          <w:rtl w:val="0"/>
        </w:rPr>
        <w:t xml:space="preserve">Attachment and loss. Vol. 3, Loss : sadness and depression</w:t>
      </w:r>
      <w:r w:rsidDel="00000000" w:rsidR="00000000" w:rsidRPr="00000000">
        <w:rPr>
          <w:sz w:val="24"/>
          <w:szCs w:val="24"/>
          <w:rtl w:val="0"/>
        </w:rPr>
        <w:t xml:space="preserve">. Basic Books.</w:t>
      </w:r>
    </w:p>
    <w:p w:rsidR="00000000" w:rsidDel="00000000" w:rsidP="00000000" w:rsidRDefault="00000000" w:rsidRPr="00000000" w14:paraId="00000053">
      <w:pPr>
        <w:pBdr>
          <w:left w:color="auto" w:space="0" w:sz="0" w:val="none"/>
        </w:pBdr>
        <w:spacing w:line="480" w:lineRule="auto"/>
        <w:ind w:left="720"/>
        <w:rPr>
          <w:sz w:val="24"/>
          <w:szCs w:val="24"/>
        </w:rPr>
      </w:pPr>
      <w:r w:rsidDel="00000000" w:rsidR="00000000" w:rsidRPr="00000000">
        <w:rPr>
          <w:sz w:val="24"/>
          <w:szCs w:val="24"/>
          <w:rtl w:val="0"/>
        </w:rPr>
        <w:t xml:space="preserve">Brunzell, T., Stokes, H., &amp; Waters, L. (2016). Trauma-Informed Positive Education: Using positive psychology to strengthen Vulnerable students. </w:t>
      </w:r>
      <w:r w:rsidDel="00000000" w:rsidR="00000000" w:rsidRPr="00000000">
        <w:rPr>
          <w:i w:val="1"/>
          <w:sz w:val="24"/>
          <w:szCs w:val="24"/>
          <w:rtl w:val="0"/>
        </w:rPr>
        <w:t xml:space="preserve">Contemporary School Psychology</w:t>
      </w:r>
      <w:r w:rsidDel="00000000" w:rsidR="00000000" w:rsidRPr="00000000">
        <w:rPr>
          <w:sz w:val="24"/>
          <w:szCs w:val="24"/>
          <w:rtl w:val="0"/>
        </w:rPr>
        <w:t xml:space="preserve">, </w:t>
      </w:r>
      <w:r w:rsidDel="00000000" w:rsidR="00000000" w:rsidRPr="00000000">
        <w:rPr>
          <w:i w:val="1"/>
          <w:sz w:val="24"/>
          <w:szCs w:val="24"/>
          <w:rtl w:val="0"/>
        </w:rPr>
        <w:t xml:space="preserve">20</w:t>
      </w:r>
      <w:r w:rsidDel="00000000" w:rsidR="00000000" w:rsidRPr="00000000">
        <w:rPr>
          <w:sz w:val="24"/>
          <w:szCs w:val="24"/>
          <w:rtl w:val="0"/>
        </w:rPr>
        <w:t xml:space="preserve">, 63–83.</w:t>
      </w:r>
    </w:p>
    <w:p w:rsidR="00000000" w:rsidDel="00000000" w:rsidP="00000000" w:rsidRDefault="00000000" w:rsidRPr="00000000" w14:paraId="00000054">
      <w:pPr>
        <w:pBdr>
          <w:left w:color="auto" w:space="0" w:sz="0" w:val="none"/>
        </w:pBdr>
        <w:spacing w:line="480" w:lineRule="auto"/>
        <w:ind w:left="720"/>
        <w:rPr>
          <w:sz w:val="24"/>
          <w:szCs w:val="24"/>
        </w:rPr>
      </w:pPr>
      <w:r w:rsidDel="00000000" w:rsidR="00000000" w:rsidRPr="00000000">
        <w:rPr>
          <w:sz w:val="24"/>
          <w:szCs w:val="24"/>
          <w:rtl w:val="0"/>
        </w:rPr>
        <w:t xml:space="preserve">Courtois, C. A., &amp; Gold, S. N. (2009). The need for inclusion of psychological trauma in the professional curriculum: A call to action. </w:t>
      </w:r>
      <w:r w:rsidDel="00000000" w:rsidR="00000000" w:rsidRPr="00000000">
        <w:rPr>
          <w:i w:val="1"/>
          <w:sz w:val="24"/>
          <w:szCs w:val="24"/>
          <w:rtl w:val="0"/>
        </w:rPr>
        <w:t xml:space="preserve">Psychological Trauma: Theory, Research, Practice, and Policy</w:t>
      </w:r>
      <w:r w:rsidDel="00000000" w:rsidR="00000000" w:rsidRPr="00000000">
        <w:rPr>
          <w:sz w:val="24"/>
          <w:szCs w:val="24"/>
          <w:rtl w:val="0"/>
        </w:rPr>
        <w:t xml:space="preserve">, </w:t>
      </w:r>
      <w:r w:rsidDel="00000000" w:rsidR="00000000" w:rsidRPr="00000000">
        <w:rPr>
          <w:i w:val="1"/>
          <w:sz w:val="24"/>
          <w:szCs w:val="24"/>
          <w:rtl w:val="0"/>
        </w:rPr>
        <w:t xml:space="preserve">1</w:t>
      </w:r>
      <w:r w:rsidDel="00000000" w:rsidR="00000000" w:rsidRPr="00000000">
        <w:rPr>
          <w:sz w:val="24"/>
          <w:szCs w:val="24"/>
          <w:rtl w:val="0"/>
        </w:rPr>
        <w:t xml:space="preserve">(1), 3–23.</w:t>
      </w:r>
    </w:p>
    <w:p w:rsidR="00000000" w:rsidDel="00000000" w:rsidP="00000000" w:rsidRDefault="00000000" w:rsidRPr="00000000" w14:paraId="00000055">
      <w:pPr>
        <w:pBdr>
          <w:left w:color="auto" w:space="0" w:sz="0" w:val="none"/>
        </w:pBdr>
        <w:spacing w:line="480" w:lineRule="auto"/>
        <w:ind w:left="720"/>
        <w:rPr>
          <w:sz w:val="24"/>
          <w:szCs w:val="24"/>
        </w:rPr>
      </w:pPr>
      <w:r w:rsidDel="00000000" w:rsidR="00000000" w:rsidRPr="00000000">
        <w:rPr>
          <w:sz w:val="24"/>
          <w:szCs w:val="24"/>
          <w:rtl w:val="0"/>
        </w:rPr>
        <w:t xml:space="preserve">Dowd, M. D. (2017). Early Adversity, toxic stress, and resilience: Pediatrics for today. </w:t>
      </w:r>
      <w:r w:rsidDel="00000000" w:rsidR="00000000" w:rsidRPr="00000000">
        <w:rPr>
          <w:i w:val="1"/>
          <w:sz w:val="24"/>
          <w:szCs w:val="24"/>
          <w:rtl w:val="0"/>
        </w:rPr>
        <w:t xml:space="preserve">Pediatric Annals</w:t>
      </w:r>
      <w:r w:rsidDel="00000000" w:rsidR="00000000" w:rsidRPr="00000000">
        <w:rPr>
          <w:sz w:val="24"/>
          <w:szCs w:val="24"/>
          <w:rtl w:val="0"/>
        </w:rPr>
        <w:t xml:space="preserve">, </w:t>
      </w:r>
      <w:r w:rsidDel="00000000" w:rsidR="00000000" w:rsidRPr="00000000">
        <w:rPr>
          <w:i w:val="1"/>
          <w:sz w:val="24"/>
          <w:szCs w:val="24"/>
          <w:rtl w:val="0"/>
        </w:rPr>
        <w:t xml:space="preserve">46</w:t>
      </w:r>
      <w:r w:rsidDel="00000000" w:rsidR="00000000" w:rsidRPr="00000000">
        <w:rPr>
          <w:sz w:val="24"/>
          <w:szCs w:val="24"/>
          <w:rtl w:val="0"/>
        </w:rPr>
        <w:t xml:space="preserve">(7). https://doi.org/10.3928/19382359-20170615-01</w:t>
      </w:r>
    </w:p>
    <w:p w:rsidR="00000000" w:rsidDel="00000000" w:rsidP="00000000" w:rsidRDefault="00000000" w:rsidRPr="00000000" w14:paraId="00000056">
      <w:pPr>
        <w:pBdr>
          <w:left w:color="auto" w:space="0" w:sz="0" w:val="none"/>
        </w:pBdr>
        <w:spacing w:line="480" w:lineRule="auto"/>
        <w:ind w:left="720"/>
        <w:rPr>
          <w:sz w:val="24"/>
          <w:szCs w:val="24"/>
        </w:rPr>
      </w:pPr>
      <w:r w:rsidDel="00000000" w:rsidR="00000000" w:rsidRPr="00000000">
        <w:rPr>
          <w:sz w:val="24"/>
          <w:szCs w:val="24"/>
          <w:rtl w:val="0"/>
        </w:rPr>
        <w:t xml:space="preserve">Dudley, R. (2015). </w:t>
      </w:r>
      <w:r w:rsidDel="00000000" w:rsidR="00000000" w:rsidRPr="00000000">
        <w:rPr>
          <w:i w:val="1"/>
          <w:sz w:val="24"/>
          <w:szCs w:val="24"/>
          <w:rtl w:val="0"/>
        </w:rPr>
        <w:t xml:space="preserve">Childhood Trauma and Its Effects: Implications for Police: New Perspectives in Policing,</w:t>
      </w:r>
      <w:r w:rsidDel="00000000" w:rsidR="00000000" w:rsidRPr="00000000">
        <w:rPr>
          <w:sz w:val="24"/>
          <w:szCs w:val="24"/>
          <w:rtl w:val="0"/>
        </w:rPr>
        <w:t xml:space="preserve">. Washington, D.C.: U.S. Department of Justice, National Institute of Justice,.</w:t>
      </w:r>
    </w:p>
    <w:p w:rsidR="00000000" w:rsidDel="00000000" w:rsidP="00000000" w:rsidRDefault="00000000" w:rsidRPr="00000000" w14:paraId="00000057">
      <w:pPr>
        <w:pBdr>
          <w:left w:color="auto" w:space="0" w:sz="0" w:val="none"/>
        </w:pBdr>
        <w:spacing w:line="480" w:lineRule="auto"/>
        <w:ind w:left="720"/>
        <w:rPr>
          <w:sz w:val="24"/>
          <w:szCs w:val="24"/>
        </w:rPr>
      </w:pPr>
      <w:r w:rsidDel="00000000" w:rsidR="00000000" w:rsidRPr="00000000">
        <w:rPr>
          <w:sz w:val="24"/>
          <w:szCs w:val="24"/>
          <w:rtl w:val="0"/>
        </w:rPr>
        <w:t xml:space="preserve">Feuer-Edwards, A., O’Brien, C., &amp; O’Connor, S. (2016). </w:t>
      </w:r>
      <w:r w:rsidDel="00000000" w:rsidR="00000000" w:rsidRPr="00000000">
        <w:rPr>
          <w:i w:val="1"/>
          <w:sz w:val="24"/>
          <w:szCs w:val="24"/>
          <w:rtl w:val="0"/>
        </w:rPr>
        <w:t xml:space="preserve">Trauma-informed philanthropy</w:t>
      </w:r>
      <w:r w:rsidDel="00000000" w:rsidR="00000000" w:rsidRPr="00000000">
        <w:rPr>
          <w:sz w:val="24"/>
          <w:szCs w:val="24"/>
          <w:rtl w:val="0"/>
        </w:rPr>
        <w:t xml:space="preserve"> (Vol. 2). Scatter Good Foundation.</w:t>
      </w:r>
    </w:p>
    <w:p w:rsidR="00000000" w:rsidDel="00000000" w:rsidP="00000000" w:rsidRDefault="00000000" w:rsidRPr="00000000" w14:paraId="00000058">
      <w:pPr>
        <w:pBdr>
          <w:left w:color="auto" w:space="0" w:sz="0" w:val="none"/>
        </w:pBdr>
        <w:spacing w:line="480" w:lineRule="auto"/>
        <w:ind w:left="720"/>
        <w:rPr>
          <w:sz w:val="24"/>
          <w:szCs w:val="24"/>
        </w:rPr>
      </w:pPr>
      <w:r w:rsidDel="00000000" w:rsidR="00000000" w:rsidRPr="00000000">
        <w:rPr>
          <w:sz w:val="24"/>
          <w:szCs w:val="24"/>
          <w:rtl w:val="0"/>
        </w:rPr>
        <w:t xml:space="preserve">Flaherty, E. G., Thompson, R., Dubowitz, H., Harvey, E., English, D. J., Proctor, L. J., &amp; Runyan, D. K. (2013). Adverse childhood experiences and child health in early adolescence. </w:t>
      </w:r>
      <w:r w:rsidDel="00000000" w:rsidR="00000000" w:rsidRPr="00000000">
        <w:rPr>
          <w:i w:val="1"/>
          <w:sz w:val="24"/>
          <w:szCs w:val="24"/>
          <w:rtl w:val="0"/>
        </w:rPr>
        <w:t xml:space="preserve">JAMA Pediatrics</w:t>
      </w:r>
      <w:r w:rsidDel="00000000" w:rsidR="00000000" w:rsidRPr="00000000">
        <w:rPr>
          <w:sz w:val="24"/>
          <w:szCs w:val="24"/>
          <w:rtl w:val="0"/>
        </w:rPr>
        <w:t xml:space="preserve">, </w:t>
      </w:r>
      <w:r w:rsidDel="00000000" w:rsidR="00000000" w:rsidRPr="00000000">
        <w:rPr>
          <w:i w:val="1"/>
          <w:sz w:val="24"/>
          <w:szCs w:val="24"/>
          <w:rtl w:val="0"/>
        </w:rPr>
        <w:t xml:space="preserve">167</w:t>
      </w:r>
      <w:r w:rsidDel="00000000" w:rsidR="00000000" w:rsidRPr="00000000">
        <w:rPr>
          <w:sz w:val="24"/>
          <w:szCs w:val="24"/>
          <w:rtl w:val="0"/>
        </w:rPr>
        <w:t xml:space="preserve">(7), 622–629.</w:t>
      </w:r>
    </w:p>
    <w:p w:rsidR="00000000" w:rsidDel="00000000" w:rsidP="00000000" w:rsidRDefault="00000000" w:rsidRPr="00000000" w14:paraId="00000059">
      <w:pPr>
        <w:pBdr>
          <w:left w:color="auto" w:space="0" w:sz="0" w:val="none"/>
        </w:pBdr>
        <w:spacing w:line="480" w:lineRule="auto"/>
        <w:ind w:left="720"/>
        <w:rPr>
          <w:sz w:val="24"/>
          <w:szCs w:val="24"/>
        </w:rPr>
      </w:pPr>
      <w:r w:rsidDel="00000000" w:rsidR="00000000" w:rsidRPr="00000000">
        <w:rPr>
          <w:sz w:val="24"/>
          <w:szCs w:val="24"/>
          <w:rtl w:val="0"/>
        </w:rPr>
        <w:t xml:space="preserve">Fulford, W. (2017). Hidden suffering and the effects of adverse childhood experiences. </w:t>
      </w:r>
      <w:r w:rsidDel="00000000" w:rsidR="00000000" w:rsidRPr="00000000">
        <w:rPr>
          <w:i w:val="1"/>
          <w:sz w:val="24"/>
          <w:szCs w:val="24"/>
          <w:rtl w:val="0"/>
        </w:rPr>
        <w:t xml:space="preserve">Religions</w:t>
      </w:r>
      <w:r w:rsidDel="00000000" w:rsidR="00000000" w:rsidRPr="00000000">
        <w:rPr>
          <w:sz w:val="24"/>
          <w:szCs w:val="24"/>
          <w:rtl w:val="0"/>
        </w:rPr>
        <w:t xml:space="preserve">, </w:t>
      </w:r>
      <w:r w:rsidDel="00000000" w:rsidR="00000000" w:rsidRPr="00000000">
        <w:rPr>
          <w:i w:val="1"/>
          <w:sz w:val="24"/>
          <w:szCs w:val="24"/>
          <w:rtl w:val="0"/>
        </w:rPr>
        <w:t xml:space="preserve">8</w:t>
      </w:r>
      <w:r w:rsidDel="00000000" w:rsidR="00000000" w:rsidRPr="00000000">
        <w:rPr>
          <w:sz w:val="24"/>
          <w:szCs w:val="24"/>
          <w:rtl w:val="0"/>
        </w:rPr>
        <w:t xml:space="preserve">(3), 1–8.</w:t>
      </w:r>
    </w:p>
    <w:p w:rsidR="00000000" w:rsidDel="00000000" w:rsidP="00000000" w:rsidRDefault="00000000" w:rsidRPr="00000000" w14:paraId="0000005A">
      <w:pPr>
        <w:pBdr>
          <w:left w:color="auto" w:space="0" w:sz="0" w:val="none"/>
        </w:pBdr>
        <w:spacing w:line="480" w:lineRule="auto"/>
        <w:ind w:left="720"/>
        <w:rPr>
          <w:sz w:val="24"/>
          <w:szCs w:val="24"/>
        </w:rPr>
      </w:pPr>
      <w:r w:rsidDel="00000000" w:rsidR="00000000" w:rsidRPr="00000000">
        <w:rPr>
          <w:sz w:val="24"/>
          <w:szCs w:val="24"/>
          <w:rtl w:val="0"/>
        </w:rPr>
        <w:t xml:space="preserve">Gold, S. N. (Ed.). (2017). </w:t>
      </w:r>
      <w:r w:rsidDel="00000000" w:rsidR="00000000" w:rsidRPr="00000000">
        <w:rPr>
          <w:i w:val="1"/>
          <w:sz w:val="24"/>
          <w:szCs w:val="24"/>
          <w:rtl w:val="0"/>
        </w:rPr>
        <w:t xml:space="preserve">APA Handbook of Trauma Psychology</w:t>
      </w:r>
      <w:r w:rsidDel="00000000" w:rsidR="00000000" w:rsidRPr="00000000">
        <w:rPr>
          <w:sz w:val="24"/>
          <w:szCs w:val="24"/>
          <w:rtl w:val="0"/>
        </w:rPr>
        <w:t xml:space="preserve"> (Vol. 2). APA Handbooks in Psychology(r).</w:t>
      </w:r>
    </w:p>
    <w:p w:rsidR="00000000" w:rsidDel="00000000" w:rsidP="00000000" w:rsidRDefault="00000000" w:rsidRPr="00000000" w14:paraId="0000005B">
      <w:pPr>
        <w:pBdr>
          <w:left w:color="auto" w:space="0" w:sz="0" w:val="none"/>
        </w:pBdr>
        <w:spacing w:line="480" w:lineRule="auto"/>
        <w:ind w:left="720"/>
        <w:rPr>
          <w:sz w:val="24"/>
          <w:szCs w:val="24"/>
        </w:rPr>
      </w:pPr>
      <w:r w:rsidDel="00000000" w:rsidR="00000000" w:rsidRPr="00000000">
        <w:rPr>
          <w:sz w:val="24"/>
          <w:szCs w:val="24"/>
          <w:rtl w:val="0"/>
        </w:rPr>
        <w:t xml:space="preserve">Greyber, L. R., Dulmus, C. N., Cristalli, M., &amp; Jorgensen, J. (2015). A Single Group Pre-posttest Examination of a Health and Wellness Intervention on Body Mass Index for Adolescent Females with Severe Emotional Disorders and Histories of Trauma. </w:t>
      </w:r>
      <w:r w:rsidDel="00000000" w:rsidR="00000000" w:rsidRPr="00000000">
        <w:rPr>
          <w:i w:val="1"/>
          <w:sz w:val="24"/>
          <w:szCs w:val="24"/>
          <w:rtl w:val="0"/>
        </w:rPr>
        <w:t xml:space="preserve">Child and Adolescent Social Work Journal</w:t>
      </w:r>
      <w:r w:rsidDel="00000000" w:rsidR="00000000" w:rsidRPr="00000000">
        <w:rPr>
          <w:sz w:val="24"/>
          <w:szCs w:val="24"/>
          <w:rtl w:val="0"/>
        </w:rPr>
        <w:t xml:space="preserve">, </w:t>
      </w:r>
      <w:r w:rsidDel="00000000" w:rsidR="00000000" w:rsidRPr="00000000">
        <w:rPr>
          <w:i w:val="1"/>
          <w:sz w:val="24"/>
          <w:szCs w:val="24"/>
          <w:rtl w:val="0"/>
        </w:rPr>
        <w:t xml:space="preserve">32</w:t>
      </w:r>
      <w:r w:rsidDel="00000000" w:rsidR="00000000" w:rsidRPr="00000000">
        <w:rPr>
          <w:sz w:val="24"/>
          <w:szCs w:val="24"/>
          <w:rtl w:val="0"/>
        </w:rPr>
        <w:t xml:space="preserve">(2), 187–198.</w:t>
      </w:r>
    </w:p>
    <w:p w:rsidR="00000000" w:rsidDel="00000000" w:rsidP="00000000" w:rsidRDefault="00000000" w:rsidRPr="00000000" w14:paraId="0000005C">
      <w:pPr>
        <w:pBdr>
          <w:left w:color="auto" w:space="0" w:sz="0" w:val="none"/>
        </w:pBdr>
        <w:spacing w:line="480" w:lineRule="auto"/>
        <w:ind w:left="720"/>
        <w:rPr>
          <w:sz w:val="24"/>
          <w:szCs w:val="24"/>
        </w:rPr>
      </w:pPr>
      <w:r w:rsidDel="00000000" w:rsidR="00000000" w:rsidRPr="00000000">
        <w:rPr>
          <w:sz w:val="24"/>
          <w:szCs w:val="24"/>
          <w:rtl w:val="0"/>
        </w:rPr>
        <w:t xml:space="preserve">Horowitz, M. J. (1993). Stress response syndromes:  A review of posttraumatic stress and adjustment  disorders. In J. P. Wilson &amp; B. Raphael (Eds.), </w:t>
      </w:r>
      <w:r w:rsidDel="00000000" w:rsidR="00000000" w:rsidRPr="00000000">
        <w:rPr>
          <w:i w:val="1"/>
          <w:sz w:val="24"/>
          <w:szCs w:val="24"/>
          <w:rtl w:val="0"/>
        </w:rPr>
        <w:t xml:space="preserve">International Handbook of Traumatic Stress Syndromes</w:t>
      </w:r>
      <w:r w:rsidDel="00000000" w:rsidR="00000000" w:rsidRPr="00000000">
        <w:rPr>
          <w:sz w:val="24"/>
          <w:szCs w:val="24"/>
          <w:rtl w:val="0"/>
        </w:rPr>
        <w:t xml:space="preserve">. Plenum Press.</w:t>
      </w:r>
    </w:p>
    <w:p w:rsidR="00000000" w:rsidDel="00000000" w:rsidP="00000000" w:rsidRDefault="00000000" w:rsidRPr="00000000" w14:paraId="0000005D">
      <w:pPr>
        <w:pBdr>
          <w:left w:color="auto" w:space="0" w:sz="0" w:val="none"/>
        </w:pBdr>
        <w:spacing w:line="480" w:lineRule="auto"/>
        <w:ind w:left="720"/>
        <w:rPr>
          <w:sz w:val="24"/>
          <w:szCs w:val="24"/>
        </w:rPr>
      </w:pPr>
      <w:r w:rsidDel="00000000" w:rsidR="00000000" w:rsidRPr="00000000">
        <w:rPr>
          <w:sz w:val="24"/>
          <w:szCs w:val="24"/>
          <w:rtl w:val="0"/>
        </w:rPr>
        <w:t xml:space="preserve">Infurna, F. J., Rivers, C. T., Reich, J. W., &amp; Zautra, A. (2015). Childhood Trauma and Personal Mastery: Their influence on emotional reactivity to everyday events in a community sample of Middle-Aged adults. </w:t>
      </w:r>
      <w:r w:rsidDel="00000000" w:rsidR="00000000" w:rsidRPr="00000000">
        <w:rPr>
          <w:i w:val="1"/>
          <w:sz w:val="24"/>
          <w:szCs w:val="24"/>
          <w:rtl w:val="0"/>
        </w:rPr>
        <w:t xml:space="preserve">PLOS ONE</w:t>
      </w:r>
      <w:r w:rsidDel="00000000" w:rsidR="00000000" w:rsidRPr="00000000">
        <w:rPr>
          <w:sz w:val="24"/>
          <w:szCs w:val="24"/>
          <w:rtl w:val="0"/>
        </w:rPr>
        <w:t xml:space="preserve">, </w:t>
      </w:r>
      <w:r w:rsidDel="00000000" w:rsidR="00000000" w:rsidRPr="00000000">
        <w:rPr>
          <w:i w:val="1"/>
          <w:sz w:val="24"/>
          <w:szCs w:val="24"/>
          <w:rtl w:val="0"/>
        </w:rPr>
        <w:t xml:space="preserve">10</w:t>
      </w:r>
      <w:r w:rsidDel="00000000" w:rsidR="00000000" w:rsidRPr="00000000">
        <w:rPr>
          <w:sz w:val="24"/>
          <w:szCs w:val="24"/>
          <w:rtl w:val="0"/>
        </w:rPr>
        <w:t xml:space="preserve">(4).</w:t>
      </w:r>
    </w:p>
    <w:p w:rsidR="00000000" w:rsidDel="00000000" w:rsidP="00000000" w:rsidRDefault="00000000" w:rsidRPr="00000000" w14:paraId="0000005E">
      <w:pPr>
        <w:pBdr>
          <w:left w:color="auto" w:space="0" w:sz="0" w:val="none"/>
        </w:pBdr>
        <w:spacing w:line="480" w:lineRule="auto"/>
        <w:ind w:left="720"/>
        <w:rPr>
          <w:sz w:val="24"/>
          <w:szCs w:val="24"/>
        </w:rPr>
      </w:pPr>
      <w:r w:rsidDel="00000000" w:rsidR="00000000" w:rsidRPr="00000000">
        <w:rPr>
          <w:sz w:val="24"/>
          <w:szCs w:val="24"/>
          <w:rtl w:val="0"/>
        </w:rPr>
        <w:t xml:space="preserve">Kuras, Y. I., Assaf, N., Thoma, M. V., Gianferante, D., Hanlin, L., Chen, X., Fiksdal, A., &amp; Rohleder, N. (2017). Blunted Diurnal Cortisol Activity in Healthy Adults with Childhood Adversity. </w:t>
      </w:r>
      <w:r w:rsidDel="00000000" w:rsidR="00000000" w:rsidRPr="00000000">
        <w:rPr>
          <w:i w:val="1"/>
          <w:sz w:val="24"/>
          <w:szCs w:val="24"/>
          <w:rtl w:val="0"/>
        </w:rPr>
        <w:t xml:space="preserve">Frontiers in Human Neuroscience</w:t>
      </w:r>
      <w:r w:rsidDel="00000000" w:rsidR="00000000" w:rsidRPr="00000000">
        <w:rPr>
          <w:sz w:val="24"/>
          <w:szCs w:val="24"/>
          <w:rtl w:val="0"/>
        </w:rPr>
        <w:t xml:space="preserve">, </w:t>
      </w:r>
      <w:r w:rsidDel="00000000" w:rsidR="00000000" w:rsidRPr="00000000">
        <w:rPr>
          <w:i w:val="1"/>
          <w:sz w:val="24"/>
          <w:szCs w:val="24"/>
          <w:rtl w:val="0"/>
        </w:rPr>
        <w:t xml:space="preserve">11</w:t>
      </w:r>
      <w:r w:rsidDel="00000000" w:rsidR="00000000" w:rsidRPr="00000000">
        <w:rPr>
          <w:sz w:val="24"/>
          <w:szCs w:val="24"/>
          <w:rtl w:val="0"/>
        </w:rPr>
        <w:t xml:space="preserve">(574), 1–8.</w:t>
      </w:r>
    </w:p>
    <w:p w:rsidR="00000000" w:rsidDel="00000000" w:rsidP="00000000" w:rsidRDefault="00000000" w:rsidRPr="00000000" w14:paraId="0000005F">
      <w:pPr>
        <w:pBdr>
          <w:left w:color="auto" w:space="0" w:sz="0" w:val="none"/>
        </w:pBdr>
        <w:spacing w:line="480" w:lineRule="auto"/>
        <w:ind w:left="720"/>
        <w:rPr>
          <w:sz w:val="24"/>
          <w:szCs w:val="24"/>
        </w:rPr>
      </w:pPr>
      <w:r w:rsidDel="00000000" w:rsidR="00000000" w:rsidRPr="00000000">
        <w:rPr>
          <w:sz w:val="24"/>
          <w:szCs w:val="24"/>
          <w:rtl w:val="0"/>
        </w:rPr>
        <w:t xml:space="preserve">Leitch, L. (2017). Action steps using ACEs and trauma-informed care: a resilience model. </w:t>
      </w:r>
      <w:r w:rsidDel="00000000" w:rsidR="00000000" w:rsidRPr="00000000">
        <w:rPr>
          <w:i w:val="1"/>
          <w:sz w:val="24"/>
          <w:szCs w:val="24"/>
          <w:rtl w:val="0"/>
        </w:rPr>
        <w:t xml:space="preserve">Health &amp; Justice</w:t>
      </w:r>
      <w:r w:rsidDel="00000000" w:rsidR="00000000" w:rsidRPr="00000000">
        <w:rPr>
          <w:sz w:val="24"/>
          <w:szCs w:val="24"/>
          <w:rtl w:val="0"/>
        </w:rPr>
        <w:t xml:space="preserve">, </w:t>
      </w:r>
      <w:r w:rsidDel="00000000" w:rsidR="00000000" w:rsidRPr="00000000">
        <w:rPr>
          <w:i w:val="1"/>
          <w:sz w:val="24"/>
          <w:szCs w:val="24"/>
          <w:rtl w:val="0"/>
        </w:rPr>
        <w:t xml:space="preserve">5</w:t>
      </w:r>
      <w:r w:rsidDel="00000000" w:rsidR="00000000" w:rsidRPr="00000000">
        <w:rPr>
          <w:sz w:val="24"/>
          <w:szCs w:val="24"/>
          <w:rtl w:val="0"/>
        </w:rPr>
        <w:t xml:space="preserve">(1), 5–15. https://doi.org/10.1186/s40352-017-0050-5</w:t>
      </w:r>
    </w:p>
    <w:p w:rsidR="00000000" w:rsidDel="00000000" w:rsidP="00000000" w:rsidRDefault="00000000" w:rsidRPr="00000000" w14:paraId="00000060">
      <w:pPr>
        <w:pBdr>
          <w:left w:color="auto" w:space="0" w:sz="0" w:val="none"/>
        </w:pBdr>
        <w:spacing w:line="480" w:lineRule="auto"/>
        <w:ind w:left="720"/>
        <w:rPr>
          <w:sz w:val="24"/>
          <w:szCs w:val="24"/>
        </w:rPr>
      </w:pPr>
      <w:r w:rsidDel="00000000" w:rsidR="00000000" w:rsidRPr="00000000">
        <w:rPr>
          <w:sz w:val="24"/>
          <w:szCs w:val="24"/>
          <w:rtl w:val="0"/>
        </w:rPr>
        <w:t xml:space="preserve">Martin, C. G., Van Ryzin, M. J., &amp; Dishion, T. J. (2016). Profiles of childhood trauma: Betrayal, frequency, and psychological distress in late adolescence. </w:t>
      </w:r>
      <w:r w:rsidDel="00000000" w:rsidR="00000000" w:rsidRPr="00000000">
        <w:rPr>
          <w:i w:val="1"/>
          <w:sz w:val="24"/>
          <w:szCs w:val="24"/>
          <w:rtl w:val="0"/>
        </w:rPr>
        <w:t xml:space="preserve">Psychological Trauma: Theory, Research, Practice, and Policy</w:t>
      </w:r>
      <w:r w:rsidDel="00000000" w:rsidR="00000000" w:rsidRPr="00000000">
        <w:rPr>
          <w:sz w:val="24"/>
          <w:szCs w:val="24"/>
          <w:rtl w:val="0"/>
        </w:rPr>
        <w:t xml:space="preserve">, </w:t>
      </w:r>
      <w:r w:rsidDel="00000000" w:rsidR="00000000" w:rsidRPr="00000000">
        <w:rPr>
          <w:i w:val="1"/>
          <w:sz w:val="24"/>
          <w:szCs w:val="24"/>
          <w:rtl w:val="0"/>
        </w:rPr>
        <w:t xml:space="preserve">8</w:t>
      </w:r>
      <w:r w:rsidDel="00000000" w:rsidR="00000000" w:rsidRPr="00000000">
        <w:rPr>
          <w:sz w:val="24"/>
          <w:szCs w:val="24"/>
          <w:rtl w:val="0"/>
        </w:rPr>
        <w:t xml:space="preserve">(2), 206–213.</w:t>
      </w:r>
    </w:p>
    <w:p w:rsidR="00000000" w:rsidDel="00000000" w:rsidP="00000000" w:rsidRDefault="00000000" w:rsidRPr="00000000" w14:paraId="00000061">
      <w:pPr>
        <w:pBdr>
          <w:left w:color="auto" w:space="0" w:sz="0" w:val="none"/>
        </w:pBdr>
        <w:spacing w:line="480" w:lineRule="auto"/>
        <w:ind w:left="720"/>
        <w:rPr>
          <w:sz w:val="24"/>
          <w:szCs w:val="24"/>
        </w:rPr>
      </w:pPr>
      <w:r w:rsidDel="00000000" w:rsidR="00000000" w:rsidRPr="00000000">
        <w:rPr>
          <w:sz w:val="24"/>
          <w:szCs w:val="24"/>
          <w:rtl w:val="0"/>
        </w:rPr>
        <w:t xml:space="preserve">McLaughlin, K. A. (2016). Future Directions in Childhood Adversity and Youth Psychopathology. </w:t>
      </w:r>
      <w:r w:rsidDel="00000000" w:rsidR="00000000" w:rsidRPr="00000000">
        <w:rPr>
          <w:i w:val="1"/>
          <w:sz w:val="24"/>
          <w:szCs w:val="24"/>
          <w:rtl w:val="0"/>
        </w:rPr>
        <w:t xml:space="preserve">Journal of Clinical Child and Adolescent Psychology</w:t>
      </w:r>
      <w:r w:rsidDel="00000000" w:rsidR="00000000" w:rsidRPr="00000000">
        <w:rPr>
          <w:sz w:val="24"/>
          <w:szCs w:val="24"/>
          <w:rtl w:val="0"/>
        </w:rPr>
        <w:t xml:space="preserve">, </w:t>
      </w:r>
      <w:r w:rsidDel="00000000" w:rsidR="00000000" w:rsidRPr="00000000">
        <w:rPr>
          <w:i w:val="1"/>
          <w:sz w:val="24"/>
          <w:szCs w:val="24"/>
          <w:rtl w:val="0"/>
        </w:rPr>
        <w:t xml:space="preserve">45</w:t>
      </w:r>
      <w:r w:rsidDel="00000000" w:rsidR="00000000" w:rsidRPr="00000000">
        <w:rPr>
          <w:sz w:val="24"/>
          <w:szCs w:val="24"/>
          <w:rtl w:val="0"/>
        </w:rPr>
        <w:t xml:space="preserve">(3), 361–382.</w:t>
      </w:r>
    </w:p>
    <w:p w:rsidR="00000000" w:rsidDel="00000000" w:rsidP="00000000" w:rsidRDefault="00000000" w:rsidRPr="00000000" w14:paraId="00000062">
      <w:pPr>
        <w:pBdr>
          <w:left w:color="auto" w:space="0" w:sz="0" w:val="none"/>
        </w:pBdr>
        <w:spacing w:line="480" w:lineRule="auto"/>
        <w:ind w:left="720"/>
        <w:rPr>
          <w:sz w:val="24"/>
          <w:szCs w:val="24"/>
        </w:rPr>
      </w:pPr>
      <w:r w:rsidDel="00000000" w:rsidR="00000000" w:rsidRPr="00000000">
        <w:rPr>
          <w:sz w:val="24"/>
          <w:szCs w:val="24"/>
          <w:rtl w:val="0"/>
        </w:rPr>
        <w:t xml:space="preserve">Murphy, M., Fiorillo, J., &amp; Sullivan, A. (2014). </w:t>
      </w:r>
      <w:r w:rsidDel="00000000" w:rsidR="00000000" w:rsidRPr="00000000">
        <w:rPr>
          <w:i w:val="1"/>
          <w:sz w:val="24"/>
          <w:szCs w:val="24"/>
          <w:rtl w:val="0"/>
        </w:rPr>
        <w:t xml:space="preserve">The adverse childhood experiences (ACE) study and  practice implications for attorneys for the child.</w:t>
      </w:r>
      <w:r w:rsidDel="00000000" w:rsidR="00000000" w:rsidRPr="00000000">
        <w:rPr>
          <w:sz w:val="24"/>
          <w:szCs w:val="24"/>
          <w:rtl w:val="0"/>
        </w:rPr>
        <w:t xml:space="preserve"> University at Buffalo School.</w:t>
      </w:r>
    </w:p>
    <w:p w:rsidR="00000000" w:rsidDel="00000000" w:rsidP="00000000" w:rsidRDefault="00000000" w:rsidRPr="00000000" w14:paraId="00000063">
      <w:pPr>
        <w:pBdr>
          <w:left w:color="auto" w:space="0" w:sz="0" w:val="none"/>
        </w:pBdr>
        <w:spacing w:line="480" w:lineRule="auto"/>
        <w:ind w:left="720"/>
        <w:rPr>
          <w:sz w:val="24"/>
          <w:szCs w:val="24"/>
        </w:rPr>
      </w:pPr>
      <w:r w:rsidDel="00000000" w:rsidR="00000000" w:rsidRPr="00000000">
        <w:rPr>
          <w:sz w:val="24"/>
          <w:szCs w:val="24"/>
          <w:rtl w:val="0"/>
        </w:rPr>
        <w:t xml:space="preserve">Neimeyer, R. A., Burke, L. A., McDevitt-Murphy, M. E., Ippolito, M. R., &amp; Roberts, J. M. (2011). Faith in the wake of homicide: Spiritual crisis and bereavement distress in an African American sample. </w:t>
      </w:r>
      <w:r w:rsidDel="00000000" w:rsidR="00000000" w:rsidRPr="00000000">
        <w:rPr>
          <w:i w:val="1"/>
          <w:sz w:val="24"/>
          <w:szCs w:val="24"/>
          <w:rtl w:val="0"/>
        </w:rPr>
        <w:t xml:space="preserve">International  Journal for the Psychology of Religion</w:t>
      </w:r>
      <w:r w:rsidDel="00000000" w:rsidR="00000000" w:rsidRPr="00000000">
        <w:rPr>
          <w:sz w:val="24"/>
          <w:szCs w:val="24"/>
          <w:rtl w:val="0"/>
        </w:rPr>
        <w:t xml:space="preserve">, </w:t>
      </w:r>
      <w:r w:rsidDel="00000000" w:rsidR="00000000" w:rsidRPr="00000000">
        <w:rPr>
          <w:i w:val="1"/>
          <w:sz w:val="24"/>
          <w:szCs w:val="24"/>
          <w:rtl w:val="0"/>
        </w:rPr>
        <w:t xml:space="preserve">21</w:t>
      </w:r>
      <w:r w:rsidDel="00000000" w:rsidR="00000000" w:rsidRPr="00000000">
        <w:rPr>
          <w:sz w:val="24"/>
          <w:szCs w:val="24"/>
          <w:rtl w:val="0"/>
        </w:rPr>
        <w:t xml:space="preserve">, 289–307.</w:t>
      </w:r>
    </w:p>
    <w:p w:rsidR="00000000" w:rsidDel="00000000" w:rsidP="00000000" w:rsidRDefault="00000000" w:rsidRPr="00000000" w14:paraId="00000064">
      <w:pPr>
        <w:pBdr>
          <w:left w:color="auto" w:space="0" w:sz="0" w:val="none"/>
        </w:pBdr>
        <w:spacing w:line="480" w:lineRule="auto"/>
        <w:ind w:left="720"/>
        <w:rPr>
          <w:sz w:val="24"/>
          <w:szCs w:val="24"/>
        </w:rPr>
      </w:pPr>
      <w:r w:rsidDel="00000000" w:rsidR="00000000" w:rsidRPr="00000000">
        <w:rPr>
          <w:sz w:val="24"/>
          <w:szCs w:val="24"/>
          <w:rtl w:val="0"/>
        </w:rPr>
        <w:t xml:space="preserve">Neimeyer, R. A., Klass, D., &amp; Dennis, M. R. (2014). A Social Constructionist Account of Grief: Loss and the Narration of Meaning. </w:t>
      </w:r>
      <w:r w:rsidDel="00000000" w:rsidR="00000000" w:rsidRPr="00000000">
        <w:rPr>
          <w:i w:val="1"/>
          <w:sz w:val="24"/>
          <w:szCs w:val="24"/>
          <w:rtl w:val="0"/>
        </w:rPr>
        <w:t xml:space="preserve">Death Studies</w:t>
      </w:r>
      <w:r w:rsidDel="00000000" w:rsidR="00000000" w:rsidRPr="00000000">
        <w:rPr>
          <w:sz w:val="24"/>
          <w:szCs w:val="24"/>
          <w:rtl w:val="0"/>
        </w:rPr>
        <w:t xml:space="preserve">, </w:t>
      </w:r>
      <w:r w:rsidDel="00000000" w:rsidR="00000000" w:rsidRPr="00000000">
        <w:rPr>
          <w:i w:val="1"/>
          <w:sz w:val="24"/>
          <w:szCs w:val="24"/>
          <w:rtl w:val="0"/>
        </w:rPr>
        <w:t xml:space="preserve">38</w:t>
      </w:r>
      <w:r w:rsidDel="00000000" w:rsidR="00000000" w:rsidRPr="00000000">
        <w:rPr>
          <w:sz w:val="24"/>
          <w:szCs w:val="24"/>
          <w:rtl w:val="0"/>
        </w:rPr>
        <w:t xml:space="preserve">(8), 485–498.</w:t>
      </w:r>
    </w:p>
    <w:p w:rsidR="00000000" w:rsidDel="00000000" w:rsidP="00000000" w:rsidRDefault="00000000" w:rsidRPr="00000000" w14:paraId="00000065">
      <w:pPr>
        <w:pBdr>
          <w:left w:color="auto" w:space="0" w:sz="0" w:val="none"/>
        </w:pBdr>
        <w:spacing w:line="480" w:lineRule="auto"/>
        <w:ind w:left="720"/>
        <w:rPr>
          <w:sz w:val="24"/>
          <w:szCs w:val="24"/>
        </w:rPr>
      </w:pPr>
      <w:r w:rsidDel="00000000" w:rsidR="00000000" w:rsidRPr="00000000">
        <w:rPr>
          <w:sz w:val="24"/>
          <w:szCs w:val="24"/>
          <w:rtl w:val="0"/>
        </w:rPr>
        <w:t xml:space="preserve">Parkes, C. M., &amp; Prigerson, H. (2009). </w:t>
      </w:r>
      <w:r w:rsidDel="00000000" w:rsidR="00000000" w:rsidRPr="00000000">
        <w:rPr>
          <w:i w:val="1"/>
          <w:sz w:val="24"/>
          <w:szCs w:val="24"/>
          <w:rtl w:val="0"/>
        </w:rPr>
        <w:t xml:space="preserve">Bereavement</w:t>
      </w:r>
      <w:r w:rsidDel="00000000" w:rsidR="00000000" w:rsidRPr="00000000">
        <w:rPr>
          <w:sz w:val="24"/>
          <w:szCs w:val="24"/>
          <w:rtl w:val="0"/>
        </w:rPr>
        <w:t xml:space="preserve"> (4th ed.). Routledge.</w:t>
      </w:r>
    </w:p>
    <w:p w:rsidR="00000000" w:rsidDel="00000000" w:rsidP="00000000" w:rsidRDefault="00000000" w:rsidRPr="00000000" w14:paraId="00000066">
      <w:pPr>
        <w:pBdr>
          <w:left w:color="auto" w:space="0" w:sz="0" w:val="none"/>
        </w:pBdr>
        <w:spacing w:line="480" w:lineRule="auto"/>
        <w:ind w:left="720"/>
        <w:rPr>
          <w:sz w:val="24"/>
          <w:szCs w:val="24"/>
        </w:rPr>
      </w:pPr>
      <w:r w:rsidDel="00000000" w:rsidR="00000000" w:rsidRPr="00000000">
        <w:rPr>
          <w:sz w:val="24"/>
          <w:szCs w:val="24"/>
          <w:rtl w:val="0"/>
        </w:rPr>
        <w:t xml:space="preserve">Shern, D. L., Blanch, A. K., &amp; Steverman, S. M. (2016). Toxic stress, behavioral health, and the next major era in public health. </w:t>
      </w:r>
      <w:r w:rsidDel="00000000" w:rsidR="00000000" w:rsidRPr="00000000">
        <w:rPr>
          <w:i w:val="1"/>
          <w:sz w:val="24"/>
          <w:szCs w:val="24"/>
          <w:rtl w:val="0"/>
        </w:rPr>
        <w:t xml:space="preserve">American Journal of Orthopsychiatry</w:t>
      </w:r>
      <w:r w:rsidDel="00000000" w:rsidR="00000000" w:rsidRPr="00000000">
        <w:rPr>
          <w:sz w:val="24"/>
          <w:szCs w:val="24"/>
          <w:rtl w:val="0"/>
        </w:rPr>
        <w:t xml:space="preserve">, </w:t>
      </w:r>
      <w:r w:rsidDel="00000000" w:rsidR="00000000" w:rsidRPr="00000000">
        <w:rPr>
          <w:i w:val="1"/>
          <w:sz w:val="24"/>
          <w:szCs w:val="24"/>
          <w:rtl w:val="0"/>
        </w:rPr>
        <w:t xml:space="preserve">86</w:t>
      </w:r>
      <w:r w:rsidDel="00000000" w:rsidR="00000000" w:rsidRPr="00000000">
        <w:rPr>
          <w:sz w:val="24"/>
          <w:szCs w:val="24"/>
          <w:rtl w:val="0"/>
        </w:rPr>
        <w:t xml:space="preserve">(2), 109–123. https://doi.org/10.1037/ort0000120</w:t>
      </w:r>
    </w:p>
    <w:p w:rsidR="00000000" w:rsidDel="00000000" w:rsidP="00000000" w:rsidRDefault="00000000" w:rsidRPr="00000000" w14:paraId="00000067">
      <w:pPr>
        <w:pBdr>
          <w:left w:color="auto" w:space="0" w:sz="0" w:val="none"/>
        </w:pBdr>
        <w:spacing w:line="480" w:lineRule="auto"/>
        <w:ind w:left="720"/>
        <w:rPr>
          <w:sz w:val="24"/>
          <w:szCs w:val="24"/>
        </w:rPr>
      </w:pPr>
      <w:r w:rsidDel="00000000" w:rsidR="00000000" w:rsidRPr="00000000">
        <w:rPr>
          <w:sz w:val="24"/>
          <w:szCs w:val="24"/>
          <w:rtl w:val="0"/>
        </w:rPr>
        <w:t xml:space="preserve">Shonkoff, J. P., Garner, A. S., Siegel, B. S., Dobbins, M. I., Earls, M. F., Garner, A. S., McGuinn, L., Pascoe, J. M., &amp; Wood, D. L. (2012). The lifelong effects of early childhood adversity and toxic stress. </w:t>
      </w:r>
      <w:r w:rsidDel="00000000" w:rsidR="00000000" w:rsidRPr="00000000">
        <w:rPr>
          <w:i w:val="1"/>
          <w:sz w:val="24"/>
          <w:szCs w:val="24"/>
          <w:rtl w:val="0"/>
        </w:rPr>
        <w:t xml:space="preserve">Pediatrics</w:t>
      </w:r>
      <w:r w:rsidDel="00000000" w:rsidR="00000000" w:rsidRPr="00000000">
        <w:rPr>
          <w:sz w:val="24"/>
          <w:szCs w:val="24"/>
          <w:rtl w:val="0"/>
        </w:rPr>
        <w:t xml:space="preserve">, </w:t>
      </w:r>
      <w:r w:rsidDel="00000000" w:rsidR="00000000" w:rsidRPr="00000000">
        <w:rPr>
          <w:i w:val="1"/>
          <w:sz w:val="24"/>
          <w:szCs w:val="24"/>
          <w:rtl w:val="0"/>
        </w:rPr>
        <w:t xml:space="preserve">129</w:t>
      </w:r>
      <w:r w:rsidDel="00000000" w:rsidR="00000000" w:rsidRPr="00000000">
        <w:rPr>
          <w:sz w:val="24"/>
          <w:szCs w:val="24"/>
          <w:rtl w:val="0"/>
        </w:rPr>
        <w:t xml:space="preserve">(1), e232–e246. https://doi.org/10.1542/peds.2011-2663</w:t>
      </w:r>
    </w:p>
    <w:p w:rsidR="00000000" w:rsidDel="00000000" w:rsidP="00000000" w:rsidRDefault="00000000" w:rsidRPr="00000000" w14:paraId="00000068">
      <w:pPr>
        <w:pBdr>
          <w:left w:color="auto" w:space="0" w:sz="0" w:val="none"/>
        </w:pBdr>
        <w:spacing w:line="480" w:lineRule="auto"/>
        <w:ind w:left="720"/>
        <w:rPr>
          <w:sz w:val="24"/>
          <w:szCs w:val="24"/>
        </w:rPr>
      </w:pPr>
      <w:r w:rsidDel="00000000" w:rsidR="00000000" w:rsidRPr="00000000">
        <w:rPr>
          <w:sz w:val="24"/>
          <w:szCs w:val="24"/>
          <w:rtl w:val="0"/>
        </w:rPr>
        <w:t xml:space="preserve">Slopen, N., Shonkoff, J. P., Albert, M. A., Yoshikawa, H., Jacobs, A., Stoltz, R., &amp; Williams, D. R. (2016). Racial disparities in child adversity in the U.S. </w:t>
      </w:r>
      <w:r w:rsidDel="00000000" w:rsidR="00000000" w:rsidRPr="00000000">
        <w:rPr>
          <w:i w:val="1"/>
          <w:sz w:val="24"/>
          <w:szCs w:val="24"/>
          <w:rtl w:val="0"/>
        </w:rPr>
        <w:t xml:space="preserve">American Journal of Preventive Medicine</w:t>
      </w:r>
      <w:r w:rsidDel="00000000" w:rsidR="00000000" w:rsidRPr="00000000">
        <w:rPr>
          <w:sz w:val="24"/>
          <w:szCs w:val="24"/>
          <w:rtl w:val="0"/>
        </w:rPr>
        <w:t xml:space="preserve">, </w:t>
      </w:r>
      <w:r w:rsidDel="00000000" w:rsidR="00000000" w:rsidRPr="00000000">
        <w:rPr>
          <w:i w:val="1"/>
          <w:sz w:val="24"/>
          <w:szCs w:val="24"/>
          <w:rtl w:val="0"/>
        </w:rPr>
        <w:t xml:space="preserve">50</w:t>
      </w:r>
      <w:r w:rsidDel="00000000" w:rsidR="00000000" w:rsidRPr="00000000">
        <w:rPr>
          <w:sz w:val="24"/>
          <w:szCs w:val="24"/>
          <w:rtl w:val="0"/>
        </w:rPr>
        <w:t xml:space="preserve">(1), 47–56. https://doi.org/10.1016/j.amepre.2015.06.013</w:t>
      </w:r>
    </w:p>
    <w:p w:rsidR="00000000" w:rsidDel="00000000" w:rsidP="00000000" w:rsidRDefault="00000000" w:rsidRPr="00000000" w14:paraId="00000069">
      <w:pPr>
        <w:pBdr>
          <w:left w:color="auto" w:space="0" w:sz="0" w:val="none"/>
        </w:pBdr>
        <w:spacing w:line="480" w:lineRule="auto"/>
        <w:ind w:left="720"/>
        <w:rPr>
          <w:sz w:val="24"/>
          <w:szCs w:val="24"/>
        </w:rPr>
      </w:pPr>
      <w:r w:rsidDel="00000000" w:rsidR="00000000" w:rsidRPr="00000000">
        <w:rPr>
          <w:sz w:val="24"/>
          <w:szCs w:val="24"/>
          <w:rtl w:val="0"/>
        </w:rPr>
        <w:t xml:space="preserve">Soleimanpour, S., Geierstanger, S., &amp; Brindis, C. D. (2017). Adverse Childhood Experiences and Resilience: Addressing the unique needs of adolescents. </w:t>
      </w:r>
      <w:r w:rsidDel="00000000" w:rsidR="00000000" w:rsidRPr="00000000">
        <w:rPr>
          <w:i w:val="1"/>
          <w:sz w:val="24"/>
          <w:szCs w:val="24"/>
          <w:rtl w:val="0"/>
        </w:rPr>
        <w:t xml:space="preserve">Academic Pediatrics</w:t>
      </w:r>
      <w:r w:rsidDel="00000000" w:rsidR="00000000" w:rsidRPr="00000000">
        <w:rPr>
          <w:sz w:val="24"/>
          <w:szCs w:val="24"/>
          <w:rtl w:val="0"/>
        </w:rPr>
        <w:t xml:space="preserve">, </w:t>
      </w:r>
      <w:r w:rsidDel="00000000" w:rsidR="00000000" w:rsidRPr="00000000">
        <w:rPr>
          <w:i w:val="1"/>
          <w:sz w:val="24"/>
          <w:szCs w:val="24"/>
          <w:rtl w:val="0"/>
        </w:rPr>
        <w:t xml:space="preserve">17</w:t>
      </w:r>
      <w:r w:rsidDel="00000000" w:rsidR="00000000" w:rsidRPr="00000000">
        <w:rPr>
          <w:sz w:val="24"/>
          <w:szCs w:val="24"/>
          <w:rtl w:val="0"/>
        </w:rPr>
        <w:t xml:space="preserve">, S108–S114.</w:t>
      </w:r>
    </w:p>
    <w:p w:rsidR="00000000" w:rsidDel="00000000" w:rsidP="00000000" w:rsidRDefault="00000000" w:rsidRPr="00000000" w14:paraId="0000006A">
      <w:pPr>
        <w:pBdr>
          <w:left w:color="auto" w:space="0" w:sz="0" w:val="none"/>
        </w:pBdr>
        <w:spacing w:line="480" w:lineRule="auto"/>
        <w:ind w:left="720"/>
        <w:rPr>
          <w:sz w:val="24"/>
          <w:szCs w:val="24"/>
        </w:rPr>
      </w:pPr>
      <w:r w:rsidDel="00000000" w:rsidR="00000000" w:rsidRPr="00000000">
        <w:rPr>
          <w:sz w:val="24"/>
          <w:szCs w:val="24"/>
          <w:rtl w:val="0"/>
        </w:rPr>
        <w:t xml:space="preserve">Ungar, M. (2015). Practitioner Review: Diagnosing childhood resilience – a systemic approach to the diagnosis of adaptation in adverse social and physical ecologies. </w:t>
      </w:r>
      <w:r w:rsidDel="00000000" w:rsidR="00000000" w:rsidRPr="00000000">
        <w:rPr>
          <w:i w:val="1"/>
          <w:sz w:val="24"/>
          <w:szCs w:val="24"/>
          <w:rtl w:val="0"/>
        </w:rPr>
        <w:t xml:space="preserve">Journal of Child Psychology and Psychiatry</w:t>
      </w:r>
      <w:r w:rsidDel="00000000" w:rsidR="00000000" w:rsidRPr="00000000">
        <w:rPr>
          <w:sz w:val="24"/>
          <w:szCs w:val="24"/>
          <w:rtl w:val="0"/>
        </w:rPr>
        <w:t xml:space="preserve">, </w:t>
      </w:r>
      <w:r w:rsidDel="00000000" w:rsidR="00000000" w:rsidRPr="00000000">
        <w:rPr>
          <w:i w:val="1"/>
          <w:sz w:val="24"/>
          <w:szCs w:val="24"/>
          <w:rtl w:val="0"/>
        </w:rPr>
        <w:t xml:space="preserve">56</w:t>
      </w:r>
      <w:r w:rsidDel="00000000" w:rsidR="00000000" w:rsidRPr="00000000">
        <w:rPr>
          <w:sz w:val="24"/>
          <w:szCs w:val="24"/>
          <w:rtl w:val="0"/>
        </w:rPr>
        <w:t xml:space="preserve">(1), 4–17.</w:t>
      </w:r>
    </w:p>
    <w:p w:rsidR="00000000" w:rsidDel="00000000" w:rsidP="00000000" w:rsidRDefault="00000000" w:rsidRPr="00000000" w14:paraId="0000006B">
      <w:pPr>
        <w:pBdr>
          <w:left w:color="auto" w:space="0" w:sz="0" w:val="none"/>
        </w:pBdr>
        <w:spacing w:line="480" w:lineRule="auto"/>
        <w:ind w:left="720"/>
        <w:rPr>
          <w:sz w:val="24"/>
          <w:szCs w:val="24"/>
        </w:rPr>
      </w:pPr>
      <w:r w:rsidDel="00000000" w:rsidR="00000000" w:rsidRPr="00000000">
        <w:rPr>
          <w:sz w:val="24"/>
          <w:szCs w:val="24"/>
          <w:rtl w:val="0"/>
        </w:rPr>
        <w:t xml:space="preserve">Waite, R., &amp; Ryan, R. A. (2020). </w:t>
      </w:r>
      <w:r w:rsidDel="00000000" w:rsidR="00000000" w:rsidRPr="00000000">
        <w:rPr>
          <w:i w:val="1"/>
          <w:sz w:val="24"/>
          <w:szCs w:val="24"/>
          <w:rtl w:val="0"/>
        </w:rPr>
        <w:t xml:space="preserve">Adverse childhood experiences: What Students and Health Professionals Need to Know</w:t>
      </w:r>
      <w:r w:rsidDel="00000000" w:rsidR="00000000" w:rsidRPr="00000000">
        <w:rPr>
          <w:sz w:val="24"/>
          <w:szCs w:val="24"/>
          <w:rtl w:val="0"/>
        </w:rPr>
        <w:t xml:space="preserve">.</w:t>
      </w:r>
    </w:p>
    <w:p w:rsidR="00000000" w:rsidDel="00000000" w:rsidP="00000000" w:rsidRDefault="00000000" w:rsidRPr="00000000" w14:paraId="0000006C">
      <w:pPr>
        <w:pBdr>
          <w:left w:color="auto" w:space="0" w:sz="0" w:val="none"/>
        </w:pBdr>
        <w:spacing w:line="480" w:lineRule="auto"/>
        <w:ind w:left="720"/>
        <w:rPr/>
      </w:pPr>
      <w:r w:rsidDel="00000000" w:rsidR="00000000" w:rsidRPr="00000000">
        <w:rPr>
          <w:rtl w:val="0"/>
        </w:rPr>
      </w:r>
    </w:p>
    <w:p w:rsidR="00000000" w:rsidDel="00000000" w:rsidP="00000000" w:rsidRDefault="00000000" w:rsidRPr="00000000" w14:paraId="0000006D">
      <w:pPr>
        <w:pageBreakBefore w:val="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