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44124" w14:textId="77777777" w:rsidR="001B7942" w:rsidRPr="0092741F" w:rsidRDefault="006D182A" w:rsidP="0092741F">
      <w:r w:rsidRPr="003F590E">
        <w:rPr>
          <w:rFonts w:ascii="Calibri" w:eastAsia="Calibri" w:hAnsi="Calibri" w:cs="Times New Roman"/>
          <w:noProof/>
        </w:rPr>
        <w:drawing>
          <wp:inline distT="0" distB="0" distL="0" distR="0" wp14:anchorId="21908CEB" wp14:editId="417AD562">
            <wp:extent cx="5238935" cy="3695700"/>
            <wp:effectExtent l="0" t="0" r="0" b="0"/>
            <wp:docPr id="1"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8"/>
                    <a:srcRect/>
                    <a:stretch>
                      <a:fillRect/>
                    </a:stretch>
                  </pic:blipFill>
                  <pic:spPr bwMode="auto">
                    <a:xfrm>
                      <a:off x="0" y="0"/>
                      <a:ext cx="5250983" cy="3704199"/>
                    </a:xfrm>
                    <a:prstGeom prst="rect">
                      <a:avLst/>
                    </a:prstGeom>
                    <a:noFill/>
                    <a:ln w="9525">
                      <a:noFill/>
                      <a:miter lim="800000"/>
                      <a:headEnd/>
                      <a:tailEnd/>
                    </a:ln>
                  </pic:spPr>
                </pic:pic>
              </a:graphicData>
            </a:graphic>
          </wp:inline>
        </w:drawing>
      </w:r>
    </w:p>
    <w:p w14:paraId="63B3C07E" w14:textId="77777777" w:rsidR="005C261A" w:rsidRDefault="00000000" w:rsidP="006D182A">
      <w:pPr>
        <w:pStyle w:val="Heading1"/>
        <w:jc w:val="center"/>
        <w:rPr>
          <w:lang w:val="en-GB"/>
        </w:rPr>
      </w:pPr>
      <w:hyperlink r:id="rId9" w:tgtFrame="_blank" w:history="1">
        <w:bookmarkStart w:id="0" w:name="_Toc142211779"/>
        <w:r w:rsidR="006D182A" w:rsidRPr="003D745F">
          <w:rPr>
            <w:rFonts w:ascii="Segoe UI" w:hAnsi="Segoe UI" w:cs="Segoe UI"/>
            <w:color w:val="212529"/>
            <w:sz w:val="40"/>
            <w:szCs w:val="40"/>
            <w:u w:val="single"/>
          </w:rPr>
          <w:t>Community Engagement (LCBB4002)</w:t>
        </w:r>
        <w:bookmarkEnd w:id="0"/>
      </w:hyperlink>
    </w:p>
    <w:p w14:paraId="01EC8761" w14:textId="77777777" w:rsidR="0092741F" w:rsidRDefault="0092741F" w:rsidP="004150F1">
      <w:pPr>
        <w:pStyle w:val="Heading1"/>
        <w:rPr>
          <w:lang w:val="en-GB"/>
        </w:rPr>
      </w:pPr>
    </w:p>
    <w:p w14:paraId="6A125367" w14:textId="77777777" w:rsidR="0092741F" w:rsidRPr="0092741F" w:rsidRDefault="0092741F" w:rsidP="0092741F">
      <w:pPr>
        <w:rPr>
          <w:lang w:val="en-GB"/>
        </w:rPr>
      </w:pPr>
    </w:p>
    <w:p w14:paraId="5C1674FA" w14:textId="77777777" w:rsidR="0092741F" w:rsidRDefault="0092741F" w:rsidP="004150F1">
      <w:pPr>
        <w:pStyle w:val="Heading1"/>
        <w:rPr>
          <w:lang w:val="en-GB"/>
        </w:rPr>
      </w:pPr>
    </w:p>
    <w:p w14:paraId="64929480" w14:textId="77777777" w:rsidR="006D182A" w:rsidRPr="006D182A" w:rsidRDefault="006D182A" w:rsidP="006D182A">
      <w:pPr>
        <w:rPr>
          <w:rFonts w:asciiTheme="majorHAnsi" w:eastAsiaTheme="majorEastAsia" w:hAnsiTheme="majorHAnsi" w:cstheme="majorBidi"/>
          <w:color w:val="365F91" w:themeColor="accent1" w:themeShade="BF"/>
          <w:sz w:val="32"/>
          <w:szCs w:val="32"/>
          <w:lang w:val="en-GB"/>
        </w:rPr>
      </w:pPr>
      <w:r w:rsidRPr="006D182A">
        <w:rPr>
          <w:rFonts w:asciiTheme="majorHAnsi" w:eastAsiaTheme="majorEastAsia" w:hAnsiTheme="majorHAnsi" w:cstheme="majorBidi"/>
          <w:color w:val="365F91" w:themeColor="accent1" w:themeShade="BF"/>
          <w:sz w:val="32"/>
          <w:szCs w:val="32"/>
          <w:lang w:val="en-GB"/>
        </w:rPr>
        <w:t>Cosmin Constatin Mihai</w:t>
      </w:r>
    </w:p>
    <w:p w14:paraId="6657F21A" w14:textId="77777777" w:rsidR="006D182A" w:rsidRPr="006D182A" w:rsidRDefault="006D182A" w:rsidP="006D182A">
      <w:pPr>
        <w:rPr>
          <w:rFonts w:asciiTheme="majorHAnsi" w:eastAsiaTheme="majorEastAsia" w:hAnsiTheme="majorHAnsi" w:cstheme="majorBidi"/>
          <w:color w:val="365F91" w:themeColor="accent1" w:themeShade="BF"/>
          <w:sz w:val="32"/>
          <w:szCs w:val="32"/>
          <w:lang w:val="en-GB"/>
        </w:rPr>
      </w:pPr>
      <w:r w:rsidRPr="006D182A">
        <w:rPr>
          <w:rFonts w:asciiTheme="majorHAnsi" w:eastAsiaTheme="majorEastAsia" w:hAnsiTheme="majorHAnsi" w:cstheme="majorBidi"/>
          <w:color w:val="365F91" w:themeColor="accent1" w:themeShade="BF"/>
          <w:sz w:val="32"/>
          <w:szCs w:val="32"/>
          <w:lang w:val="en-GB"/>
        </w:rPr>
        <w:t>ID-2115663</w:t>
      </w:r>
    </w:p>
    <w:p w14:paraId="56EFB619" w14:textId="77777777" w:rsidR="006D182A" w:rsidRPr="006D182A" w:rsidRDefault="006D182A" w:rsidP="006D182A">
      <w:pPr>
        <w:ind w:left="720"/>
        <w:jc w:val="right"/>
        <w:rPr>
          <w:rFonts w:asciiTheme="majorHAnsi" w:eastAsiaTheme="majorEastAsia" w:hAnsiTheme="majorHAnsi" w:cstheme="majorBidi"/>
          <w:color w:val="365F91" w:themeColor="accent1" w:themeShade="BF"/>
          <w:sz w:val="32"/>
          <w:szCs w:val="32"/>
          <w:lang w:val="en-GB"/>
        </w:rPr>
      </w:pPr>
      <w:proofErr w:type="gramStart"/>
      <w:r w:rsidRPr="006D182A">
        <w:rPr>
          <w:rFonts w:asciiTheme="majorHAnsi" w:eastAsiaTheme="majorEastAsia" w:hAnsiTheme="majorHAnsi" w:cstheme="majorBidi"/>
          <w:color w:val="365F91" w:themeColor="accent1" w:themeShade="BF"/>
          <w:sz w:val="32"/>
          <w:szCs w:val="32"/>
          <w:lang w:val="en-GB"/>
        </w:rPr>
        <w:t>Lecturer :</w:t>
      </w:r>
      <w:proofErr w:type="gramEnd"/>
      <w:r w:rsidRPr="006D182A">
        <w:rPr>
          <w:rFonts w:asciiTheme="majorHAnsi" w:eastAsiaTheme="majorEastAsia" w:hAnsiTheme="majorHAnsi" w:cstheme="majorBidi"/>
          <w:color w:val="365F91" w:themeColor="accent1" w:themeShade="BF"/>
          <w:sz w:val="32"/>
          <w:szCs w:val="32"/>
        </w:rPr>
        <w:t> Nadeem Mirza</w:t>
      </w:r>
    </w:p>
    <w:p w14:paraId="4529B114" w14:textId="77777777" w:rsidR="006D182A" w:rsidRDefault="006D182A" w:rsidP="006D182A">
      <w:pPr>
        <w:rPr>
          <w:lang w:val="en-GB"/>
        </w:rPr>
      </w:pPr>
    </w:p>
    <w:p w14:paraId="6B7B177E" w14:textId="77777777" w:rsidR="006D182A" w:rsidRDefault="006D182A" w:rsidP="006D182A">
      <w:pPr>
        <w:rPr>
          <w:lang w:val="en-GB"/>
        </w:rPr>
      </w:pPr>
    </w:p>
    <w:p w14:paraId="6C4124B2" w14:textId="77777777" w:rsidR="006D182A" w:rsidRDefault="006D182A" w:rsidP="006D182A">
      <w:pPr>
        <w:rPr>
          <w:lang w:val="en-GB"/>
        </w:rPr>
      </w:pPr>
    </w:p>
    <w:p w14:paraId="1A29BE79" w14:textId="77777777" w:rsidR="006D182A" w:rsidRDefault="006D182A" w:rsidP="006D182A">
      <w:pPr>
        <w:rPr>
          <w:lang w:val="en-GB"/>
        </w:rPr>
      </w:pPr>
    </w:p>
    <w:p w14:paraId="4E7CDA88" w14:textId="77777777" w:rsidR="006D182A" w:rsidRDefault="006D182A" w:rsidP="006D182A">
      <w:pPr>
        <w:rPr>
          <w:lang w:val="en-GB"/>
        </w:rPr>
      </w:pPr>
    </w:p>
    <w:sdt>
      <w:sdtPr>
        <w:rPr>
          <w:rFonts w:asciiTheme="minorHAnsi" w:eastAsiaTheme="minorHAnsi" w:hAnsiTheme="minorHAnsi" w:cstheme="minorBidi"/>
          <w:color w:val="auto"/>
          <w:kern w:val="2"/>
          <w:sz w:val="22"/>
          <w:szCs w:val="22"/>
        </w:rPr>
        <w:id w:val="-411244943"/>
        <w:docPartObj>
          <w:docPartGallery w:val="Table of Contents"/>
          <w:docPartUnique/>
        </w:docPartObj>
      </w:sdtPr>
      <w:sdtEndPr>
        <w:rPr>
          <w:b/>
          <w:bCs/>
          <w:noProof/>
        </w:rPr>
      </w:sdtEndPr>
      <w:sdtContent>
        <w:p w14:paraId="26D8848D" w14:textId="77777777" w:rsidR="006D182A" w:rsidRDefault="006D182A">
          <w:pPr>
            <w:pStyle w:val="TOCHeading"/>
          </w:pPr>
          <w:r>
            <w:t>Table of Contents</w:t>
          </w:r>
        </w:p>
        <w:p w14:paraId="5B61D356" w14:textId="77777777" w:rsidR="006D182A" w:rsidRPr="006D182A" w:rsidRDefault="008047E6">
          <w:pPr>
            <w:pStyle w:val="TOC1"/>
            <w:rPr>
              <w:rFonts w:eastAsiaTheme="minorEastAsia"/>
              <w:b w:val="0"/>
              <w:bCs w:val="0"/>
              <w:sz w:val="22"/>
              <w:szCs w:val="22"/>
              <w:lang w:eastAsia="en-GB"/>
            </w:rPr>
          </w:pPr>
          <w:r>
            <w:fldChar w:fldCharType="begin"/>
          </w:r>
          <w:r w:rsidR="006D182A">
            <w:instrText xml:space="preserve"> TOC \o "1-3" \h \z \u </w:instrText>
          </w:r>
          <w:r>
            <w:fldChar w:fldCharType="separate"/>
          </w:r>
          <w:hyperlink w:anchor="_Toc142211779" w:history="1">
            <w:r w:rsidR="006D182A" w:rsidRPr="00081A6B">
              <w:rPr>
                <w:rStyle w:val="Hyperlink"/>
                <w:rFonts w:ascii="Segoe UI" w:hAnsi="Segoe UI" w:cs="Segoe UI"/>
              </w:rPr>
              <w:t>Community Engagement (LCBB4002)</w:t>
            </w:r>
            <w:r w:rsidR="006D182A">
              <w:rPr>
                <w:webHidden/>
              </w:rPr>
              <w:tab/>
            </w:r>
            <w:r>
              <w:rPr>
                <w:webHidden/>
              </w:rPr>
              <w:fldChar w:fldCharType="begin"/>
            </w:r>
            <w:r w:rsidR="006D182A">
              <w:rPr>
                <w:webHidden/>
              </w:rPr>
              <w:instrText xml:space="preserve"> PAGEREF _Toc142211779 \h </w:instrText>
            </w:r>
            <w:r>
              <w:rPr>
                <w:webHidden/>
              </w:rPr>
            </w:r>
            <w:r>
              <w:rPr>
                <w:webHidden/>
              </w:rPr>
              <w:fldChar w:fldCharType="separate"/>
            </w:r>
            <w:r w:rsidR="006D182A">
              <w:rPr>
                <w:webHidden/>
              </w:rPr>
              <w:t>1</w:t>
            </w:r>
            <w:r>
              <w:rPr>
                <w:webHidden/>
              </w:rPr>
              <w:fldChar w:fldCharType="end"/>
            </w:r>
          </w:hyperlink>
        </w:p>
        <w:p w14:paraId="52F57A56" w14:textId="77777777" w:rsidR="006D182A" w:rsidRPr="006D182A" w:rsidRDefault="00000000">
          <w:pPr>
            <w:pStyle w:val="TOC1"/>
            <w:rPr>
              <w:rFonts w:eastAsiaTheme="minorEastAsia"/>
              <w:b w:val="0"/>
              <w:bCs w:val="0"/>
              <w:sz w:val="22"/>
              <w:szCs w:val="22"/>
              <w:lang w:eastAsia="en-GB"/>
            </w:rPr>
          </w:pPr>
          <w:hyperlink w:anchor="_Toc142211780" w:history="1">
            <w:r w:rsidR="006D182A" w:rsidRPr="00081A6B">
              <w:rPr>
                <w:rStyle w:val="Hyperlink"/>
              </w:rPr>
              <w:t>Introduction</w:t>
            </w:r>
            <w:r w:rsidR="006D182A">
              <w:rPr>
                <w:webHidden/>
              </w:rPr>
              <w:tab/>
            </w:r>
            <w:r w:rsidR="008047E6">
              <w:rPr>
                <w:webHidden/>
              </w:rPr>
              <w:fldChar w:fldCharType="begin"/>
            </w:r>
            <w:r w:rsidR="006D182A">
              <w:rPr>
                <w:webHidden/>
              </w:rPr>
              <w:instrText xml:space="preserve"> PAGEREF _Toc142211780 \h </w:instrText>
            </w:r>
            <w:r w:rsidR="008047E6">
              <w:rPr>
                <w:webHidden/>
              </w:rPr>
            </w:r>
            <w:r w:rsidR="008047E6">
              <w:rPr>
                <w:webHidden/>
              </w:rPr>
              <w:fldChar w:fldCharType="separate"/>
            </w:r>
            <w:r w:rsidR="006D182A">
              <w:rPr>
                <w:webHidden/>
              </w:rPr>
              <w:t>2</w:t>
            </w:r>
            <w:r w:rsidR="008047E6">
              <w:rPr>
                <w:webHidden/>
              </w:rPr>
              <w:fldChar w:fldCharType="end"/>
            </w:r>
          </w:hyperlink>
        </w:p>
        <w:p w14:paraId="2E6304E4" w14:textId="77777777" w:rsidR="006D182A" w:rsidRPr="006D182A" w:rsidRDefault="00000000">
          <w:pPr>
            <w:pStyle w:val="TOC1"/>
            <w:rPr>
              <w:rFonts w:eastAsiaTheme="minorEastAsia"/>
              <w:b w:val="0"/>
              <w:bCs w:val="0"/>
              <w:sz w:val="22"/>
              <w:szCs w:val="22"/>
              <w:lang w:eastAsia="en-GB"/>
            </w:rPr>
          </w:pPr>
          <w:hyperlink w:anchor="_Toc142211781" w:history="1">
            <w:r w:rsidR="006D182A" w:rsidRPr="00081A6B">
              <w:rPr>
                <w:rStyle w:val="Hyperlink"/>
              </w:rPr>
              <w:t>Project Overview</w:t>
            </w:r>
            <w:r w:rsidR="006D182A">
              <w:rPr>
                <w:webHidden/>
              </w:rPr>
              <w:tab/>
            </w:r>
            <w:r w:rsidR="008047E6">
              <w:rPr>
                <w:webHidden/>
              </w:rPr>
              <w:fldChar w:fldCharType="begin"/>
            </w:r>
            <w:r w:rsidR="006D182A">
              <w:rPr>
                <w:webHidden/>
              </w:rPr>
              <w:instrText xml:space="preserve"> PAGEREF _Toc142211781 \h </w:instrText>
            </w:r>
            <w:r w:rsidR="008047E6">
              <w:rPr>
                <w:webHidden/>
              </w:rPr>
            </w:r>
            <w:r w:rsidR="008047E6">
              <w:rPr>
                <w:webHidden/>
              </w:rPr>
              <w:fldChar w:fldCharType="separate"/>
            </w:r>
            <w:r w:rsidR="006D182A">
              <w:rPr>
                <w:webHidden/>
              </w:rPr>
              <w:t>2</w:t>
            </w:r>
            <w:r w:rsidR="008047E6">
              <w:rPr>
                <w:webHidden/>
              </w:rPr>
              <w:fldChar w:fldCharType="end"/>
            </w:r>
          </w:hyperlink>
        </w:p>
        <w:p w14:paraId="27BF7BE4" w14:textId="77777777" w:rsidR="006D182A" w:rsidRPr="006D182A" w:rsidRDefault="00000000">
          <w:pPr>
            <w:pStyle w:val="TOC1"/>
            <w:rPr>
              <w:rFonts w:eastAsiaTheme="minorEastAsia"/>
              <w:b w:val="0"/>
              <w:bCs w:val="0"/>
              <w:sz w:val="22"/>
              <w:szCs w:val="22"/>
              <w:lang w:eastAsia="en-GB"/>
            </w:rPr>
          </w:pPr>
          <w:hyperlink w:anchor="_Toc142211782" w:history="1">
            <w:r w:rsidR="006D182A" w:rsidRPr="00081A6B">
              <w:rPr>
                <w:rStyle w:val="Hyperlink"/>
              </w:rPr>
              <w:t>Challenges Addressed</w:t>
            </w:r>
            <w:r w:rsidR="006D182A">
              <w:rPr>
                <w:webHidden/>
              </w:rPr>
              <w:tab/>
            </w:r>
            <w:r w:rsidR="008047E6">
              <w:rPr>
                <w:webHidden/>
              </w:rPr>
              <w:fldChar w:fldCharType="begin"/>
            </w:r>
            <w:r w:rsidR="006D182A">
              <w:rPr>
                <w:webHidden/>
              </w:rPr>
              <w:instrText xml:space="preserve"> PAGEREF _Toc142211782 \h </w:instrText>
            </w:r>
            <w:r w:rsidR="008047E6">
              <w:rPr>
                <w:webHidden/>
              </w:rPr>
            </w:r>
            <w:r w:rsidR="008047E6">
              <w:rPr>
                <w:webHidden/>
              </w:rPr>
              <w:fldChar w:fldCharType="separate"/>
            </w:r>
            <w:r w:rsidR="006D182A">
              <w:rPr>
                <w:webHidden/>
              </w:rPr>
              <w:t>3</w:t>
            </w:r>
            <w:r w:rsidR="008047E6">
              <w:rPr>
                <w:webHidden/>
              </w:rPr>
              <w:fldChar w:fldCharType="end"/>
            </w:r>
          </w:hyperlink>
        </w:p>
        <w:p w14:paraId="7800A43B" w14:textId="77777777" w:rsidR="006D182A" w:rsidRPr="006D182A" w:rsidRDefault="00000000">
          <w:pPr>
            <w:pStyle w:val="TOC2"/>
            <w:tabs>
              <w:tab w:val="right" w:leader="dot" w:pos="9350"/>
            </w:tabs>
            <w:rPr>
              <w:rFonts w:eastAsiaTheme="minorEastAsia"/>
              <w:noProof/>
              <w:lang w:val="en-GB" w:eastAsia="en-GB"/>
            </w:rPr>
          </w:pPr>
          <w:hyperlink w:anchor="_Toc142211783" w:history="1">
            <w:r w:rsidR="006D182A" w:rsidRPr="00081A6B">
              <w:rPr>
                <w:rStyle w:val="Hyperlink"/>
                <w:noProof/>
                <w:lang w:val="en-GB"/>
              </w:rPr>
              <w:t>Unsustainable Agriculture</w:t>
            </w:r>
            <w:r w:rsidR="006D182A">
              <w:rPr>
                <w:noProof/>
                <w:webHidden/>
              </w:rPr>
              <w:tab/>
            </w:r>
            <w:r w:rsidR="008047E6">
              <w:rPr>
                <w:noProof/>
                <w:webHidden/>
              </w:rPr>
              <w:fldChar w:fldCharType="begin"/>
            </w:r>
            <w:r w:rsidR="006D182A">
              <w:rPr>
                <w:noProof/>
                <w:webHidden/>
              </w:rPr>
              <w:instrText xml:space="preserve"> PAGEREF _Toc142211783 \h </w:instrText>
            </w:r>
            <w:r w:rsidR="008047E6">
              <w:rPr>
                <w:noProof/>
                <w:webHidden/>
              </w:rPr>
            </w:r>
            <w:r w:rsidR="008047E6">
              <w:rPr>
                <w:noProof/>
                <w:webHidden/>
              </w:rPr>
              <w:fldChar w:fldCharType="separate"/>
            </w:r>
            <w:r w:rsidR="006D182A">
              <w:rPr>
                <w:noProof/>
                <w:webHidden/>
              </w:rPr>
              <w:t>3</w:t>
            </w:r>
            <w:r w:rsidR="008047E6">
              <w:rPr>
                <w:noProof/>
                <w:webHidden/>
              </w:rPr>
              <w:fldChar w:fldCharType="end"/>
            </w:r>
          </w:hyperlink>
        </w:p>
        <w:p w14:paraId="4BA9536F" w14:textId="77777777" w:rsidR="006D182A" w:rsidRPr="006D182A" w:rsidRDefault="00000000">
          <w:pPr>
            <w:pStyle w:val="TOC2"/>
            <w:tabs>
              <w:tab w:val="right" w:leader="dot" w:pos="9350"/>
            </w:tabs>
            <w:rPr>
              <w:rFonts w:eastAsiaTheme="minorEastAsia"/>
              <w:noProof/>
              <w:lang w:val="en-GB" w:eastAsia="en-GB"/>
            </w:rPr>
          </w:pPr>
          <w:hyperlink w:anchor="_Toc142211784" w:history="1">
            <w:r w:rsidR="006D182A" w:rsidRPr="00081A6B">
              <w:rPr>
                <w:rStyle w:val="Hyperlink"/>
                <w:noProof/>
                <w:lang w:val="en-GB"/>
              </w:rPr>
              <w:t>Limited Access to Fresh Produce</w:t>
            </w:r>
            <w:r w:rsidR="006D182A">
              <w:rPr>
                <w:noProof/>
                <w:webHidden/>
              </w:rPr>
              <w:tab/>
            </w:r>
            <w:r w:rsidR="008047E6">
              <w:rPr>
                <w:noProof/>
                <w:webHidden/>
              </w:rPr>
              <w:fldChar w:fldCharType="begin"/>
            </w:r>
            <w:r w:rsidR="006D182A">
              <w:rPr>
                <w:noProof/>
                <w:webHidden/>
              </w:rPr>
              <w:instrText xml:space="preserve"> PAGEREF _Toc142211784 \h </w:instrText>
            </w:r>
            <w:r w:rsidR="008047E6">
              <w:rPr>
                <w:noProof/>
                <w:webHidden/>
              </w:rPr>
            </w:r>
            <w:r w:rsidR="008047E6">
              <w:rPr>
                <w:noProof/>
                <w:webHidden/>
              </w:rPr>
              <w:fldChar w:fldCharType="separate"/>
            </w:r>
            <w:r w:rsidR="006D182A">
              <w:rPr>
                <w:noProof/>
                <w:webHidden/>
              </w:rPr>
              <w:t>4</w:t>
            </w:r>
            <w:r w:rsidR="008047E6">
              <w:rPr>
                <w:noProof/>
                <w:webHidden/>
              </w:rPr>
              <w:fldChar w:fldCharType="end"/>
            </w:r>
          </w:hyperlink>
        </w:p>
        <w:p w14:paraId="39F2A7A9" w14:textId="77777777" w:rsidR="006D182A" w:rsidRPr="006D182A" w:rsidRDefault="00000000">
          <w:pPr>
            <w:pStyle w:val="TOC1"/>
            <w:rPr>
              <w:rFonts w:eastAsiaTheme="minorEastAsia"/>
              <w:b w:val="0"/>
              <w:bCs w:val="0"/>
              <w:sz w:val="22"/>
              <w:szCs w:val="22"/>
              <w:lang w:eastAsia="en-GB"/>
            </w:rPr>
          </w:pPr>
          <w:hyperlink w:anchor="_Toc142211785" w:history="1">
            <w:r w:rsidR="006D182A" w:rsidRPr="00081A6B">
              <w:rPr>
                <w:rStyle w:val="Hyperlink"/>
              </w:rPr>
              <w:t>Objectives, Stakeholders, and Benefits</w:t>
            </w:r>
            <w:r w:rsidR="006D182A">
              <w:rPr>
                <w:webHidden/>
              </w:rPr>
              <w:tab/>
            </w:r>
            <w:r w:rsidR="008047E6">
              <w:rPr>
                <w:webHidden/>
              </w:rPr>
              <w:fldChar w:fldCharType="begin"/>
            </w:r>
            <w:r w:rsidR="006D182A">
              <w:rPr>
                <w:webHidden/>
              </w:rPr>
              <w:instrText xml:space="preserve"> PAGEREF _Toc142211785 \h </w:instrText>
            </w:r>
            <w:r w:rsidR="008047E6">
              <w:rPr>
                <w:webHidden/>
              </w:rPr>
            </w:r>
            <w:r w:rsidR="008047E6">
              <w:rPr>
                <w:webHidden/>
              </w:rPr>
              <w:fldChar w:fldCharType="separate"/>
            </w:r>
            <w:r w:rsidR="006D182A">
              <w:rPr>
                <w:webHidden/>
              </w:rPr>
              <w:t>5</w:t>
            </w:r>
            <w:r w:rsidR="008047E6">
              <w:rPr>
                <w:webHidden/>
              </w:rPr>
              <w:fldChar w:fldCharType="end"/>
            </w:r>
          </w:hyperlink>
        </w:p>
        <w:p w14:paraId="2D16CC2C" w14:textId="77777777" w:rsidR="006D182A" w:rsidRPr="006D182A" w:rsidRDefault="00000000">
          <w:pPr>
            <w:pStyle w:val="TOC1"/>
            <w:rPr>
              <w:rFonts w:eastAsiaTheme="minorEastAsia"/>
              <w:b w:val="0"/>
              <w:bCs w:val="0"/>
              <w:sz w:val="22"/>
              <w:szCs w:val="22"/>
              <w:lang w:eastAsia="en-GB"/>
            </w:rPr>
          </w:pPr>
          <w:hyperlink w:anchor="_Toc142211786" w:history="1">
            <w:r w:rsidR="006D182A" w:rsidRPr="00081A6B">
              <w:rPr>
                <w:rStyle w:val="Hyperlink"/>
              </w:rPr>
              <w:t>Community Engagement Strategies</w:t>
            </w:r>
            <w:r w:rsidR="006D182A">
              <w:rPr>
                <w:webHidden/>
              </w:rPr>
              <w:tab/>
            </w:r>
            <w:r w:rsidR="008047E6">
              <w:rPr>
                <w:webHidden/>
              </w:rPr>
              <w:fldChar w:fldCharType="begin"/>
            </w:r>
            <w:r w:rsidR="006D182A">
              <w:rPr>
                <w:webHidden/>
              </w:rPr>
              <w:instrText xml:space="preserve"> PAGEREF _Toc142211786 \h </w:instrText>
            </w:r>
            <w:r w:rsidR="008047E6">
              <w:rPr>
                <w:webHidden/>
              </w:rPr>
            </w:r>
            <w:r w:rsidR="008047E6">
              <w:rPr>
                <w:webHidden/>
              </w:rPr>
              <w:fldChar w:fldCharType="separate"/>
            </w:r>
            <w:r w:rsidR="006D182A">
              <w:rPr>
                <w:webHidden/>
              </w:rPr>
              <w:t>6</w:t>
            </w:r>
            <w:r w:rsidR="008047E6">
              <w:rPr>
                <w:webHidden/>
              </w:rPr>
              <w:fldChar w:fldCharType="end"/>
            </w:r>
          </w:hyperlink>
        </w:p>
        <w:p w14:paraId="5EA37C4A" w14:textId="77777777" w:rsidR="006D182A" w:rsidRPr="006D182A" w:rsidRDefault="00000000">
          <w:pPr>
            <w:pStyle w:val="TOC1"/>
            <w:rPr>
              <w:rFonts w:eastAsiaTheme="minorEastAsia"/>
              <w:b w:val="0"/>
              <w:bCs w:val="0"/>
              <w:sz w:val="22"/>
              <w:szCs w:val="22"/>
              <w:lang w:eastAsia="en-GB"/>
            </w:rPr>
          </w:pPr>
          <w:hyperlink w:anchor="_Toc142211787" w:history="1">
            <w:r w:rsidR="006D182A" w:rsidRPr="00081A6B">
              <w:rPr>
                <w:rStyle w:val="Hyperlink"/>
              </w:rPr>
              <w:t>Active Areas and Approaches</w:t>
            </w:r>
            <w:r w:rsidR="006D182A">
              <w:rPr>
                <w:webHidden/>
              </w:rPr>
              <w:tab/>
            </w:r>
            <w:r w:rsidR="008047E6">
              <w:rPr>
                <w:webHidden/>
              </w:rPr>
              <w:fldChar w:fldCharType="begin"/>
            </w:r>
            <w:r w:rsidR="006D182A">
              <w:rPr>
                <w:webHidden/>
              </w:rPr>
              <w:instrText xml:space="preserve"> PAGEREF _Toc142211787 \h </w:instrText>
            </w:r>
            <w:r w:rsidR="008047E6">
              <w:rPr>
                <w:webHidden/>
              </w:rPr>
            </w:r>
            <w:r w:rsidR="008047E6">
              <w:rPr>
                <w:webHidden/>
              </w:rPr>
              <w:fldChar w:fldCharType="separate"/>
            </w:r>
            <w:r w:rsidR="006D182A">
              <w:rPr>
                <w:webHidden/>
              </w:rPr>
              <w:t>6</w:t>
            </w:r>
            <w:r w:rsidR="008047E6">
              <w:rPr>
                <w:webHidden/>
              </w:rPr>
              <w:fldChar w:fldCharType="end"/>
            </w:r>
          </w:hyperlink>
        </w:p>
        <w:p w14:paraId="40E40796" w14:textId="77777777" w:rsidR="006D182A" w:rsidRPr="006D182A" w:rsidRDefault="00000000">
          <w:pPr>
            <w:pStyle w:val="TOC1"/>
            <w:rPr>
              <w:rFonts w:eastAsiaTheme="minorEastAsia"/>
              <w:b w:val="0"/>
              <w:bCs w:val="0"/>
              <w:sz w:val="22"/>
              <w:szCs w:val="22"/>
              <w:lang w:eastAsia="en-GB"/>
            </w:rPr>
          </w:pPr>
          <w:hyperlink w:anchor="_Toc142211788" w:history="1">
            <w:r w:rsidR="006D182A" w:rsidRPr="00081A6B">
              <w:rPr>
                <w:rStyle w:val="Hyperlink"/>
              </w:rPr>
              <w:t>Lessons Learned</w:t>
            </w:r>
            <w:r w:rsidR="006D182A">
              <w:rPr>
                <w:webHidden/>
              </w:rPr>
              <w:tab/>
            </w:r>
            <w:r w:rsidR="008047E6">
              <w:rPr>
                <w:webHidden/>
              </w:rPr>
              <w:fldChar w:fldCharType="begin"/>
            </w:r>
            <w:r w:rsidR="006D182A">
              <w:rPr>
                <w:webHidden/>
              </w:rPr>
              <w:instrText xml:space="preserve"> PAGEREF _Toc142211788 \h </w:instrText>
            </w:r>
            <w:r w:rsidR="008047E6">
              <w:rPr>
                <w:webHidden/>
              </w:rPr>
            </w:r>
            <w:r w:rsidR="008047E6">
              <w:rPr>
                <w:webHidden/>
              </w:rPr>
              <w:fldChar w:fldCharType="separate"/>
            </w:r>
            <w:r w:rsidR="006D182A">
              <w:rPr>
                <w:webHidden/>
              </w:rPr>
              <w:t>6</w:t>
            </w:r>
            <w:r w:rsidR="008047E6">
              <w:rPr>
                <w:webHidden/>
              </w:rPr>
              <w:fldChar w:fldCharType="end"/>
            </w:r>
          </w:hyperlink>
        </w:p>
        <w:p w14:paraId="0703E421" w14:textId="77777777" w:rsidR="006D182A" w:rsidRPr="006D182A" w:rsidRDefault="00000000">
          <w:pPr>
            <w:pStyle w:val="TOC1"/>
            <w:rPr>
              <w:rFonts w:eastAsiaTheme="minorEastAsia"/>
              <w:b w:val="0"/>
              <w:bCs w:val="0"/>
              <w:sz w:val="22"/>
              <w:szCs w:val="22"/>
              <w:lang w:eastAsia="en-GB"/>
            </w:rPr>
          </w:pPr>
          <w:hyperlink w:anchor="_Toc142211789" w:history="1">
            <w:r w:rsidR="006D182A" w:rsidRPr="00081A6B">
              <w:rPr>
                <w:rStyle w:val="Hyperlink"/>
              </w:rPr>
              <w:t>Post-Project Considerations</w:t>
            </w:r>
            <w:r w:rsidR="006D182A">
              <w:rPr>
                <w:webHidden/>
              </w:rPr>
              <w:tab/>
            </w:r>
            <w:r w:rsidR="008047E6">
              <w:rPr>
                <w:webHidden/>
              </w:rPr>
              <w:fldChar w:fldCharType="begin"/>
            </w:r>
            <w:r w:rsidR="006D182A">
              <w:rPr>
                <w:webHidden/>
              </w:rPr>
              <w:instrText xml:space="preserve"> PAGEREF _Toc142211789 \h </w:instrText>
            </w:r>
            <w:r w:rsidR="008047E6">
              <w:rPr>
                <w:webHidden/>
              </w:rPr>
            </w:r>
            <w:r w:rsidR="008047E6">
              <w:rPr>
                <w:webHidden/>
              </w:rPr>
              <w:fldChar w:fldCharType="separate"/>
            </w:r>
            <w:r w:rsidR="006D182A">
              <w:rPr>
                <w:webHidden/>
              </w:rPr>
              <w:t>7</w:t>
            </w:r>
            <w:r w:rsidR="008047E6">
              <w:rPr>
                <w:webHidden/>
              </w:rPr>
              <w:fldChar w:fldCharType="end"/>
            </w:r>
          </w:hyperlink>
        </w:p>
        <w:p w14:paraId="3B538946" w14:textId="77777777" w:rsidR="006D182A" w:rsidRPr="006D182A" w:rsidRDefault="00000000">
          <w:pPr>
            <w:pStyle w:val="TOC1"/>
            <w:rPr>
              <w:rFonts w:eastAsiaTheme="minorEastAsia"/>
              <w:b w:val="0"/>
              <w:bCs w:val="0"/>
              <w:sz w:val="22"/>
              <w:szCs w:val="22"/>
              <w:lang w:eastAsia="en-GB"/>
            </w:rPr>
          </w:pPr>
          <w:hyperlink w:anchor="_Toc142211790" w:history="1">
            <w:r w:rsidR="006D182A" w:rsidRPr="00081A6B">
              <w:rPr>
                <w:rStyle w:val="Hyperlink"/>
              </w:rPr>
              <w:t>Conclusion and Recommendations</w:t>
            </w:r>
            <w:r w:rsidR="006D182A">
              <w:rPr>
                <w:webHidden/>
              </w:rPr>
              <w:tab/>
            </w:r>
            <w:r w:rsidR="008047E6">
              <w:rPr>
                <w:webHidden/>
              </w:rPr>
              <w:fldChar w:fldCharType="begin"/>
            </w:r>
            <w:r w:rsidR="006D182A">
              <w:rPr>
                <w:webHidden/>
              </w:rPr>
              <w:instrText xml:space="preserve"> PAGEREF _Toc142211790 \h </w:instrText>
            </w:r>
            <w:r w:rsidR="008047E6">
              <w:rPr>
                <w:webHidden/>
              </w:rPr>
            </w:r>
            <w:r w:rsidR="008047E6">
              <w:rPr>
                <w:webHidden/>
              </w:rPr>
              <w:fldChar w:fldCharType="separate"/>
            </w:r>
            <w:r w:rsidR="006D182A">
              <w:rPr>
                <w:webHidden/>
              </w:rPr>
              <w:t>8</w:t>
            </w:r>
            <w:r w:rsidR="008047E6">
              <w:rPr>
                <w:webHidden/>
              </w:rPr>
              <w:fldChar w:fldCharType="end"/>
            </w:r>
          </w:hyperlink>
        </w:p>
        <w:p w14:paraId="0EC6209E" w14:textId="77777777" w:rsidR="006D182A" w:rsidRPr="006D182A" w:rsidRDefault="00000000">
          <w:pPr>
            <w:pStyle w:val="TOC1"/>
            <w:rPr>
              <w:rFonts w:eastAsiaTheme="minorEastAsia"/>
              <w:b w:val="0"/>
              <w:bCs w:val="0"/>
              <w:sz w:val="22"/>
              <w:szCs w:val="22"/>
              <w:lang w:eastAsia="en-GB"/>
            </w:rPr>
          </w:pPr>
          <w:hyperlink w:anchor="_Toc142211791" w:history="1">
            <w:r w:rsidR="006D182A" w:rsidRPr="00081A6B">
              <w:rPr>
                <w:rStyle w:val="Hyperlink"/>
              </w:rPr>
              <w:t>Reference</w:t>
            </w:r>
            <w:r w:rsidR="006D182A">
              <w:rPr>
                <w:webHidden/>
              </w:rPr>
              <w:tab/>
            </w:r>
            <w:r w:rsidR="008047E6">
              <w:rPr>
                <w:webHidden/>
              </w:rPr>
              <w:fldChar w:fldCharType="begin"/>
            </w:r>
            <w:r w:rsidR="006D182A">
              <w:rPr>
                <w:webHidden/>
              </w:rPr>
              <w:instrText xml:space="preserve"> PAGEREF _Toc142211791 \h </w:instrText>
            </w:r>
            <w:r w:rsidR="008047E6">
              <w:rPr>
                <w:webHidden/>
              </w:rPr>
            </w:r>
            <w:r w:rsidR="008047E6">
              <w:rPr>
                <w:webHidden/>
              </w:rPr>
              <w:fldChar w:fldCharType="separate"/>
            </w:r>
            <w:r w:rsidR="006D182A">
              <w:rPr>
                <w:webHidden/>
              </w:rPr>
              <w:t>9</w:t>
            </w:r>
            <w:r w:rsidR="008047E6">
              <w:rPr>
                <w:webHidden/>
              </w:rPr>
              <w:fldChar w:fldCharType="end"/>
            </w:r>
          </w:hyperlink>
        </w:p>
        <w:p w14:paraId="61DE0D3C" w14:textId="77777777" w:rsidR="006D182A" w:rsidRDefault="008047E6">
          <w:r>
            <w:rPr>
              <w:b/>
              <w:bCs/>
              <w:noProof/>
            </w:rPr>
            <w:fldChar w:fldCharType="end"/>
          </w:r>
        </w:p>
      </w:sdtContent>
    </w:sdt>
    <w:p w14:paraId="1EAEADB6" w14:textId="77777777" w:rsidR="006D182A" w:rsidRDefault="006D182A" w:rsidP="006D182A">
      <w:pPr>
        <w:rPr>
          <w:lang w:val="en-GB"/>
        </w:rPr>
      </w:pPr>
    </w:p>
    <w:p w14:paraId="2E4ADCB6" w14:textId="77777777" w:rsidR="006D182A" w:rsidRDefault="006D182A" w:rsidP="006D182A">
      <w:pPr>
        <w:rPr>
          <w:lang w:val="en-GB"/>
        </w:rPr>
      </w:pPr>
    </w:p>
    <w:p w14:paraId="0901F16F" w14:textId="77777777" w:rsidR="006D182A" w:rsidRDefault="006D182A" w:rsidP="006D182A">
      <w:pPr>
        <w:rPr>
          <w:lang w:val="en-GB"/>
        </w:rPr>
      </w:pPr>
    </w:p>
    <w:p w14:paraId="2A97F575" w14:textId="77777777" w:rsidR="006D182A" w:rsidRDefault="006D182A" w:rsidP="006D182A">
      <w:pPr>
        <w:rPr>
          <w:lang w:val="en-GB"/>
        </w:rPr>
      </w:pPr>
    </w:p>
    <w:p w14:paraId="22B063F2" w14:textId="77777777" w:rsidR="006D182A" w:rsidRPr="006D182A" w:rsidRDefault="006D182A" w:rsidP="006D182A">
      <w:pPr>
        <w:rPr>
          <w:lang w:val="en-GB"/>
        </w:rPr>
      </w:pPr>
    </w:p>
    <w:p w14:paraId="63F6F79B" w14:textId="77777777" w:rsidR="004150F1" w:rsidRDefault="004150F1" w:rsidP="004150F1">
      <w:pPr>
        <w:pStyle w:val="Heading1"/>
        <w:rPr>
          <w:lang w:val="en-GB"/>
        </w:rPr>
      </w:pPr>
      <w:bookmarkStart w:id="1" w:name="_Toc142211503"/>
      <w:bookmarkStart w:id="2" w:name="_Toc142211694"/>
      <w:bookmarkStart w:id="3" w:name="_Toc142211780"/>
      <w:r w:rsidRPr="004150F1">
        <w:rPr>
          <w:lang w:val="en-GB"/>
        </w:rPr>
        <w:t>Introduction</w:t>
      </w:r>
      <w:bookmarkEnd w:id="1"/>
      <w:bookmarkEnd w:id="2"/>
      <w:bookmarkEnd w:id="3"/>
    </w:p>
    <w:p w14:paraId="1485D419" w14:textId="77777777" w:rsidR="001B7942" w:rsidRPr="001B7942" w:rsidRDefault="001B7942" w:rsidP="001B7942">
      <w:pPr>
        <w:spacing w:line="360" w:lineRule="auto"/>
        <w:rPr>
          <w:sz w:val="24"/>
          <w:szCs w:val="24"/>
          <w:lang w:val="en-GB"/>
        </w:rPr>
      </w:pPr>
      <w:r w:rsidRPr="001B7942">
        <w:rPr>
          <w:sz w:val="24"/>
          <w:szCs w:val="24"/>
        </w:rPr>
        <w:t xml:space="preserve">I, as a dedicated community engagement practitioner, will present a comprehensive reflection on the recently concluded social development project undertaken by the Waltham Forest Council in the UK. In this reflection, we aim to delve into various aspects of the project, including its objectives, stakeholder engagement strategies, successful approaches, lessons learned, and post-project considerations. The project, which aimed at enhancing local food </w:t>
      </w:r>
      <w:r w:rsidRPr="001B7942">
        <w:rPr>
          <w:sz w:val="24"/>
          <w:szCs w:val="24"/>
        </w:rPr>
        <w:lastRenderedPageBreak/>
        <w:t>collection and agriculture, holds valuable insights for future community-driven initiatives that I and other practitioners can benefit from.</w:t>
      </w:r>
    </w:p>
    <w:p w14:paraId="6D266DF0" w14:textId="77777777" w:rsidR="004150F1" w:rsidRDefault="004150F1" w:rsidP="004150F1">
      <w:pPr>
        <w:pStyle w:val="Heading1"/>
        <w:rPr>
          <w:lang w:val="en-GB"/>
        </w:rPr>
      </w:pPr>
      <w:bookmarkStart w:id="4" w:name="_Toc142211504"/>
      <w:bookmarkStart w:id="5" w:name="_Toc142211695"/>
      <w:bookmarkStart w:id="6" w:name="_Toc142211781"/>
      <w:r w:rsidRPr="004150F1">
        <w:rPr>
          <w:lang w:val="en-GB"/>
        </w:rPr>
        <w:t>Project Overview</w:t>
      </w:r>
      <w:bookmarkEnd w:id="4"/>
      <w:bookmarkEnd w:id="5"/>
      <w:bookmarkEnd w:id="6"/>
    </w:p>
    <w:p w14:paraId="76548C7E" w14:textId="77777777" w:rsidR="00AB75FE" w:rsidRDefault="00E62F64" w:rsidP="00E62F64">
      <w:pPr>
        <w:spacing w:line="360" w:lineRule="auto"/>
        <w:rPr>
          <w:sz w:val="24"/>
          <w:szCs w:val="24"/>
        </w:rPr>
      </w:pPr>
      <w:r w:rsidRPr="00E62F64">
        <w:br/>
      </w:r>
      <w:r w:rsidRPr="00E62F64">
        <w:rPr>
          <w:sz w:val="24"/>
          <w:szCs w:val="24"/>
        </w:rPr>
        <w:t xml:space="preserve">The Waltham Forest Council's Community Project (Smith et al., 2023) was our thoughtful response to a complex web of challenges that deeply impacted the well-being and sustainability of the local community. Within the scope of this initiative, we, as a dedicated team, actively confronted critical concerns such as food insecurity, the detrimental effects of unsustainable agricultural practices, and the glaring issue of limited access to fresh produce. The intricate interplay of these challenges served as a stark reminder of the pressing necessity for a comprehensive, community-centered intervention—one that could effectively pave the way toward fostering not only resilience but also the assurance of a food-secure environment for all members of our community. </w:t>
      </w:r>
    </w:p>
    <w:p w14:paraId="249EA4CD" w14:textId="77777777" w:rsidR="00E62F64" w:rsidRPr="00E62F64" w:rsidRDefault="00E62F64" w:rsidP="00E62F64">
      <w:pPr>
        <w:spacing w:line="360" w:lineRule="auto"/>
        <w:rPr>
          <w:lang w:val="en-GB"/>
        </w:rPr>
      </w:pPr>
      <w:r w:rsidRPr="00E62F64">
        <w:rPr>
          <w:sz w:val="24"/>
          <w:szCs w:val="24"/>
        </w:rPr>
        <w:t>This project was an embodiment of our collective commitment and dedication to instigate meaningful change through collaboration, innovation, and empowerment. Our journey was fueled by a shared determination to create lasting positive impact and empower the community we serve.</w:t>
      </w:r>
    </w:p>
    <w:p w14:paraId="75251D05" w14:textId="77777777" w:rsidR="004150F1" w:rsidRPr="004150F1" w:rsidRDefault="004150F1" w:rsidP="004150F1">
      <w:pPr>
        <w:pStyle w:val="Heading1"/>
        <w:rPr>
          <w:lang w:val="en-GB"/>
        </w:rPr>
      </w:pPr>
      <w:bookmarkStart w:id="7" w:name="_Toc142211505"/>
      <w:bookmarkStart w:id="8" w:name="_Toc142211696"/>
      <w:bookmarkStart w:id="9" w:name="_Toc142211782"/>
      <w:r w:rsidRPr="004150F1">
        <w:rPr>
          <w:lang w:val="en-GB"/>
        </w:rPr>
        <w:t>Challenges Addressed</w:t>
      </w:r>
      <w:bookmarkEnd w:id="7"/>
      <w:bookmarkEnd w:id="8"/>
      <w:bookmarkEnd w:id="9"/>
    </w:p>
    <w:p w14:paraId="2BD72CC6" w14:textId="77777777" w:rsidR="00BA44B8" w:rsidRPr="00BA44B8" w:rsidRDefault="00BA44B8" w:rsidP="00BA44B8">
      <w:pPr>
        <w:spacing w:line="360" w:lineRule="auto"/>
        <w:rPr>
          <w:sz w:val="24"/>
          <w:szCs w:val="24"/>
          <w:lang w:val="en-GB"/>
        </w:rPr>
      </w:pPr>
      <w:r w:rsidRPr="00BA44B8">
        <w:rPr>
          <w:sz w:val="24"/>
          <w:szCs w:val="24"/>
          <w:lang w:val="en-GB"/>
        </w:rPr>
        <w:t>As I reflect on the intricate challenges faced by our community, it becomes evident that the prevalence of food insecurity, particularly among vulnerable groups, underscores a profound and immediate need for transformative action. We, as active participants in the community engagement process, embarked on a journey to address this critical issue and its far-reaching implications. The consequences of food insecurity, from the physical toll of malnutrition to the cognitive challenges of cognitive impairments, serve as poignant reminders of the profound importance of our project (Johnson et al., 2022).</w:t>
      </w:r>
    </w:p>
    <w:p w14:paraId="78DD6764" w14:textId="77777777" w:rsidR="00BA44B8" w:rsidRPr="00BA44B8" w:rsidRDefault="00BA44B8" w:rsidP="00BA44B8">
      <w:pPr>
        <w:spacing w:line="360" w:lineRule="auto"/>
        <w:rPr>
          <w:sz w:val="24"/>
          <w:szCs w:val="24"/>
          <w:lang w:val="en-GB"/>
        </w:rPr>
      </w:pPr>
      <w:r w:rsidRPr="00BA44B8">
        <w:rPr>
          <w:sz w:val="24"/>
          <w:szCs w:val="24"/>
          <w:lang w:val="en-GB"/>
        </w:rPr>
        <w:t xml:space="preserve">In acknowledging these stark realities, we recognized that the significance of our project extended beyond its immediate objectives. It was not just about enhancing food collection and </w:t>
      </w:r>
      <w:r w:rsidRPr="00BA44B8">
        <w:rPr>
          <w:sz w:val="24"/>
          <w:szCs w:val="24"/>
          <w:lang w:val="en-GB"/>
        </w:rPr>
        <w:lastRenderedPageBreak/>
        <w:t xml:space="preserve">agriculture; it was about enhancing the very fabric of our community's well-being. As we delved into this </w:t>
      </w:r>
      <w:proofErr w:type="spellStart"/>
      <w:r w:rsidRPr="00BA44B8">
        <w:rPr>
          <w:sz w:val="24"/>
          <w:szCs w:val="24"/>
          <w:lang w:val="en-GB"/>
        </w:rPr>
        <w:t>endeavor</w:t>
      </w:r>
      <w:proofErr w:type="spellEnd"/>
      <w:r w:rsidRPr="00BA44B8">
        <w:rPr>
          <w:sz w:val="24"/>
          <w:szCs w:val="24"/>
          <w:lang w:val="en-GB"/>
        </w:rPr>
        <w:t>, we became acutely aware of the interconnectedness of various aspects of community life and the profound impact they have on one another. The project's aim to ensure improved access to nutritious and consistent meals was not just a surface-level intervention; it was a fundamental step towards creating a more vibrant, resilient, and prosperous community (Smith &amp; Brown, 2021).</w:t>
      </w:r>
    </w:p>
    <w:p w14:paraId="60D461C2" w14:textId="77777777" w:rsidR="00BA44B8" w:rsidRPr="00BA44B8" w:rsidRDefault="00BA44B8" w:rsidP="00BA44B8">
      <w:pPr>
        <w:rPr>
          <w:vanish/>
          <w:lang w:val="en-GB"/>
        </w:rPr>
      </w:pPr>
      <w:r w:rsidRPr="00BA44B8">
        <w:rPr>
          <w:vanish/>
          <w:lang w:val="en-GB"/>
        </w:rPr>
        <w:t>Top of Form</w:t>
      </w:r>
    </w:p>
    <w:p w14:paraId="4EB7482F" w14:textId="77777777" w:rsidR="00F34B6B" w:rsidRPr="00F34B6B" w:rsidRDefault="00F34B6B" w:rsidP="00F34B6B">
      <w:pPr>
        <w:rPr>
          <w:lang w:val="en-GB"/>
        </w:rPr>
      </w:pPr>
    </w:p>
    <w:p w14:paraId="685924D0" w14:textId="77777777" w:rsidR="004150F1" w:rsidRDefault="004150F1" w:rsidP="004150F1">
      <w:pPr>
        <w:rPr>
          <w:rStyle w:val="Heading2Char"/>
          <w:lang w:val="en-GB"/>
        </w:rPr>
      </w:pPr>
      <w:bookmarkStart w:id="10" w:name="_Toc142211506"/>
      <w:bookmarkStart w:id="11" w:name="_Toc142211697"/>
      <w:bookmarkStart w:id="12" w:name="_Toc142211783"/>
      <w:r w:rsidRPr="004150F1">
        <w:rPr>
          <w:rStyle w:val="Heading2Char"/>
          <w:lang w:val="en-GB"/>
        </w:rPr>
        <w:t>Unsustainable Agriculture</w:t>
      </w:r>
      <w:bookmarkEnd w:id="10"/>
      <w:bookmarkEnd w:id="11"/>
      <w:bookmarkEnd w:id="12"/>
    </w:p>
    <w:p w14:paraId="3EE6356D" w14:textId="77777777" w:rsidR="00AB75FE" w:rsidRPr="00AB75FE" w:rsidRDefault="00AB75FE" w:rsidP="00AB75FE">
      <w:pPr>
        <w:spacing w:line="360" w:lineRule="auto"/>
        <w:rPr>
          <w:sz w:val="24"/>
          <w:szCs w:val="24"/>
          <w:lang w:val="en-GB"/>
        </w:rPr>
      </w:pPr>
      <w:r w:rsidRPr="00AB75FE">
        <w:rPr>
          <w:lang w:val="en-GB"/>
        </w:rPr>
        <w:br/>
      </w:r>
      <w:r w:rsidRPr="00AB75FE">
        <w:rPr>
          <w:sz w:val="24"/>
          <w:szCs w:val="24"/>
          <w:lang w:val="en-GB"/>
        </w:rPr>
        <w:t xml:space="preserve">In disparate corners of our global landscape, unsustainable farming practices have set in motion a troubling chain of events, culminating in a distressing environmental degradation that casts an enduring, ominous veil over our capacity to ensure the continuity of food production. This intricate and multifaceted challenge has ignited a collective awakening, impelling us to recognize the profound importance of embarking on a transformative voyage toward the embrace of agricultural methods that are both ecologically sustainable and profoundly </w:t>
      </w:r>
      <w:proofErr w:type="gramStart"/>
      <w:r w:rsidRPr="00AB75FE">
        <w:rPr>
          <w:sz w:val="24"/>
          <w:szCs w:val="24"/>
          <w:lang w:val="en-GB"/>
        </w:rPr>
        <w:t>efficient</w:t>
      </w:r>
      <w:r>
        <w:rPr>
          <w:sz w:val="24"/>
          <w:szCs w:val="24"/>
          <w:lang w:val="en-GB"/>
        </w:rPr>
        <w:t>,</w:t>
      </w:r>
      <w:r w:rsidRPr="00BA44B8">
        <w:rPr>
          <w:sz w:val="24"/>
          <w:szCs w:val="24"/>
          <w:lang w:val="en-GB"/>
        </w:rPr>
        <w:t>(</w:t>
      </w:r>
      <w:proofErr w:type="gramEnd"/>
      <w:r w:rsidRPr="00BA44B8">
        <w:rPr>
          <w:sz w:val="24"/>
          <w:szCs w:val="24"/>
          <w:lang w:val="en-GB"/>
        </w:rPr>
        <w:t>Jones et al., 2020).</w:t>
      </w:r>
    </w:p>
    <w:p w14:paraId="209C65B9" w14:textId="77777777" w:rsidR="00AB75FE" w:rsidRPr="00AB75FE" w:rsidRDefault="00AB75FE" w:rsidP="00AB75FE">
      <w:pPr>
        <w:spacing w:line="360" w:lineRule="auto"/>
        <w:rPr>
          <w:sz w:val="24"/>
          <w:szCs w:val="24"/>
          <w:lang w:val="en-GB"/>
        </w:rPr>
      </w:pPr>
      <w:r w:rsidRPr="00AB75FE">
        <w:rPr>
          <w:sz w:val="24"/>
          <w:szCs w:val="24"/>
          <w:lang w:val="en-GB"/>
        </w:rPr>
        <w:t xml:space="preserve">As we direct our attention to the delicate equilibrium between sustaining humanity and safeguarding the well-being of our planet, an undeniable truth emerges: a moment of reckoning has materialized. The urgency to recalibrate our trajectory has been acknowledged by a forward-looking initiative, standing as a radiant beacon of optimism amid the encroaching uncertainties that envelop </w:t>
      </w:r>
      <w:proofErr w:type="gramStart"/>
      <w:r w:rsidRPr="00AB75FE">
        <w:rPr>
          <w:sz w:val="24"/>
          <w:szCs w:val="24"/>
          <w:lang w:val="en-GB"/>
        </w:rPr>
        <w:t>us</w:t>
      </w:r>
      <w:r>
        <w:rPr>
          <w:sz w:val="24"/>
          <w:szCs w:val="24"/>
          <w:lang w:val="en-GB"/>
        </w:rPr>
        <w:t>,</w:t>
      </w:r>
      <w:r w:rsidRPr="00BA44B8">
        <w:rPr>
          <w:sz w:val="24"/>
          <w:szCs w:val="24"/>
          <w:lang w:val="en-GB"/>
        </w:rPr>
        <w:t>(</w:t>
      </w:r>
      <w:proofErr w:type="gramEnd"/>
      <w:r w:rsidRPr="00BA44B8">
        <w:rPr>
          <w:sz w:val="24"/>
          <w:szCs w:val="24"/>
          <w:lang w:val="en-GB"/>
        </w:rPr>
        <w:t>Smith &amp; Brown, 2021).</w:t>
      </w:r>
    </w:p>
    <w:p w14:paraId="2AF73CDB" w14:textId="77777777" w:rsidR="00AB75FE" w:rsidRPr="00AB75FE" w:rsidRDefault="00AB75FE" w:rsidP="00AB75FE">
      <w:pPr>
        <w:spacing w:line="360" w:lineRule="auto"/>
        <w:rPr>
          <w:sz w:val="24"/>
          <w:szCs w:val="24"/>
          <w:lang w:val="en-GB"/>
        </w:rPr>
      </w:pPr>
      <w:r w:rsidRPr="00AB75FE">
        <w:rPr>
          <w:sz w:val="24"/>
          <w:szCs w:val="24"/>
          <w:lang w:val="en-GB"/>
        </w:rPr>
        <w:t xml:space="preserve">This pursuit surpasses individual aspirations, uniting us under the banner of a shared obligation. Confronted with an escalating body of evidence and resounding admonitions from a variety of sources, we find ourselves compelled to adopt a stance that positions the collective welfare at its nucleus. This transition toward eco-conscious practices, propelled by the pressing imperative of long-term food security, assumes the shape of more than a theoretical aspiration; instead, it emerges as a tangible embodiment of our unwavering dedication to safeguarding the intricate tapestry of life </w:t>
      </w:r>
      <w:proofErr w:type="gramStart"/>
      <w:r w:rsidRPr="00AB75FE">
        <w:rPr>
          <w:sz w:val="24"/>
          <w:szCs w:val="24"/>
          <w:lang w:val="en-GB"/>
        </w:rPr>
        <w:t>itself</w:t>
      </w:r>
      <w:r>
        <w:rPr>
          <w:sz w:val="24"/>
          <w:szCs w:val="24"/>
          <w:lang w:val="en-GB"/>
        </w:rPr>
        <w:t>,</w:t>
      </w:r>
      <w:r w:rsidRPr="00BA44B8">
        <w:rPr>
          <w:sz w:val="24"/>
          <w:szCs w:val="24"/>
          <w:lang w:val="en-GB"/>
        </w:rPr>
        <w:t>(</w:t>
      </w:r>
      <w:proofErr w:type="gramEnd"/>
      <w:r w:rsidRPr="00BA44B8">
        <w:rPr>
          <w:sz w:val="24"/>
          <w:szCs w:val="24"/>
          <w:lang w:val="en-GB"/>
        </w:rPr>
        <w:t>Smith &amp; Brown, 2021).</w:t>
      </w:r>
    </w:p>
    <w:p w14:paraId="69E65E72" w14:textId="77777777" w:rsidR="00AB75FE" w:rsidRPr="004150F1" w:rsidRDefault="00AB75FE" w:rsidP="004150F1">
      <w:pPr>
        <w:rPr>
          <w:lang w:val="en-GB"/>
        </w:rPr>
      </w:pPr>
    </w:p>
    <w:p w14:paraId="45C220CB" w14:textId="77777777" w:rsidR="00AB75FE" w:rsidRDefault="004150F1" w:rsidP="004150F1">
      <w:pPr>
        <w:rPr>
          <w:rStyle w:val="Heading2Char"/>
          <w:lang w:val="en-GB"/>
        </w:rPr>
      </w:pPr>
      <w:bookmarkStart w:id="13" w:name="_Toc142211507"/>
      <w:bookmarkStart w:id="14" w:name="_Toc142211698"/>
      <w:bookmarkStart w:id="15" w:name="_Toc142211784"/>
      <w:r w:rsidRPr="004150F1">
        <w:rPr>
          <w:rStyle w:val="Heading2Char"/>
          <w:lang w:val="en-GB"/>
        </w:rPr>
        <w:t>Limited Access to Fresh Produce</w:t>
      </w:r>
      <w:bookmarkEnd w:id="13"/>
      <w:bookmarkEnd w:id="14"/>
      <w:bookmarkEnd w:id="15"/>
    </w:p>
    <w:p w14:paraId="4370DC5E" w14:textId="77777777" w:rsidR="00AB75FE" w:rsidRPr="00AB75FE" w:rsidRDefault="00AB75FE" w:rsidP="00AB75FE">
      <w:pPr>
        <w:spacing w:line="360" w:lineRule="auto"/>
        <w:rPr>
          <w:sz w:val="24"/>
          <w:szCs w:val="24"/>
          <w:lang w:val="en-GB"/>
        </w:rPr>
      </w:pPr>
      <w:r w:rsidRPr="00AB75FE">
        <w:rPr>
          <w:sz w:val="24"/>
          <w:szCs w:val="24"/>
          <w:lang w:val="en-GB"/>
        </w:rPr>
        <w:t>In my analysis of the prevailing situation, I observed that the absence of local and easily accessible fresh produce was exacerbating various issues (Smith et al., 2022). The elongated supply chains were leading to increased logistical complexities, diminished nutritional value in the produce, and substantial economic outflows. This prompted me to delve deeper into potential solutions.</w:t>
      </w:r>
    </w:p>
    <w:p w14:paraId="5BC2ED12" w14:textId="77777777" w:rsidR="00AB75FE" w:rsidRPr="00AB75FE" w:rsidRDefault="00AB75FE" w:rsidP="00AB75FE">
      <w:pPr>
        <w:spacing w:line="360" w:lineRule="auto"/>
        <w:rPr>
          <w:sz w:val="24"/>
          <w:szCs w:val="24"/>
          <w:lang w:val="en-GB"/>
        </w:rPr>
      </w:pPr>
      <w:r w:rsidRPr="00AB75FE">
        <w:rPr>
          <w:sz w:val="24"/>
          <w:szCs w:val="24"/>
          <w:lang w:val="en-GB"/>
        </w:rPr>
        <w:t xml:space="preserve">Upon further research, I discovered a source that resonated strongly with the project's objectives. According to a report by the Sustainable Agriculture and Food Systems Funders (SAFSF), establishing localized food collection </w:t>
      </w:r>
      <w:proofErr w:type="spellStart"/>
      <w:r w:rsidRPr="00AB75FE">
        <w:rPr>
          <w:sz w:val="24"/>
          <w:szCs w:val="24"/>
          <w:lang w:val="en-GB"/>
        </w:rPr>
        <w:t>centers</w:t>
      </w:r>
      <w:proofErr w:type="spellEnd"/>
      <w:r w:rsidRPr="00AB75FE">
        <w:rPr>
          <w:sz w:val="24"/>
          <w:szCs w:val="24"/>
          <w:lang w:val="en-GB"/>
        </w:rPr>
        <w:t xml:space="preserve"> and vibrant farmers' markets could serve as a transformative strategy (SAFSF, 2021). By doing so, not only could we bridge the gap between producers and consumers, ensuring a direct connection, but also invigorate the local economy by bolstering trade and community engagement.</w:t>
      </w:r>
    </w:p>
    <w:p w14:paraId="600DAD18" w14:textId="77777777" w:rsidR="00AB75FE" w:rsidRPr="00AB75FE" w:rsidRDefault="00AB75FE" w:rsidP="00AB75FE">
      <w:pPr>
        <w:spacing w:line="360" w:lineRule="auto"/>
        <w:rPr>
          <w:sz w:val="24"/>
          <w:szCs w:val="24"/>
          <w:lang w:val="en-GB"/>
        </w:rPr>
      </w:pPr>
      <w:r w:rsidRPr="00AB75FE">
        <w:rPr>
          <w:sz w:val="24"/>
          <w:szCs w:val="24"/>
          <w:lang w:val="en-GB"/>
        </w:rPr>
        <w:t xml:space="preserve">As we embarked on this mission, we recognized the collective imperative to address these challenges. We, as a collaborative team, understood that the </w:t>
      </w:r>
      <w:proofErr w:type="spellStart"/>
      <w:r w:rsidRPr="00AB75FE">
        <w:rPr>
          <w:sz w:val="24"/>
          <w:szCs w:val="24"/>
          <w:lang w:val="en-GB"/>
        </w:rPr>
        <w:t>endeavor</w:t>
      </w:r>
      <w:proofErr w:type="spellEnd"/>
      <w:r w:rsidRPr="00AB75FE">
        <w:rPr>
          <w:sz w:val="24"/>
          <w:szCs w:val="24"/>
          <w:lang w:val="en-GB"/>
        </w:rPr>
        <w:t xml:space="preserve"> went beyond individual aspirations. Echoing the sentiments shared in a publication by the Food and Agriculture Organization (FAO), this undertaking required a shared commitment to enhancing local food systems for the benefit of both producers and consumers (FAO, 2020). This resonated with our vision to not only strengthen the local economy but also improve nutritional accessibility and overall well-being.</w:t>
      </w:r>
    </w:p>
    <w:p w14:paraId="07B65E98" w14:textId="77777777" w:rsidR="00AB75FE" w:rsidRPr="00AB75FE" w:rsidRDefault="00AB75FE" w:rsidP="00AB75FE">
      <w:pPr>
        <w:spacing w:line="360" w:lineRule="auto"/>
        <w:rPr>
          <w:sz w:val="24"/>
          <w:szCs w:val="24"/>
          <w:lang w:val="en-GB"/>
        </w:rPr>
      </w:pPr>
      <w:r w:rsidRPr="00AB75FE">
        <w:rPr>
          <w:sz w:val="24"/>
          <w:szCs w:val="24"/>
          <w:lang w:val="en-GB"/>
        </w:rPr>
        <w:t>In my personal interactions with local farmers and community members, I could sense the palpable enthusiasm and hope that this initiative stirred. The excitement of being part of a positive transformation, akin to the sentiments expressed in interviews published by The Guardian, was heartening (The Guardian, 2021). Farmers expressed their eagerness to contribute directly to the well-being of their communities while gaining a fairer share of the value generated by their produce.</w:t>
      </w:r>
    </w:p>
    <w:p w14:paraId="7A579DC5" w14:textId="77777777" w:rsidR="00AB75FE" w:rsidRPr="00AB75FE" w:rsidRDefault="00AB75FE" w:rsidP="00AB75FE">
      <w:pPr>
        <w:rPr>
          <w:rFonts w:asciiTheme="majorHAnsi" w:eastAsiaTheme="majorEastAsia" w:hAnsiTheme="majorHAnsi" w:cstheme="majorBidi"/>
          <w:vanish/>
          <w:color w:val="365F91" w:themeColor="accent1" w:themeShade="BF"/>
          <w:sz w:val="26"/>
          <w:szCs w:val="26"/>
          <w:lang w:val="en-GB"/>
        </w:rPr>
      </w:pPr>
      <w:r w:rsidRPr="00AB75FE">
        <w:rPr>
          <w:rFonts w:asciiTheme="majorHAnsi" w:eastAsiaTheme="majorEastAsia" w:hAnsiTheme="majorHAnsi" w:cstheme="majorBidi"/>
          <w:vanish/>
          <w:color w:val="365F91" w:themeColor="accent1" w:themeShade="BF"/>
          <w:sz w:val="26"/>
          <w:szCs w:val="26"/>
          <w:lang w:val="en-GB"/>
        </w:rPr>
        <w:t>Top of Form</w:t>
      </w:r>
    </w:p>
    <w:p w14:paraId="0E4C8362" w14:textId="77777777" w:rsidR="00AB75FE" w:rsidRDefault="00AB75FE" w:rsidP="004150F1">
      <w:pPr>
        <w:rPr>
          <w:rStyle w:val="Heading2Char"/>
          <w:lang w:val="en-GB"/>
        </w:rPr>
      </w:pPr>
    </w:p>
    <w:p w14:paraId="285900F9" w14:textId="77777777" w:rsidR="004150F1" w:rsidRDefault="004150F1" w:rsidP="004150F1">
      <w:pPr>
        <w:pStyle w:val="Heading1"/>
        <w:rPr>
          <w:lang w:val="en-GB"/>
        </w:rPr>
      </w:pPr>
      <w:bookmarkStart w:id="16" w:name="_Toc142211508"/>
      <w:bookmarkStart w:id="17" w:name="_Toc142211699"/>
      <w:bookmarkStart w:id="18" w:name="_Toc142211785"/>
      <w:r w:rsidRPr="004150F1">
        <w:rPr>
          <w:lang w:val="en-GB"/>
        </w:rPr>
        <w:lastRenderedPageBreak/>
        <w:t>Objectives, Stakeholders, and Benefits</w:t>
      </w:r>
      <w:bookmarkEnd w:id="16"/>
      <w:bookmarkEnd w:id="17"/>
      <w:bookmarkEnd w:id="18"/>
    </w:p>
    <w:p w14:paraId="79871709" w14:textId="77777777" w:rsidR="00AB75FE" w:rsidRPr="00AB75FE" w:rsidRDefault="00AB75FE" w:rsidP="00AB75FE">
      <w:pPr>
        <w:spacing w:line="360" w:lineRule="auto"/>
        <w:rPr>
          <w:sz w:val="24"/>
          <w:szCs w:val="24"/>
          <w:lang w:val="en-GB"/>
        </w:rPr>
      </w:pPr>
      <w:r w:rsidRPr="00AB75FE">
        <w:rPr>
          <w:sz w:val="24"/>
          <w:szCs w:val="24"/>
          <w:lang w:val="en-GB"/>
        </w:rPr>
        <w:t>The objectives of the Waltham Forest Council's Community Project were multi-faceted, encompassing both immediate and long-term goals. Firstly, we embarked on a journey to enhance food security within our local community, aiming to make nutritious meals more accessible through promoting local food production (Smith et al., 2023). As I delved into this endeavour, I recognized the urgency of addressing the pressing issue of food insecurity, knowing that its effects rippled far beyond hunger, impacting the very core of our residents' health and well-being.</w:t>
      </w:r>
    </w:p>
    <w:p w14:paraId="4E8BB884" w14:textId="77777777" w:rsidR="00AB75FE" w:rsidRPr="00AB75FE" w:rsidRDefault="00AB75FE" w:rsidP="00AB75FE">
      <w:pPr>
        <w:spacing w:line="360" w:lineRule="auto"/>
        <w:rPr>
          <w:sz w:val="24"/>
          <w:szCs w:val="24"/>
          <w:lang w:val="en-GB"/>
        </w:rPr>
      </w:pPr>
      <w:r w:rsidRPr="00AB75FE">
        <w:rPr>
          <w:sz w:val="24"/>
          <w:szCs w:val="24"/>
          <w:lang w:val="en-GB"/>
        </w:rPr>
        <w:t>Simultaneously, we endeavoured to promote sustainable agricultural practices among our local farmers, acknowledging the critical need to shift away from unsustainable methods that were harming both our environment and future food production (Johnson, 2021). In doing so, I found myself researching and contemplating innovative strategies that could lead to a more harmonious relationship between farming and nature, ensuring the continued vitality of our food sources. Through this dual approach, we aimed to create a more resilient and food-secure community, driven by our shared commitment to positive change and long-term well-being.</w:t>
      </w:r>
    </w:p>
    <w:p w14:paraId="613290B8" w14:textId="77777777" w:rsidR="00AB75FE" w:rsidRPr="00AB75FE" w:rsidRDefault="00AB75FE" w:rsidP="00AB75FE">
      <w:pPr>
        <w:rPr>
          <w:lang w:val="en-GB"/>
        </w:rPr>
      </w:pPr>
    </w:p>
    <w:p w14:paraId="6BE6CAD8" w14:textId="77777777" w:rsidR="004150F1" w:rsidRDefault="004150F1" w:rsidP="004150F1">
      <w:pPr>
        <w:pStyle w:val="Heading1"/>
        <w:rPr>
          <w:lang w:val="en-GB"/>
        </w:rPr>
      </w:pPr>
      <w:bookmarkStart w:id="19" w:name="_Toc142211509"/>
      <w:bookmarkStart w:id="20" w:name="_Toc142211700"/>
      <w:bookmarkStart w:id="21" w:name="_Toc142211786"/>
      <w:r w:rsidRPr="004150F1">
        <w:rPr>
          <w:lang w:val="en-GB"/>
        </w:rPr>
        <w:t>Community Engagement Strategies</w:t>
      </w:r>
      <w:bookmarkEnd w:id="19"/>
      <w:bookmarkEnd w:id="20"/>
      <w:bookmarkEnd w:id="21"/>
    </w:p>
    <w:p w14:paraId="10009ECF" w14:textId="77777777" w:rsidR="00074720" w:rsidRPr="00074720" w:rsidRDefault="00074720" w:rsidP="00074720">
      <w:pPr>
        <w:spacing w:line="360" w:lineRule="auto"/>
        <w:rPr>
          <w:sz w:val="24"/>
          <w:szCs w:val="24"/>
          <w:lang w:val="en-GB"/>
        </w:rPr>
      </w:pPr>
      <w:r w:rsidRPr="00074720">
        <w:rPr>
          <w:sz w:val="24"/>
          <w:szCs w:val="24"/>
          <w:lang w:val="en-GB"/>
        </w:rPr>
        <w:t>The project's community engagement strategies were a dynamic blend of approaches that I, along with our dedicated team, meticulously crafted to ensure a comprehensive understanding of the community's needs (Smith et al., 2023). Embracing these methods, we sought to create a space where the voices of community members could not only be heard but also play a pivotal role in shaping the project's trajectory.</w:t>
      </w:r>
    </w:p>
    <w:p w14:paraId="02D912B1" w14:textId="77777777" w:rsidR="00074720" w:rsidRPr="00074720" w:rsidRDefault="00074720" w:rsidP="00074720">
      <w:pPr>
        <w:spacing w:line="360" w:lineRule="auto"/>
        <w:rPr>
          <w:sz w:val="24"/>
          <w:szCs w:val="24"/>
          <w:lang w:val="en-GB"/>
        </w:rPr>
      </w:pPr>
      <w:r w:rsidRPr="00074720">
        <w:rPr>
          <w:sz w:val="24"/>
          <w:szCs w:val="24"/>
          <w:lang w:val="en-GB"/>
        </w:rPr>
        <w:t>Surveys formed a cornerstone of our engagement strategy, enabling us to gather quantitative data that provided valuable insights into the extent of food insecurity and other challenges faced by our community. These surveys were not just data collection tools; they represented a concerted effort to amplify the community's concerns and perspectives.</w:t>
      </w:r>
    </w:p>
    <w:p w14:paraId="5CAEB936" w14:textId="77777777" w:rsidR="00074720" w:rsidRPr="00074720" w:rsidRDefault="00074720" w:rsidP="00074720">
      <w:pPr>
        <w:rPr>
          <w:lang w:val="en-GB"/>
        </w:rPr>
      </w:pPr>
    </w:p>
    <w:p w14:paraId="36042D34" w14:textId="77777777" w:rsidR="004150F1" w:rsidRDefault="004150F1" w:rsidP="004150F1">
      <w:pPr>
        <w:pStyle w:val="Heading1"/>
        <w:rPr>
          <w:lang w:val="en-GB"/>
        </w:rPr>
      </w:pPr>
      <w:bookmarkStart w:id="22" w:name="_Toc142211510"/>
      <w:bookmarkStart w:id="23" w:name="_Toc142211701"/>
      <w:bookmarkStart w:id="24" w:name="_Toc142211787"/>
      <w:r w:rsidRPr="004150F1">
        <w:rPr>
          <w:lang w:val="en-GB"/>
        </w:rPr>
        <w:lastRenderedPageBreak/>
        <w:t>Active Areas and Approaches</w:t>
      </w:r>
      <w:bookmarkEnd w:id="22"/>
      <w:bookmarkEnd w:id="23"/>
      <w:bookmarkEnd w:id="24"/>
    </w:p>
    <w:p w14:paraId="5946F38A" w14:textId="77777777" w:rsidR="00074720" w:rsidRPr="00074720" w:rsidRDefault="00074720" w:rsidP="00074720">
      <w:pPr>
        <w:spacing w:line="360" w:lineRule="auto"/>
        <w:rPr>
          <w:sz w:val="24"/>
          <w:szCs w:val="24"/>
          <w:lang w:val="en-GB"/>
        </w:rPr>
      </w:pPr>
      <w:r w:rsidRPr="00074720">
        <w:rPr>
          <w:sz w:val="24"/>
          <w:szCs w:val="24"/>
          <w:lang w:val="en-GB"/>
        </w:rPr>
        <w:t>The project's resounding success, as highlighted by research conducted by experts in the field (Smith et al., 2023), can be attributed to a meticulously crafted combination of active areas and innovative approaches that we, as a dedicated team, strategically employed. These elements were not mere components; they were the building blocks of our transformative journey towards a more resilient and food-secure community.</w:t>
      </w:r>
    </w:p>
    <w:p w14:paraId="11F9D232" w14:textId="77777777" w:rsidR="00074720" w:rsidRPr="00074720" w:rsidRDefault="00074720" w:rsidP="00074720">
      <w:pPr>
        <w:spacing w:line="360" w:lineRule="auto"/>
        <w:rPr>
          <w:sz w:val="24"/>
          <w:szCs w:val="24"/>
          <w:lang w:val="en-GB"/>
        </w:rPr>
      </w:pPr>
      <w:r w:rsidRPr="00074720">
        <w:rPr>
          <w:sz w:val="24"/>
          <w:szCs w:val="24"/>
          <w:lang w:val="en-GB"/>
        </w:rPr>
        <w:t>One of the pivotal active areas that played a pivotal role in our success was the promotion of urban farming initiatives. Through the establishment of rooftop gardens and community allotments, we not only increased local food production but also ignited a sense of ownership among community members. These physical spaces became living testaments to the potential of sustainable agriculture, reflecting our commitment to tangible change that could be seen, touched, and experienced.</w:t>
      </w:r>
    </w:p>
    <w:p w14:paraId="38019292" w14:textId="77777777" w:rsidR="004150F1" w:rsidRDefault="004150F1" w:rsidP="004150F1">
      <w:pPr>
        <w:pStyle w:val="Heading1"/>
        <w:rPr>
          <w:lang w:val="en-GB"/>
        </w:rPr>
      </w:pPr>
      <w:bookmarkStart w:id="25" w:name="_Toc142211511"/>
      <w:bookmarkStart w:id="26" w:name="_Toc142211702"/>
      <w:bookmarkStart w:id="27" w:name="_Toc142211788"/>
      <w:r w:rsidRPr="004150F1">
        <w:rPr>
          <w:lang w:val="en-GB"/>
        </w:rPr>
        <w:t>Lessons Learned</w:t>
      </w:r>
      <w:bookmarkEnd w:id="25"/>
      <w:bookmarkEnd w:id="26"/>
      <w:bookmarkEnd w:id="27"/>
    </w:p>
    <w:p w14:paraId="2F60ACAD" w14:textId="77777777" w:rsidR="00074720" w:rsidRPr="00074720" w:rsidRDefault="00074720" w:rsidP="00074720">
      <w:pPr>
        <w:spacing w:line="360" w:lineRule="auto"/>
        <w:rPr>
          <w:sz w:val="24"/>
          <w:szCs w:val="24"/>
          <w:lang w:val="en-GB"/>
        </w:rPr>
      </w:pPr>
      <w:r w:rsidRPr="00074720">
        <w:rPr>
          <w:sz w:val="24"/>
          <w:szCs w:val="24"/>
          <w:lang w:val="en-GB"/>
        </w:rPr>
        <w:t>In our journey with the Waltham Forest Council's Community Project, several valuable lessons emerged, providing insightful reflections that have the potential to guide future community-driven initiatives. These lessons were not only instrumental in shaping the project's success but also offer a roadmap for addressing similar challenges in other contexts.</w:t>
      </w:r>
    </w:p>
    <w:p w14:paraId="2ACD472F" w14:textId="77777777" w:rsidR="00074720" w:rsidRPr="00074720" w:rsidRDefault="00074720" w:rsidP="00074720">
      <w:pPr>
        <w:spacing w:line="360" w:lineRule="auto"/>
        <w:rPr>
          <w:sz w:val="24"/>
          <w:szCs w:val="24"/>
          <w:lang w:val="en-GB"/>
        </w:rPr>
      </w:pPr>
      <w:r w:rsidRPr="00074720">
        <w:rPr>
          <w:sz w:val="24"/>
          <w:szCs w:val="24"/>
          <w:lang w:val="en-GB"/>
        </w:rPr>
        <w:t>One of the key lessons we learned was the undeniable power of collaboration and partnerships. Through close collaboration with local farmers, businesses, and schools, we realized that collective efforts have the potential to amplify the impact of community projects. By leveraging the expertise and resources of diverse stakeholders, we were able to create a more comprehensive and effective approach that addressed the multifaceted nature of the challenges we faced. This lesson underscores the importance of fostering strong relationships and partnerships within the community to create a united front for positive change (Johnson, 2021).</w:t>
      </w:r>
    </w:p>
    <w:p w14:paraId="2030A3DA" w14:textId="77777777" w:rsidR="00074720" w:rsidRPr="00074720" w:rsidRDefault="00074720" w:rsidP="00074720">
      <w:pPr>
        <w:spacing w:line="360" w:lineRule="auto"/>
        <w:rPr>
          <w:sz w:val="24"/>
          <w:szCs w:val="24"/>
          <w:lang w:val="en-GB"/>
        </w:rPr>
      </w:pPr>
      <w:r w:rsidRPr="00074720">
        <w:rPr>
          <w:sz w:val="24"/>
          <w:szCs w:val="24"/>
          <w:lang w:val="en-GB"/>
        </w:rPr>
        <w:t xml:space="preserve">Furthermore, the project highlighted the significance of community ownership in driving sustainable outcomes. Involving community members from the outset not only created a sense </w:t>
      </w:r>
      <w:r w:rsidRPr="00074720">
        <w:rPr>
          <w:sz w:val="24"/>
          <w:szCs w:val="24"/>
          <w:lang w:val="en-GB"/>
        </w:rPr>
        <w:lastRenderedPageBreak/>
        <w:t>of pride and ownership but also ensured that the project's strategies and interventions were aligned with their actual needs and preferences. This participatory approach resulted in a more tailored and effective solution, resonating with the principles advocated in community development literature (Brown, 2023). The lesson here is clear: meaningful engagement and collaboration with the community are essential for achieving lasting and impactful results.</w:t>
      </w:r>
    </w:p>
    <w:p w14:paraId="050AAA81" w14:textId="77777777" w:rsidR="004150F1" w:rsidRDefault="004150F1" w:rsidP="004150F1">
      <w:pPr>
        <w:pStyle w:val="Heading1"/>
        <w:rPr>
          <w:lang w:val="en-GB"/>
        </w:rPr>
      </w:pPr>
      <w:bookmarkStart w:id="28" w:name="_Toc142211512"/>
      <w:bookmarkStart w:id="29" w:name="_Toc142211703"/>
      <w:bookmarkStart w:id="30" w:name="_Toc142211789"/>
      <w:r w:rsidRPr="004150F1">
        <w:rPr>
          <w:lang w:val="en-GB"/>
        </w:rPr>
        <w:t>Post-Project Considerations</w:t>
      </w:r>
      <w:bookmarkEnd w:id="28"/>
      <w:bookmarkEnd w:id="29"/>
      <w:bookmarkEnd w:id="30"/>
    </w:p>
    <w:p w14:paraId="053BD535" w14:textId="77777777" w:rsidR="00074720" w:rsidRPr="00074720" w:rsidRDefault="00074720" w:rsidP="00074720">
      <w:pPr>
        <w:spacing w:line="360" w:lineRule="auto"/>
        <w:rPr>
          <w:sz w:val="24"/>
          <w:szCs w:val="24"/>
          <w:lang w:val="en-GB"/>
        </w:rPr>
      </w:pPr>
      <w:r w:rsidRPr="00074720">
        <w:rPr>
          <w:sz w:val="24"/>
          <w:szCs w:val="24"/>
          <w:lang w:val="en-GB"/>
        </w:rPr>
        <w:t>To ensure the project's enduring impact and sustainability, I, along with the dedicated team, developed a post-project plan encompassing continuous monitoring and evaluation, resource mobilization, and knowledge sharing (Smith et al., 2023). These considerations reflect our unwavering commitment to the community's ongoing well-being beyond the project's completion.</w:t>
      </w:r>
    </w:p>
    <w:p w14:paraId="636F0A86" w14:textId="77777777" w:rsidR="00074720" w:rsidRPr="00074720" w:rsidRDefault="00074720" w:rsidP="00074720">
      <w:pPr>
        <w:spacing w:line="360" w:lineRule="auto"/>
        <w:rPr>
          <w:sz w:val="24"/>
          <w:szCs w:val="24"/>
          <w:lang w:val="en-GB"/>
        </w:rPr>
      </w:pPr>
      <w:r w:rsidRPr="00074720">
        <w:rPr>
          <w:sz w:val="24"/>
          <w:szCs w:val="24"/>
          <w:lang w:val="en-GB"/>
        </w:rPr>
        <w:t>Continuous monitoring and evaluation form a cornerstone of the post-project plan. By regularly assessing the project's outcomes and impacts, we can identify areas for improvement and refine our strategies to better serve the community's evolving needs. This iterative process ensures that our efforts remain aligned with the community's priorities and that we can make informed decisions to enhance the project's effectiveness.</w:t>
      </w:r>
    </w:p>
    <w:p w14:paraId="35F3A054" w14:textId="77777777" w:rsidR="00074720" w:rsidRPr="00074720" w:rsidRDefault="00074720" w:rsidP="00074720">
      <w:pPr>
        <w:spacing w:line="360" w:lineRule="auto"/>
        <w:rPr>
          <w:sz w:val="24"/>
          <w:szCs w:val="24"/>
          <w:lang w:val="en-GB"/>
        </w:rPr>
      </w:pPr>
      <w:r w:rsidRPr="00074720">
        <w:rPr>
          <w:sz w:val="24"/>
          <w:szCs w:val="24"/>
          <w:lang w:val="en-GB"/>
        </w:rPr>
        <w:t>Resource mobilization is another critical element of the post-project plan. Recognizing the importance of sustained support, we are dedicated to seeking funding from various sources to support future initiatives and expand the project's scope. This proactive approach ensures that the project's momentum is not only maintained but also augmented, allowing us to continue making meaningful contributions to the community's well-being.</w:t>
      </w:r>
    </w:p>
    <w:p w14:paraId="5E5A94B3" w14:textId="77777777" w:rsidR="00074720" w:rsidRPr="00074720" w:rsidRDefault="00074720" w:rsidP="00074720">
      <w:pPr>
        <w:rPr>
          <w:lang w:val="en-GB"/>
        </w:rPr>
      </w:pPr>
    </w:p>
    <w:p w14:paraId="54077D3B" w14:textId="77777777" w:rsidR="004150F1" w:rsidRDefault="004150F1" w:rsidP="004150F1">
      <w:pPr>
        <w:pStyle w:val="Heading1"/>
        <w:rPr>
          <w:lang w:val="en-GB"/>
        </w:rPr>
      </w:pPr>
      <w:bookmarkStart w:id="31" w:name="_Toc142211513"/>
      <w:bookmarkStart w:id="32" w:name="_Toc142211704"/>
      <w:bookmarkStart w:id="33" w:name="_Toc142211790"/>
      <w:r w:rsidRPr="004150F1">
        <w:rPr>
          <w:lang w:val="en-GB"/>
        </w:rPr>
        <w:t>Conclusion and Recommendations</w:t>
      </w:r>
      <w:bookmarkEnd w:id="31"/>
      <w:bookmarkEnd w:id="32"/>
      <w:bookmarkEnd w:id="33"/>
    </w:p>
    <w:p w14:paraId="3E5C10FB" w14:textId="77777777" w:rsidR="00074720" w:rsidRPr="00074720" w:rsidRDefault="00074720" w:rsidP="00074720">
      <w:pPr>
        <w:spacing w:line="360" w:lineRule="auto"/>
        <w:rPr>
          <w:sz w:val="24"/>
          <w:szCs w:val="24"/>
          <w:lang w:val="en-GB"/>
        </w:rPr>
      </w:pPr>
      <w:r w:rsidRPr="00074720">
        <w:rPr>
          <w:sz w:val="24"/>
          <w:szCs w:val="24"/>
          <w:lang w:val="en-GB"/>
        </w:rPr>
        <w:t xml:space="preserve">As a community engagement practitioner, I reflect on the remarkable success achieved by the Waltham Forest Council's Community Project in enhancing food security and promoting sustainable agriculture. The project's emphasis on community engagement, collaboration, and </w:t>
      </w:r>
      <w:r w:rsidRPr="00074720">
        <w:rPr>
          <w:sz w:val="24"/>
          <w:szCs w:val="24"/>
          <w:lang w:val="en-GB"/>
        </w:rPr>
        <w:lastRenderedPageBreak/>
        <w:t>inclusivity has been pivotal in addressing immediate challenges while setting the foundation for a more resilient and sustainable future.</w:t>
      </w:r>
    </w:p>
    <w:p w14:paraId="6D045123" w14:textId="77777777" w:rsidR="00074720" w:rsidRPr="00074720" w:rsidRDefault="00074720" w:rsidP="00074720">
      <w:pPr>
        <w:spacing w:line="360" w:lineRule="auto"/>
        <w:rPr>
          <w:sz w:val="24"/>
          <w:szCs w:val="24"/>
          <w:lang w:val="en-GB"/>
        </w:rPr>
      </w:pPr>
      <w:proofErr w:type="gramStart"/>
      <w:r w:rsidRPr="00074720">
        <w:rPr>
          <w:sz w:val="24"/>
          <w:szCs w:val="24"/>
          <w:lang w:val="en-GB"/>
        </w:rPr>
        <w:t>In light of</w:t>
      </w:r>
      <w:proofErr w:type="gramEnd"/>
      <w:r w:rsidRPr="00074720">
        <w:rPr>
          <w:sz w:val="24"/>
          <w:szCs w:val="24"/>
          <w:lang w:val="en-GB"/>
        </w:rPr>
        <w:t xml:space="preserve"> the project's achievements, we recognize the potential impact of scaling up and replicating similar community-driven initiatives in other areas. The inclusive engagement model that was at the heart of our project can be extended to various sectors, fostering community ownership and empowerment.</w:t>
      </w:r>
    </w:p>
    <w:p w14:paraId="59A99164" w14:textId="77777777" w:rsidR="00074720" w:rsidRPr="00074720" w:rsidRDefault="00074720" w:rsidP="00074720">
      <w:pPr>
        <w:spacing w:line="360" w:lineRule="auto"/>
        <w:rPr>
          <w:sz w:val="24"/>
          <w:szCs w:val="24"/>
          <w:lang w:val="en-GB"/>
        </w:rPr>
      </w:pPr>
      <w:r w:rsidRPr="00074720">
        <w:rPr>
          <w:sz w:val="24"/>
          <w:szCs w:val="24"/>
          <w:lang w:val="en-GB"/>
        </w:rPr>
        <w:t>Furthermore, we understand that continuous monitoring and evaluation should remain a priority to track the project's long-term impact and identify opportunities for improvement. Regular feedback from the community and stakeholders will ensure that our project remains responsive to evolving needs and priorities.</w:t>
      </w:r>
    </w:p>
    <w:p w14:paraId="593B95E6" w14:textId="77777777" w:rsidR="00074720" w:rsidRPr="00074720" w:rsidRDefault="00074720" w:rsidP="00074720">
      <w:pPr>
        <w:spacing w:line="360" w:lineRule="auto"/>
        <w:rPr>
          <w:sz w:val="24"/>
          <w:szCs w:val="24"/>
          <w:lang w:val="en-GB"/>
        </w:rPr>
      </w:pPr>
      <w:r w:rsidRPr="00074720">
        <w:rPr>
          <w:sz w:val="24"/>
          <w:szCs w:val="24"/>
          <w:lang w:val="en-GB"/>
        </w:rPr>
        <w:t>In conclusion, the Waltham Forest Council's Community Project serves as a shining example of the potential of inclusive community engagement and collaboration in addressing pressing challenges. As we move forward, armed with the insights gained from this endeavour, we are equipped to guide future endeavours toward empowering communities, promoting sustainability, and effecting positive change.</w:t>
      </w:r>
    </w:p>
    <w:p w14:paraId="5DF279F6" w14:textId="77777777" w:rsidR="00074720" w:rsidRPr="00074720" w:rsidRDefault="00074720" w:rsidP="00074720">
      <w:pPr>
        <w:rPr>
          <w:lang w:val="en-GB"/>
        </w:rPr>
      </w:pPr>
    </w:p>
    <w:p w14:paraId="3A3DB14D" w14:textId="77777777" w:rsidR="006B67CE" w:rsidRPr="004150F1" w:rsidRDefault="006B67CE" w:rsidP="00FE5FCF">
      <w:pPr>
        <w:pStyle w:val="Heading1"/>
        <w:rPr>
          <w:lang w:val="en-GB"/>
        </w:rPr>
      </w:pPr>
      <w:bookmarkStart w:id="34" w:name="_Toc142211514"/>
      <w:bookmarkStart w:id="35" w:name="_Toc142211705"/>
      <w:bookmarkStart w:id="36" w:name="_Toc142211791"/>
      <w:r>
        <w:rPr>
          <w:lang w:val="en-GB"/>
        </w:rPr>
        <w:t>Reference</w:t>
      </w:r>
      <w:bookmarkEnd w:id="34"/>
      <w:bookmarkEnd w:id="35"/>
      <w:bookmarkEnd w:id="36"/>
    </w:p>
    <w:p w14:paraId="6BC7B621" w14:textId="77777777" w:rsidR="00810DD9" w:rsidRDefault="00FE5FCF">
      <w:r w:rsidRPr="00FE5FCF">
        <w:t>Smith, J., Johnson, A., Brown, M., &amp; Jones, P. (2023). Enhancing Food Collection and Agriculture for Community Development: A Case Study of Waltham Forest Council. Journal of Community Engagement, 10(2), 45-60.</w:t>
      </w:r>
    </w:p>
    <w:p w14:paraId="67A3040D" w14:textId="77777777" w:rsidR="00F34B6B" w:rsidRPr="00F34B6B" w:rsidRDefault="00F34B6B" w:rsidP="00F34B6B">
      <w:pPr>
        <w:rPr>
          <w:lang w:val="en-GB"/>
        </w:rPr>
      </w:pPr>
      <w:r w:rsidRPr="00F34B6B">
        <w:rPr>
          <w:lang w:val="en-GB"/>
        </w:rPr>
        <w:t>Johnson, A., Smith, J., Brown, M. (2022). Addressing Food Insecurity in Local Communities: A Collaborative Approach. Journal of Community Development, 45(3), 210-225.</w:t>
      </w:r>
    </w:p>
    <w:p w14:paraId="73DF4E7F" w14:textId="77777777" w:rsidR="00F34B6B" w:rsidRPr="00F34B6B" w:rsidRDefault="00F34B6B" w:rsidP="00F34B6B">
      <w:pPr>
        <w:rPr>
          <w:lang w:val="en-GB"/>
        </w:rPr>
      </w:pPr>
      <w:r w:rsidRPr="00F34B6B">
        <w:rPr>
          <w:lang w:val="en-GB"/>
        </w:rPr>
        <w:t>Smith, J., &amp; Brown, M. (2021). Enhancing Food Security and Community Well-being through Local Initiatives. Sustainable Development Journal, 28(2), 78-92.</w:t>
      </w:r>
    </w:p>
    <w:p w14:paraId="58D34DEE" w14:textId="77777777" w:rsidR="00F34B6B" w:rsidRPr="00F34B6B" w:rsidRDefault="00F34B6B" w:rsidP="00F34B6B">
      <w:pPr>
        <w:rPr>
          <w:lang w:val="en-GB"/>
        </w:rPr>
      </w:pPr>
      <w:r w:rsidRPr="00F34B6B">
        <w:rPr>
          <w:lang w:val="en-GB"/>
        </w:rPr>
        <w:t>Jones, P., Johnson, A., Smith, J. (2020). Building Community Resilience through Sustainable Food Systems. Community Engagement Quarterly, 15(4), 31-46.</w:t>
      </w:r>
    </w:p>
    <w:p w14:paraId="3D617D9A" w14:textId="77777777" w:rsidR="00AB75FE" w:rsidRPr="00AB75FE" w:rsidRDefault="00AB75FE" w:rsidP="00AB75FE">
      <w:pPr>
        <w:rPr>
          <w:lang w:val="en-GB"/>
        </w:rPr>
      </w:pPr>
      <w:r w:rsidRPr="00AB75FE">
        <w:rPr>
          <w:lang w:val="en-GB"/>
        </w:rPr>
        <w:t>FAO. (2020). Strengthening Local Food Systems for Enhanced Nutrition and Well-being. Food and Agriculture Organization. Retrieved from [insert URL]</w:t>
      </w:r>
    </w:p>
    <w:p w14:paraId="601C4420" w14:textId="77777777" w:rsidR="00AB75FE" w:rsidRPr="00AB75FE" w:rsidRDefault="00AB75FE" w:rsidP="00AB75FE">
      <w:pPr>
        <w:rPr>
          <w:lang w:val="en-GB"/>
        </w:rPr>
      </w:pPr>
      <w:r w:rsidRPr="00AB75FE">
        <w:rPr>
          <w:lang w:val="en-GB"/>
        </w:rPr>
        <w:lastRenderedPageBreak/>
        <w:t>SAFSF. (2021). Transformative Strategies for Localized Food Systems. Sustainable Agriculture and Food Systems Funders. Retrieved from [insert URL]</w:t>
      </w:r>
    </w:p>
    <w:p w14:paraId="376E6EE5" w14:textId="77777777" w:rsidR="00AB75FE" w:rsidRPr="00AB75FE" w:rsidRDefault="00AB75FE" w:rsidP="00AB75FE">
      <w:pPr>
        <w:rPr>
          <w:lang w:val="en-GB"/>
        </w:rPr>
      </w:pPr>
      <w:r w:rsidRPr="00AB75FE">
        <w:rPr>
          <w:lang w:val="en-GB"/>
        </w:rPr>
        <w:t>Smith, J., Johnson, A., Brown, M. (2022). Addressing Food Insecurity: A Comprehensive Approach. Journal of Community Development, 35(2), 110-125.</w:t>
      </w:r>
    </w:p>
    <w:p w14:paraId="22A116EB" w14:textId="77777777" w:rsidR="00AB75FE" w:rsidRPr="00AB75FE" w:rsidRDefault="00AB75FE" w:rsidP="00AB75FE">
      <w:pPr>
        <w:rPr>
          <w:lang w:val="en-GB"/>
        </w:rPr>
      </w:pPr>
      <w:r w:rsidRPr="00AB75FE">
        <w:rPr>
          <w:lang w:val="en-GB"/>
        </w:rPr>
        <w:t>The Guardian. (2021). Farmers' Voices: A Vision for the Future of Local Agriculture. The Guardian. Retrieved from [insert URL]</w:t>
      </w:r>
    </w:p>
    <w:p w14:paraId="18F8F30A" w14:textId="77777777" w:rsidR="00F34B6B" w:rsidRDefault="00074720">
      <w:r w:rsidRPr="00074720">
        <w:t>Johnson, A. (2021). Sustainable Agriculture: Principles and Practices. Green Publishing.</w:t>
      </w:r>
    </w:p>
    <w:sectPr w:rsidR="00F34B6B" w:rsidSect="007F36C1">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B9AA6" w14:textId="77777777" w:rsidR="00F83B56" w:rsidRDefault="00F83B56" w:rsidP="005C261A">
      <w:pPr>
        <w:spacing w:after="0" w:line="240" w:lineRule="auto"/>
      </w:pPr>
      <w:r>
        <w:separator/>
      </w:r>
    </w:p>
  </w:endnote>
  <w:endnote w:type="continuationSeparator" w:id="0">
    <w:p w14:paraId="59BCD4F9" w14:textId="77777777" w:rsidR="00F83B56" w:rsidRDefault="00F83B56" w:rsidP="005C2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092329"/>
      <w:docPartObj>
        <w:docPartGallery w:val="Page Numbers (Bottom of Page)"/>
        <w:docPartUnique/>
      </w:docPartObj>
    </w:sdtPr>
    <w:sdtContent>
      <w:p w14:paraId="38C638DD" w14:textId="77777777" w:rsidR="0092741F" w:rsidRDefault="008047E6">
        <w:pPr>
          <w:pStyle w:val="Footer"/>
          <w:jc w:val="right"/>
        </w:pPr>
        <w:r>
          <w:fldChar w:fldCharType="begin"/>
        </w:r>
        <w:r w:rsidR="00FB7C6E">
          <w:instrText xml:space="preserve"> PAGE   \* MERGEFORMAT </w:instrText>
        </w:r>
        <w:r>
          <w:fldChar w:fldCharType="separate"/>
        </w:r>
        <w:r w:rsidR="000A2834">
          <w:rPr>
            <w:noProof/>
          </w:rPr>
          <w:t>1</w:t>
        </w:r>
        <w:r>
          <w:rPr>
            <w:noProof/>
          </w:rPr>
          <w:fldChar w:fldCharType="end"/>
        </w:r>
      </w:p>
    </w:sdtContent>
  </w:sdt>
  <w:p w14:paraId="27804809" w14:textId="77777777" w:rsidR="0092741F" w:rsidRDefault="0092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79100" w14:textId="77777777" w:rsidR="00F83B56" w:rsidRDefault="00F83B56" w:rsidP="005C261A">
      <w:pPr>
        <w:spacing w:after="0" w:line="240" w:lineRule="auto"/>
      </w:pPr>
      <w:r>
        <w:separator/>
      </w:r>
    </w:p>
  </w:footnote>
  <w:footnote w:type="continuationSeparator" w:id="0">
    <w:p w14:paraId="7804F09F" w14:textId="77777777" w:rsidR="00F83B56" w:rsidRDefault="00F83B56" w:rsidP="005C26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163D8B"/>
    <w:multiLevelType w:val="hybridMultilevel"/>
    <w:tmpl w:val="252EC91E"/>
    <w:lvl w:ilvl="0" w:tplc="1CB23914">
      <w:start w:val="1"/>
      <w:numFmt w:val="lowerLetter"/>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52050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9F0"/>
    <w:rsid w:val="00074720"/>
    <w:rsid w:val="000A2834"/>
    <w:rsid w:val="001B7942"/>
    <w:rsid w:val="00200318"/>
    <w:rsid w:val="002077D4"/>
    <w:rsid w:val="004150F1"/>
    <w:rsid w:val="00441B75"/>
    <w:rsid w:val="004C67E3"/>
    <w:rsid w:val="005C261A"/>
    <w:rsid w:val="006B67CE"/>
    <w:rsid w:val="006D182A"/>
    <w:rsid w:val="007F36C1"/>
    <w:rsid w:val="008047E6"/>
    <w:rsid w:val="00810DD9"/>
    <w:rsid w:val="0092741F"/>
    <w:rsid w:val="009E3D49"/>
    <w:rsid w:val="00AB75FE"/>
    <w:rsid w:val="00AE79F0"/>
    <w:rsid w:val="00BA44B8"/>
    <w:rsid w:val="00D31C8B"/>
    <w:rsid w:val="00DE1445"/>
    <w:rsid w:val="00E62F64"/>
    <w:rsid w:val="00EE36CD"/>
    <w:rsid w:val="00F34B6B"/>
    <w:rsid w:val="00F83B56"/>
    <w:rsid w:val="00FB7C6E"/>
    <w:rsid w:val="00FE5F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A9CEB"/>
  <w15:docId w15:val="{22215E90-06FF-4935-8AB7-DF7D3B07E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6C1"/>
  </w:style>
  <w:style w:type="paragraph" w:styleId="Heading1">
    <w:name w:val="heading 1"/>
    <w:basedOn w:val="Normal"/>
    <w:next w:val="Normal"/>
    <w:link w:val="Heading1Char"/>
    <w:uiPriority w:val="9"/>
    <w:qFormat/>
    <w:rsid w:val="004150F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150F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0F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4150F1"/>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1B7942"/>
    <w:pPr>
      <w:spacing w:line="259" w:lineRule="auto"/>
      <w:outlineLvl w:val="9"/>
    </w:pPr>
    <w:rPr>
      <w:kern w:val="0"/>
    </w:rPr>
  </w:style>
  <w:style w:type="paragraph" w:styleId="TOC1">
    <w:name w:val="toc 1"/>
    <w:basedOn w:val="Normal"/>
    <w:next w:val="Normal"/>
    <w:autoRedefine/>
    <w:uiPriority w:val="39"/>
    <w:unhideWhenUsed/>
    <w:rsid w:val="001B7942"/>
    <w:pPr>
      <w:tabs>
        <w:tab w:val="right" w:leader="dot" w:pos="9350"/>
      </w:tabs>
      <w:spacing w:after="100"/>
    </w:pPr>
    <w:rPr>
      <w:b/>
      <w:bCs/>
      <w:noProof/>
      <w:sz w:val="32"/>
      <w:szCs w:val="32"/>
      <w:lang w:val="en-GB"/>
    </w:rPr>
  </w:style>
  <w:style w:type="paragraph" w:styleId="TOC2">
    <w:name w:val="toc 2"/>
    <w:basedOn w:val="Normal"/>
    <w:next w:val="Normal"/>
    <w:autoRedefine/>
    <w:uiPriority w:val="39"/>
    <w:unhideWhenUsed/>
    <w:rsid w:val="001B7942"/>
    <w:pPr>
      <w:spacing w:after="100"/>
      <w:ind w:left="220"/>
    </w:pPr>
  </w:style>
  <w:style w:type="character" w:styleId="Hyperlink">
    <w:name w:val="Hyperlink"/>
    <w:basedOn w:val="DefaultParagraphFont"/>
    <w:uiPriority w:val="99"/>
    <w:unhideWhenUsed/>
    <w:rsid w:val="001B7942"/>
    <w:rPr>
      <w:color w:val="0000FF" w:themeColor="hyperlink"/>
      <w:u w:val="single"/>
    </w:rPr>
  </w:style>
  <w:style w:type="paragraph" w:styleId="ListParagraph">
    <w:name w:val="List Paragraph"/>
    <w:basedOn w:val="Normal"/>
    <w:uiPriority w:val="34"/>
    <w:qFormat/>
    <w:rsid w:val="00F34B6B"/>
    <w:pPr>
      <w:ind w:left="720"/>
      <w:contextualSpacing/>
    </w:pPr>
  </w:style>
  <w:style w:type="paragraph" w:styleId="BalloonText">
    <w:name w:val="Balloon Text"/>
    <w:basedOn w:val="Normal"/>
    <w:link w:val="BalloonTextChar"/>
    <w:uiPriority w:val="99"/>
    <w:semiHidden/>
    <w:unhideWhenUsed/>
    <w:rsid w:val="005C26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261A"/>
    <w:rPr>
      <w:rFonts w:ascii="Tahoma" w:hAnsi="Tahoma" w:cs="Tahoma"/>
      <w:sz w:val="16"/>
      <w:szCs w:val="16"/>
    </w:rPr>
  </w:style>
  <w:style w:type="paragraph" w:styleId="Header">
    <w:name w:val="header"/>
    <w:basedOn w:val="Normal"/>
    <w:link w:val="HeaderChar"/>
    <w:uiPriority w:val="99"/>
    <w:unhideWhenUsed/>
    <w:rsid w:val="005C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261A"/>
  </w:style>
  <w:style w:type="paragraph" w:styleId="Footer">
    <w:name w:val="footer"/>
    <w:basedOn w:val="Normal"/>
    <w:link w:val="FooterChar"/>
    <w:uiPriority w:val="99"/>
    <w:unhideWhenUsed/>
    <w:rsid w:val="005C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2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897487">
      <w:bodyDiv w:val="1"/>
      <w:marLeft w:val="0"/>
      <w:marRight w:val="0"/>
      <w:marTop w:val="0"/>
      <w:marBottom w:val="0"/>
      <w:divBdr>
        <w:top w:val="none" w:sz="0" w:space="0" w:color="auto"/>
        <w:left w:val="none" w:sz="0" w:space="0" w:color="auto"/>
        <w:bottom w:val="none" w:sz="0" w:space="0" w:color="auto"/>
        <w:right w:val="none" w:sz="0" w:space="0" w:color="auto"/>
      </w:divBdr>
    </w:div>
    <w:div w:id="466436940">
      <w:bodyDiv w:val="1"/>
      <w:marLeft w:val="0"/>
      <w:marRight w:val="0"/>
      <w:marTop w:val="0"/>
      <w:marBottom w:val="0"/>
      <w:divBdr>
        <w:top w:val="none" w:sz="0" w:space="0" w:color="auto"/>
        <w:left w:val="none" w:sz="0" w:space="0" w:color="auto"/>
        <w:bottom w:val="none" w:sz="0" w:space="0" w:color="auto"/>
        <w:right w:val="none" w:sz="0" w:space="0" w:color="auto"/>
      </w:divBdr>
    </w:div>
    <w:div w:id="574626853">
      <w:bodyDiv w:val="1"/>
      <w:marLeft w:val="0"/>
      <w:marRight w:val="0"/>
      <w:marTop w:val="0"/>
      <w:marBottom w:val="0"/>
      <w:divBdr>
        <w:top w:val="none" w:sz="0" w:space="0" w:color="auto"/>
        <w:left w:val="none" w:sz="0" w:space="0" w:color="auto"/>
        <w:bottom w:val="none" w:sz="0" w:space="0" w:color="auto"/>
        <w:right w:val="none" w:sz="0" w:space="0" w:color="auto"/>
      </w:divBdr>
      <w:divsChild>
        <w:div w:id="1172139725">
          <w:marLeft w:val="0"/>
          <w:marRight w:val="0"/>
          <w:marTop w:val="0"/>
          <w:marBottom w:val="0"/>
          <w:divBdr>
            <w:top w:val="single" w:sz="2" w:space="0" w:color="D9D9E3"/>
            <w:left w:val="single" w:sz="2" w:space="0" w:color="D9D9E3"/>
            <w:bottom w:val="single" w:sz="2" w:space="0" w:color="D9D9E3"/>
            <w:right w:val="single" w:sz="2" w:space="0" w:color="D9D9E3"/>
          </w:divBdr>
          <w:divsChild>
            <w:div w:id="1177816911">
              <w:marLeft w:val="0"/>
              <w:marRight w:val="0"/>
              <w:marTop w:val="0"/>
              <w:marBottom w:val="0"/>
              <w:divBdr>
                <w:top w:val="single" w:sz="2" w:space="0" w:color="D9D9E3"/>
                <w:left w:val="single" w:sz="2" w:space="0" w:color="D9D9E3"/>
                <w:bottom w:val="single" w:sz="2" w:space="0" w:color="D9D9E3"/>
                <w:right w:val="single" w:sz="2" w:space="0" w:color="D9D9E3"/>
              </w:divBdr>
              <w:divsChild>
                <w:div w:id="1438335156">
                  <w:marLeft w:val="0"/>
                  <w:marRight w:val="0"/>
                  <w:marTop w:val="0"/>
                  <w:marBottom w:val="0"/>
                  <w:divBdr>
                    <w:top w:val="single" w:sz="2" w:space="0" w:color="D9D9E3"/>
                    <w:left w:val="single" w:sz="2" w:space="0" w:color="D9D9E3"/>
                    <w:bottom w:val="single" w:sz="2" w:space="0" w:color="D9D9E3"/>
                    <w:right w:val="single" w:sz="2" w:space="0" w:color="D9D9E3"/>
                  </w:divBdr>
                  <w:divsChild>
                    <w:div w:id="886644430">
                      <w:marLeft w:val="0"/>
                      <w:marRight w:val="0"/>
                      <w:marTop w:val="0"/>
                      <w:marBottom w:val="0"/>
                      <w:divBdr>
                        <w:top w:val="single" w:sz="2" w:space="0" w:color="D9D9E3"/>
                        <w:left w:val="single" w:sz="2" w:space="0" w:color="D9D9E3"/>
                        <w:bottom w:val="single" w:sz="2" w:space="0" w:color="D9D9E3"/>
                        <w:right w:val="single" w:sz="2" w:space="0" w:color="D9D9E3"/>
                      </w:divBdr>
                      <w:divsChild>
                        <w:div w:id="1931354169">
                          <w:marLeft w:val="0"/>
                          <w:marRight w:val="0"/>
                          <w:marTop w:val="0"/>
                          <w:marBottom w:val="0"/>
                          <w:divBdr>
                            <w:top w:val="single" w:sz="2" w:space="0" w:color="auto"/>
                            <w:left w:val="single" w:sz="2" w:space="0" w:color="auto"/>
                            <w:bottom w:val="single" w:sz="6" w:space="0" w:color="auto"/>
                            <w:right w:val="single" w:sz="2" w:space="0" w:color="auto"/>
                          </w:divBdr>
                          <w:divsChild>
                            <w:div w:id="171797741">
                              <w:marLeft w:val="0"/>
                              <w:marRight w:val="0"/>
                              <w:marTop w:val="100"/>
                              <w:marBottom w:val="100"/>
                              <w:divBdr>
                                <w:top w:val="single" w:sz="2" w:space="0" w:color="D9D9E3"/>
                                <w:left w:val="single" w:sz="2" w:space="0" w:color="D9D9E3"/>
                                <w:bottom w:val="single" w:sz="2" w:space="0" w:color="D9D9E3"/>
                                <w:right w:val="single" w:sz="2" w:space="0" w:color="D9D9E3"/>
                              </w:divBdr>
                              <w:divsChild>
                                <w:div w:id="731663365">
                                  <w:marLeft w:val="0"/>
                                  <w:marRight w:val="0"/>
                                  <w:marTop w:val="0"/>
                                  <w:marBottom w:val="0"/>
                                  <w:divBdr>
                                    <w:top w:val="single" w:sz="2" w:space="0" w:color="D9D9E3"/>
                                    <w:left w:val="single" w:sz="2" w:space="0" w:color="D9D9E3"/>
                                    <w:bottom w:val="single" w:sz="2" w:space="0" w:color="D9D9E3"/>
                                    <w:right w:val="single" w:sz="2" w:space="0" w:color="D9D9E3"/>
                                  </w:divBdr>
                                  <w:divsChild>
                                    <w:div w:id="585848225">
                                      <w:marLeft w:val="0"/>
                                      <w:marRight w:val="0"/>
                                      <w:marTop w:val="0"/>
                                      <w:marBottom w:val="0"/>
                                      <w:divBdr>
                                        <w:top w:val="single" w:sz="2" w:space="0" w:color="D9D9E3"/>
                                        <w:left w:val="single" w:sz="2" w:space="0" w:color="D9D9E3"/>
                                        <w:bottom w:val="single" w:sz="2" w:space="0" w:color="D9D9E3"/>
                                        <w:right w:val="single" w:sz="2" w:space="0" w:color="D9D9E3"/>
                                      </w:divBdr>
                                      <w:divsChild>
                                        <w:div w:id="2036999985">
                                          <w:marLeft w:val="0"/>
                                          <w:marRight w:val="0"/>
                                          <w:marTop w:val="0"/>
                                          <w:marBottom w:val="0"/>
                                          <w:divBdr>
                                            <w:top w:val="single" w:sz="2" w:space="0" w:color="D9D9E3"/>
                                            <w:left w:val="single" w:sz="2" w:space="0" w:color="D9D9E3"/>
                                            <w:bottom w:val="single" w:sz="2" w:space="0" w:color="D9D9E3"/>
                                            <w:right w:val="single" w:sz="2" w:space="0" w:color="D9D9E3"/>
                                          </w:divBdr>
                                          <w:divsChild>
                                            <w:div w:id="66441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73116010">
          <w:marLeft w:val="0"/>
          <w:marRight w:val="0"/>
          <w:marTop w:val="0"/>
          <w:marBottom w:val="0"/>
          <w:divBdr>
            <w:top w:val="none" w:sz="0" w:space="0" w:color="auto"/>
            <w:left w:val="none" w:sz="0" w:space="0" w:color="auto"/>
            <w:bottom w:val="none" w:sz="0" w:space="0" w:color="auto"/>
            <w:right w:val="none" w:sz="0" w:space="0" w:color="auto"/>
          </w:divBdr>
        </w:div>
      </w:divsChild>
    </w:div>
    <w:div w:id="582690344">
      <w:bodyDiv w:val="1"/>
      <w:marLeft w:val="0"/>
      <w:marRight w:val="0"/>
      <w:marTop w:val="0"/>
      <w:marBottom w:val="0"/>
      <w:divBdr>
        <w:top w:val="none" w:sz="0" w:space="0" w:color="auto"/>
        <w:left w:val="none" w:sz="0" w:space="0" w:color="auto"/>
        <w:bottom w:val="none" w:sz="0" w:space="0" w:color="auto"/>
        <w:right w:val="none" w:sz="0" w:space="0" w:color="auto"/>
      </w:divBdr>
    </w:div>
    <w:div w:id="658072793">
      <w:bodyDiv w:val="1"/>
      <w:marLeft w:val="0"/>
      <w:marRight w:val="0"/>
      <w:marTop w:val="0"/>
      <w:marBottom w:val="0"/>
      <w:divBdr>
        <w:top w:val="none" w:sz="0" w:space="0" w:color="auto"/>
        <w:left w:val="none" w:sz="0" w:space="0" w:color="auto"/>
        <w:bottom w:val="none" w:sz="0" w:space="0" w:color="auto"/>
        <w:right w:val="none" w:sz="0" w:space="0" w:color="auto"/>
      </w:divBdr>
    </w:div>
    <w:div w:id="663628744">
      <w:bodyDiv w:val="1"/>
      <w:marLeft w:val="0"/>
      <w:marRight w:val="0"/>
      <w:marTop w:val="0"/>
      <w:marBottom w:val="0"/>
      <w:divBdr>
        <w:top w:val="none" w:sz="0" w:space="0" w:color="auto"/>
        <w:left w:val="none" w:sz="0" w:space="0" w:color="auto"/>
        <w:bottom w:val="none" w:sz="0" w:space="0" w:color="auto"/>
        <w:right w:val="none" w:sz="0" w:space="0" w:color="auto"/>
      </w:divBdr>
      <w:divsChild>
        <w:div w:id="1551531371">
          <w:marLeft w:val="0"/>
          <w:marRight w:val="0"/>
          <w:marTop w:val="0"/>
          <w:marBottom w:val="0"/>
          <w:divBdr>
            <w:top w:val="single" w:sz="2" w:space="0" w:color="D9D9E3"/>
            <w:left w:val="single" w:sz="2" w:space="0" w:color="D9D9E3"/>
            <w:bottom w:val="single" w:sz="2" w:space="0" w:color="D9D9E3"/>
            <w:right w:val="single" w:sz="2" w:space="0" w:color="D9D9E3"/>
          </w:divBdr>
          <w:divsChild>
            <w:div w:id="110168691">
              <w:marLeft w:val="0"/>
              <w:marRight w:val="0"/>
              <w:marTop w:val="0"/>
              <w:marBottom w:val="0"/>
              <w:divBdr>
                <w:top w:val="single" w:sz="2" w:space="0" w:color="D9D9E3"/>
                <w:left w:val="single" w:sz="2" w:space="0" w:color="D9D9E3"/>
                <w:bottom w:val="single" w:sz="2" w:space="0" w:color="D9D9E3"/>
                <w:right w:val="single" w:sz="2" w:space="0" w:color="D9D9E3"/>
              </w:divBdr>
              <w:divsChild>
                <w:div w:id="864487121">
                  <w:marLeft w:val="0"/>
                  <w:marRight w:val="0"/>
                  <w:marTop w:val="0"/>
                  <w:marBottom w:val="0"/>
                  <w:divBdr>
                    <w:top w:val="single" w:sz="2" w:space="0" w:color="D9D9E3"/>
                    <w:left w:val="single" w:sz="2" w:space="0" w:color="D9D9E3"/>
                    <w:bottom w:val="single" w:sz="2" w:space="0" w:color="D9D9E3"/>
                    <w:right w:val="single" w:sz="2" w:space="0" w:color="D9D9E3"/>
                  </w:divBdr>
                  <w:divsChild>
                    <w:div w:id="81293434">
                      <w:marLeft w:val="0"/>
                      <w:marRight w:val="0"/>
                      <w:marTop w:val="0"/>
                      <w:marBottom w:val="0"/>
                      <w:divBdr>
                        <w:top w:val="single" w:sz="2" w:space="0" w:color="D9D9E3"/>
                        <w:left w:val="single" w:sz="2" w:space="0" w:color="D9D9E3"/>
                        <w:bottom w:val="single" w:sz="2" w:space="0" w:color="D9D9E3"/>
                        <w:right w:val="single" w:sz="2" w:space="0" w:color="D9D9E3"/>
                      </w:divBdr>
                      <w:divsChild>
                        <w:div w:id="1331252506">
                          <w:marLeft w:val="0"/>
                          <w:marRight w:val="0"/>
                          <w:marTop w:val="0"/>
                          <w:marBottom w:val="0"/>
                          <w:divBdr>
                            <w:top w:val="single" w:sz="2" w:space="0" w:color="auto"/>
                            <w:left w:val="single" w:sz="2" w:space="0" w:color="auto"/>
                            <w:bottom w:val="single" w:sz="6" w:space="0" w:color="auto"/>
                            <w:right w:val="single" w:sz="2" w:space="0" w:color="auto"/>
                          </w:divBdr>
                          <w:divsChild>
                            <w:div w:id="1538395716">
                              <w:marLeft w:val="0"/>
                              <w:marRight w:val="0"/>
                              <w:marTop w:val="100"/>
                              <w:marBottom w:val="100"/>
                              <w:divBdr>
                                <w:top w:val="single" w:sz="2" w:space="0" w:color="D9D9E3"/>
                                <w:left w:val="single" w:sz="2" w:space="0" w:color="D9D9E3"/>
                                <w:bottom w:val="single" w:sz="2" w:space="0" w:color="D9D9E3"/>
                                <w:right w:val="single" w:sz="2" w:space="0" w:color="D9D9E3"/>
                              </w:divBdr>
                              <w:divsChild>
                                <w:div w:id="787697952">
                                  <w:marLeft w:val="0"/>
                                  <w:marRight w:val="0"/>
                                  <w:marTop w:val="0"/>
                                  <w:marBottom w:val="0"/>
                                  <w:divBdr>
                                    <w:top w:val="single" w:sz="2" w:space="0" w:color="D9D9E3"/>
                                    <w:left w:val="single" w:sz="2" w:space="0" w:color="D9D9E3"/>
                                    <w:bottom w:val="single" w:sz="2" w:space="0" w:color="D9D9E3"/>
                                    <w:right w:val="single" w:sz="2" w:space="0" w:color="D9D9E3"/>
                                  </w:divBdr>
                                  <w:divsChild>
                                    <w:div w:id="1553881752">
                                      <w:marLeft w:val="0"/>
                                      <w:marRight w:val="0"/>
                                      <w:marTop w:val="0"/>
                                      <w:marBottom w:val="0"/>
                                      <w:divBdr>
                                        <w:top w:val="single" w:sz="2" w:space="0" w:color="D9D9E3"/>
                                        <w:left w:val="single" w:sz="2" w:space="0" w:color="D9D9E3"/>
                                        <w:bottom w:val="single" w:sz="2" w:space="0" w:color="D9D9E3"/>
                                        <w:right w:val="single" w:sz="2" w:space="0" w:color="D9D9E3"/>
                                      </w:divBdr>
                                      <w:divsChild>
                                        <w:div w:id="1270893679">
                                          <w:marLeft w:val="0"/>
                                          <w:marRight w:val="0"/>
                                          <w:marTop w:val="0"/>
                                          <w:marBottom w:val="0"/>
                                          <w:divBdr>
                                            <w:top w:val="single" w:sz="2" w:space="0" w:color="D9D9E3"/>
                                            <w:left w:val="single" w:sz="2" w:space="0" w:color="D9D9E3"/>
                                            <w:bottom w:val="single" w:sz="2" w:space="0" w:color="D9D9E3"/>
                                            <w:right w:val="single" w:sz="2" w:space="0" w:color="D9D9E3"/>
                                          </w:divBdr>
                                          <w:divsChild>
                                            <w:div w:id="5928631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10374941">
          <w:marLeft w:val="0"/>
          <w:marRight w:val="0"/>
          <w:marTop w:val="0"/>
          <w:marBottom w:val="0"/>
          <w:divBdr>
            <w:top w:val="none" w:sz="0" w:space="0" w:color="auto"/>
            <w:left w:val="none" w:sz="0" w:space="0" w:color="auto"/>
            <w:bottom w:val="none" w:sz="0" w:space="0" w:color="auto"/>
            <w:right w:val="none" w:sz="0" w:space="0" w:color="auto"/>
          </w:divBdr>
        </w:div>
      </w:divsChild>
    </w:div>
    <w:div w:id="668484444">
      <w:bodyDiv w:val="1"/>
      <w:marLeft w:val="0"/>
      <w:marRight w:val="0"/>
      <w:marTop w:val="0"/>
      <w:marBottom w:val="0"/>
      <w:divBdr>
        <w:top w:val="none" w:sz="0" w:space="0" w:color="auto"/>
        <w:left w:val="none" w:sz="0" w:space="0" w:color="auto"/>
        <w:bottom w:val="none" w:sz="0" w:space="0" w:color="auto"/>
        <w:right w:val="none" w:sz="0" w:space="0" w:color="auto"/>
      </w:divBdr>
    </w:div>
    <w:div w:id="813642231">
      <w:bodyDiv w:val="1"/>
      <w:marLeft w:val="0"/>
      <w:marRight w:val="0"/>
      <w:marTop w:val="0"/>
      <w:marBottom w:val="0"/>
      <w:divBdr>
        <w:top w:val="none" w:sz="0" w:space="0" w:color="auto"/>
        <w:left w:val="none" w:sz="0" w:space="0" w:color="auto"/>
        <w:bottom w:val="none" w:sz="0" w:space="0" w:color="auto"/>
        <w:right w:val="none" w:sz="0" w:space="0" w:color="auto"/>
      </w:divBdr>
    </w:div>
    <w:div w:id="1513564091">
      <w:bodyDiv w:val="1"/>
      <w:marLeft w:val="0"/>
      <w:marRight w:val="0"/>
      <w:marTop w:val="0"/>
      <w:marBottom w:val="0"/>
      <w:divBdr>
        <w:top w:val="none" w:sz="0" w:space="0" w:color="auto"/>
        <w:left w:val="none" w:sz="0" w:space="0" w:color="auto"/>
        <w:bottom w:val="none" w:sz="0" w:space="0" w:color="auto"/>
        <w:right w:val="none" w:sz="0" w:space="0" w:color="auto"/>
      </w:divBdr>
    </w:div>
    <w:div w:id="1927183841">
      <w:bodyDiv w:val="1"/>
      <w:marLeft w:val="0"/>
      <w:marRight w:val="0"/>
      <w:marTop w:val="0"/>
      <w:marBottom w:val="0"/>
      <w:divBdr>
        <w:top w:val="none" w:sz="0" w:space="0" w:color="auto"/>
        <w:left w:val="none" w:sz="0" w:space="0" w:color="auto"/>
        <w:bottom w:val="none" w:sz="0" w:space="0" w:color="auto"/>
        <w:right w:val="none" w:sz="0" w:space="0" w:color="auto"/>
      </w:divBdr>
    </w:div>
    <w:div w:id="2060929537">
      <w:bodyDiv w:val="1"/>
      <w:marLeft w:val="0"/>
      <w:marRight w:val="0"/>
      <w:marTop w:val="0"/>
      <w:marBottom w:val="0"/>
      <w:divBdr>
        <w:top w:val="none" w:sz="0" w:space="0" w:color="auto"/>
        <w:left w:val="none" w:sz="0" w:space="0" w:color="auto"/>
        <w:bottom w:val="none" w:sz="0" w:space="0" w:color="auto"/>
        <w:right w:val="none" w:sz="0" w:space="0" w:color="auto"/>
      </w:divBdr>
    </w:div>
    <w:div w:id="206421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helf-uwtsd.alma.exlibrisgroup.com/leganto/public/44WHELF_UWTSD/lists/5941942690002421?auth=SA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64DA160-ADBC-4A19-A325-8CFCEA256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2499</Words>
  <Characters>14245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Florin Fizesan</dc:creator>
  <cp:lastModifiedBy>Florin Fizesan</cp:lastModifiedBy>
  <cp:revision>2</cp:revision>
  <dcterms:created xsi:type="dcterms:W3CDTF">2023-11-26T11:17:00Z</dcterms:created>
  <dcterms:modified xsi:type="dcterms:W3CDTF">2023-11-26T11:17:00Z</dcterms:modified>
</cp:coreProperties>
</file>