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5A101" w14:textId="77777777" w:rsidR="00E023A7" w:rsidRPr="00E023A7" w:rsidRDefault="00E023A7" w:rsidP="00E023A7">
      <w:pPr>
        <w:shd w:val="clear" w:color="auto" w:fill="FFFFFF"/>
        <w:spacing w:after="150" w:line="240" w:lineRule="auto"/>
        <w:outlineLvl w:val="0"/>
        <w:rPr>
          <w:rFonts w:ascii="Open Sans" w:eastAsia="Times New Roman" w:hAnsi="Open Sans" w:cs="Open Sans"/>
          <w:b/>
          <w:bCs/>
          <w:color w:val="142B40"/>
          <w:kern w:val="36"/>
          <w:sz w:val="48"/>
          <w:szCs w:val="48"/>
          <w:lang w:eastAsia="en-GB"/>
        </w:rPr>
      </w:pPr>
      <w:r w:rsidRPr="00E023A7">
        <w:rPr>
          <w:rFonts w:ascii="Open Sans" w:eastAsia="Times New Roman" w:hAnsi="Open Sans" w:cs="Open Sans"/>
          <w:b/>
          <w:bCs/>
          <w:color w:val="142B40"/>
          <w:kern w:val="36"/>
          <w:sz w:val="48"/>
          <w:szCs w:val="48"/>
          <w:lang w:eastAsia="en-GB"/>
        </w:rPr>
        <w:t>McDonald's Franchise Costs &amp; Fees</w:t>
      </w:r>
    </w:p>
    <w:p w14:paraId="54DE5018" w14:textId="77777777" w:rsidR="00E023A7" w:rsidRPr="00E023A7" w:rsidRDefault="00E023A7" w:rsidP="00E023A7">
      <w:pPr>
        <w:shd w:val="clear" w:color="auto" w:fill="FFFFFF"/>
        <w:spacing w:after="0" w:line="240" w:lineRule="auto"/>
        <w:jc w:val="right"/>
        <w:rPr>
          <w:rFonts w:ascii="Open Sans" w:eastAsia="Times New Roman" w:hAnsi="Open Sans" w:cs="Open Sans"/>
          <w:color w:val="626E7A"/>
          <w:sz w:val="24"/>
          <w:szCs w:val="24"/>
          <w:lang w:eastAsia="en-GB"/>
        </w:rPr>
      </w:pPr>
      <w:hyperlink r:id="rId5" w:history="1">
        <w:r w:rsidRPr="00E023A7">
          <w:rPr>
            <w:rFonts w:ascii="Open Sans" w:eastAsia="Times New Roman" w:hAnsi="Open Sans" w:cs="Open Sans"/>
            <w:caps/>
            <w:color w:val="2487B2"/>
            <w:sz w:val="34"/>
            <w:szCs w:val="34"/>
            <w:u w:val="single"/>
            <w:lang w:eastAsia="en-GB"/>
          </w:rPr>
          <w:t>FAST FOOD FRANCHISES</w:t>
        </w:r>
      </w:hyperlink>
    </w:p>
    <w:p w14:paraId="6FB3936A" w14:textId="77777777" w:rsidR="00E023A7" w:rsidRPr="00E023A7" w:rsidRDefault="00E023A7" w:rsidP="00E023A7">
      <w:pPr>
        <w:shd w:val="clear" w:color="auto" w:fill="FFFFFF"/>
        <w:spacing w:line="240" w:lineRule="auto"/>
        <w:jc w:val="center"/>
        <w:rPr>
          <w:rFonts w:ascii="Open Sans" w:eastAsia="Times New Roman" w:hAnsi="Open Sans" w:cs="Open Sans"/>
          <w:color w:val="626E7A"/>
          <w:sz w:val="24"/>
          <w:szCs w:val="24"/>
          <w:lang w:eastAsia="en-GB"/>
        </w:rPr>
      </w:pPr>
      <w:r w:rsidRPr="00E023A7">
        <w:rPr>
          <w:rFonts w:ascii="Open Sans" w:eastAsia="Times New Roman" w:hAnsi="Open Sans" w:cs="Open Sans"/>
          <w:noProof/>
          <w:color w:val="626E7A"/>
          <w:sz w:val="24"/>
          <w:szCs w:val="24"/>
          <w:lang w:eastAsia="en-GB"/>
        </w:rPr>
        <w:drawing>
          <wp:inline distT="0" distB="0" distL="0" distR="0" wp14:anchorId="3F0A8180" wp14:editId="1116D9BA">
            <wp:extent cx="2647950" cy="1670050"/>
            <wp:effectExtent l="0" t="0" r="0" b="6350"/>
            <wp:docPr id="9" name="Picture 9" descr="McDonald's Franch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cDonald's Franchis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47950" cy="1670050"/>
                    </a:xfrm>
                    <a:prstGeom prst="rect">
                      <a:avLst/>
                    </a:prstGeom>
                    <a:noFill/>
                    <a:ln>
                      <a:noFill/>
                    </a:ln>
                  </pic:spPr>
                </pic:pic>
              </a:graphicData>
            </a:graphic>
          </wp:inline>
        </w:drawing>
      </w:r>
    </w:p>
    <w:p w14:paraId="572B3C86" w14:textId="77777777" w:rsidR="00E023A7" w:rsidRPr="00E023A7" w:rsidRDefault="00E023A7" w:rsidP="00E023A7">
      <w:pPr>
        <w:shd w:val="clear" w:color="auto" w:fill="FFFFFF"/>
        <w:spacing w:after="0" w:line="240" w:lineRule="auto"/>
        <w:rPr>
          <w:rFonts w:ascii="Open Sans" w:eastAsia="Times New Roman" w:hAnsi="Open Sans" w:cs="Open Sans"/>
          <w:color w:val="626E7A"/>
          <w:sz w:val="24"/>
          <w:szCs w:val="24"/>
          <w:lang w:eastAsia="en-GB"/>
        </w:rPr>
      </w:pPr>
      <w:hyperlink r:id="rId7" w:history="1">
        <w:r w:rsidRPr="00E023A7">
          <w:rPr>
            <w:rFonts w:ascii="Open Sans" w:eastAsia="Times New Roman" w:hAnsi="Open Sans" w:cs="Open Sans"/>
            <w:b/>
            <w:bCs/>
            <w:caps/>
            <w:color w:val="FFFFFF"/>
            <w:sz w:val="24"/>
            <w:szCs w:val="24"/>
            <w:u w:val="single"/>
            <w:shd w:val="clear" w:color="auto" w:fill="8FA51E"/>
            <w:lang w:eastAsia="en-GB"/>
          </w:rPr>
          <w:t> DOWNLOAD FULL FDD</w:t>
        </w:r>
      </w:hyperlink>
    </w:p>
    <w:p w14:paraId="30BDB3A0" w14:textId="77777777" w:rsidR="00E023A7" w:rsidRPr="00E023A7" w:rsidRDefault="00E023A7" w:rsidP="00E023A7">
      <w:pPr>
        <w:shd w:val="clear" w:color="auto" w:fill="FFFFFF"/>
        <w:spacing w:after="300" w:line="390" w:lineRule="atLeast"/>
        <w:rPr>
          <w:rFonts w:ascii="Open Sans" w:eastAsia="Times New Roman" w:hAnsi="Open Sans" w:cs="Open Sans"/>
          <w:color w:val="626E7A"/>
          <w:sz w:val="24"/>
          <w:szCs w:val="24"/>
          <w:lang w:eastAsia="en-GB"/>
        </w:rPr>
      </w:pPr>
      <w:r w:rsidRPr="00E023A7">
        <w:rPr>
          <w:rFonts w:ascii="Open Sans" w:eastAsia="Times New Roman" w:hAnsi="Open Sans" w:cs="Open Sans"/>
          <w:i/>
          <w:iCs/>
          <w:color w:val="626E7A"/>
          <w:sz w:val="20"/>
          <w:szCs w:val="20"/>
          <w:lang w:eastAsia="en-GB"/>
        </w:rPr>
        <w:t>Note: FDD pages are provided for informational purposes only. This page is only a brief overview of what is contained in the full franchise disclosure document, which is to be given to the prospective franchisee by the franchise—and receipt of which must be formally notarized between the parties. Independent legal and professional advice should be sought before undertaking any investment in a franchise.</w:t>
      </w:r>
    </w:p>
    <w:p w14:paraId="78A0DDE2" w14:textId="77777777" w:rsidR="00E023A7" w:rsidRPr="00E023A7" w:rsidRDefault="00E023A7" w:rsidP="00E023A7">
      <w:pPr>
        <w:shd w:val="clear" w:color="auto" w:fill="FFFFFF"/>
        <w:spacing w:before="150" w:after="300" w:line="390" w:lineRule="atLeast"/>
        <w:rPr>
          <w:rFonts w:ascii="Open Sans" w:eastAsia="Times New Roman" w:hAnsi="Open Sans" w:cs="Open Sans"/>
          <w:color w:val="626E7A"/>
          <w:sz w:val="24"/>
          <w:szCs w:val="24"/>
          <w:lang w:eastAsia="en-GB"/>
        </w:rPr>
      </w:pPr>
      <w:r w:rsidRPr="00E023A7">
        <w:rPr>
          <w:rFonts w:ascii="Open Sans" w:eastAsia="Times New Roman" w:hAnsi="Open Sans" w:cs="Open Sans"/>
          <w:b/>
          <w:bCs/>
          <w:color w:val="142B40"/>
          <w:sz w:val="24"/>
          <w:szCs w:val="24"/>
          <w:lang w:eastAsia="en-GB"/>
        </w:rPr>
        <w:t>Year Business Began:</w:t>
      </w:r>
      <w:r w:rsidRPr="00E023A7">
        <w:rPr>
          <w:rFonts w:ascii="Open Sans" w:eastAsia="Times New Roman" w:hAnsi="Open Sans" w:cs="Open Sans"/>
          <w:color w:val="626E7A"/>
          <w:sz w:val="24"/>
          <w:szCs w:val="24"/>
          <w:lang w:eastAsia="en-GB"/>
        </w:rPr>
        <w:t> 1955</w:t>
      </w:r>
    </w:p>
    <w:p w14:paraId="4E6D225C" w14:textId="77777777" w:rsidR="00E023A7" w:rsidRPr="00E023A7" w:rsidRDefault="00E023A7" w:rsidP="00E023A7">
      <w:pPr>
        <w:shd w:val="clear" w:color="auto" w:fill="FFFFFF"/>
        <w:spacing w:before="150" w:after="300" w:line="390" w:lineRule="atLeast"/>
        <w:rPr>
          <w:rFonts w:ascii="Open Sans" w:eastAsia="Times New Roman" w:hAnsi="Open Sans" w:cs="Open Sans"/>
          <w:color w:val="626E7A"/>
          <w:sz w:val="24"/>
          <w:szCs w:val="24"/>
          <w:lang w:eastAsia="en-GB"/>
        </w:rPr>
      </w:pPr>
      <w:r w:rsidRPr="00E023A7">
        <w:rPr>
          <w:rFonts w:ascii="Open Sans" w:eastAsia="Times New Roman" w:hAnsi="Open Sans" w:cs="Open Sans"/>
          <w:b/>
          <w:bCs/>
          <w:color w:val="142B40"/>
          <w:sz w:val="24"/>
          <w:szCs w:val="24"/>
          <w:lang w:eastAsia="en-GB"/>
        </w:rPr>
        <w:t>Franchising Since:</w:t>
      </w:r>
      <w:r w:rsidRPr="00E023A7">
        <w:rPr>
          <w:rFonts w:ascii="Open Sans" w:eastAsia="Times New Roman" w:hAnsi="Open Sans" w:cs="Open Sans"/>
          <w:color w:val="626E7A"/>
          <w:sz w:val="24"/>
          <w:szCs w:val="24"/>
          <w:lang w:eastAsia="en-GB"/>
        </w:rPr>
        <w:t> 1955</w:t>
      </w:r>
    </w:p>
    <w:p w14:paraId="4BCBF59E" w14:textId="77777777" w:rsidR="00E023A7" w:rsidRPr="00E023A7" w:rsidRDefault="00E023A7" w:rsidP="00E023A7">
      <w:pPr>
        <w:shd w:val="clear" w:color="auto" w:fill="FFFFFF"/>
        <w:spacing w:before="150" w:after="300" w:line="390" w:lineRule="atLeast"/>
        <w:rPr>
          <w:rFonts w:ascii="Open Sans" w:eastAsia="Times New Roman" w:hAnsi="Open Sans" w:cs="Open Sans"/>
          <w:color w:val="626E7A"/>
          <w:sz w:val="24"/>
          <w:szCs w:val="24"/>
          <w:lang w:eastAsia="en-GB"/>
        </w:rPr>
      </w:pPr>
      <w:r w:rsidRPr="00E023A7">
        <w:rPr>
          <w:rFonts w:ascii="Open Sans" w:eastAsia="Times New Roman" w:hAnsi="Open Sans" w:cs="Open Sans"/>
          <w:b/>
          <w:bCs/>
          <w:color w:val="142B40"/>
          <w:sz w:val="24"/>
          <w:szCs w:val="24"/>
          <w:lang w:eastAsia="en-GB"/>
        </w:rPr>
        <w:t>Headquarters:</w:t>
      </w:r>
      <w:r w:rsidRPr="00E023A7">
        <w:rPr>
          <w:rFonts w:ascii="Open Sans" w:eastAsia="Times New Roman" w:hAnsi="Open Sans" w:cs="Open Sans"/>
          <w:color w:val="626E7A"/>
          <w:sz w:val="24"/>
          <w:szCs w:val="24"/>
          <w:lang w:eastAsia="en-GB"/>
        </w:rPr>
        <w:t> Chicago, Illinois</w:t>
      </w:r>
    </w:p>
    <w:p w14:paraId="6A9A9233" w14:textId="77777777" w:rsidR="00E023A7" w:rsidRPr="00E023A7" w:rsidRDefault="00E023A7" w:rsidP="00E023A7">
      <w:pPr>
        <w:shd w:val="clear" w:color="auto" w:fill="FFFFFF"/>
        <w:spacing w:before="150" w:after="300" w:line="390" w:lineRule="atLeast"/>
        <w:rPr>
          <w:rFonts w:ascii="Open Sans" w:eastAsia="Times New Roman" w:hAnsi="Open Sans" w:cs="Open Sans"/>
          <w:color w:val="626E7A"/>
          <w:sz w:val="24"/>
          <w:szCs w:val="24"/>
          <w:lang w:eastAsia="en-GB"/>
        </w:rPr>
      </w:pPr>
      <w:r w:rsidRPr="00E023A7">
        <w:rPr>
          <w:rFonts w:ascii="Open Sans" w:eastAsia="Times New Roman" w:hAnsi="Open Sans" w:cs="Open Sans"/>
          <w:b/>
          <w:bCs/>
          <w:color w:val="142B40"/>
          <w:sz w:val="24"/>
          <w:szCs w:val="24"/>
          <w:lang w:eastAsia="en-GB"/>
        </w:rPr>
        <w:t>Estimated Number of Units:</w:t>
      </w:r>
      <w:r w:rsidRPr="00E023A7">
        <w:rPr>
          <w:rFonts w:ascii="Open Sans" w:eastAsia="Times New Roman" w:hAnsi="Open Sans" w:cs="Open Sans"/>
          <w:color w:val="626E7A"/>
          <w:sz w:val="24"/>
          <w:szCs w:val="24"/>
          <w:lang w:eastAsia="en-GB"/>
        </w:rPr>
        <w:t> 40,000</w:t>
      </w:r>
    </w:p>
    <w:p w14:paraId="46E7ACA2" w14:textId="77777777" w:rsidR="00E023A7" w:rsidRPr="00E023A7" w:rsidRDefault="00E023A7" w:rsidP="00E023A7">
      <w:pPr>
        <w:shd w:val="clear" w:color="auto" w:fill="FFFFFF"/>
        <w:spacing w:before="150" w:after="300" w:line="390" w:lineRule="atLeast"/>
        <w:rPr>
          <w:rFonts w:ascii="Open Sans" w:eastAsia="Times New Roman" w:hAnsi="Open Sans" w:cs="Open Sans"/>
          <w:color w:val="626E7A"/>
          <w:sz w:val="24"/>
          <w:szCs w:val="24"/>
          <w:lang w:eastAsia="en-GB"/>
        </w:rPr>
      </w:pPr>
      <w:r w:rsidRPr="00E023A7">
        <w:rPr>
          <w:rFonts w:ascii="Open Sans" w:eastAsia="Times New Roman" w:hAnsi="Open Sans" w:cs="Open Sans"/>
          <w:b/>
          <w:bCs/>
          <w:color w:val="142B40"/>
          <w:sz w:val="24"/>
          <w:szCs w:val="24"/>
          <w:lang w:eastAsia="en-GB"/>
        </w:rPr>
        <w:lastRenderedPageBreak/>
        <w:t>Franchise Description:</w:t>
      </w:r>
      <w:r w:rsidRPr="00E023A7">
        <w:rPr>
          <w:rFonts w:ascii="Open Sans" w:eastAsia="Times New Roman" w:hAnsi="Open Sans" w:cs="Open Sans"/>
          <w:color w:val="626E7A"/>
          <w:sz w:val="24"/>
          <w:szCs w:val="24"/>
          <w:lang w:eastAsia="en-GB"/>
        </w:rPr>
        <w:t xml:space="preserve"> McDonald’s USA, LLC is the franchisor. The franchisor is a </w:t>
      </w:r>
      <w:proofErr w:type="gramStart"/>
      <w:r w:rsidRPr="00E023A7">
        <w:rPr>
          <w:rFonts w:ascii="Open Sans" w:eastAsia="Times New Roman" w:hAnsi="Open Sans" w:cs="Open Sans"/>
          <w:color w:val="626E7A"/>
          <w:sz w:val="24"/>
          <w:szCs w:val="24"/>
          <w:lang w:eastAsia="en-GB"/>
        </w:rPr>
        <w:t>wholly-owned</w:t>
      </w:r>
      <w:proofErr w:type="gramEnd"/>
      <w:r w:rsidRPr="00E023A7">
        <w:rPr>
          <w:rFonts w:ascii="Open Sans" w:eastAsia="Times New Roman" w:hAnsi="Open Sans" w:cs="Open Sans"/>
          <w:color w:val="626E7A"/>
          <w:sz w:val="24"/>
          <w:szCs w:val="24"/>
          <w:lang w:eastAsia="en-GB"/>
        </w:rPr>
        <w:t xml:space="preserve"> subsidiary of its parent and predecessor, McDonald’s Corporation. The franchisor develops, operates, franchises, and services a system of restaurants that prepare, assemble, package, and sell a limited menu of value-priced foods under the “McDonald's System.” A grant of a McDonald’s franchise authorizes franchisees to operate a McDonald’s restaurant business at a specific location and to use the McDonald’s System in the operation of that restaurant business for a specific period of time. The franchisor offers four types of franchises:</w:t>
      </w:r>
    </w:p>
    <w:p w14:paraId="40D6913A" w14:textId="77777777" w:rsidR="00E023A7" w:rsidRPr="00E023A7" w:rsidRDefault="00E023A7" w:rsidP="00E023A7">
      <w:pPr>
        <w:numPr>
          <w:ilvl w:val="0"/>
          <w:numId w:val="2"/>
        </w:numPr>
        <w:shd w:val="clear" w:color="auto" w:fill="FFFFFF"/>
        <w:spacing w:before="150" w:after="150" w:line="390" w:lineRule="atLeast"/>
        <w:ind w:left="870"/>
        <w:rPr>
          <w:rFonts w:ascii="Open Sans" w:eastAsia="Times New Roman" w:hAnsi="Open Sans" w:cs="Open Sans"/>
          <w:color w:val="626E7A"/>
          <w:sz w:val="24"/>
          <w:szCs w:val="24"/>
          <w:lang w:eastAsia="en-GB"/>
        </w:rPr>
      </w:pPr>
      <w:r w:rsidRPr="00E023A7">
        <w:rPr>
          <w:rFonts w:ascii="Open Sans" w:eastAsia="Times New Roman" w:hAnsi="Open Sans" w:cs="Open Sans"/>
          <w:color w:val="626E7A"/>
          <w:sz w:val="24"/>
          <w:szCs w:val="24"/>
          <w:lang w:eastAsia="en-GB"/>
        </w:rPr>
        <w:t>Traditional Restaurant: franchise offered is located in freestanding buildings, storefronts, food courts, and other locations. The franchisee operates a full-menu restaurant, offering the public a high standard of quality and uniformity in food and service.</w:t>
      </w:r>
    </w:p>
    <w:p w14:paraId="028E37C3" w14:textId="77777777" w:rsidR="00E023A7" w:rsidRPr="00E023A7" w:rsidRDefault="00E023A7" w:rsidP="00E023A7">
      <w:pPr>
        <w:numPr>
          <w:ilvl w:val="0"/>
          <w:numId w:val="2"/>
        </w:numPr>
        <w:shd w:val="clear" w:color="auto" w:fill="FFFFFF"/>
        <w:spacing w:before="150" w:after="150" w:line="390" w:lineRule="atLeast"/>
        <w:ind w:left="870"/>
        <w:rPr>
          <w:rFonts w:ascii="Open Sans" w:eastAsia="Times New Roman" w:hAnsi="Open Sans" w:cs="Open Sans"/>
          <w:color w:val="626E7A"/>
          <w:sz w:val="24"/>
          <w:szCs w:val="24"/>
          <w:lang w:eastAsia="en-GB"/>
        </w:rPr>
      </w:pPr>
      <w:r w:rsidRPr="00E023A7">
        <w:rPr>
          <w:rFonts w:ascii="Open Sans" w:eastAsia="Times New Roman" w:hAnsi="Open Sans" w:cs="Open Sans"/>
          <w:color w:val="626E7A"/>
          <w:sz w:val="24"/>
          <w:szCs w:val="24"/>
          <w:lang w:eastAsia="en-GB"/>
        </w:rPr>
        <w:t xml:space="preserve">Satellite Locations: The franchisee is granted the right to operate the franchise in a retail store, strip </w:t>
      </w:r>
      <w:proofErr w:type="spellStart"/>
      <w:r w:rsidRPr="00E023A7">
        <w:rPr>
          <w:rFonts w:ascii="Open Sans" w:eastAsia="Times New Roman" w:hAnsi="Open Sans" w:cs="Open Sans"/>
          <w:color w:val="626E7A"/>
          <w:sz w:val="24"/>
          <w:szCs w:val="24"/>
          <w:lang w:eastAsia="en-GB"/>
        </w:rPr>
        <w:t>center</w:t>
      </w:r>
      <w:proofErr w:type="spellEnd"/>
      <w:r w:rsidRPr="00E023A7">
        <w:rPr>
          <w:rFonts w:ascii="Open Sans" w:eastAsia="Times New Roman" w:hAnsi="Open Sans" w:cs="Open Sans"/>
          <w:color w:val="626E7A"/>
          <w:sz w:val="24"/>
          <w:szCs w:val="24"/>
          <w:lang w:eastAsia="en-GB"/>
        </w:rPr>
        <w:t>, airport, universities, hospitals, and other diverse locations. These restaurants serve a scaled-down menu of a traditional McDonald’s restaurant and, in some cases, may also serve non-McDonald’s trademarked products.</w:t>
      </w:r>
    </w:p>
    <w:p w14:paraId="24FDF794" w14:textId="77777777" w:rsidR="00E023A7" w:rsidRPr="00E023A7" w:rsidRDefault="00E023A7" w:rsidP="00E023A7">
      <w:pPr>
        <w:numPr>
          <w:ilvl w:val="0"/>
          <w:numId w:val="2"/>
        </w:numPr>
        <w:shd w:val="clear" w:color="auto" w:fill="FFFFFF"/>
        <w:spacing w:before="150" w:after="150" w:line="390" w:lineRule="atLeast"/>
        <w:ind w:left="870"/>
        <w:rPr>
          <w:rFonts w:ascii="Open Sans" w:eastAsia="Times New Roman" w:hAnsi="Open Sans" w:cs="Open Sans"/>
          <w:color w:val="626E7A"/>
          <w:sz w:val="24"/>
          <w:szCs w:val="24"/>
          <w:lang w:eastAsia="en-GB"/>
        </w:rPr>
      </w:pPr>
      <w:r w:rsidRPr="00E023A7">
        <w:rPr>
          <w:rFonts w:ascii="Open Sans" w:eastAsia="Times New Roman" w:hAnsi="Open Sans" w:cs="Open Sans"/>
          <w:color w:val="626E7A"/>
          <w:sz w:val="24"/>
          <w:szCs w:val="24"/>
          <w:lang w:eastAsia="en-GB"/>
        </w:rPr>
        <w:t xml:space="preserve">STO and STR Locations: ‘Small Town Oil’ locations are situated in fuel stations/convenience </w:t>
      </w:r>
      <w:proofErr w:type="gramStart"/>
      <w:r w:rsidRPr="00E023A7">
        <w:rPr>
          <w:rFonts w:ascii="Open Sans" w:eastAsia="Times New Roman" w:hAnsi="Open Sans" w:cs="Open Sans"/>
          <w:color w:val="626E7A"/>
          <w:sz w:val="24"/>
          <w:szCs w:val="24"/>
          <w:lang w:eastAsia="en-GB"/>
        </w:rPr>
        <w:t>stores, and</w:t>
      </w:r>
      <w:proofErr w:type="gramEnd"/>
      <w:r w:rsidRPr="00E023A7">
        <w:rPr>
          <w:rFonts w:ascii="Open Sans" w:eastAsia="Times New Roman" w:hAnsi="Open Sans" w:cs="Open Sans"/>
          <w:color w:val="626E7A"/>
          <w:sz w:val="24"/>
          <w:szCs w:val="24"/>
          <w:lang w:eastAsia="en-GB"/>
        </w:rPr>
        <w:t xml:space="preserve"> operate a full-menu McDonald’s restaurant within the shared space. ‘Small Town Retail’ locations that anchor a small retail </w:t>
      </w:r>
      <w:proofErr w:type="spellStart"/>
      <w:r w:rsidRPr="00E023A7">
        <w:rPr>
          <w:rFonts w:ascii="Open Sans" w:eastAsia="Times New Roman" w:hAnsi="Open Sans" w:cs="Open Sans"/>
          <w:color w:val="626E7A"/>
          <w:sz w:val="24"/>
          <w:szCs w:val="24"/>
          <w:lang w:eastAsia="en-GB"/>
        </w:rPr>
        <w:t>center</w:t>
      </w:r>
      <w:proofErr w:type="spellEnd"/>
      <w:r w:rsidRPr="00E023A7">
        <w:rPr>
          <w:rFonts w:ascii="Open Sans" w:eastAsia="Times New Roman" w:hAnsi="Open Sans" w:cs="Open Sans"/>
          <w:color w:val="626E7A"/>
          <w:sz w:val="24"/>
          <w:szCs w:val="24"/>
          <w:lang w:eastAsia="en-GB"/>
        </w:rPr>
        <w:t xml:space="preserve"> in rural communities.</w:t>
      </w:r>
    </w:p>
    <w:p w14:paraId="3E0FA409" w14:textId="77777777" w:rsidR="00E023A7" w:rsidRPr="00E023A7" w:rsidRDefault="00E023A7" w:rsidP="00E023A7">
      <w:pPr>
        <w:numPr>
          <w:ilvl w:val="0"/>
          <w:numId w:val="2"/>
        </w:numPr>
        <w:shd w:val="clear" w:color="auto" w:fill="FFFFFF"/>
        <w:spacing w:before="150" w:after="150" w:line="390" w:lineRule="atLeast"/>
        <w:ind w:left="870"/>
        <w:rPr>
          <w:rFonts w:ascii="Open Sans" w:eastAsia="Times New Roman" w:hAnsi="Open Sans" w:cs="Open Sans"/>
          <w:color w:val="626E7A"/>
          <w:sz w:val="24"/>
          <w:szCs w:val="24"/>
          <w:lang w:eastAsia="en-GB"/>
        </w:rPr>
      </w:pPr>
      <w:r w:rsidRPr="00E023A7">
        <w:rPr>
          <w:rFonts w:ascii="Open Sans" w:eastAsia="Times New Roman" w:hAnsi="Open Sans" w:cs="Open Sans"/>
          <w:color w:val="626E7A"/>
          <w:sz w:val="24"/>
          <w:szCs w:val="24"/>
          <w:lang w:eastAsia="en-GB"/>
        </w:rPr>
        <w:t>BFL Franchises: For “Business Facilities Lease” franchises, the franchisor grants franchises with leases that include the business facilities. These are limited cases.</w:t>
      </w:r>
    </w:p>
    <w:p w14:paraId="44952394" w14:textId="77777777" w:rsidR="00E023A7" w:rsidRPr="00E023A7" w:rsidRDefault="00E023A7" w:rsidP="00E023A7">
      <w:pPr>
        <w:shd w:val="clear" w:color="auto" w:fill="FFFFFF"/>
        <w:spacing w:before="150" w:after="300" w:line="390" w:lineRule="atLeast"/>
        <w:rPr>
          <w:rFonts w:ascii="Open Sans" w:eastAsia="Times New Roman" w:hAnsi="Open Sans" w:cs="Open Sans"/>
          <w:color w:val="626E7A"/>
          <w:sz w:val="24"/>
          <w:szCs w:val="24"/>
          <w:lang w:eastAsia="en-GB"/>
        </w:rPr>
      </w:pPr>
      <w:r w:rsidRPr="00E023A7">
        <w:rPr>
          <w:rFonts w:ascii="Open Sans" w:eastAsia="Times New Roman" w:hAnsi="Open Sans" w:cs="Open Sans"/>
          <w:b/>
          <w:bCs/>
          <w:color w:val="142B40"/>
          <w:sz w:val="24"/>
          <w:szCs w:val="24"/>
          <w:lang w:eastAsia="en-GB"/>
        </w:rPr>
        <w:t>Training Overview:</w:t>
      </w:r>
      <w:r w:rsidRPr="00E023A7">
        <w:rPr>
          <w:rFonts w:ascii="Open Sans" w:eastAsia="Times New Roman" w:hAnsi="Open Sans" w:cs="Open Sans"/>
          <w:color w:val="626E7A"/>
          <w:sz w:val="24"/>
          <w:szCs w:val="24"/>
          <w:lang w:eastAsia="en-GB"/>
        </w:rPr>
        <w:t xml:space="preserve"> The franchisor operates Hamburger University (HU), the international training </w:t>
      </w:r>
      <w:proofErr w:type="spellStart"/>
      <w:r w:rsidRPr="00E023A7">
        <w:rPr>
          <w:rFonts w:ascii="Open Sans" w:eastAsia="Times New Roman" w:hAnsi="Open Sans" w:cs="Open Sans"/>
          <w:color w:val="626E7A"/>
          <w:sz w:val="24"/>
          <w:szCs w:val="24"/>
          <w:lang w:eastAsia="en-GB"/>
        </w:rPr>
        <w:t>center</w:t>
      </w:r>
      <w:proofErr w:type="spellEnd"/>
      <w:r w:rsidRPr="00E023A7">
        <w:rPr>
          <w:rFonts w:ascii="Open Sans" w:eastAsia="Times New Roman" w:hAnsi="Open Sans" w:cs="Open Sans"/>
          <w:color w:val="626E7A"/>
          <w:sz w:val="24"/>
          <w:szCs w:val="24"/>
          <w:lang w:eastAsia="en-GB"/>
        </w:rPr>
        <w:t xml:space="preserve"> for the McDonald's system. The content and duration of all operations courses, which are offered at HU and various local sites, are </w:t>
      </w:r>
      <w:proofErr w:type="gramStart"/>
      <w:r w:rsidRPr="00E023A7">
        <w:rPr>
          <w:rFonts w:ascii="Open Sans" w:eastAsia="Times New Roman" w:hAnsi="Open Sans" w:cs="Open Sans"/>
          <w:color w:val="626E7A"/>
          <w:sz w:val="24"/>
          <w:szCs w:val="24"/>
          <w:lang w:eastAsia="en-GB"/>
        </w:rPr>
        <w:t>revised</w:t>
      </w:r>
      <w:proofErr w:type="gramEnd"/>
      <w:r w:rsidRPr="00E023A7">
        <w:rPr>
          <w:rFonts w:ascii="Open Sans" w:eastAsia="Times New Roman" w:hAnsi="Open Sans" w:cs="Open Sans"/>
          <w:color w:val="626E7A"/>
          <w:sz w:val="24"/>
          <w:szCs w:val="24"/>
          <w:lang w:eastAsia="en-GB"/>
        </w:rPr>
        <w:t xml:space="preserve"> and reconsidered from time to time to meet the needs of the franchisees. All courses and learning events are offered at frequent </w:t>
      </w:r>
      <w:r w:rsidRPr="00E023A7">
        <w:rPr>
          <w:rFonts w:ascii="Open Sans" w:eastAsia="Times New Roman" w:hAnsi="Open Sans" w:cs="Open Sans"/>
          <w:color w:val="626E7A"/>
          <w:sz w:val="24"/>
          <w:szCs w:val="24"/>
          <w:lang w:eastAsia="en-GB"/>
        </w:rPr>
        <w:lastRenderedPageBreak/>
        <w:t xml:space="preserve">intervals and are designed to give franchisees specific skill sets in the various facets of the conduct of a McDonald's restaurant. The basic minimum core training, which franchisees must complete to be qualified to operate a McDonald’s restaurant, is known as the Restaurant Leadership curriculum. Restaurant Leadership curriculum is deployed through Campus and Fred, which allows franchisees to complete and track the progress of their assigned learning online. It takes approximately two years to complete all learning plans, from Shift Leader through Restaurant Leader. The complete training program and materials include many elements. As part of the training program, franchisees must perform and master all of the crew and management functions at the restaurant. At the opening of the restaurant, a franchise business partner will spend time with franchisees </w:t>
      </w:r>
      <w:proofErr w:type="gramStart"/>
      <w:r w:rsidRPr="00E023A7">
        <w:rPr>
          <w:rFonts w:ascii="Open Sans" w:eastAsia="Times New Roman" w:hAnsi="Open Sans" w:cs="Open Sans"/>
          <w:color w:val="626E7A"/>
          <w:sz w:val="24"/>
          <w:szCs w:val="24"/>
          <w:lang w:eastAsia="en-GB"/>
        </w:rPr>
        <w:t>providing assistance</w:t>
      </w:r>
      <w:proofErr w:type="gramEnd"/>
      <w:r w:rsidRPr="00E023A7">
        <w:rPr>
          <w:rFonts w:ascii="Open Sans" w:eastAsia="Times New Roman" w:hAnsi="Open Sans" w:cs="Open Sans"/>
          <w:color w:val="626E7A"/>
          <w:sz w:val="24"/>
          <w:szCs w:val="24"/>
          <w:lang w:eastAsia="en-GB"/>
        </w:rPr>
        <w:t xml:space="preserve"> and refinement of previous training and instruction. Franchisees must complete the training program successfully before signing the Franchise Agreement or paying any money to the franchisor. There are no further mandatory training requirements for franchisees beyond the Restaurant Leadership curriculum. However, annual meetings, conventions, various workshops, and other training sessions may be conducted on an ongoing basis within each field office, and McDonald’s may require franchisees to pay for the costs associated with that ongoing training or participation. Additionally, optional courses may be offered to franchisees or their employees for a fee.</w:t>
      </w:r>
    </w:p>
    <w:p w14:paraId="2882BFA8" w14:textId="77777777" w:rsidR="00E023A7" w:rsidRPr="00E023A7" w:rsidRDefault="00E023A7" w:rsidP="00E023A7">
      <w:pPr>
        <w:shd w:val="clear" w:color="auto" w:fill="FFFFFF"/>
        <w:spacing w:before="150" w:after="300" w:line="390" w:lineRule="atLeast"/>
        <w:rPr>
          <w:rFonts w:ascii="Open Sans" w:eastAsia="Times New Roman" w:hAnsi="Open Sans" w:cs="Open Sans"/>
          <w:color w:val="626E7A"/>
          <w:sz w:val="24"/>
          <w:szCs w:val="24"/>
          <w:lang w:eastAsia="en-GB"/>
        </w:rPr>
      </w:pPr>
      <w:r w:rsidRPr="00E023A7">
        <w:rPr>
          <w:rFonts w:ascii="Open Sans" w:eastAsia="Times New Roman" w:hAnsi="Open Sans" w:cs="Open Sans"/>
          <w:b/>
          <w:bCs/>
          <w:color w:val="142B40"/>
          <w:sz w:val="24"/>
          <w:szCs w:val="24"/>
          <w:lang w:eastAsia="en-GB"/>
        </w:rPr>
        <w:t>Territory Granted:</w:t>
      </w:r>
      <w:r w:rsidRPr="00E023A7">
        <w:rPr>
          <w:rFonts w:ascii="Open Sans" w:eastAsia="Times New Roman" w:hAnsi="Open Sans" w:cs="Open Sans"/>
          <w:color w:val="626E7A"/>
          <w:sz w:val="24"/>
          <w:szCs w:val="24"/>
          <w:lang w:eastAsia="en-GB"/>
        </w:rPr>
        <w:t> McDonald’s franchises contain a limited grant of authority to use the McDonald’s system in the operation of the specific restaurant developed by McDonald’s at that address. The Franchise Agreement does not contain any exclusive grant, exclusive area, exclusive territorial rights, protected territory, or any right to exclude, control, or impose conditions on the location or development of future McDonald's restaurants at any time. Franchisees may face competition from other franchisees, from outlets that the franchisor owns, or from other channels of distribution or competitive brands that the franchisor controls.</w:t>
      </w:r>
    </w:p>
    <w:p w14:paraId="3AFF502C" w14:textId="77777777" w:rsidR="00E023A7" w:rsidRPr="00E023A7" w:rsidRDefault="00E023A7" w:rsidP="00E023A7">
      <w:pPr>
        <w:shd w:val="clear" w:color="auto" w:fill="FFFFFF"/>
        <w:spacing w:before="150" w:after="300" w:line="390" w:lineRule="atLeast"/>
        <w:rPr>
          <w:rFonts w:ascii="Open Sans" w:eastAsia="Times New Roman" w:hAnsi="Open Sans" w:cs="Open Sans"/>
          <w:color w:val="626E7A"/>
          <w:sz w:val="24"/>
          <w:szCs w:val="24"/>
          <w:lang w:eastAsia="en-GB"/>
        </w:rPr>
      </w:pPr>
      <w:r w:rsidRPr="00E023A7">
        <w:rPr>
          <w:rFonts w:ascii="Open Sans" w:eastAsia="Times New Roman" w:hAnsi="Open Sans" w:cs="Open Sans"/>
          <w:b/>
          <w:bCs/>
          <w:color w:val="142B40"/>
          <w:sz w:val="24"/>
          <w:szCs w:val="24"/>
          <w:lang w:eastAsia="en-GB"/>
        </w:rPr>
        <w:t>Obligations and Restrictions</w:t>
      </w:r>
      <w:r w:rsidRPr="00E023A7">
        <w:rPr>
          <w:rFonts w:ascii="Open Sans" w:eastAsia="Times New Roman" w:hAnsi="Open Sans" w:cs="Open Sans"/>
          <w:color w:val="626E7A"/>
          <w:sz w:val="24"/>
          <w:szCs w:val="24"/>
          <w:lang w:eastAsia="en-GB"/>
        </w:rPr>
        <w:t xml:space="preserve">: Franchisees are required to provide full time and best efforts to and personal on-premises supervision </w:t>
      </w:r>
      <w:proofErr w:type="gramStart"/>
      <w:r w:rsidRPr="00E023A7">
        <w:rPr>
          <w:rFonts w:ascii="Open Sans" w:eastAsia="Times New Roman" w:hAnsi="Open Sans" w:cs="Open Sans"/>
          <w:color w:val="626E7A"/>
          <w:sz w:val="24"/>
          <w:szCs w:val="24"/>
          <w:lang w:eastAsia="en-GB"/>
        </w:rPr>
        <w:t>of,</w:t>
      </w:r>
      <w:proofErr w:type="gramEnd"/>
      <w:r w:rsidRPr="00E023A7">
        <w:rPr>
          <w:rFonts w:ascii="Open Sans" w:eastAsia="Times New Roman" w:hAnsi="Open Sans" w:cs="Open Sans"/>
          <w:color w:val="626E7A"/>
          <w:sz w:val="24"/>
          <w:szCs w:val="24"/>
          <w:lang w:eastAsia="en-GB"/>
        </w:rPr>
        <w:t xml:space="preserve"> the day-to-day operation of their McDonald’s restaurant business. Franchisees may sell only products </w:t>
      </w:r>
      <w:r w:rsidRPr="00E023A7">
        <w:rPr>
          <w:rFonts w:ascii="Open Sans" w:eastAsia="Times New Roman" w:hAnsi="Open Sans" w:cs="Open Sans"/>
          <w:color w:val="626E7A"/>
          <w:sz w:val="24"/>
          <w:szCs w:val="24"/>
          <w:lang w:eastAsia="en-GB"/>
        </w:rPr>
        <w:lastRenderedPageBreak/>
        <w:t>authorized by the franchisor and use the premises only as a McDonald’s restaurant. In the dispensing and sale of these products, franchisees may use only packaging, paper goods, ingredients, and handling and preparation methods that meet the McDonald’s system specifications and quality standards which the franchisor may designate and modify.</w:t>
      </w:r>
    </w:p>
    <w:p w14:paraId="6FB36E0A" w14:textId="77777777" w:rsidR="00E023A7" w:rsidRPr="00E023A7" w:rsidRDefault="00E023A7" w:rsidP="00E023A7">
      <w:pPr>
        <w:shd w:val="clear" w:color="auto" w:fill="FFFFFF"/>
        <w:spacing w:before="150" w:after="300" w:line="390" w:lineRule="atLeast"/>
        <w:rPr>
          <w:rFonts w:ascii="Open Sans" w:eastAsia="Times New Roman" w:hAnsi="Open Sans" w:cs="Open Sans"/>
          <w:color w:val="626E7A"/>
          <w:sz w:val="24"/>
          <w:szCs w:val="24"/>
          <w:lang w:eastAsia="en-GB"/>
        </w:rPr>
      </w:pPr>
      <w:r w:rsidRPr="00E023A7">
        <w:rPr>
          <w:rFonts w:ascii="Open Sans" w:eastAsia="Times New Roman" w:hAnsi="Open Sans" w:cs="Open Sans"/>
          <w:b/>
          <w:bCs/>
          <w:color w:val="142B40"/>
          <w:sz w:val="24"/>
          <w:szCs w:val="24"/>
          <w:lang w:eastAsia="en-GB"/>
        </w:rPr>
        <w:t>Term of Agreement and Renewal: </w:t>
      </w:r>
      <w:r w:rsidRPr="00E023A7">
        <w:rPr>
          <w:rFonts w:ascii="Open Sans" w:eastAsia="Times New Roman" w:hAnsi="Open Sans" w:cs="Open Sans"/>
          <w:color w:val="626E7A"/>
          <w:sz w:val="24"/>
          <w:szCs w:val="24"/>
          <w:lang w:eastAsia="en-GB"/>
        </w:rPr>
        <w:t>The length of the initial traditional franchise term is generally 20 years. The Satellite term varies, and the length of the franchise term for STO and STR locations are generally 10 years. BFL term length is generally three years. Franchisees are given no right to renew or extend the franchise after the term of the contract. A rewrite (new term) policy is not part of the previous Franchise Agreement.</w:t>
      </w:r>
    </w:p>
    <w:p w14:paraId="51916F77" w14:textId="77777777" w:rsidR="00E023A7" w:rsidRPr="00E023A7" w:rsidRDefault="00E023A7" w:rsidP="00E023A7">
      <w:pPr>
        <w:shd w:val="clear" w:color="auto" w:fill="FFFFFF"/>
        <w:spacing w:before="150" w:after="300" w:line="390" w:lineRule="atLeast"/>
        <w:rPr>
          <w:rFonts w:ascii="Open Sans" w:eastAsia="Times New Roman" w:hAnsi="Open Sans" w:cs="Open Sans"/>
          <w:color w:val="626E7A"/>
          <w:sz w:val="24"/>
          <w:szCs w:val="24"/>
          <w:lang w:eastAsia="en-GB"/>
        </w:rPr>
      </w:pPr>
      <w:r w:rsidRPr="00E023A7">
        <w:rPr>
          <w:rFonts w:ascii="Open Sans" w:eastAsia="Times New Roman" w:hAnsi="Open Sans" w:cs="Open Sans"/>
          <w:b/>
          <w:bCs/>
          <w:color w:val="142B40"/>
          <w:sz w:val="24"/>
          <w:szCs w:val="24"/>
          <w:lang w:eastAsia="en-GB"/>
        </w:rPr>
        <w:t>Financial Assistance:</w:t>
      </w:r>
      <w:r w:rsidRPr="00E023A7">
        <w:rPr>
          <w:rFonts w:ascii="Open Sans" w:eastAsia="Times New Roman" w:hAnsi="Open Sans" w:cs="Open Sans"/>
          <w:color w:val="626E7A"/>
          <w:sz w:val="24"/>
          <w:szCs w:val="24"/>
          <w:lang w:eastAsia="en-GB"/>
        </w:rPr>
        <w:t xml:space="preserve"> Typically, no financing arrangements are offered by the franchisor. The franchisor issues an Operator's Lease for each site owned or leased by McDonald's. The Operator's Lease is a standard commercial lease under which the franchisee pays rent to the franchisor for use of the premises. The Operator's Lease does not contain any financing terms. For BFL franchises, the Operator’s Lease provides for the lease of the restaurant’s business facilities as well as the premises. The franchisor’s predecessor may, at its discretion, guarantee loans made by a </w:t>
      </w:r>
      <w:proofErr w:type="gramStart"/>
      <w:r w:rsidRPr="00E023A7">
        <w:rPr>
          <w:rFonts w:ascii="Open Sans" w:eastAsia="Times New Roman" w:hAnsi="Open Sans" w:cs="Open Sans"/>
          <w:color w:val="626E7A"/>
          <w:sz w:val="24"/>
          <w:szCs w:val="24"/>
          <w:lang w:eastAsia="en-GB"/>
        </w:rPr>
        <w:t>third party</w:t>
      </w:r>
      <w:proofErr w:type="gramEnd"/>
      <w:r w:rsidRPr="00E023A7">
        <w:rPr>
          <w:rFonts w:ascii="Open Sans" w:eastAsia="Times New Roman" w:hAnsi="Open Sans" w:cs="Open Sans"/>
          <w:color w:val="626E7A"/>
          <w:sz w:val="24"/>
          <w:szCs w:val="24"/>
          <w:lang w:eastAsia="en-GB"/>
        </w:rPr>
        <w:t xml:space="preserve"> lender, Bank of America, N.A., a National Banking Association, to franchisees for </w:t>
      </w:r>
      <w:proofErr w:type="spellStart"/>
      <w:r w:rsidRPr="00E023A7">
        <w:rPr>
          <w:rFonts w:ascii="Open Sans" w:eastAsia="Times New Roman" w:hAnsi="Open Sans" w:cs="Open Sans"/>
          <w:color w:val="626E7A"/>
          <w:sz w:val="24"/>
          <w:szCs w:val="24"/>
          <w:lang w:eastAsia="en-GB"/>
        </w:rPr>
        <w:t>remodeling</w:t>
      </w:r>
      <w:proofErr w:type="spellEnd"/>
      <w:r w:rsidRPr="00E023A7">
        <w:rPr>
          <w:rFonts w:ascii="Open Sans" w:eastAsia="Times New Roman" w:hAnsi="Open Sans" w:cs="Open Sans"/>
          <w:color w:val="626E7A"/>
          <w:sz w:val="24"/>
          <w:szCs w:val="24"/>
          <w:lang w:eastAsia="en-GB"/>
        </w:rPr>
        <w:t xml:space="preserve"> existing restaurants, working capital, refinancing existing restaurant loans, acquiring restaurant businesses, purchasing restaurant assets by exercising the option under a BFL Rider, and for other reasons approved by McDonald’s.</w:t>
      </w:r>
    </w:p>
    <w:p w14:paraId="011CB6B3" w14:textId="77777777" w:rsidR="00E023A7" w:rsidRDefault="00E023A7" w:rsidP="00E023A7">
      <w:pPr>
        <w:shd w:val="clear" w:color="auto" w:fill="FFFFFF"/>
        <w:spacing w:line="240" w:lineRule="auto"/>
        <w:rPr>
          <w:rFonts w:ascii="Open Sans" w:eastAsia="Times New Roman" w:hAnsi="Open Sans" w:cs="Open Sans"/>
          <w:b/>
          <w:bCs/>
          <w:color w:val="142B40"/>
          <w:sz w:val="24"/>
          <w:szCs w:val="24"/>
          <w:lang w:eastAsia="en-GB"/>
        </w:rPr>
      </w:pPr>
    </w:p>
    <w:p w14:paraId="33FAC702" w14:textId="77777777" w:rsidR="00E023A7" w:rsidRDefault="00E023A7" w:rsidP="00E023A7">
      <w:pPr>
        <w:shd w:val="clear" w:color="auto" w:fill="FFFFFF"/>
        <w:spacing w:line="240" w:lineRule="auto"/>
        <w:rPr>
          <w:rFonts w:ascii="Open Sans" w:eastAsia="Times New Roman" w:hAnsi="Open Sans" w:cs="Open Sans"/>
          <w:b/>
          <w:bCs/>
          <w:color w:val="142B40"/>
          <w:sz w:val="24"/>
          <w:szCs w:val="24"/>
          <w:lang w:eastAsia="en-GB"/>
        </w:rPr>
      </w:pPr>
    </w:p>
    <w:p w14:paraId="50C054F3" w14:textId="77777777" w:rsidR="00E023A7" w:rsidRDefault="00E023A7" w:rsidP="00E023A7">
      <w:pPr>
        <w:shd w:val="clear" w:color="auto" w:fill="FFFFFF"/>
        <w:spacing w:line="240" w:lineRule="auto"/>
        <w:rPr>
          <w:rFonts w:ascii="Open Sans" w:eastAsia="Times New Roman" w:hAnsi="Open Sans" w:cs="Open Sans"/>
          <w:b/>
          <w:bCs/>
          <w:color w:val="142B40"/>
          <w:sz w:val="24"/>
          <w:szCs w:val="24"/>
          <w:lang w:eastAsia="en-GB"/>
        </w:rPr>
      </w:pPr>
    </w:p>
    <w:p w14:paraId="5F036253" w14:textId="77777777" w:rsidR="00E023A7" w:rsidRDefault="00E023A7" w:rsidP="00E023A7">
      <w:pPr>
        <w:shd w:val="clear" w:color="auto" w:fill="FFFFFF"/>
        <w:spacing w:line="240" w:lineRule="auto"/>
        <w:rPr>
          <w:rFonts w:ascii="Open Sans" w:eastAsia="Times New Roman" w:hAnsi="Open Sans" w:cs="Open Sans"/>
          <w:b/>
          <w:bCs/>
          <w:color w:val="142B40"/>
          <w:sz w:val="24"/>
          <w:szCs w:val="24"/>
          <w:lang w:eastAsia="en-GB"/>
        </w:rPr>
      </w:pPr>
    </w:p>
    <w:p w14:paraId="6E3136CD" w14:textId="77777777" w:rsidR="00E023A7" w:rsidRDefault="00E023A7" w:rsidP="00E023A7">
      <w:pPr>
        <w:shd w:val="clear" w:color="auto" w:fill="FFFFFF"/>
        <w:spacing w:line="240" w:lineRule="auto"/>
        <w:rPr>
          <w:rFonts w:ascii="Open Sans" w:eastAsia="Times New Roman" w:hAnsi="Open Sans" w:cs="Open Sans"/>
          <w:b/>
          <w:bCs/>
          <w:color w:val="142B40"/>
          <w:sz w:val="24"/>
          <w:szCs w:val="24"/>
          <w:lang w:eastAsia="en-GB"/>
        </w:rPr>
      </w:pPr>
    </w:p>
    <w:p w14:paraId="536E0F8E" w14:textId="1FDFF7C6" w:rsidR="00E023A7" w:rsidRPr="00E023A7" w:rsidRDefault="00E023A7" w:rsidP="00E023A7">
      <w:pPr>
        <w:shd w:val="clear" w:color="auto" w:fill="FFFFFF"/>
        <w:spacing w:line="240" w:lineRule="auto"/>
        <w:rPr>
          <w:rFonts w:ascii="Open Sans" w:eastAsia="Times New Roman" w:hAnsi="Open Sans" w:cs="Open Sans"/>
          <w:color w:val="626E7A"/>
          <w:sz w:val="24"/>
          <w:szCs w:val="24"/>
          <w:lang w:eastAsia="en-GB"/>
        </w:rPr>
      </w:pPr>
      <w:r w:rsidRPr="00E023A7">
        <w:rPr>
          <w:rFonts w:ascii="Open Sans" w:eastAsia="Times New Roman" w:hAnsi="Open Sans" w:cs="Open Sans"/>
          <w:b/>
          <w:bCs/>
          <w:color w:val="142B40"/>
          <w:sz w:val="24"/>
          <w:szCs w:val="24"/>
          <w:lang w:eastAsia="en-GB"/>
        </w:rPr>
        <w:lastRenderedPageBreak/>
        <w:t>Investment Tables:</w:t>
      </w:r>
    </w:p>
    <w:tbl>
      <w:tblPr>
        <w:tblW w:w="12300" w:type="dxa"/>
        <w:tblCellMar>
          <w:top w:w="15" w:type="dxa"/>
          <w:left w:w="15" w:type="dxa"/>
          <w:bottom w:w="15" w:type="dxa"/>
          <w:right w:w="15" w:type="dxa"/>
        </w:tblCellMar>
        <w:tblLook w:val="04A0" w:firstRow="1" w:lastRow="0" w:firstColumn="1" w:lastColumn="0" w:noHBand="0" w:noVBand="1"/>
      </w:tblPr>
      <w:tblGrid>
        <w:gridCol w:w="5443"/>
        <w:gridCol w:w="3181"/>
        <w:gridCol w:w="3676"/>
      </w:tblGrid>
      <w:tr w:rsidR="00E023A7" w:rsidRPr="00E023A7" w14:paraId="7DABEB53" w14:textId="77777777" w:rsidTr="00E023A7">
        <w:trPr>
          <w:tblHeader/>
        </w:trPr>
        <w:tc>
          <w:tcPr>
            <w:tcW w:w="0" w:type="auto"/>
            <w:gridSpan w:val="3"/>
            <w:tcBorders>
              <w:top w:val="nil"/>
              <w:left w:val="nil"/>
              <w:bottom w:val="nil"/>
              <w:right w:val="nil"/>
            </w:tcBorders>
            <w:shd w:val="clear" w:color="auto" w:fill="D9D8D7"/>
            <w:tcMar>
              <w:top w:w="150" w:type="dxa"/>
              <w:left w:w="150" w:type="dxa"/>
              <w:bottom w:w="150" w:type="dxa"/>
              <w:right w:w="150" w:type="dxa"/>
            </w:tcMar>
            <w:vAlign w:val="center"/>
            <w:hideMark/>
          </w:tcPr>
          <w:p w14:paraId="4057A6EF" w14:textId="77777777" w:rsidR="00E023A7" w:rsidRPr="00E023A7" w:rsidRDefault="00E023A7" w:rsidP="00E023A7">
            <w:pPr>
              <w:shd w:val="clear" w:color="auto" w:fill="2487B2"/>
              <w:spacing w:before="300" w:after="300" w:line="240" w:lineRule="auto"/>
              <w:rPr>
                <w:rFonts w:ascii="Times New Roman" w:eastAsia="Times New Roman" w:hAnsi="Times New Roman" w:cs="Times New Roman"/>
                <w:color w:val="FFFFFF"/>
                <w:sz w:val="21"/>
                <w:szCs w:val="21"/>
                <w:lang w:eastAsia="en-GB"/>
              </w:rPr>
            </w:pPr>
            <w:r w:rsidRPr="00E023A7">
              <w:rPr>
                <w:rFonts w:ascii="Times New Roman" w:eastAsia="Times New Roman" w:hAnsi="Times New Roman" w:cs="Times New Roman"/>
                <w:color w:val="FFFFFF"/>
                <w:sz w:val="21"/>
                <w:szCs w:val="21"/>
                <w:lang w:eastAsia="en-GB"/>
              </w:rPr>
              <w:t>Estimated Initial Investment</w:t>
            </w:r>
          </w:p>
        </w:tc>
      </w:tr>
      <w:tr w:rsidR="00E023A7" w:rsidRPr="00E023A7" w14:paraId="2930F7CF" w14:textId="77777777" w:rsidTr="00E023A7">
        <w:trPr>
          <w:tblHeader/>
        </w:trPr>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476FBA73" w14:textId="77777777" w:rsidR="00E023A7" w:rsidRPr="00E023A7" w:rsidRDefault="00E023A7" w:rsidP="00E023A7">
            <w:pPr>
              <w:spacing w:before="300" w:after="300" w:line="240" w:lineRule="auto"/>
              <w:jc w:val="center"/>
              <w:rPr>
                <w:rFonts w:ascii="Times New Roman" w:eastAsia="Times New Roman" w:hAnsi="Times New Roman" w:cs="Times New Roman"/>
                <w:b/>
                <w:bCs/>
                <w:color w:val="2F587C"/>
                <w:sz w:val="21"/>
                <w:szCs w:val="21"/>
                <w:lang w:eastAsia="en-GB"/>
              </w:rPr>
            </w:pPr>
            <w:r w:rsidRPr="00E023A7">
              <w:rPr>
                <w:rFonts w:ascii="Times New Roman" w:eastAsia="Times New Roman" w:hAnsi="Times New Roman" w:cs="Times New Roman"/>
                <w:b/>
                <w:bCs/>
                <w:color w:val="2F587C"/>
                <w:sz w:val="21"/>
                <w:szCs w:val="21"/>
                <w:lang w:eastAsia="en-GB"/>
              </w:rPr>
              <w:t>Name of Fee</w:t>
            </w:r>
          </w:p>
        </w:tc>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2450ABD0" w14:textId="77777777" w:rsidR="00E023A7" w:rsidRPr="00E023A7" w:rsidRDefault="00E023A7" w:rsidP="00E023A7">
            <w:pPr>
              <w:spacing w:before="300" w:after="300" w:line="240" w:lineRule="auto"/>
              <w:jc w:val="center"/>
              <w:rPr>
                <w:rFonts w:ascii="Times New Roman" w:eastAsia="Times New Roman" w:hAnsi="Times New Roman" w:cs="Times New Roman"/>
                <w:b/>
                <w:bCs/>
                <w:color w:val="2F587C"/>
                <w:sz w:val="21"/>
                <w:szCs w:val="21"/>
                <w:lang w:eastAsia="en-GB"/>
              </w:rPr>
            </w:pPr>
            <w:r w:rsidRPr="00E023A7">
              <w:rPr>
                <w:rFonts w:ascii="Times New Roman" w:eastAsia="Times New Roman" w:hAnsi="Times New Roman" w:cs="Times New Roman"/>
                <w:b/>
                <w:bCs/>
                <w:color w:val="2F587C"/>
                <w:sz w:val="21"/>
                <w:szCs w:val="21"/>
                <w:lang w:eastAsia="en-GB"/>
              </w:rPr>
              <w:t>Low</w:t>
            </w:r>
          </w:p>
        </w:tc>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45DC22D4" w14:textId="77777777" w:rsidR="00E023A7" w:rsidRPr="00E023A7" w:rsidRDefault="00E023A7" w:rsidP="00E023A7">
            <w:pPr>
              <w:spacing w:before="300" w:after="300" w:line="240" w:lineRule="auto"/>
              <w:jc w:val="center"/>
              <w:rPr>
                <w:rFonts w:ascii="Times New Roman" w:eastAsia="Times New Roman" w:hAnsi="Times New Roman" w:cs="Times New Roman"/>
                <w:b/>
                <w:bCs/>
                <w:color w:val="2F587C"/>
                <w:sz w:val="21"/>
                <w:szCs w:val="21"/>
                <w:lang w:eastAsia="en-GB"/>
              </w:rPr>
            </w:pPr>
            <w:r w:rsidRPr="00E023A7">
              <w:rPr>
                <w:rFonts w:ascii="Times New Roman" w:eastAsia="Times New Roman" w:hAnsi="Times New Roman" w:cs="Times New Roman"/>
                <w:b/>
                <w:bCs/>
                <w:color w:val="2F587C"/>
                <w:sz w:val="21"/>
                <w:szCs w:val="21"/>
                <w:lang w:eastAsia="en-GB"/>
              </w:rPr>
              <w:t>High</w:t>
            </w:r>
          </w:p>
        </w:tc>
      </w:tr>
      <w:tr w:rsidR="00E023A7" w:rsidRPr="00E023A7" w14:paraId="2983CF54" w14:textId="77777777" w:rsidTr="00E023A7">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69F7D0A"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Initial Franchise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F8CD55B" w14:textId="77777777" w:rsidR="00E023A7" w:rsidRPr="00E023A7" w:rsidRDefault="00E023A7" w:rsidP="00E023A7">
            <w:pPr>
              <w:spacing w:before="300" w:after="300" w:line="240" w:lineRule="auto"/>
              <w:jc w:val="center"/>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8E1CD0B" w14:textId="77777777" w:rsidR="00E023A7" w:rsidRPr="00E023A7" w:rsidRDefault="00E023A7" w:rsidP="00E023A7">
            <w:pPr>
              <w:spacing w:before="300" w:after="300" w:line="240" w:lineRule="auto"/>
              <w:jc w:val="center"/>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$45,000</w:t>
            </w:r>
          </w:p>
        </w:tc>
      </w:tr>
      <w:tr w:rsidR="00E023A7" w:rsidRPr="00E023A7" w14:paraId="682A5F93" w14:textId="77777777" w:rsidTr="00E023A7">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0B58310"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Real Estate and Building - 3 month's rent</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E71C379" w14:textId="77777777" w:rsidR="00E023A7" w:rsidRPr="00E023A7" w:rsidRDefault="00E023A7" w:rsidP="00E023A7">
            <w:pPr>
              <w:spacing w:before="150" w:after="300" w:line="390" w:lineRule="atLeast"/>
              <w:jc w:val="center"/>
              <w:rPr>
                <w:rFonts w:ascii="Times New Roman" w:eastAsia="Times New Roman" w:hAnsi="Times New Roman" w:cs="Times New Roman"/>
                <w:sz w:val="24"/>
                <w:szCs w:val="24"/>
                <w:lang w:eastAsia="en-GB"/>
              </w:rPr>
            </w:pPr>
            <w:r w:rsidRPr="00E023A7">
              <w:rPr>
                <w:rFonts w:ascii="Times New Roman" w:eastAsia="Times New Roman" w:hAnsi="Times New Roman" w:cs="Times New Roman"/>
                <w:sz w:val="24"/>
                <w:szCs w:val="24"/>
                <w:lang w:eastAsia="en-GB"/>
              </w:rPr>
              <w:t>Base Rent: $0</w:t>
            </w:r>
          </w:p>
          <w:p w14:paraId="3D64B773" w14:textId="77777777" w:rsidR="00E023A7" w:rsidRPr="00E023A7" w:rsidRDefault="00E023A7" w:rsidP="00E023A7">
            <w:pPr>
              <w:spacing w:before="150" w:after="300" w:line="390" w:lineRule="atLeast"/>
              <w:jc w:val="center"/>
              <w:rPr>
                <w:rFonts w:ascii="Times New Roman" w:eastAsia="Times New Roman" w:hAnsi="Times New Roman" w:cs="Times New Roman"/>
                <w:sz w:val="24"/>
                <w:szCs w:val="24"/>
                <w:lang w:eastAsia="en-GB"/>
              </w:rPr>
            </w:pPr>
            <w:r w:rsidRPr="00E023A7">
              <w:rPr>
                <w:rFonts w:ascii="Times New Roman" w:eastAsia="Times New Roman" w:hAnsi="Times New Roman" w:cs="Times New Roman"/>
                <w:sz w:val="24"/>
                <w:szCs w:val="24"/>
                <w:lang w:eastAsia="en-GB"/>
              </w:rPr>
              <w:t>Percentage Rent: 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BDE7CFC" w14:textId="77777777" w:rsidR="00E023A7" w:rsidRPr="00E023A7" w:rsidRDefault="00E023A7" w:rsidP="00E023A7">
            <w:pPr>
              <w:spacing w:before="150" w:after="300" w:line="390" w:lineRule="atLeast"/>
              <w:jc w:val="center"/>
              <w:rPr>
                <w:rFonts w:ascii="Times New Roman" w:eastAsia="Times New Roman" w:hAnsi="Times New Roman" w:cs="Times New Roman"/>
                <w:sz w:val="24"/>
                <w:szCs w:val="24"/>
                <w:lang w:eastAsia="en-GB"/>
              </w:rPr>
            </w:pPr>
            <w:r w:rsidRPr="00E023A7">
              <w:rPr>
                <w:rFonts w:ascii="Times New Roman" w:eastAsia="Times New Roman" w:hAnsi="Times New Roman" w:cs="Times New Roman"/>
                <w:sz w:val="24"/>
                <w:szCs w:val="24"/>
                <w:lang w:eastAsia="en-GB"/>
              </w:rPr>
              <w:t>Base Rent: $313,000</w:t>
            </w:r>
          </w:p>
          <w:p w14:paraId="016DB0F5" w14:textId="77777777" w:rsidR="00E023A7" w:rsidRPr="00E023A7" w:rsidRDefault="00E023A7" w:rsidP="00E023A7">
            <w:pPr>
              <w:spacing w:before="150" w:after="300" w:line="390" w:lineRule="atLeast"/>
              <w:jc w:val="center"/>
              <w:rPr>
                <w:rFonts w:ascii="Times New Roman" w:eastAsia="Times New Roman" w:hAnsi="Times New Roman" w:cs="Times New Roman"/>
                <w:sz w:val="24"/>
                <w:szCs w:val="24"/>
                <w:lang w:eastAsia="en-GB"/>
              </w:rPr>
            </w:pPr>
            <w:r w:rsidRPr="00E023A7">
              <w:rPr>
                <w:rFonts w:ascii="Times New Roman" w:eastAsia="Times New Roman" w:hAnsi="Times New Roman" w:cs="Times New Roman"/>
                <w:sz w:val="24"/>
                <w:szCs w:val="24"/>
                <w:lang w:eastAsia="en-GB"/>
              </w:rPr>
              <w:t>Percentage Rent:31.75%</w:t>
            </w:r>
          </w:p>
        </w:tc>
      </w:tr>
      <w:tr w:rsidR="00E023A7" w:rsidRPr="00E023A7" w14:paraId="74FE287A" w14:textId="77777777" w:rsidTr="00E023A7">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CA16990"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Signs, Seating, Equipment, and Décor</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75B927B" w14:textId="77777777" w:rsidR="00E023A7" w:rsidRPr="00E023A7" w:rsidRDefault="00E023A7" w:rsidP="00E023A7">
            <w:pPr>
              <w:spacing w:after="0" w:line="240" w:lineRule="auto"/>
              <w:jc w:val="center"/>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$340,000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F0F3201" w14:textId="77777777" w:rsidR="00E023A7" w:rsidRPr="00E023A7" w:rsidRDefault="00E023A7" w:rsidP="00E023A7">
            <w:pPr>
              <w:spacing w:after="0" w:line="240" w:lineRule="auto"/>
              <w:jc w:val="center"/>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$1,600,000</w:t>
            </w:r>
          </w:p>
        </w:tc>
      </w:tr>
      <w:tr w:rsidR="00E023A7" w:rsidRPr="00E023A7" w14:paraId="7D22BFB3" w14:textId="77777777" w:rsidTr="00E023A7">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563C189"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Opening Inventory</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F04904A" w14:textId="77777777" w:rsidR="00E023A7" w:rsidRPr="00E023A7" w:rsidRDefault="00E023A7" w:rsidP="00E023A7">
            <w:pPr>
              <w:spacing w:after="0" w:line="240" w:lineRule="auto"/>
              <w:jc w:val="center"/>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$10,000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D2059D3" w14:textId="77777777" w:rsidR="00E023A7" w:rsidRPr="00E023A7" w:rsidRDefault="00E023A7" w:rsidP="00E023A7">
            <w:pPr>
              <w:spacing w:after="0" w:line="240" w:lineRule="auto"/>
              <w:jc w:val="center"/>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$39,000</w:t>
            </w:r>
          </w:p>
        </w:tc>
      </w:tr>
      <w:tr w:rsidR="00E023A7" w:rsidRPr="00E023A7" w14:paraId="221DCC74" w14:textId="77777777" w:rsidTr="00E023A7">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921443E"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Miscellaneous Opening Expenses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C43CF12" w14:textId="77777777" w:rsidR="00E023A7" w:rsidRPr="00E023A7" w:rsidRDefault="00E023A7" w:rsidP="00E023A7">
            <w:pPr>
              <w:spacing w:after="0" w:line="240" w:lineRule="auto"/>
              <w:jc w:val="center"/>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$48,000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06BC97E" w14:textId="77777777" w:rsidR="00E023A7" w:rsidRPr="00E023A7" w:rsidRDefault="00E023A7" w:rsidP="00E023A7">
            <w:pPr>
              <w:spacing w:after="0" w:line="240" w:lineRule="auto"/>
              <w:jc w:val="center"/>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$60,000</w:t>
            </w:r>
          </w:p>
        </w:tc>
      </w:tr>
      <w:tr w:rsidR="00E023A7" w:rsidRPr="00E023A7" w14:paraId="2485861F" w14:textId="77777777" w:rsidTr="00E023A7">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C394445"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Travel and Living Expenses while Training</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BFD0BDE" w14:textId="77777777" w:rsidR="00E023A7" w:rsidRPr="00E023A7" w:rsidRDefault="00E023A7" w:rsidP="00E023A7">
            <w:pPr>
              <w:spacing w:after="0" w:line="240" w:lineRule="auto"/>
              <w:jc w:val="center"/>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$3,000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5BD26C7" w14:textId="77777777" w:rsidR="00E023A7" w:rsidRPr="00E023A7" w:rsidRDefault="00E023A7" w:rsidP="00E023A7">
            <w:pPr>
              <w:spacing w:after="0" w:line="240" w:lineRule="auto"/>
              <w:jc w:val="center"/>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$38,000</w:t>
            </w:r>
          </w:p>
        </w:tc>
      </w:tr>
      <w:tr w:rsidR="00E023A7" w:rsidRPr="00E023A7" w14:paraId="4F374D7F" w14:textId="77777777" w:rsidTr="00E023A7">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1772755"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Additional Funds - 3 months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32CBA13" w14:textId="77777777" w:rsidR="00E023A7" w:rsidRPr="00E023A7" w:rsidRDefault="00E023A7" w:rsidP="00E023A7">
            <w:pPr>
              <w:spacing w:after="0" w:line="240" w:lineRule="auto"/>
              <w:jc w:val="center"/>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$80,000</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5EB4EB5" w14:textId="77777777" w:rsidR="00E023A7" w:rsidRPr="00E023A7" w:rsidRDefault="00E023A7" w:rsidP="00E023A7">
            <w:pPr>
              <w:spacing w:after="0" w:line="240" w:lineRule="auto"/>
              <w:jc w:val="center"/>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$355,000</w:t>
            </w:r>
          </w:p>
        </w:tc>
      </w:tr>
      <w:tr w:rsidR="00E023A7" w:rsidRPr="00E023A7" w14:paraId="52EAE375" w14:textId="77777777" w:rsidTr="00E023A7">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7A4CF84"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b/>
                <w:bCs/>
                <w:color w:val="142B40"/>
                <w:sz w:val="21"/>
                <w:szCs w:val="21"/>
                <w:lang w:eastAsia="en-GB"/>
              </w:rPr>
              <w:lastRenderedPageBreak/>
              <w:t>ESTIMATED TOTAL*</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8B9AE48" w14:textId="77777777" w:rsidR="00E023A7" w:rsidRPr="00E023A7" w:rsidRDefault="00E023A7" w:rsidP="00E023A7">
            <w:pPr>
              <w:spacing w:after="0" w:line="240" w:lineRule="auto"/>
              <w:jc w:val="center"/>
              <w:rPr>
                <w:rFonts w:ascii="Times New Roman" w:eastAsia="Times New Roman" w:hAnsi="Times New Roman" w:cs="Times New Roman"/>
                <w:sz w:val="21"/>
                <w:szCs w:val="21"/>
                <w:lang w:eastAsia="en-GB"/>
              </w:rPr>
            </w:pPr>
            <w:r w:rsidRPr="00E023A7">
              <w:rPr>
                <w:rFonts w:ascii="Times New Roman" w:eastAsia="Times New Roman" w:hAnsi="Times New Roman" w:cs="Times New Roman"/>
                <w:b/>
                <w:bCs/>
                <w:color w:val="142B40"/>
                <w:sz w:val="21"/>
                <w:szCs w:val="21"/>
                <w:lang w:eastAsia="en-GB"/>
              </w:rPr>
              <w:t>$481,000</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65FC3E3" w14:textId="77777777" w:rsidR="00E023A7" w:rsidRPr="00E023A7" w:rsidRDefault="00E023A7" w:rsidP="00E023A7">
            <w:pPr>
              <w:spacing w:after="0" w:line="240" w:lineRule="auto"/>
              <w:jc w:val="center"/>
              <w:rPr>
                <w:rFonts w:ascii="Times New Roman" w:eastAsia="Times New Roman" w:hAnsi="Times New Roman" w:cs="Times New Roman"/>
                <w:sz w:val="21"/>
                <w:szCs w:val="21"/>
                <w:lang w:eastAsia="en-GB"/>
              </w:rPr>
            </w:pPr>
            <w:r w:rsidRPr="00E023A7">
              <w:rPr>
                <w:rFonts w:ascii="Times New Roman" w:eastAsia="Times New Roman" w:hAnsi="Times New Roman" w:cs="Times New Roman"/>
                <w:b/>
                <w:bCs/>
                <w:color w:val="142B40"/>
                <w:sz w:val="21"/>
                <w:szCs w:val="21"/>
                <w:lang w:eastAsia="en-GB"/>
              </w:rPr>
              <w:t>$2,450,000</w:t>
            </w:r>
          </w:p>
        </w:tc>
      </w:tr>
    </w:tbl>
    <w:p w14:paraId="1824F36C" w14:textId="77777777" w:rsidR="00E023A7" w:rsidRPr="00E023A7" w:rsidRDefault="00E023A7" w:rsidP="00E023A7">
      <w:pPr>
        <w:shd w:val="clear" w:color="auto" w:fill="FFFFFF"/>
        <w:spacing w:after="0" w:line="240" w:lineRule="auto"/>
        <w:rPr>
          <w:rFonts w:ascii="Open Sans" w:eastAsia="Times New Roman" w:hAnsi="Open Sans" w:cs="Open Sans"/>
          <w:color w:val="626E7A"/>
          <w:sz w:val="24"/>
          <w:szCs w:val="24"/>
          <w:lang w:eastAsia="en-GB"/>
        </w:rPr>
      </w:pPr>
      <w:r w:rsidRPr="00E023A7">
        <w:rPr>
          <w:rFonts w:ascii="Open Sans" w:eastAsia="Times New Roman" w:hAnsi="Open Sans" w:cs="Open Sans"/>
          <w:color w:val="626E7A"/>
          <w:sz w:val="24"/>
          <w:szCs w:val="24"/>
          <w:lang w:eastAsia="en-GB"/>
        </w:rPr>
        <w:br/>
      </w:r>
      <w:r w:rsidRPr="00E023A7">
        <w:rPr>
          <w:rFonts w:ascii="Open Sans" w:eastAsia="Times New Roman" w:hAnsi="Open Sans" w:cs="Open Sans"/>
          <w:color w:val="626E7A"/>
          <w:sz w:val="20"/>
          <w:szCs w:val="20"/>
          <w:lang w:eastAsia="en-GB"/>
        </w:rPr>
        <w:t>*The estimated initial investment range covers from satellite location size up to traditional restaurant location size.</w:t>
      </w:r>
      <w:r w:rsidRPr="00E023A7">
        <w:rPr>
          <w:rFonts w:ascii="Open Sans" w:eastAsia="Times New Roman" w:hAnsi="Open Sans" w:cs="Open Sans"/>
          <w:color w:val="626E7A"/>
          <w:sz w:val="24"/>
          <w:szCs w:val="24"/>
          <w:lang w:eastAsia="en-GB"/>
        </w:rPr>
        <w:br/>
      </w:r>
    </w:p>
    <w:p w14:paraId="5C9B29A2" w14:textId="77777777" w:rsidR="00E023A7" w:rsidRPr="00E023A7" w:rsidRDefault="00E023A7" w:rsidP="00E023A7">
      <w:pPr>
        <w:shd w:val="clear" w:color="auto" w:fill="FFFFFF"/>
        <w:spacing w:line="240" w:lineRule="auto"/>
        <w:rPr>
          <w:rFonts w:ascii="Open Sans" w:eastAsia="Times New Roman" w:hAnsi="Open Sans" w:cs="Open Sans"/>
          <w:color w:val="626E7A"/>
          <w:sz w:val="24"/>
          <w:szCs w:val="24"/>
          <w:lang w:eastAsia="en-GB"/>
        </w:rPr>
      </w:pPr>
    </w:p>
    <w:tbl>
      <w:tblPr>
        <w:tblW w:w="12300" w:type="dxa"/>
        <w:tblCellMar>
          <w:top w:w="15" w:type="dxa"/>
          <w:left w:w="15" w:type="dxa"/>
          <w:bottom w:w="15" w:type="dxa"/>
          <w:right w:w="15" w:type="dxa"/>
        </w:tblCellMar>
        <w:tblLook w:val="04A0" w:firstRow="1" w:lastRow="0" w:firstColumn="1" w:lastColumn="0" w:noHBand="0" w:noVBand="1"/>
      </w:tblPr>
      <w:tblGrid>
        <w:gridCol w:w="5072"/>
        <w:gridCol w:w="7228"/>
      </w:tblGrid>
      <w:tr w:rsidR="00E023A7" w:rsidRPr="00E023A7" w14:paraId="57F740E1" w14:textId="77777777" w:rsidTr="00E023A7">
        <w:trPr>
          <w:tblHeader/>
        </w:trPr>
        <w:tc>
          <w:tcPr>
            <w:tcW w:w="0" w:type="auto"/>
            <w:gridSpan w:val="2"/>
            <w:tcBorders>
              <w:top w:val="nil"/>
              <w:left w:val="nil"/>
              <w:bottom w:val="nil"/>
              <w:right w:val="nil"/>
            </w:tcBorders>
            <w:shd w:val="clear" w:color="auto" w:fill="D9D8D7"/>
            <w:tcMar>
              <w:top w:w="150" w:type="dxa"/>
              <w:left w:w="150" w:type="dxa"/>
              <w:bottom w:w="150" w:type="dxa"/>
              <w:right w:w="150" w:type="dxa"/>
            </w:tcMar>
            <w:vAlign w:val="center"/>
            <w:hideMark/>
          </w:tcPr>
          <w:p w14:paraId="47991CEB" w14:textId="77777777" w:rsidR="00E023A7" w:rsidRPr="00E023A7" w:rsidRDefault="00E023A7" w:rsidP="00E023A7">
            <w:pPr>
              <w:shd w:val="clear" w:color="auto" w:fill="2487B2"/>
              <w:spacing w:before="300" w:after="300" w:line="240" w:lineRule="auto"/>
              <w:rPr>
                <w:rFonts w:ascii="Times New Roman" w:eastAsia="Times New Roman" w:hAnsi="Times New Roman" w:cs="Times New Roman"/>
                <w:color w:val="FFFFFF"/>
                <w:sz w:val="21"/>
                <w:szCs w:val="21"/>
                <w:lang w:eastAsia="en-GB"/>
              </w:rPr>
            </w:pPr>
            <w:r w:rsidRPr="00E023A7">
              <w:rPr>
                <w:rFonts w:ascii="Times New Roman" w:eastAsia="Times New Roman" w:hAnsi="Times New Roman" w:cs="Times New Roman"/>
                <w:color w:val="FFFFFF"/>
                <w:sz w:val="21"/>
                <w:szCs w:val="21"/>
                <w:lang w:eastAsia="en-GB"/>
              </w:rPr>
              <w:t>Other Fees</w:t>
            </w:r>
          </w:p>
        </w:tc>
      </w:tr>
      <w:tr w:rsidR="00E023A7" w:rsidRPr="00E023A7" w14:paraId="52F0F797" w14:textId="77777777" w:rsidTr="00E023A7">
        <w:trPr>
          <w:tblHeader/>
        </w:trPr>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4380EBF4" w14:textId="77777777" w:rsidR="00E023A7" w:rsidRPr="00E023A7" w:rsidRDefault="00E023A7" w:rsidP="00E023A7">
            <w:pPr>
              <w:spacing w:before="300" w:after="300" w:line="240" w:lineRule="auto"/>
              <w:jc w:val="center"/>
              <w:rPr>
                <w:rFonts w:ascii="Times New Roman" w:eastAsia="Times New Roman" w:hAnsi="Times New Roman" w:cs="Times New Roman"/>
                <w:b/>
                <w:bCs/>
                <w:color w:val="2F587C"/>
                <w:sz w:val="21"/>
                <w:szCs w:val="21"/>
                <w:lang w:eastAsia="en-GB"/>
              </w:rPr>
            </w:pPr>
            <w:r w:rsidRPr="00E023A7">
              <w:rPr>
                <w:rFonts w:ascii="Times New Roman" w:eastAsia="Times New Roman" w:hAnsi="Times New Roman" w:cs="Times New Roman"/>
                <w:b/>
                <w:bCs/>
                <w:color w:val="2F587C"/>
                <w:sz w:val="21"/>
                <w:szCs w:val="21"/>
                <w:lang w:eastAsia="en-GB"/>
              </w:rPr>
              <w:t>Type of Fee</w:t>
            </w:r>
          </w:p>
        </w:tc>
        <w:tc>
          <w:tcPr>
            <w:tcW w:w="0" w:type="auto"/>
            <w:tcBorders>
              <w:top w:val="single" w:sz="6" w:space="0" w:color="D9D8D7"/>
              <w:left w:val="single" w:sz="6" w:space="0" w:color="D9D8D7"/>
              <w:bottom w:val="single" w:sz="6" w:space="0" w:color="D9D8D7"/>
              <w:right w:val="single" w:sz="6" w:space="0" w:color="D9D8D7"/>
            </w:tcBorders>
            <w:shd w:val="clear" w:color="auto" w:fill="D9D8D7"/>
            <w:tcMar>
              <w:top w:w="150" w:type="dxa"/>
              <w:left w:w="150" w:type="dxa"/>
              <w:bottom w:w="150" w:type="dxa"/>
              <w:right w:w="150" w:type="dxa"/>
            </w:tcMar>
            <w:vAlign w:val="center"/>
            <w:hideMark/>
          </w:tcPr>
          <w:p w14:paraId="43E8BEEA" w14:textId="77777777" w:rsidR="00E023A7" w:rsidRPr="00E023A7" w:rsidRDefault="00E023A7" w:rsidP="00E023A7">
            <w:pPr>
              <w:spacing w:before="300" w:after="300" w:line="240" w:lineRule="auto"/>
              <w:jc w:val="center"/>
              <w:rPr>
                <w:rFonts w:ascii="Times New Roman" w:eastAsia="Times New Roman" w:hAnsi="Times New Roman" w:cs="Times New Roman"/>
                <w:b/>
                <w:bCs/>
                <w:color w:val="2F587C"/>
                <w:sz w:val="21"/>
                <w:szCs w:val="21"/>
                <w:lang w:eastAsia="en-GB"/>
              </w:rPr>
            </w:pPr>
            <w:r w:rsidRPr="00E023A7">
              <w:rPr>
                <w:rFonts w:ascii="Times New Roman" w:eastAsia="Times New Roman" w:hAnsi="Times New Roman" w:cs="Times New Roman"/>
                <w:b/>
                <w:bCs/>
                <w:color w:val="2F587C"/>
                <w:sz w:val="21"/>
                <w:szCs w:val="21"/>
                <w:lang w:eastAsia="en-GB"/>
              </w:rPr>
              <w:t>Amount</w:t>
            </w:r>
          </w:p>
        </w:tc>
      </w:tr>
      <w:tr w:rsidR="00E023A7" w:rsidRPr="00E023A7" w14:paraId="08BAAA18" w14:textId="77777777" w:rsidTr="00E023A7">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1573ADE"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Service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A7A166A"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4% of gross sales.</w:t>
            </w:r>
          </w:p>
        </w:tc>
      </w:tr>
      <w:tr w:rsidR="00E023A7" w:rsidRPr="00E023A7" w14:paraId="7A4BE997" w14:textId="77777777" w:rsidTr="00E023A7">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C1C0191"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Rent</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9750BA0"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Varies.</w:t>
            </w:r>
          </w:p>
        </w:tc>
      </w:tr>
      <w:tr w:rsidR="00E023A7" w:rsidRPr="00E023A7" w14:paraId="5014EFA9" w14:textId="77777777" w:rsidTr="00E023A7">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D4D3858"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lastRenderedPageBreak/>
              <w:t>Advertising and Promotion</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67776CA"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Not less than 4% gross sales.</w:t>
            </w:r>
          </w:p>
        </w:tc>
      </w:tr>
      <w:tr w:rsidR="00E023A7" w:rsidRPr="00E023A7" w14:paraId="59710103" w14:textId="77777777" w:rsidTr="00E023A7">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E3AFCC9"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Audit/ Inspection Fee</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800956B"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Cost of audit.</w:t>
            </w:r>
          </w:p>
        </w:tc>
      </w:tr>
      <w:tr w:rsidR="00E023A7" w:rsidRPr="00E023A7" w14:paraId="008F36DC" w14:textId="77777777" w:rsidTr="00E023A7">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F40B371"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Satellite Annual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5030F0B5"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$500 to $2,500</w:t>
            </w:r>
          </w:p>
        </w:tc>
      </w:tr>
      <w:tr w:rsidR="00E023A7" w:rsidRPr="00E023A7" w14:paraId="61834AF5" w14:textId="77777777" w:rsidTr="00E023A7">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1384701"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Satellite Rent</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708A3DE"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Varies.</w:t>
            </w:r>
          </w:p>
        </w:tc>
      </w:tr>
      <w:tr w:rsidR="00E023A7" w:rsidRPr="00E023A7" w14:paraId="524FBF7F" w14:textId="77777777" w:rsidTr="00E023A7">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4DF904B"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STO Rent</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FAF4752"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Varies.</w:t>
            </w:r>
          </w:p>
        </w:tc>
      </w:tr>
      <w:tr w:rsidR="00E023A7" w:rsidRPr="00E023A7" w14:paraId="045C9D35" w14:textId="77777777" w:rsidTr="00E023A7">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8725981"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lastRenderedPageBreak/>
              <w:t>BFL Rent</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5E0990F"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Varies.</w:t>
            </w:r>
          </w:p>
        </w:tc>
      </w:tr>
      <w:tr w:rsidR="00E023A7" w:rsidRPr="00E023A7" w14:paraId="032D04E5" w14:textId="77777777" w:rsidTr="00E023A7">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007BC0A"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Relocation Contribution</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3C5B7E7" w14:textId="77777777" w:rsidR="00E023A7" w:rsidRPr="00E023A7" w:rsidRDefault="00E023A7" w:rsidP="00E023A7">
            <w:pPr>
              <w:spacing w:before="300" w:after="30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$50,000</w:t>
            </w:r>
          </w:p>
        </w:tc>
      </w:tr>
      <w:tr w:rsidR="00E023A7" w:rsidRPr="00E023A7" w14:paraId="3E05DB6D" w14:textId="77777777" w:rsidTr="00E023A7">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1216EEC" w14:textId="77777777" w:rsidR="00E023A7" w:rsidRPr="00E023A7" w:rsidRDefault="00E023A7" w:rsidP="00E023A7">
            <w:pPr>
              <w:spacing w:before="150" w:after="300" w:line="390" w:lineRule="atLeast"/>
              <w:rPr>
                <w:rFonts w:ascii="Times New Roman" w:eastAsia="Times New Roman" w:hAnsi="Times New Roman" w:cs="Times New Roman"/>
                <w:sz w:val="24"/>
                <w:szCs w:val="24"/>
                <w:lang w:eastAsia="en-GB"/>
              </w:rPr>
            </w:pPr>
            <w:r w:rsidRPr="00E023A7">
              <w:rPr>
                <w:rFonts w:ascii="Times New Roman" w:eastAsia="Times New Roman" w:hAnsi="Times New Roman" w:cs="Times New Roman"/>
                <w:sz w:val="24"/>
                <w:szCs w:val="24"/>
                <w:lang w:eastAsia="en-GB"/>
              </w:rPr>
              <w:t>Point of Sale (POS) – Core Product</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AA95A9C" w14:textId="77777777" w:rsidR="00E023A7" w:rsidRPr="00E023A7" w:rsidRDefault="00E023A7" w:rsidP="00E023A7">
            <w:pPr>
              <w:spacing w:before="150" w:after="300" w:line="390" w:lineRule="atLeast"/>
              <w:rPr>
                <w:rFonts w:ascii="Times New Roman" w:eastAsia="Times New Roman" w:hAnsi="Times New Roman" w:cs="Times New Roman"/>
                <w:sz w:val="24"/>
                <w:szCs w:val="24"/>
                <w:lang w:eastAsia="en-GB"/>
              </w:rPr>
            </w:pPr>
            <w:r w:rsidRPr="00E023A7">
              <w:rPr>
                <w:rFonts w:ascii="Times New Roman" w:eastAsia="Times New Roman" w:hAnsi="Times New Roman" w:cs="Times New Roman"/>
                <w:sz w:val="24"/>
                <w:szCs w:val="24"/>
                <w:lang w:eastAsia="en-GB"/>
              </w:rPr>
              <w:t>$2,600 license fee (one-time fee); $937 annual fee.</w:t>
            </w:r>
          </w:p>
        </w:tc>
      </w:tr>
      <w:tr w:rsidR="00E023A7" w:rsidRPr="00E023A7" w14:paraId="5112C3EE" w14:textId="77777777" w:rsidTr="00E023A7">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1BFCCC1" w14:textId="77777777" w:rsidR="00E023A7" w:rsidRPr="00E023A7" w:rsidRDefault="00E023A7" w:rsidP="00E023A7">
            <w:pPr>
              <w:spacing w:before="150" w:after="300" w:line="390" w:lineRule="atLeast"/>
              <w:rPr>
                <w:rFonts w:ascii="Times New Roman" w:eastAsia="Times New Roman" w:hAnsi="Times New Roman" w:cs="Times New Roman"/>
                <w:sz w:val="24"/>
                <w:szCs w:val="24"/>
                <w:lang w:eastAsia="en-GB"/>
              </w:rPr>
            </w:pPr>
            <w:r w:rsidRPr="00E023A7">
              <w:rPr>
                <w:rFonts w:ascii="Times New Roman" w:eastAsia="Times New Roman" w:hAnsi="Times New Roman" w:cs="Times New Roman"/>
                <w:sz w:val="24"/>
                <w:szCs w:val="24"/>
                <w:lang w:eastAsia="en-GB"/>
              </w:rPr>
              <w:t>Global Mobile App/Digital Capabilities</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361EA7A9" w14:textId="77777777" w:rsidR="00E023A7" w:rsidRPr="00E023A7" w:rsidRDefault="00E023A7" w:rsidP="00E023A7">
            <w:pPr>
              <w:spacing w:before="150" w:after="300" w:line="390" w:lineRule="atLeast"/>
              <w:rPr>
                <w:rFonts w:ascii="Times New Roman" w:eastAsia="Times New Roman" w:hAnsi="Times New Roman" w:cs="Times New Roman"/>
                <w:sz w:val="24"/>
                <w:szCs w:val="24"/>
                <w:lang w:eastAsia="en-GB"/>
              </w:rPr>
            </w:pPr>
            <w:r w:rsidRPr="00E023A7">
              <w:rPr>
                <w:rFonts w:ascii="Times New Roman" w:eastAsia="Times New Roman" w:hAnsi="Times New Roman" w:cs="Times New Roman"/>
                <w:sz w:val="24"/>
                <w:szCs w:val="24"/>
                <w:lang w:eastAsia="en-GB"/>
              </w:rPr>
              <w:t>$900 integration fee (one-time fee); $2,956 annual fee.</w:t>
            </w:r>
          </w:p>
        </w:tc>
      </w:tr>
      <w:tr w:rsidR="00E023A7" w:rsidRPr="00E023A7" w14:paraId="6E966A41" w14:textId="77777777" w:rsidTr="00E023A7">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7F36185" w14:textId="77777777" w:rsidR="00E023A7" w:rsidRPr="00E023A7" w:rsidRDefault="00E023A7" w:rsidP="00E023A7">
            <w:pPr>
              <w:spacing w:before="150" w:after="300" w:line="390" w:lineRule="atLeast"/>
              <w:rPr>
                <w:rFonts w:ascii="Times New Roman" w:eastAsia="Times New Roman" w:hAnsi="Times New Roman" w:cs="Times New Roman"/>
                <w:sz w:val="24"/>
                <w:szCs w:val="24"/>
                <w:lang w:eastAsia="en-GB"/>
              </w:rPr>
            </w:pPr>
            <w:proofErr w:type="spellStart"/>
            <w:r w:rsidRPr="00E023A7">
              <w:rPr>
                <w:rFonts w:ascii="Times New Roman" w:eastAsia="Times New Roman" w:hAnsi="Times New Roman" w:cs="Times New Roman"/>
                <w:sz w:val="24"/>
                <w:szCs w:val="24"/>
                <w:lang w:eastAsia="en-GB"/>
              </w:rPr>
              <w:t>McDelivery</w:t>
            </w:r>
            <w:proofErr w:type="spellEnd"/>
            <w:r w:rsidRPr="00E023A7">
              <w:rPr>
                <w:rFonts w:ascii="Times New Roman" w:eastAsia="Times New Roman" w:hAnsi="Times New Roman" w:cs="Times New Roman"/>
                <w:sz w:val="24"/>
                <w:szCs w:val="24"/>
                <w:lang w:eastAsia="en-GB"/>
              </w:rPr>
              <w:t xml:space="preserve"> POS Integration</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EF0FFE9" w14:textId="77777777" w:rsidR="00E023A7" w:rsidRPr="00E023A7" w:rsidRDefault="00E023A7" w:rsidP="00E023A7">
            <w:pPr>
              <w:spacing w:before="150" w:after="300" w:line="390" w:lineRule="atLeast"/>
              <w:rPr>
                <w:rFonts w:ascii="Times New Roman" w:eastAsia="Times New Roman" w:hAnsi="Times New Roman" w:cs="Times New Roman"/>
                <w:sz w:val="24"/>
                <w:szCs w:val="24"/>
                <w:lang w:eastAsia="en-GB"/>
              </w:rPr>
            </w:pPr>
            <w:r w:rsidRPr="00E023A7">
              <w:rPr>
                <w:rFonts w:ascii="Times New Roman" w:eastAsia="Times New Roman" w:hAnsi="Times New Roman" w:cs="Times New Roman"/>
                <w:sz w:val="24"/>
                <w:szCs w:val="24"/>
                <w:lang w:eastAsia="en-GB"/>
              </w:rPr>
              <w:t>$275 annual fee.</w:t>
            </w:r>
          </w:p>
        </w:tc>
      </w:tr>
      <w:tr w:rsidR="00E023A7" w:rsidRPr="00E023A7" w14:paraId="15349866" w14:textId="77777777" w:rsidTr="00E023A7">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B772CF0" w14:textId="77777777" w:rsidR="00E023A7" w:rsidRPr="00E023A7" w:rsidRDefault="00E023A7" w:rsidP="00E023A7">
            <w:pPr>
              <w:spacing w:before="150" w:after="300" w:line="390" w:lineRule="atLeast"/>
              <w:rPr>
                <w:rFonts w:ascii="Times New Roman" w:eastAsia="Times New Roman" w:hAnsi="Times New Roman" w:cs="Times New Roman"/>
                <w:sz w:val="24"/>
                <w:szCs w:val="24"/>
                <w:lang w:eastAsia="en-GB"/>
              </w:rPr>
            </w:pPr>
            <w:r w:rsidRPr="00E023A7">
              <w:rPr>
                <w:rFonts w:ascii="Times New Roman" w:eastAsia="Times New Roman" w:hAnsi="Times New Roman" w:cs="Times New Roman"/>
                <w:sz w:val="24"/>
                <w:szCs w:val="24"/>
                <w:lang w:eastAsia="en-GB"/>
              </w:rPr>
              <w:lastRenderedPageBreak/>
              <w:t>Self-Ordering Kiosk</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603A743" w14:textId="77777777" w:rsidR="00E023A7" w:rsidRPr="00E023A7" w:rsidRDefault="00E023A7" w:rsidP="00E023A7">
            <w:pPr>
              <w:spacing w:before="150" w:after="300" w:line="390" w:lineRule="atLeast"/>
              <w:rPr>
                <w:rFonts w:ascii="Times New Roman" w:eastAsia="Times New Roman" w:hAnsi="Times New Roman" w:cs="Times New Roman"/>
                <w:sz w:val="24"/>
                <w:szCs w:val="24"/>
                <w:lang w:eastAsia="en-GB"/>
              </w:rPr>
            </w:pPr>
            <w:r w:rsidRPr="00E023A7">
              <w:rPr>
                <w:rFonts w:ascii="Times New Roman" w:eastAsia="Times New Roman" w:hAnsi="Times New Roman" w:cs="Times New Roman"/>
                <w:sz w:val="24"/>
                <w:szCs w:val="24"/>
                <w:lang w:eastAsia="en-GB"/>
              </w:rPr>
              <w:t>$1,500 one-time licensing fee; $500 integration fee (one-time fee); $574 annual fee.</w:t>
            </w:r>
          </w:p>
        </w:tc>
      </w:tr>
      <w:tr w:rsidR="00E023A7" w:rsidRPr="00E023A7" w14:paraId="10A48071" w14:textId="77777777" w:rsidTr="00E023A7">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DC7397A"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Retail Digital Integration</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EF4CE8A"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$500 integration fee (one-time fee); $214 annual fee.</w:t>
            </w:r>
          </w:p>
        </w:tc>
      </w:tr>
      <w:tr w:rsidR="00E023A7" w:rsidRPr="00E023A7" w14:paraId="0E6F20A1" w14:textId="77777777" w:rsidTr="00E023A7">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1E02FB8"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Self-Ordering Kiosk Accessibility</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0934FF4"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$150 annual fee.</w:t>
            </w:r>
          </w:p>
        </w:tc>
      </w:tr>
      <w:tr w:rsidR="00E023A7" w:rsidRPr="00E023A7" w14:paraId="08470F86" w14:textId="77777777" w:rsidTr="00E023A7">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84383EC"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Hand-Held Order Taker (HHOT)</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3128E0DB"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$50 annual fee.</w:t>
            </w:r>
          </w:p>
        </w:tc>
      </w:tr>
      <w:tr w:rsidR="00E023A7" w:rsidRPr="00E023A7" w14:paraId="62EF5FBE" w14:textId="77777777" w:rsidTr="00E023A7">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92B329E"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proofErr w:type="spellStart"/>
            <w:r w:rsidRPr="00E023A7">
              <w:rPr>
                <w:rFonts w:ascii="Times New Roman" w:eastAsia="Times New Roman" w:hAnsi="Times New Roman" w:cs="Times New Roman"/>
                <w:sz w:val="21"/>
                <w:szCs w:val="21"/>
                <w:lang w:eastAsia="en-GB"/>
              </w:rPr>
              <w:t>eProduction</w:t>
            </w:r>
            <w:proofErr w:type="spellEnd"/>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79418DF1"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$34 annual fee.</w:t>
            </w:r>
          </w:p>
        </w:tc>
      </w:tr>
      <w:tr w:rsidR="00E023A7" w:rsidRPr="00E023A7" w14:paraId="47BFB798" w14:textId="77777777" w:rsidTr="00E023A7">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438EC58"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Back Office Integration and Enhancements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66CFAA28"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$500 integration fee (one-time fee); $679 annual fee.</w:t>
            </w:r>
          </w:p>
        </w:tc>
      </w:tr>
      <w:tr w:rsidR="00E023A7" w:rsidRPr="00E023A7" w14:paraId="2414A689" w14:textId="77777777" w:rsidTr="00E023A7">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0F30DC0"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Payments and Fraud Management</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76335D3"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$414 annual fee.</w:t>
            </w:r>
          </w:p>
        </w:tc>
      </w:tr>
      <w:tr w:rsidR="00E023A7" w:rsidRPr="00E023A7" w14:paraId="43EE07C3" w14:textId="77777777" w:rsidTr="00E023A7">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745A92A"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Employee Engagement Platforms</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56779077"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$386 annual fee.</w:t>
            </w:r>
          </w:p>
        </w:tc>
      </w:tr>
      <w:tr w:rsidR="00E023A7" w:rsidRPr="00E023A7" w14:paraId="2B839E79" w14:textId="77777777" w:rsidTr="00E023A7">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1DAC9836"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People Data Warehouse (PDW) Reporting</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1581754"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$156 annual fee.</w:t>
            </w:r>
          </w:p>
        </w:tc>
      </w:tr>
      <w:tr w:rsidR="00E023A7" w:rsidRPr="00E023A7" w14:paraId="50C9DF1B" w14:textId="77777777" w:rsidTr="00E023A7">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73636132"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lastRenderedPageBreak/>
              <w:t>Restaurant Hardware, OTP, Deployment, Execution and Support</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694AD51"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$1,815 annual fee.</w:t>
            </w:r>
          </w:p>
        </w:tc>
      </w:tr>
      <w:tr w:rsidR="00E023A7" w:rsidRPr="00E023A7" w14:paraId="68BC82ED" w14:textId="77777777" w:rsidTr="00E023A7">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B80F11D"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 xml:space="preserve">Restaurant Network Management, </w:t>
            </w:r>
            <w:proofErr w:type="gramStart"/>
            <w:r w:rsidRPr="00E023A7">
              <w:rPr>
                <w:rFonts w:ascii="Times New Roman" w:eastAsia="Times New Roman" w:hAnsi="Times New Roman" w:cs="Times New Roman"/>
                <w:sz w:val="21"/>
                <w:szCs w:val="21"/>
                <w:lang w:eastAsia="en-GB"/>
              </w:rPr>
              <w:t>Access</w:t>
            </w:r>
            <w:proofErr w:type="gramEnd"/>
            <w:r w:rsidRPr="00E023A7">
              <w:rPr>
                <w:rFonts w:ascii="Times New Roman" w:eastAsia="Times New Roman" w:hAnsi="Times New Roman" w:cs="Times New Roman"/>
                <w:sz w:val="21"/>
                <w:szCs w:val="21"/>
                <w:lang w:eastAsia="en-GB"/>
              </w:rPr>
              <w:t xml:space="preserve"> and Security</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CAECB5D"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$934 annual fee.</w:t>
            </w:r>
          </w:p>
        </w:tc>
      </w:tr>
      <w:tr w:rsidR="00E023A7" w:rsidRPr="00E023A7" w14:paraId="4DD11750" w14:textId="77777777" w:rsidTr="00E023A7">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22F7BDA1"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Restaurant Data Movement, Management and Monitoring</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153282D0"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$370 annual fee.</w:t>
            </w:r>
          </w:p>
        </w:tc>
      </w:tr>
      <w:tr w:rsidR="00E023A7" w:rsidRPr="00E023A7" w14:paraId="06355423" w14:textId="77777777" w:rsidTr="00E023A7">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69784947"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Restaurant File Maintenance (RFM)</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46A0143D"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$437 annual fee.</w:t>
            </w:r>
          </w:p>
        </w:tc>
      </w:tr>
      <w:tr w:rsidR="00E023A7" w:rsidRPr="00E023A7" w14:paraId="14EB56AC" w14:textId="77777777" w:rsidTr="00E023A7">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46E96C60"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Microsoft License Subscription</w:t>
            </w:r>
          </w:p>
        </w:tc>
        <w:tc>
          <w:tcPr>
            <w:tcW w:w="0" w:type="auto"/>
            <w:tcBorders>
              <w:top w:val="single" w:sz="6" w:space="0" w:color="D9D8D7"/>
              <w:left w:val="single" w:sz="6" w:space="0" w:color="D9D8D7"/>
              <w:bottom w:val="single" w:sz="6" w:space="0" w:color="D9D8D7"/>
              <w:right w:val="single" w:sz="6" w:space="0" w:color="D9D8D7"/>
            </w:tcBorders>
            <w:shd w:val="clear" w:color="auto" w:fill="F7F6F5"/>
            <w:tcMar>
              <w:top w:w="150" w:type="dxa"/>
              <w:left w:w="150" w:type="dxa"/>
              <w:bottom w:w="150" w:type="dxa"/>
              <w:right w:w="150" w:type="dxa"/>
            </w:tcMar>
            <w:vAlign w:val="center"/>
            <w:hideMark/>
          </w:tcPr>
          <w:p w14:paraId="03EF786B"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$490 annual fee.</w:t>
            </w:r>
          </w:p>
        </w:tc>
      </w:tr>
      <w:tr w:rsidR="00E023A7" w:rsidRPr="00E023A7" w14:paraId="30441FA0" w14:textId="77777777" w:rsidTr="00E023A7">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2368C7FF"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Store Mail (email accounts) Fee</w:t>
            </w:r>
          </w:p>
        </w:tc>
        <w:tc>
          <w:tcPr>
            <w:tcW w:w="0" w:type="auto"/>
            <w:tcBorders>
              <w:top w:val="single" w:sz="6" w:space="0" w:color="D9D8D7"/>
              <w:left w:val="single" w:sz="6" w:space="0" w:color="D9D8D7"/>
              <w:bottom w:val="single" w:sz="6" w:space="0" w:color="D9D8D7"/>
              <w:right w:val="single" w:sz="6" w:space="0" w:color="D9D8D7"/>
            </w:tcBorders>
            <w:tcMar>
              <w:top w:w="150" w:type="dxa"/>
              <w:left w:w="150" w:type="dxa"/>
              <w:bottom w:w="150" w:type="dxa"/>
              <w:right w:w="150" w:type="dxa"/>
            </w:tcMar>
            <w:vAlign w:val="center"/>
            <w:hideMark/>
          </w:tcPr>
          <w:p w14:paraId="05CD4E5E" w14:textId="77777777" w:rsidR="00E023A7" w:rsidRPr="00E023A7" w:rsidRDefault="00E023A7" w:rsidP="00E023A7">
            <w:pPr>
              <w:spacing w:after="0" w:line="240" w:lineRule="auto"/>
              <w:rPr>
                <w:rFonts w:ascii="Times New Roman" w:eastAsia="Times New Roman" w:hAnsi="Times New Roman" w:cs="Times New Roman"/>
                <w:sz w:val="21"/>
                <w:szCs w:val="21"/>
                <w:lang w:eastAsia="en-GB"/>
              </w:rPr>
            </w:pPr>
            <w:r w:rsidRPr="00E023A7">
              <w:rPr>
                <w:rFonts w:ascii="Times New Roman" w:eastAsia="Times New Roman" w:hAnsi="Times New Roman" w:cs="Times New Roman"/>
                <w:sz w:val="21"/>
                <w:szCs w:val="21"/>
                <w:lang w:eastAsia="en-GB"/>
              </w:rPr>
              <w:t>$73.80 annual fee.</w:t>
            </w:r>
          </w:p>
        </w:tc>
      </w:tr>
    </w:tbl>
    <w:p w14:paraId="407E0ECC" w14:textId="77777777" w:rsidR="00E023A7" w:rsidRPr="00E023A7" w:rsidRDefault="00E023A7" w:rsidP="00E023A7">
      <w:pPr>
        <w:shd w:val="clear" w:color="auto" w:fill="FFFFFF"/>
        <w:spacing w:before="150" w:line="390" w:lineRule="atLeast"/>
        <w:rPr>
          <w:rFonts w:ascii="Open Sans" w:eastAsia="Times New Roman" w:hAnsi="Open Sans" w:cs="Open Sans"/>
          <w:color w:val="626E7A"/>
          <w:sz w:val="24"/>
          <w:szCs w:val="24"/>
          <w:lang w:eastAsia="en-GB"/>
        </w:rPr>
      </w:pPr>
      <w:r w:rsidRPr="00E023A7">
        <w:rPr>
          <w:rFonts w:ascii="Open Sans" w:eastAsia="Times New Roman" w:hAnsi="Open Sans" w:cs="Open Sans"/>
          <w:i/>
          <w:iCs/>
          <w:color w:val="626E7A"/>
          <w:sz w:val="20"/>
          <w:szCs w:val="20"/>
          <w:lang w:eastAsia="en-GB"/>
        </w:rPr>
        <w:t>The above information has been compiled from the FDD of McDonald's. Year of FDD: 2022.</w:t>
      </w:r>
    </w:p>
    <w:p w14:paraId="6724D907" w14:textId="067FD6EB" w:rsidR="00013874" w:rsidRPr="00E023A7" w:rsidRDefault="00013874" w:rsidP="00E023A7"/>
    <w:sectPr w:rsidR="00013874" w:rsidRPr="00E023A7" w:rsidSect="00FB1110">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72AAA"/>
    <w:multiLevelType w:val="multilevel"/>
    <w:tmpl w:val="0756F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A6736A"/>
    <w:multiLevelType w:val="multilevel"/>
    <w:tmpl w:val="E1D09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6549048">
    <w:abstractNumId w:val="0"/>
  </w:num>
  <w:num w:numId="2" w16cid:durableId="9322756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1110"/>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E16C5"/>
    <w:rsid w:val="003F7C67"/>
    <w:rsid w:val="00437ED7"/>
    <w:rsid w:val="00453A16"/>
    <w:rsid w:val="00466AE1"/>
    <w:rsid w:val="00486B2A"/>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112B"/>
    <w:rsid w:val="00853D1F"/>
    <w:rsid w:val="008558B5"/>
    <w:rsid w:val="008A1DAB"/>
    <w:rsid w:val="008D4739"/>
    <w:rsid w:val="008F6B0E"/>
    <w:rsid w:val="009015AC"/>
    <w:rsid w:val="00924EC6"/>
    <w:rsid w:val="0092503F"/>
    <w:rsid w:val="0093469B"/>
    <w:rsid w:val="00934CA5"/>
    <w:rsid w:val="009433DB"/>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C0252C"/>
    <w:rsid w:val="00C037B6"/>
    <w:rsid w:val="00C33480"/>
    <w:rsid w:val="00C51EE2"/>
    <w:rsid w:val="00C67556"/>
    <w:rsid w:val="00CD4D87"/>
    <w:rsid w:val="00CF2837"/>
    <w:rsid w:val="00D22405"/>
    <w:rsid w:val="00D62AD2"/>
    <w:rsid w:val="00D875B5"/>
    <w:rsid w:val="00DB3B1D"/>
    <w:rsid w:val="00DC215C"/>
    <w:rsid w:val="00DC2253"/>
    <w:rsid w:val="00DD35A5"/>
    <w:rsid w:val="00DD5007"/>
    <w:rsid w:val="00E006F4"/>
    <w:rsid w:val="00E023A7"/>
    <w:rsid w:val="00E52288"/>
    <w:rsid w:val="00E96049"/>
    <w:rsid w:val="00ED54F4"/>
    <w:rsid w:val="00EF36B9"/>
    <w:rsid w:val="00EF60A7"/>
    <w:rsid w:val="00F03617"/>
    <w:rsid w:val="00F16733"/>
    <w:rsid w:val="00F47981"/>
    <w:rsid w:val="00F53C40"/>
    <w:rsid w:val="00F6289F"/>
    <w:rsid w:val="00F63A3B"/>
    <w:rsid w:val="00F75861"/>
    <w:rsid w:val="00F8084B"/>
    <w:rsid w:val="00FA4893"/>
    <w:rsid w:val="00FB1110"/>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E5042"/>
  <w15:chartTrackingRefBased/>
  <w15:docId w15:val="{2D7322EE-9E0E-485E-B4E8-EC7636793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B111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B111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B111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111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B1110"/>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B1110"/>
    <w:rPr>
      <w:rFonts w:ascii="Times New Roman" w:eastAsia="Times New Roman" w:hAnsi="Times New Roman" w:cs="Times New Roman"/>
      <w:b/>
      <w:bCs/>
      <w:sz w:val="27"/>
      <w:szCs w:val="27"/>
      <w:lang w:eastAsia="en-GB"/>
    </w:rPr>
  </w:style>
  <w:style w:type="character" w:customStyle="1" w:styleId="fdd-type-large">
    <w:name w:val="fdd-type-large"/>
    <w:basedOn w:val="DefaultParagraphFont"/>
    <w:rsid w:val="00FB1110"/>
  </w:style>
  <w:style w:type="character" w:styleId="Hyperlink">
    <w:name w:val="Hyperlink"/>
    <w:basedOn w:val="DefaultParagraphFont"/>
    <w:uiPriority w:val="99"/>
    <w:semiHidden/>
    <w:unhideWhenUsed/>
    <w:rsid w:val="00FB1110"/>
    <w:rPr>
      <w:color w:val="0000FF"/>
      <w:u w:val="single"/>
    </w:rPr>
  </w:style>
  <w:style w:type="paragraph" w:styleId="NormalWeb">
    <w:name w:val="Normal (Web)"/>
    <w:basedOn w:val="Normal"/>
    <w:uiPriority w:val="99"/>
    <w:semiHidden/>
    <w:unhideWhenUsed/>
    <w:rsid w:val="00FB111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161841">
      <w:bodyDiv w:val="1"/>
      <w:marLeft w:val="0"/>
      <w:marRight w:val="0"/>
      <w:marTop w:val="0"/>
      <w:marBottom w:val="0"/>
      <w:divBdr>
        <w:top w:val="none" w:sz="0" w:space="0" w:color="auto"/>
        <w:left w:val="none" w:sz="0" w:space="0" w:color="auto"/>
        <w:bottom w:val="none" w:sz="0" w:space="0" w:color="auto"/>
        <w:right w:val="none" w:sz="0" w:space="0" w:color="auto"/>
      </w:divBdr>
      <w:divsChild>
        <w:div w:id="625812764">
          <w:marLeft w:val="0"/>
          <w:marRight w:val="0"/>
          <w:marTop w:val="150"/>
          <w:marBottom w:val="0"/>
          <w:divBdr>
            <w:top w:val="none" w:sz="0" w:space="0" w:color="auto"/>
            <w:left w:val="none" w:sz="0" w:space="0" w:color="auto"/>
            <w:bottom w:val="none" w:sz="0" w:space="0" w:color="auto"/>
            <w:right w:val="none" w:sz="0" w:space="0" w:color="auto"/>
          </w:divBdr>
          <w:divsChild>
            <w:div w:id="89089823">
              <w:marLeft w:val="0"/>
              <w:marRight w:val="0"/>
              <w:marTop w:val="0"/>
              <w:marBottom w:val="0"/>
              <w:divBdr>
                <w:top w:val="none" w:sz="0" w:space="0" w:color="auto"/>
                <w:left w:val="none" w:sz="0" w:space="0" w:color="auto"/>
                <w:bottom w:val="none" w:sz="0" w:space="0" w:color="auto"/>
                <w:right w:val="none" w:sz="0" w:space="0" w:color="auto"/>
              </w:divBdr>
            </w:div>
            <w:div w:id="661812517">
              <w:marLeft w:val="0"/>
              <w:marRight w:val="0"/>
              <w:marTop w:val="150"/>
              <w:marBottom w:val="0"/>
              <w:divBdr>
                <w:top w:val="none" w:sz="0" w:space="0" w:color="auto"/>
                <w:left w:val="none" w:sz="0" w:space="0" w:color="auto"/>
                <w:bottom w:val="none" w:sz="0" w:space="0" w:color="auto"/>
                <w:right w:val="none" w:sz="0" w:space="0" w:color="auto"/>
              </w:divBdr>
            </w:div>
          </w:divsChild>
        </w:div>
        <w:div w:id="745341346">
          <w:marLeft w:val="0"/>
          <w:marRight w:val="0"/>
          <w:marTop w:val="150"/>
          <w:marBottom w:val="0"/>
          <w:divBdr>
            <w:top w:val="none" w:sz="0" w:space="0" w:color="auto"/>
            <w:left w:val="none" w:sz="0" w:space="0" w:color="auto"/>
            <w:bottom w:val="none" w:sz="0" w:space="0" w:color="auto"/>
            <w:right w:val="none" w:sz="0" w:space="0" w:color="auto"/>
          </w:divBdr>
          <w:divsChild>
            <w:div w:id="1614627158">
              <w:marLeft w:val="0"/>
              <w:marRight w:val="0"/>
              <w:marTop w:val="0"/>
              <w:marBottom w:val="0"/>
              <w:divBdr>
                <w:top w:val="none" w:sz="0" w:space="0" w:color="auto"/>
                <w:left w:val="none" w:sz="0" w:space="0" w:color="auto"/>
                <w:bottom w:val="none" w:sz="0" w:space="0" w:color="auto"/>
                <w:right w:val="none" w:sz="0" w:space="0" w:color="auto"/>
              </w:divBdr>
              <w:divsChild>
                <w:div w:id="1615862706">
                  <w:marLeft w:val="0"/>
                  <w:marRight w:val="0"/>
                  <w:marTop w:val="0"/>
                  <w:marBottom w:val="0"/>
                  <w:divBdr>
                    <w:top w:val="none" w:sz="0" w:space="0" w:color="auto"/>
                    <w:left w:val="none" w:sz="0" w:space="0" w:color="auto"/>
                    <w:bottom w:val="none" w:sz="0" w:space="0" w:color="auto"/>
                    <w:right w:val="none" w:sz="0" w:space="0" w:color="auto"/>
                  </w:divBdr>
                  <w:divsChild>
                    <w:div w:id="862287575">
                      <w:marLeft w:val="0"/>
                      <w:marRight w:val="0"/>
                      <w:marTop w:val="0"/>
                      <w:marBottom w:val="300"/>
                      <w:divBdr>
                        <w:top w:val="single" w:sz="6" w:space="15" w:color="E3E3E3"/>
                        <w:left w:val="single" w:sz="6" w:space="15" w:color="E3E3E3"/>
                        <w:bottom w:val="single" w:sz="6" w:space="15" w:color="E3E3E3"/>
                        <w:right w:val="single" w:sz="6" w:space="15" w:color="E3E3E3"/>
                      </w:divBdr>
                    </w:div>
                    <w:div w:id="1109736364">
                      <w:marLeft w:val="0"/>
                      <w:marRight w:val="0"/>
                      <w:marTop w:val="225"/>
                      <w:marBottom w:val="0"/>
                      <w:divBdr>
                        <w:top w:val="none" w:sz="0" w:space="0" w:color="auto"/>
                        <w:left w:val="none" w:sz="0" w:space="0" w:color="auto"/>
                        <w:bottom w:val="none" w:sz="0" w:space="0" w:color="auto"/>
                        <w:right w:val="none" w:sz="0" w:space="0" w:color="auto"/>
                      </w:divBdr>
                    </w:div>
                  </w:divsChild>
                </w:div>
                <w:div w:id="1786458114">
                  <w:marLeft w:val="0"/>
                  <w:marRight w:val="540"/>
                  <w:marTop w:val="0"/>
                  <w:marBottom w:val="750"/>
                  <w:divBdr>
                    <w:top w:val="none" w:sz="0" w:space="0" w:color="auto"/>
                    <w:left w:val="none" w:sz="0" w:space="0" w:color="auto"/>
                    <w:bottom w:val="none" w:sz="0" w:space="0" w:color="auto"/>
                    <w:right w:val="none" w:sz="0" w:space="0" w:color="auto"/>
                  </w:divBdr>
                  <w:divsChild>
                    <w:div w:id="1177842523">
                      <w:marLeft w:val="0"/>
                      <w:marRight w:val="0"/>
                      <w:marTop w:val="600"/>
                      <w:marBottom w:val="600"/>
                      <w:divBdr>
                        <w:top w:val="single" w:sz="6" w:space="0" w:color="E6E4E3"/>
                        <w:left w:val="single" w:sz="6" w:space="0" w:color="E6E4E3"/>
                        <w:bottom w:val="single" w:sz="6" w:space="0" w:color="E6E4E3"/>
                        <w:right w:val="single" w:sz="6" w:space="0" w:color="E6E4E3"/>
                      </w:divBdr>
                      <w:divsChild>
                        <w:div w:id="1907572075">
                          <w:marLeft w:val="0"/>
                          <w:marRight w:val="0"/>
                          <w:marTop w:val="0"/>
                          <w:marBottom w:val="0"/>
                          <w:divBdr>
                            <w:top w:val="none" w:sz="0" w:space="0" w:color="auto"/>
                            <w:left w:val="none" w:sz="0" w:space="0" w:color="auto"/>
                            <w:bottom w:val="single" w:sz="6" w:space="2" w:color="E9E9E9"/>
                            <w:right w:val="none" w:sz="0" w:space="0" w:color="auto"/>
                          </w:divBdr>
                          <w:divsChild>
                            <w:div w:id="2027436175">
                              <w:marLeft w:val="0"/>
                              <w:marRight w:val="0"/>
                              <w:marTop w:val="0"/>
                              <w:marBottom w:val="0"/>
                              <w:divBdr>
                                <w:top w:val="none" w:sz="0" w:space="0" w:color="auto"/>
                                <w:left w:val="none" w:sz="0" w:space="0" w:color="auto"/>
                                <w:bottom w:val="none" w:sz="0" w:space="0" w:color="auto"/>
                                <w:right w:val="none" w:sz="0" w:space="0" w:color="auto"/>
                              </w:divBdr>
                            </w:div>
                          </w:divsChild>
                        </w:div>
                        <w:div w:id="678239052">
                          <w:marLeft w:val="0"/>
                          <w:marRight w:val="0"/>
                          <w:marTop w:val="0"/>
                          <w:marBottom w:val="0"/>
                          <w:divBdr>
                            <w:top w:val="none" w:sz="0" w:space="0" w:color="auto"/>
                            <w:left w:val="none" w:sz="0" w:space="0" w:color="auto"/>
                            <w:bottom w:val="single" w:sz="6" w:space="2" w:color="E9E9E9"/>
                            <w:right w:val="none" w:sz="0" w:space="0" w:color="auto"/>
                          </w:divBdr>
                          <w:divsChild>
                            <w:div w:id="84159392">
                              <w:marLeft w:val="0"/>
                              <w:marRight w:val="0"/>
                              <w:marTop w:val="0"/>
                              <w:marBottom w:val="0"/>
                              <w:divBdr>
                                <w:top w:val="none" w:sz="0" w:space="0" w:color="auto"/>
                                <w:left w:val="none" w:sz="0" w:space="0" w:color="auto"/>
                                <w:bottom w:val="none" w:sz="0" w:space="0" w:color="auto"/>
                                <w:right w:val="none" w:sz="0" w:space="0" w:color="auto"/>
                              </w:divBdr>
                            </w:div>
                          </w:divsChild>
                        </w:div>
                        <w:div w:id="1580212592">
                          <w:marLeft w:val="0"/>
                          <w:marRight w:val="0"/>
                          <w:marTop w:val="0"/>
                          <w:marBottom w:val="0"/>
                          <w:divBdr>
                            <w:top w:val="none" w:sz="0" w:space="0" w:color="auto"/>
                            <w:left w:val="none" w:sz="0" w:space="0" w:color="auto"/>
                            <w:bottom w:val="single" w:sz="6" w:space="2" w:color="E9E9E9"/>
                            <w:right w:val="none" w:sz="0" w:space="0" w:color="auto"/>
                          </w:divBdr>
                          <w:divsChild>
                            <w:div w:id="1031224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175543">
                      <w:marLeft w:val="0"/>
                      <w:marRight w:val="0"/>
                      <w:marTop w:val="0"/>
                      <w:marBottom w:val="0"/>
                      <w:divBdr>
                        <w:top w:val="none" w:sz="0" w:space="0" w:color="auto"/>
                        <w:left w:val="none" w:sz="0" w:space="0" w:color="auto"/>
                        <w:bottom w:val="none" w:sz="0" w:space="0" w:color="auto"/>
                        <w:right w:val="none" w:sz="0" w:space="0" w:color="auto"/>
                      </w:divBdr>
                      <w:divsChild>
                        <w:div w:id="1601180083">
                          <w:marLeft w:val="0"/>
                          <w:marRight w:val="0"/>
                          <w:marTop w:val="0"/>
                          <w:marBottom w:val="0"/>
                          <w:divBdr>
                            <w:top w:val="none" w:sz="0" w:space="0" w:color="auto"/>
                            <w:left w:val="none" w:sz="0" w:space="0" w:color="auto"/>
                            <w:bottom w:val="none" w:sz="0" w:space="0" w:color="auto"/>
                            <w:right w:val="none" w:sz="0" w:space="0" w:color="auto"/>
                          </w:divBdr>
                        </w:div>
                      </w:divsChild>
                    </w:div>
                    <w:div w:id="1284267424">
                      <w:marLeft w:val="0"/>
                      <w:marRight w:val="0"/>
                      <w:marTop w:val="0"/>
                      <w:marBottom w:val="0"/>
                      <w:divBdr>
                        <w:top w:val="none" w:sz="0" w:space="0" w:color="auto"/>
                        <w:left w:val="none" w:sz="0" w:space="0" w:color="auto"/>
                        <w:bottom w:val="none" w:sz="0" w:space="0" w:color="auto"/>
                        <w:right w:val="none" w:sz="0" w:space="0" w:color="auto"/>
                      </w:divBdr>
                      <w:divsChild>
                        <w:div w:id="1469981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1067619">
      <w:bodyDiv w:val="1"/>
      <w:marLeft w:val="0"/>
      <w:marRight w:val="0"/>
      <w:marTop w:val="0"/>
      <w:marBottom w:val="0"/>
      <w:divBdr>
        <w:top w:val="none" w:sz="0" w:space="0" w:color="auto"/>
        <w:left w:val="none" w:sz="0" w:space="0" w:color="auto"/>
        <w:bottom w:val="none" w:sz="0" w:space="0" w:color="auto"/>
        <w:right w:val="none" w:sz="0" w:space="0" w:color="auto"/>
      </w:divBdr>
      <w:divsChild>
        <w:div w:id="73206102">
          <w:marLeft w:val="0"/>
          <w:marRight w:val="0"/>
          <w:marTop w:val="150"/>
          <w:marBottom w:val="0"/>
          <w:divBdr>
            <w:top w:val="none" w:sz="0" w:space="0" w:color="auto"/>
            <w:left w:val="none" w:sz="0" w:space="0" w:color="auto"/>
            <w:bottom w:val="none" w:sz="0" w:space="0" w:color="auto"/>
            <w:right w:val="none" w:sz="0" w:space="0" w:color="auto"/>
          </w:divBdr>
          <w:divsChild>
            <w:div w:id="912541888">
              <w:marLeft w:val="0"/>
              <w:marRight w:val="0"/>
              <w:marTop w:val="0"/>
              <w:marBottom w:val="0"/>
              <w:divBdr>
                <w:top w:val="none" w:sz="0" w:space="0" w:color="auto"/>
                <w:left w:val="none" w:sz="0" w:space="0" w:color="auto"/>
                <w:bottom w:val="none" w:sz="0" w:space="0" w:color="auto"/>
                <w:right w:val="none" w:sz="0" w:space="0" w:color="auto"/>
              </w:divBdr>
            </w:div>
            <w:div w:id="246619265">
              <w:marLeft w:val="0"/>
              <w:marRight w:val="0"/>
              <w:marTop w:val="150"/>
              <w:marBottom w:val="0"/>
              <w:divBdr>
                <w:top w:val="none" w:sz="0" w:space="0" w:color="auto"/>
                <w:left w:val="none" w:sz="0" w:space="0" w:color="auto"/>
                <w:bottom w:val="none" w:sz="0" w:space="0" w:color="auto"/>
                <w:right w:val="none" w:sz="0" w:space="0" w:color="auto"/>
              </w:divBdr>
            </w:div>
          </w:divsChild>
        </w:div>
        <w:div w:id="1868520660">
          <w:marLeft w:val="0"/>
          <w:marRight w:val="0"/>
          <w:marTop w:val="150"/>
          <w:marBottom w:val="0"/>
          <w:divBdr>
            <w:top w:val="none" w:sz="0" w:space="0" w:color="auto"/>
            <w:left w:val="none" w:sz="0" w:space="0" w:color="auto"/>
            <w:bottom w:val="none" w:sz="0" w:space="0" w:color="auto"/>
            <w:right w:val="none" w:sz="0" w:space="0" w:color="auto"/>
          </w:divBdr>
          <w:divsChild>
            <w:div w:id="754671058">
              <w:marLeft w:val="0"/>
              <w:marRight w:val="0"/>
              <w:marTop w:val="0"/>
              <w:marBottom w:val="0"/>
              <w:divBdr>
                <w:top w:val="none" w:sz="0" w:space="0" w:color="auto"/>
                <w:left w:val="none" w:sz="0" w:space="0" w:color="auto"/>
                <w:bottom w:val="none" w:sz="0" w:space="0" w:color="auto"/>
                <w:right w:val="none" w:sz="0" w:space="0" w:color="auto"/>
              </w:divBdr>
              <w:divsChild>
                <w:div w:id="185215631">
                  <w:marLeft w:val="0"/>
                  <w:marRight w:val="0"/>
                  <w:marTop w:val="0"/>
                  <w:marBottom w:val="0"/>
                  <w:divBdr>
                    <w:top w:val="none" w:sz="0" w:space="0" w:color="auto"/>
                    <w:left w:val="none" w:sz="0" w:space="0" w:color="auto"/>
                    <w:bottom w:val="none" w:sz="0" w:space="0" w:color="auto"/>
                    <w:right w:val="none" w:sz="0" w:space="0" w:color="auto"/>
                  </w:divBdr>
                  <w:divsChild>
                    <w:div w:id="1155490552">
                      <w:marLeft w:val="0"/>
                      <w:marRight w:val="0"/>
                      <w:marTop w:val="0"/>
                      <w:marBottom w:val="300"/>
                      <w:divBdr>
                        <w:top w:val="single" w:sz="6" w:space="15" w:color="E3E3E3"/>
                        <w:left w:val="single" w:sz="6" w:space="15" w:color="E3E3E3"/>
                        <w:bottom w:val="single" w:sz="6" w:space="15" w:color="E3E3E3"/>
                        <w:right w:val="single" w:sz="6" w:space="15" w:color="E3E3E3"/>
                      </w:divBdr>
                    </w:div>
                    <w:div w:id="1657537433">
                      <w:marLeft w:val="0"/>
                      <w:marRight w:val="0"/>
                      <w:marTop w:val="225"/>
                      <w:marBottom w:val="0"/>
                      <w:divBdr>
                        <w:top w:val="none" w:sz="0" w:space="0" w:color="auto"/>
                        <w:left w:val="none" w:sz="0" w:space="0" w:color="auto"/>
                        <w:bottom w:val="none" w:sz="0" w:space="0" w:color="auto"/>
                        <w:right w:val="none" w:sz="0" w:space="0" w:color="auto"/>
                      </w:divBdr>
                    </w:div>
                  </w:divsChild>
                </w:div>
                <w:div w:id="1155104751">
                  <w:marLeft w:val="0"/>
                  <w:marRight w:val="540"/>
                  <w:marTop w:val="0"/>
                  <w:marBottom w:val="750"/>
                  <w:divBdr>
                    <w:top w:val="none" w:sz="0" w:space="0" w:color="auto"/>
                    <w:left w:val="none" w:sz="0" w:space="0" w:color="auto"/>
                    <w:bottom w:val="none" w:sz="0" w:space="0" w:color="auto"/>
                    <w:right w:val="none" w:sz="0" w:space="0" w:color="auto"/>
                  </w:divBdr>
                  <w:divsChild>
                    <w:div w:id="889153077">
                      <w:marLeft w:val="0"/>
                      <w:marRight w:val="0"/>
                      <w:marTop w:val="600"/>
                      <w:marBottom w:val="600"/>
                      <w:divBdr>
                        <w:top w:val="single" w:sz="6" w:space="0" w:color="E6E4E3"/>
                        <w:left w:val="single" w:sz="6" w:space="0" w:color="E6E4E3"/>
                        <w:bottom w:val="single" w:sz="6" w:space="0" w:color="E6E4E3"/>
                        <w:right w:val="single" w:sz="6" w:space="0" w:color="E6E4E3"/>
                      </w:divBdr>
                      <w:divsChild>
                        <w:div w:id="1933203121">
                          <w:marLeft w:val="0"/>
                          <w:marRight w:val="0"/>
                          <w:marTop w:val="0"/>
                          <w:marBottom w:val="0"/>
                          <w:divBdr>
                            <w:top w:val="none" w:sz="0" w:space="0" w:color="auto"/>
                            <w:left w:val="none" w:sz="0" w:space="0" w:color="auto"/>
                            <w:bottom w:val="single" w:sz="6" w:space="2" w:color="E9E9E9"/>
                            <w:right w:val="none" w:sz="0" w:space="0" w:color="auto"/>
                          </w:divBdr>
                          <w:divsChild>
                            <w:div w:id="790782332">
                              <w:marLeft w:val="0"/>
                              <w:marRight w:val="0"/>
                              <w:marTop w:val="0"/>
                              <w:marBottom w:val="0"/>
                              <w:divBdr>
                                <w:top w:val="none" w:sz="0" w:space="0" w:color="auto"/>
                                <w:left w:val="none" w:sz="0" w:space="0" w:color="auto"/>
                                <w:bottom w:val="none" w:sz="0" w:space="0" w:color="auto"/>
                                <w:right w:val="none" w:sz="0" w:space="0" w:color="auto"/>
                              </w:divBdr>
                            </w:div>
                          </w:divsChild>
                        </w:div>
                        <w:div w:id="1505777331">
                          <w:marLeft w:val="0"/>
                          <w:marRight w:val="0"/>
                          <w:marTop w:val="0"/>
                          <w:marBottom w:val="0"/>
                          <w:divBdr>
                            <w:top w:val="none" w:sz="0" w:space="0" w:color="auto"/>
                            <w:left w:val="none" w:sz="0" w:space="0" w:color="auto"/>
                            <w:bottom w:val="single" w:sz="6" w:space="2" w:color="E9E9E9"/>
                            <w:right w:val="none" w:sz="0" w:space="0" w:color="auto"/>
                          </w:divBdr>
                          <w:divsChild>
                            <w:div w:id="1694763565">
                              <w:marLeft w:val="0"/>
                              <w:marRight w:val="0"/>
                              <w:marTop w:val="0"/>
                              <w:marBottom w:val="0"/>
                              <w:divBdr>
                                <w:top w:val="none" w:sz="0" w:space="0" w:color="auto"/>
                                <w:left w:val="none" w:sz="0" w:space="0" w:color="auto"/>
                                <w:bottom w:val="none" w:sz="0" w:space="0" w:color="auto"/>
                                <w:right w:val="none" w:sz="0" w:space="0" w:color="auto"/>
                              </w:divBdr>
                            </w:div>
                          </w:divsChild>
                        </w:div>
                        <w:div w:id="539754544">
                          <w:marLeft w:val="0"/>
                          <w:marRight w:val="0"/>
                          <w:marTop w:val="0"/>
                          <w:marBottom w:val="0"/>
                          <w:divBdr>
                            <w:top w:val="none" w:sz="0" w:space="0" w:color="auto"/>
                            <w:left w:val="none" w:sz="0" w:space="0" w:color="auto"/>
                            <w:bottom w:val="single" w:sz="6" w:space="2" w:color="E9E9E9"/>
                            <w:right w:val="none" w:sz="0" w:space="0" w:color="auto"/>
                          </w:divBdr>
                          <w:divsChild>
                            <w:div w:id="123176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834024">
                      <w:marLeft w:val="0"/>
                      <w:marRight w:val="0"/>
                      <w:marTop w:val="0"/>
                      <w:marBottom w:val="0"/>
                      <w:divBdr>
                        <w:top w:val="none" w:sz="0" w:space="0" w:color="auto"/>
                        <w:left w:val="none" w:sz="0" w:space="0" w:color="auto"/>
                        <w:bottom w:val="none" w:sz="0" w:space="0" w:color="auto"/>
                        <w:right w:val="none" w:sz="0" w:space="0" w:color="auto"/>
                      </w:divBdr>
                      <w:divsChild>
                        <w:div w:id="832064586">
                          <w:marLeft w:val="0"/>
                          <w:marRight w:val="0"/>
                          <w:marTop w:val="0"/>
                          <w:marBottom w:val="0"/>
                          <w:divBdr>
                            <w:top w:val="none" w:sz="0" w:space="0" w:color="auto"/>
                            <w:left w:val="none" w:sz="0" w:space="0" w:color="auto"/>
                            <w:bottom w:val="none" w:sz="0" w:space="0" w:color="auto"/>
                            <w:right w:val="none" w:sz="0" w:space="0" w:color="auto"/>
                          </w:divBdr>
                        </w:div>
                      </w:divsChild>
                    </w:div>
                    <w:div w:id="1735084983">
                      <w:marLeft w:val="0"/>
                      <w:marRight w:val="0"/>
                      <w:marTop w:val="0"/>
                      <w:marBottom w:val="0"/>
                      <w:divBdr>
                        <w:top w:val="none" w:sz="0" w:space="0" w:color="auto"/>
                        <w:left w:val="none" w:sz="0" w:space="0" w:color="auto"/>
                        <w:bottom w:val="none" w:sz="0" w:space="0" w:color="auto"/>
                        <w:right w:val="none" w:sz="0" w:space="0" w:color="auto"/>
                      </w:divBdr>
                      <w:divsChild>
                        <w:div w:id="68991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5941372">
      <w:bodyDiv w:val="1"/>
      <w:marLeft w:val="0"/>
      <w:marRight w:val="0"/>
      <w:marTop w:val="0"/>
      <w:marBottom w:val="0"/>
      <w:divBdr>
        <w:top w:val="none" w:sz="0" w:space="0" w:color="auto"/>
        <w:left w:val="none" w:sz="0" w:space="0" w:color="auto"/>
        <w:bottom w:val="none" w:sz="0" w:space="0" w:color="auto"/>
        <w:right w:val="none" w:sz="0" w:space="0" w:color="auto"/>
      </w:divBdr>
      <w:divsChild>
        <w:div w:id="309942945">
          <w:marLeft w:val="0"/>
          <w:marRight w:val="0"/>
          <w:marTop w:val="150"/>
          <w:marBottom w:val="0"/>
          <w:divBdr>
            <w:top w:val="none" w:sz="0" w:space="0" w:color="auto"/>
            <w:left w:val="none" w:sz="0" w:space="0" w:color="auto"/>
            <w:bottom w:val="none" w:sz="0" w:space="0" w:color="auto"/>
            <w:right w:val="none" w:sz="0" w:space="0" w:color="auto"/>
          </w:divBdr>
          <w:divsChild>
            <w:div w:id="862000">
              <w:marLeft w:val="0"/>
              <w:marRight w:val="0"/>
              <w:marTop w:val="0"/>
              <w:marBottom w:val="0"/>
              <w:divBdr>
                <w:top w:val="none" w:sz="0" w:space="0" w:color="auto"/>
                <w:left w:val="none" w:sz="0" w:space="0" w:color="auto"/>
                <w:bottom w:val="none" w:sz="0" w:space="0" w:color="auto"/>
                <w:right w:val="none" w:sz="0" w:space="0" w:color="auto"/>
              </w:divBdr>
            </w:div>
            <w:div w:id="1760249901">
              <w:marLeft w:val="0"/>
              <w:marRight w:val="0"/>
              <w:marTop w:val="150"/>
              <w:marBottom w:val="0"/>
              <w:divBdr>
                <w:top w:val="none" w:sz="0" w:space="0" w:color="auto"/>
                <w:left w:val="none" w:sz="0" w:space="0" w:color="auto"/>
                <w:bottom w:val="none" w:sz="0" w:space="0" w:color="auto"/>
                <w:right w:val="none" w:sz="0" w:space="0" w:color="auto"/>
              </w:divBdr>
            </w:div>
          </w:divsChild>
        </w:div>
        <w:div w:id="145632348">
          <w:marLeft w:val="0"/>
          <w:marRight w:val="0"/>
          <w:marTop w:val="150"/>
          <w:marBottom w:val="0"/>
          <w:divBdr>
            <w:top w:val="none" w:sz="0" w:space="0" w:color="auto"/>
            <w:left w:val="none" w:sz="0" w:space="0" w:color="auto"/>
            <w:bottom w:val="none" w:sz="0" w:space="0" w:color="auto"/>
            <w:right w:val="none" w:sz="0" w:space="0" w:color="auto"/>
          </w:divBdr>
          <w:divsChild>
            <w:div w:id="1723673006">
              <w:marLeft w:val="0"/>
              <w:marRight w:val="0"/>
              <w:marTop w:val="0"/>
              <w:marBottom w:val="0"/>
              <w:divBdr>
                <w:top w:val="none" w:sz="0" w:space="0" w:color="auto"/>
                <w:left w:val="none" w:sz="0" w:space="0" w:color="auto"/>
                <w:bottom w:val="none" w:sz="0" w:space="0" w:color="auto"/>
                <w:right w:val="none" w:sz="0" w:space="0" w:color="auto"/>
              </w:divBdr>
              <w:divsChild>
                <w:div w:id="1062676977">
                  <w:marLeft w:val="0"/>
                  <w:marRight w:val="0"/>
                  <w:marTop w:val="0"/>
                  <w:marBottom w:val="0"/>
                  <w:divBdr>
                    <w:top w:val="none" w:sz="0" w:space="0" w:color="auto"/>
                    <w:left w:val="none" w:sz="0" w:space="0" w:color="auto"/>
                    <w:bottom w:val="none" w:sz="0" w:space="0" w:color="auto"/>
                    <w:right w:val="none" w:sz="0" w:space="0" w:color="auto"/>
                  </w:divBdr>
                  <w:divsChild>
                    <w:div w:id="2017611489">
                      <w:marLeft w:val="0"/>
                      <w:marRight w:val="0"/>
                      <w:marTop w:val="0"/>
                      <w:marBottom w:val="300"/>
                      <w:divBdr>
                        <w:top w:val="single" w:sz="6" w:space="15" w:color="E3E3E3"/>
                        <w:left w:val="single" w:sz="6" w:space="15" w:color="E3E3E3"/>
                        <w:bottom w:val="single" w:sz="6" w:space="15" w:color="E3E3E3"/>
                        <w:right w:val="single" w:sz="6" w:space="15" w:color="E3E3E3"/>
                      </w:divBdr>
                    </w:div>
                    <w:div w:id="1066492232">
                      <w:marLeft w:val="0"/>
                      <w:marRight w:val="0"/>
                      <w:marTop w:val="225"/>
                      <w:marBottom w:val="0"/>
                      <w:divBdr>
                        <w:top w:val="none" w:sz="0" w:space="0" w:color="auto"/>
                        <w:left w:val="none" w:sz="0" w:space="0" w:color="auto"/>
                        <w:bottom w:val="none" w:sz="0" w:space="0" w:color="auto"/>
                        <w:right w:val="none" w:sz="0" w:space="0" w:color="auto"/>
                      </w:divBdr>
                    </w:div>
                  </w:divsChild>
                </w:div>
                <w:div w:id="207685565">
                  <w:marLeft w:val="0"/>
                  <w:marRight w:val="540"/>
                  <w:marTop w:val="0"/>
                  <w:marBottom w:val="750"/>
                  <w:divBdr>
                    <w:top w:val="none" w:sz="0" w:space="0" w:color="auto"/>
                    <w:left w:val="none" w:sz="0" w:space="0" w:color="auto"/>
                    <w:bottom w:val="none" w:sz="0" w:space="0" w:color="auto"/>
                    <w:right w:val="none" w:sz="0" w:space="0" w:color="auto"/>
                  </w:divBdr>
                  <w:divsChild>
                    <w:div w:id="236863104">
                      <w:marLeft w:val="0"/>
                      <w:marRight w:val="0"/>
                      <w:marTop w:val="600"/>
                      <w:marBottom w:val="600"/>
                      <w:divBdr>
                        <w:top w:val="single" w:sz="6" w:space="0" w:color="E6E4E3"/>
                        <w:left w:val="single" w:sz="6" w:space="0" w:color="E6E4E3"/>
                        <w:bottom w:val="single" w:sz="6" w:space="0" w:color="E6E4E3"/>
                        <w:right w:val="single" w:sz="6" w:space="0" w:color="E6E4E3"/>
                      </w:divBdr>
                      <w:divsChild>
                        <w:div w:id="1598170208">
                          <w:marLeft w:val="0"/>
                          <w:marRight w:val="0"/>
                          <w:marTop w:val="0"/>
                          <w:marBottom w:val="0"/>
                          <w:divBdr>
                            <w:top w:val="none" w:sz="0" w:space="0" w:color="auto"/>
                            <w:left w:val="none" w:sz="0" w:space="0" w:color="auto"/>
                            <w:bottom w:val="single" w:sz="6" w:space="2" w:color="E9E9E9"/>
                            <w:right w:val="none" w:sz="0" w:space="0" w:color="auto"/>
                          </w:divBdr>
                          <w:divsChild>
                            <w:div w:id="34894365">
                              <w:marLeft w:val="0"/>
                              <w:marRight w:val="0"/>
                              <w:marTop w:val="0"/>
                              <w:marBottom w:val="0"/>
                              <w:divBdr>
                                <w:top w:val="none" w:sz="0" w:space="0" w:color="auto"/>
                                <w:left w:val="none" w:sz="0" w:space="0" w:color="auto"/>
                                <w:bottom w:val="none" w:sz="0" w:space="0" w:color="auto"/>
                                <w:right w:val="none" w:sz="0" w:space="0" w:color="auto"/>
                              </w:divBdr>
                            </w:div>
                          </w:divsChild>
                        </w:div>
                        <w:div w:id="1758089744">
                          <w:marLeft w:val="0"/>
                          <w:marRight w:val="0"/>
                          <w:marTop w:val="0"/>
                          <w:marBottom w:val="0"/>
                          <w:divBdr>
                            <w:top w:val="none" w:sz="0" w:space="0" w:color="auto"/>
                            <w:left w:val="none" w:sz="0" w:space="0" w:color="auto"/>
                            <w:bottom w:val="single" w:sz="6" w:space="2" w:color="E9E9E9"/>
                            <w:right w:val="none" w:sz="0" w:space="0" w:color="auto"/>
                          </w:divBdr>
                          <w:divsChild>
                            <w:div w:id="442648837">
                              <w:marLeft w:val="0"/>
                              <w:marRight w:val="0"/>
                              <w:marTop w:val="0"/>
                              <w:marBottom w:val="0"/>
                              <w:divBdr>
                                <w:top w:val="none" w:sz="0" w:space="0" w:color="auto"/>
                                <w:left w:val="none" w:sz="0" w:space="0" w:color="auto"/>
                                <w:bottom w:val="none" w:sz="0" w:space="0" w:color="auto"/>
                                <w:right w:val="none" w:sz="0" w:space="0" w:color="auto"/>
                              </w:divBdr>
                            </w:div>
                          </w:divsChild>
                        </w:div>
                        <w:div w:id="769395102">
                          <w:marLeft w:val="0"/>
                          <w:marRight w:val="0"/>
                          <w:marTop w:val="0"/>
                          <w:marBottom w:val="0"/>
                          <w:divBdr>
                            <w:top w:val="none" w:sz="0" w:space="0" w:color="auto"/>
                            <w:left w:val="none" w:sz="0" w:space="0" w:color="auto"/>
                            <w:bottom w:val="single" w:sz="6" w:space="2" w:color="E9E9E9"/>
                            <w:right w:val="none" w:sz="0" w:space="0" w:color="auto"/>
                          </w:divBdr>
                          <w:divsChild>
                            <w:div w:id="1078550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078374">
                      <w:marLeft w:val="0"/>
                      <w:marRight w:val="0"/>
                      <w:marTop w:val="0"/>
                      <w:marBottom w:val="0"/>
                      <w:divBdr>
                        <w:top w:val="none" w:sz="0" w:space="0" w:color="auto"/>
                        <w:left w:val="none" w:sz="0" w:space="0" w:color="auto"/>
                        <w:bottom w:val="none" w:sz="0" w:space="0" w:color="auto"/>
                        <w:right w:val="none" w:sz="0" w:space="0" w:color="auto"/>
                      </w:divBdr>
                      <w:divsChild>
                        <w:div w:id="1653563845">
                          <w:marLeft w:val="0"/>
                          <w:marRight w:val="0"/>
                          <w:marTop w:val="0"/>
                          <w:marBottom w:val="0"/>
                          <w:divBdr>
                            <w:top w:val="none" w:sz="0" w:space="0" w:color="auto"/>
                            <w:left w:val="none" w:sz="0" w:space="0" w:color="auto"/>
                            <w:bottom w:val="none" w:sz="0" w:space="0" w:color="auto"/>
                            <w:right w:val="none" w:sz="0" w:space="0" w:color="auto"/>
                          </w:divBdr>
                        </w:div>
                      </w:divsChild>
                    </w:div>
                    <w:div w:id="285434857">
                      <w:marLeft w:val="0"/>
                      <w:marRight w:val="0"/>
                      <w:marTop w:val="0"/>
                      <w:marBottom w:val="0"/>
                      <w:divBdr>
                        <w:top w:val="none" w:sz="0" w:space="0" w:color="auto"/>
                        <w:left w:val="none" w:sz="0" w:space="0" w:color="auto"/>
                        <w:bottom w:val="none" w:sz="0" w:space="0" w:color="auto"/>
                        <w:right w:val="none" w:sz="0" w:space="0" w:color="auto"/>
                      </w:divBdr>
                      <w:divsChild>
                        <w:div w:id="153558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ranchisedirect.com/foodfranchises/mcdonalds-franchise-07030/ufo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s://www.franchisedirect.com/foodfranchises/fastfoodfranchises/76"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1359</Words>
  <Characters>7752</Characters>
  <Application>Microsoft Office Word</Application>
  <DocSecurity>0</DocSecurity>
  <Lines>64</Lines>
  <Paragraphs>18</Paragraphs>
  <ScaleCrop>false</ScaleCrop>
  <Company/>
  <LinksUpToDate>false</LinksUpToDate>
  <CharactersWithSpaces>9093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2</cp:revision>
  <dcterms:created xsi:type="dcterms:W3CDTF">2022-09-23T10:24:00Z</dcterms:created>
  <dcterms:modified xsi:type="dcterms:W3CDTF">2022-09-23T10:24:00Z</dcterms:modified>
</cp:coreProperties>
</file>