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63DFC" w14:textId="08D2A803" w:rsidR="003152F7" w:rsidRDefault="003152F7" w:rsidP="003152F7">
      <w:pPr>
        <w:pStyle w:val="Header"/>
        <w:tabs>
          <w:tab w:val="left" w:pos="720"/>
        </w:tabs>
        <w:jc w:val="right"/>
        <w:rPr>
          <w:rFonts w:ascii="Arial" w:hAnsi="Arial" w:cs="Arial"/>
          <w:b/>
          <w:bCs/>
          <w:sz w:val="28"/>
          <w:szCs w:val="28"/>
        </w:rPr>
      </w:pPr>
      <w:r>
        <w:rPr>
          <w:noProof/>
        </w:rPr>
        <w:drawing>
          <wp:anchor distT="0" distB="0" distL="114300" distR="114300" simplePos="0" relativeHeight="251658240" behindDoc="0" locked="0" layoutInCell="1" allowOverlap="1" wp14:anchorId="74646EA9" wp14:editId="02D38CF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bCs/>
          <w:sz w:val="28"/>
          <w:szCs w:val="28"/>
        </w:rPr>
        <w:t>APPENDIX GA36c</w:t>
      </w:r>
    </w:p>
    <w:p w14:paraId="40B4C3D7" w14:textId="77777777" w:rsidR="003152F7" w:rsidRDefault="003152F7" w:rsidP="003152F7">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152F7" w14:paraId="67BE5752" w14:textId="77777777" w:rsidTr="003152F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1C9DA08" w14:textId="77777777" w:rsidR="003152F7" w:rsidRDefault="003152F7">
            <w:pPr>
              <w:pStyle w:val="Heading4"/>
              <w:rPr>
                <w:rFonts w:ascii="Arial" w:hAnsi="Arial" w:cs="Arial"/>
                <w:b/>
                <w:bCs/>
                <w:lang w:eastAsia="en-US"/>
              </w:rPr>
            </w:pPr>
            <w:r>
              <w:rPr>
                <w:rFonts w:ascii="Arial" w:hAnsi="Arial" w:cs="Arial"/>
                <w:b/>
                <w:bCs/>
                <w:lang w:eastAsia="en-US"/>
              </w:rPr>
              <w:t xml:space="preserve">LEVEL 6 ASSESSMENT SPECIFICATION </w:t>
            </w:r>
          </w:p>
        </w:tc>
      </w:tr>
    </w:tbl>
    <w:p w14:paraId="0C28CCB8" w14:textId="77777777" w:rsidR="003152F7" w:rsidRDefault="003152F7" w:rsidP="003152F7">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152F7" w14:paraId="2899CE8B"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14425FDA" w14:textId="77777777" w:rsidR="003152F7" w:rsidRDefault="003152F7">
            <w:pPr>
              <w:spacing w:before="120" w:after="120"/>
              <w:jc w:val="both"/>
              <w:rPr>
                <w:rFonts w:ascii="Arial" w:hAnsi="Arial" w:cs="Arial"/>
                <w:b/>
                <w:bCs/>
              </w:rPr>
            </w:pPr>
            <w:r>
              <w:rPr>
                <w:rFonts w:ascii="Arial" w:hAnsi="Arial" w:cs="Arial"/>
                <w:b/>
                <w:bC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163D9BA" w14:textId="3DA3E1C5" w:rsidR="003152F7" w:rsidRDefault="003152F7">
            <w:pPr>
              <w:spacing w:before="120" w:after="120"/>
              <w:jc w:val="both"/>
              <w:rPr>
                <w:rFonts w:ascii="Arial" w:hAnsi="Arial" w:cs="Arial"/>
                <w:b/>
              </w:rPr>
            </w:pPr>
            <w:r>
              <w:rPr>
                <w:rFonts w:ascii="Arial" w:hAnsi="Arial" w:cs="Arial"/>
                <w:b/>
              </w:rPr>
              <w:t>Paul Matthew Bashford</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EA4A2DC" w14:textId="77777777" w:rsidR="003152F7" w:rsidRDefault="003152F7">
            <w:pPr>
              <w:spacing w:before="120" w:after="120"/>
              <w:jc w:val="both"/>
              <w:rPr>
                <w:rFonts w:ascii="Arial" w:hAnsi="Arial" w:cs="Arial"/>
                <w:b/>
                <w:bCs/>
              </w:rPr>
            </w:pPr>
            <w:r>
              <w:rPr>
                <w:rFonts w:ascii="Arial" w:hAnsi="Arial" w:cs="Arial"/>
                <w:b/>
                <w:bCs/>
              </w:rPr>
              <w:t>Student ID number:</w:t>
            </w:r>
          </w:p>
        </w:tc>
        <w:tc>
          <w:tcPr>
            <w:tcW w:w="2268" w:type="dxa"/>
            <w:tcBorders>
              <w:top w:val="single" w:sz="4" w:space="0" w:color="auto"/>
              <w:left w:val="single" w:sz="4" w:space="0" w:color="auto"/>
              <w:bottom w:val="single" w:sz="4" w:space="0" w:color="auto"/>
              <w:right w:val="single" w:sz="4" w:space="0" w:color="auto"/>
            </w:tcBorders>
          </w:tcPr>
          <w:p w14:paraId="0D08E084" w14:textId="2578F7B3" w:rsidR="003152F7" w:rsidRDefault="003152F7">
            <w:pPr>
              <w:spacing w:before="120" w:after="120"/>
              <w:jc w:val="both"/>
              <w:rPr>
                <w:rFonts w:ascii="Arial" w:hAnsi="Arial" w:cs="Arial"/>
                <w:b/>
              </w:rPr>
            </w:pPr>
            <w:r>
              <w:rPr>
                <w:rFonts w:ascii="Arial" w:hAnsi="Arial" w:cs="Arial"/>
                <w:b/>
              </w:rPr>
              <w:t>1302079</w:t>
            </w:r>
            <w:bookmarkStart w:id="0" w:name="_GoBack"/>
            <w:bookmarkEnd w:id="0"/>
          </w:p>
        </w:tc>
      </w:tr>
      <w:tr w:rsidR="003152F7" w14:paraId="210091E0"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2F9572E1" w14:textId="77777777" w:rsidR="003152F7" w:rsidRDefault="003152F7">
            <w:pPr>
              <w:spacing w:before="120" w:after="120"/>
              <w:jc w:val="both"/>
              <w:rPr>
                <w:rFonts w:ascii="Arial" w:hAnsi="Arial" w:cs="Arial"/>
                <w:b/>
                <w:bCs/>
              </w:rPr>
            </w:pPr>
            <w:r>
              <w:rPr>
                <w:rFonts w:ascii="Arial" w:hAnsi="Arial" w:cs="Arial"/>
                <w:b/>
                <w:bC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364E70D" w14:textId="77777777" w:rsidR="003152F7" w:rsidRDefault="003152F7">
            <w:pPr>
              <w:spacing w:before="120" w:after="120"/>
              <w:jc w:val="both"/>
              <w:rPr>
                <w:rFonts w:ascii="Arial" w:hAnsi="Arial" w:cs="Arial"/>
                <w:b/>
              </w:rPr>
            </w:pPr>
            <w:r>
              <w:rPr>
                <w:rFonts w:ascii="Arial" w:hAnsi="Arial" w:cs="Arial"/>
                <w:b/>
              </w:rPr>
              <w:t>Primary</w:t>
            </w:r>
          </w:p>
        </w:tc>
      </w:tr>
      <w:tr w:rsidR="003152F7" w14:paraId="1B57BB6C"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2DE90209" w14:textId="77777777" w:rsidR="003152F7" w:rsidRDefault="003152F7">
            <w:pPr>
              <w:spacing w:before="120" w:after="120"/>
              <w:jc w:val="both"/>
              <w:rPr>
                <w:rFonts w:ascii="Arial" w:hAnsi="Arial" w:cs="Arial"/>
                <w:b/>
                <w:bCs/>
              </w:rPr>
            </w:pPr>
            <w:r>
              <w:rPr>
                <w:rFonts w:ascii="Arial" w:hAnsi="Arial" w:cs="Arial"/>
                <w:b/>
                <w:bC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EFFEDEE" w14:textId="77777777" w:rsidR="003152F7" w:rsidRDefault="003152F7">
            <w:pPr>
              <w:spacing w:before="120" w:after="120"/>
              <w:jc w:val="both"/>
              <w:rPr>
                <w:rFonts w:ascii="Arial" w:hAnsi="Arial" w:cs="Arial"/>
                <w:b/>
              </w:rPr>
            </w:pPr>
            <w:r>
              <w:rPr>
                <w:rFonts w:ascii="Arial" w:hAnsi="Arial" w:cs="Arial"/>
                <w:b/>
              </w:rPr>
              <w:t>Principles of Pedagogy</w:t>
            </w:r>
          </w:p>
        </w:tc>
      </w:tr>
      <w:tr w:rsidR="003152F7" w14:paraId="2CE831AE"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0FBDF0A9" w14:textId="77777777" w:rsidR="003152F7" w:rsidRDefault="003152F7">
            <w:pPr>
              <w:spacing w:before="120" w:after="120"/>
              <w:jc w:val="both"/>
              <w:rPr>
                <w:rFonts w:ascii="Arial" w:hAnsi="Arial" w:cs="Arial"/>
                <w:b/>
                <w:bCs/>
              </w:rPr>
            </w:pPr>
            <w:r>
              <w:rPr>
                <w:rFonts w:ascii="Arial" w:hAnsi="Arial" w:cs="Arial"/>
                <w:b/>
                <w:bC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04C62F62" w14:textId="77777777" w:rsidR="003152F7" w:rsidRDefault="003152F7">
            <w:pPr>
              <w:spacing w:before="120" w:after="120"/>
              <w:jc w:val="both"/>
              <w:rPr>
                <w:rFonts w:ascii="Arial" w:hAnsi="Arial" w:cs="Arial"/>
                <w:b/>
              </w:rPr>
            </w:pPr>
            <w:r>
              <w:rPr>
                <w:rFonts w:ascii="Arial" w:hAnsi="Arial" w:cs="Arial"/>
                <w:b/>
              </w:rPr>
              <w:t>M6X01438/C</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14679E" w14:textId="77777777" w:rsidR="003152F7" w:rsidRDefault="003152F7">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23D7E7E6" w14:textId="77777777" w:rsidR="003152F7" w:rsidRDefault="003152F7">
            <w:pPr>
              <w:spacing w:before="120" w:after="120"/>
              <w:jc w:val="both"/>
              <w:rPr>
                <w:rFonts w:ascii="Arial" w:hAnsi="Arial" w:cs="Arial"/>
                <w:b/>
              </w:rPr>
            </w:pPr>
            <w:r>
              <w:rPr>
                <w:rFonts w:ascii="Arial" w:hAnsi="Arial" w:cs="Arial"/>
                <w:b/>
              </w:rPr>
              <w:t>100%</w:t>
            </w:r>
          </w:p>
        </w:tc>
      </w:tr>
      <w:tr w:rsidR="003152F7" w14:paraId="3D3F8AC2"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62C6B2DB" w14:textId="77777777" w:rsidR="003152F7" w:rsidRDefault="003152F7">
            <w:pPr>
              <w:spacing w:before="120" w:after="120"/>
              <w:jc w:val="both"/>
              <w:rPr>
                <w:rFonts w:ascii="Arial" w:hAnsi="Arial" w:cs="Arial"/>
                <w:b/>
                <w:bCs/>
              </w:rPr>
            </w:pPr>
            <w:r>
              <w:rPr>
                <w:rFonts w:ascii="Arial" w:hAnsi="Arial" w:cs="Arial"/>
                <w:b/>
                <w:bCs/>
              </w:rPr>
              <w:t>Lecturer:</w:t>
            </w:r>
          </w:p>
        </w:tc>
        <w:tc>
          <w:tcPr>
            <w:tcW w:w="3293" w:type="dxa"/>
            <w:tcBorders>
              <w:top w:val="single" w:sz="4" w:space="0" w:color="auto"/>
              <w:left w:val="single" w:sz="4" w:space="0" w:color="auto"/>
              <w:bottom w:val="single" w:sz="4" w:space="0" w:color="auto"/>
              <w:right w:val="single" w:sz="4" w:space="0" w:color="auto"/>
            </w:tcBorders>
            <w:hideMark/>
          </w:tcPr>
          <w:p w14:paraId="7BC862CE" w14:textId="77777777" w:rsidR="003152F7" w:rsidRDefault="003152F7">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1838494" w14:textId="77777777" w:rsidR="003152F7" w:rsidRDefault="003152F7">
            <w:pPr>
              <w:spacing w:before="120" w:after="120"/>
              <w:jc w:val="both"/>
              <w:rPr>
                <w:rFonts w:ascii="Arial" w:hAnsi="Arial" w:cs="Arial"/>
                <w:b/>
                <w:bCs/>
              </w:rPr>
            </w:pPr>
            <w:r>
              <w:rPr>
                <w:rFonts w:ascii="Arial" w:hAnsi="Arial" w:cs="Arial"/>
                <w:b/>
                <w:bC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3D81F277" w14:textId="77777777" w:rsidR="003152F7" w:rsidRDefault="003152F7">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3152F7" w14:paraId="5D95F789"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49BB11E9" w14:textId="77777777" w:rsidR="003152F7" w:rsidRDefault="003152F7">
            <w:pPr>
              <w:spacing w:before="120" w:after="120"/>
              <w:jc w:val="both"/>
              <w:rPr>
                <w:rFonts w:ascii="Arial" w:hAnsi="Arial" w:cs="Arial"/>
                <w:b/>
                <w:bCs/>
              </w:rPr>
            </w:pPr>
            <w:r>
              <w:rPr>
                <w:rFonts w:ascii="Arial" w:hAnsi="Arial" w:cs="Arial"/>
                <w:b/>
                <w:bC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8AB04E4" w14:textId="77777777" w:rsidR="003152F7" w:rsidRDefault="003152F7">
            <w:pPr>
              <w:spacing w:before="120" w:after="120"/>
              <w:jc w:val="both"/>
              <w:rPr>
                <w:rFonts w:ascii="Arial" w:hAnsi="Arial" w:cs="Arial"/>
                <w:b/>
              </w:rPr>
            </w:pPr>
            <w:r>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tcBorders>
              <w:top w:val="single" w:sz="4" w:space="0" w:color="auto"/>
              <w:left w:val="single" w:sz="4" w:space="0" w:color="auto"/>
              <w:bottom w:val="single" w:sz="4" w:space="0" w:color="auto"/>
              <w:right w:val="single" w:sz="4" w:space="0" w:color="auto"/>
            </w:tcBorders>
            <w:hideMark/>
          </w:tcPr>
          <w:p w14:paraId="43E77239" w14:textId="77777777" w:rsidR="003152F7" w:rsidRDefault="003152F7">
            <w:pPr>
              <w:spacing w:before="120" w:after="120"/>
              <w:jc w:val="both"/>
              <w:rPr>
                <w:rFonts w:ascii="Arial" w:hAnsi="Arial" w:cs="Arial"/>
                <w:b/>
                <w:bCs/>
              </w:rPr>
            </w:pPr>
            <w:r>
              <w:rPr>
                <w:rFonts w:ascii="Arial" w:hAnsi="Arial" w:cs="Arial"/>
                <w:b/>
                <w:bC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115D4EB" w14:textId="77777777" w:rsidR="003152F7" w:rsidRDefault="003152F7">
            <w:pPr>
              <w:spacing w:before="120" w:after="120"/>
              <w:jc w:val="both"/>
              <w:rPr>
                <w:rFonts w:ascii="Arial" w:hAnsi="Arial" w:cs="Arial"/>
                <w:b/>
              </w:rPr>
            </w:pPr>
            <w:r>
              <w:rPr>
                <w:rFonts w:ascii="Arial" w:hAnsi="Arial" w:cs="Arial"/>
                <w:b/>
              </w:rPr>
              <w:t>5,000 or equivalent.</w:t>
            </w:r>
          </w:p>
        </w:tc>
      </w:tr>
      <w:tr w:rsidR="003152F7" w14:paraId="69ABBD80"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5D463D80" w14:textId="77777777" w:rsidR="003152F7" w:rsidRDefault="003152F7">
            <w:pPr>
              <w:spacing w:before="120" w:after="120"/>
              <w:jc w:val="both"/>
              <w:rPr>
                <w:rFonts w:ascii="Arial" w:hAnsi="Arial" w:cs="Arial"/>
                <w:b/>
                <w:bCs/>
              </w:rPr>
            </w:pPr>
            <w:r>
              <w:rPr>
                <w:rFonts w:ascii="Arial" w:hAnsi="Arial" w:cs="Arial"/>
                <w:b/>
                <w:bCs/>
              </w:rPr>
              <w:t>Submission deadline:</w:t>
            </w:r>
          </w:p>
        </w:tc>
        <w:tc>
          <w:tcPr>
            <w:tcW w:w="3293" w:type="dxa"/>
            <w:tcBorders>
              <w:top w:val="single" w:sz="4" w:space="0" w:color="auto"/>
              <w:left w:val="single" w:sz="4" w:space="0" w:color="auto"/>
              <w:bottom w:val="single" w:sz="4" w:space="0" w:color="auto"/>
              <w:right w:val="single" w:sz="4" w:space="0" w:color="auto"/>
            </w:tcBorders>
          </w:tcPr>
          <w:p w14:paraId="6AB24591" w14:textId="77777777" w:rsidR="003152F7" w:rsidRDefault="003152F7">
            <w:pPr>
              <w:spacing w:before="120" w:after="120"/>
              <w:jc w:val="both"/>
              <w:rPr>
                <w:rFonts w:ascii="Arial" w:hAnsi="Arial" w:cs="Arial"/>
                <w:b/>
              </w:rPr>
            </w:pPr>
            <w:r>
              <w:rPr>
                <w:rFonts w:ascii="Arial" w:hAnsi="Arial" w:cs="Arial"/>
                <w:b/>
              </w:rPr>
              <w:t>17/10/18 (23.59)</w:t>
            </w:r>
          </w:p>
          <w:p w14:paraId="5423C55C" w14:textId="77777777" w:rsidR="003152F7" w:rsidRDefault="003152F7">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hideMark/>
          </w:tcPr>
          <w:p w14:paraId="7B5733A8" w14:textId="77777777" w:rsidR="003152F7" w:rsidRDefault="003152F7">
            <w:pPr>
              <w:spacing w:before="120" w:after="120"/>
              <w:jc w:val="both"/>
              <w:rPr>
                <w:rFonts w:ascii="Arial" w:hAnsi="Arial" w:cs="Arial"/>
                <w:b/>
                <w:bCs/>
              </w:rPr>
            </w:pPr>
            <w:r>
              <w:rPr>
                <w:rFonts w:ascii="Arial" w:hAnsi="Arial" w:cs="Arial"/>
                <w:b/>
                <w:bC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B65C10C" w14:textId="77777777" w:rsidR="003152F7" w:rsidRDefault="003152F7">
            <w:pPr>
              <w:spacing w:before="120" w:after="120"/>
              <w:jc w:val="both"/>
              <w:rPr>
                <w:rFonts w:ascii="Arial" w:hAnsi="Arial" w:cs="Arial"/>
                <w:b/>
              </w:rPr>
            </w:pPr>
            <w:r>
              <w:rPr>
                <w:rFonts w:ascii="Arial" w:hAnsi="Arial" w:cs="Arial"/>
                <w:b/>
              </w:rPr>
              <w:t>14/11/18</w:t>
            </w:r>
          </w:p>
        </w:tc>
      </w:tr>
      <w:tr w:rsidR="003152F7" w14:paraId="644DC339"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7C91D706" w14:textId="77777777" w:rsidR="003152F7" w:rsidRDefault="003152F7">
            <w:pPr>
              <w:spacing w:before="120" w:after="120"/>
              <w:jc w:val="both"/>
              <w:rPr>
                <w:rFonts w:ascii="Arial" w:hAnsi="Arial" w:cs="Arial"/>
                <w:b/>
                <w:bCs/>
              </w:rPr>
            </w:pPr>
            <w:r>
              <w:rPr>
                <w:rFonts w:ascii="Arial" w:hAnsi="Arial" w:cs="Arial"/>
                <w:b/>
                <w:bC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1F3073B" w14:textId="77777777" w:rsidR="003152F7" w:rsidRDefault="003152F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691442" w14:textId="77777777" w:rsidR="003152F7" w:rsidRDefault="003152F7">
            <w:pPr>
              <w:spacing w:before="120" w:after="120"/>
              <w:jc w:val="both"/>
              <w:rPr>
                <w:rFonts w:ascii="Arial" w:hAnsi="Arial" w:cs="Arial"/>
                <w:b/>
                <w:bCs/>
              </w:rPr>
            </w:pPr>
            <w:r>
              <w:rPr>
                <w:rFonts w:ascii="Arial" w:hAnsi="Arial" w:cs="Arial"/>
                <w:b/>
                <w:bCs/>
              </w:rPr>
              <w:t xml:space="preserve">Alternative submission method (if applicable): </w:t>
            </w:r>
          </w:p>
          <w:p w14:paraId="513B202A" w14:textId="77777777" w:rsidR="003152F7" w:rsidRDefault="003152F7">
            <w:pPr>
              <w:spacing w:before="120" w:after="120"/>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3152F7" w14:paraId="5AD4C805" w14:textId="77777777" w:rsidTr="003152F7">
        <w:tc>
          <w:tcPr>
            <w:tcW w:w="2093" w:type="dxa"/>
            <w:tcBorders>
              <w:top w:val="single" w:sz="4" w:space="0" w:color="auto"/>
              <w:left w:val="single" w:sz="4" w:space="0" w:color="auto"/>
              <w:bottom w:val="single" w:sz="4" w:space="0" w:color="auto"/>
              <w:right w:val="single" w:sz="4" w:space="0" w:color="auto"/>
            </w:tcBorders>
            <w:hideMark/>
          </w:tcPr>
          <w:p w14:paraId="164744FD" w14:textId="77777777" w:rsidR="003152F7" w:rsidRDefault="003152F7">
            <w:pPr>
              <w:spacing w:before="120" w:after="120"/>
              <w:rPr>
                <w:rFonts w:ascii="Arial" w:hAnsi="Arial" w:cs="Arial"/>
                <w:b/>
                <w:bCs/>
              </w:rPr>
            </w:pPr>
            <w:r>
              <w:rPr>
                <w:rFonts w:ascii="Arial" w:hAnsi="Arial" w:cs="Arial"/>
                <w:b/>
                <w:bC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72E6B3C" w14:textId="77777777" w:rsidR="003152F7" w:rsidRDefault="003152F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D50973" w14:textId="77777777" w:rsidR="003152F7" w:rsidRDefault="003152F7" w:rsidP="003152F7">
      <w:pPr>
        <w:rPr>
          <w:rFonts w:ascii="Arial" w:hAnsi="Arial" w:cs="Arial"/>
          <w:b/>
          <w:sz w:val="20"/>
          <w:szCs w:val="20"/>
          <w:lang w:eastAsia="en-GB"/>
        </w:rPr>
      </w:pPr>
    </w:p>
    <w:p w14:paraId="422F3878" w14:textId="7E95F4F3" w:rsidR="16F106A5" w:rsidRPr="00666BF0" w:rsidRDefault="16F106A5" w:rsidP="00666BF0">
      <w:pPr>
        <w:spacing w:line="360" w:lineRule="auto"/>
        <w:rPr>
          <w:rFonts w:ascii="Arial" w:eastAsia="Arial" w:hAnsi="Arial" w:cs="Arial"/>
          <w:sz w:val="24"/>
          <w:szCs w:val="24"/>
        </w:rPr>
      </w:pPr>
      <w:r w:rsidRPr="00666BF0">
        <w:rPr>
          <w:rFonts w:ascii="Arial" w:eastAsia="Arial" w:hAnsi="Arial" w:cs="Arial"/>
          <w:sz w:val="24"/>
          <w:szCs w:val="24"/>
        </w:rPr>
        <w:t>This assignment will reflect on specific learning event and its underlying pedagogical principles. This assignment will reflect upon which theories had been used to construct and implement the learning environment within which the learning event took place.</w:t>
      </w:r>
    </w:p>
    <w:p w14:paraId="745CBE93" w14:textId="02726E1A"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 xml:space="preserve">The observations that this assignment is based upon were carried out of the space of the timetabled bridging days. It is noted here that certain ethical considerations have been included within this assignment. As such no information that could be used to identify the individual children involved will be included. As such neither the school/s involved, nor any individual children, will be referred to by name. All observations conducted for the purpose of this assignment follow the universities ethical guidelines and took place on specific timetabled bridging days with the full awareness of the school and university staff. </w:t>
      </w:r>
    </w:p>
    <w:p w14:paraId="44F6B026" w14:textId="2C90AF72"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 xml:space="preserve">These bridging days were structured as such: Arrival at the bridging school was, for all days, 8.40am. The days themselves were set up so that we were able to observe several different classes and settings within the school. The first day was spent following the schools two year 4 classes which, although on principle were similar, were somewhat different from each other. These differences can be accounted to various reasons not least of which was the individual nature of the pupil teacher relationship. Whereas one class had an older, more experienced teacher, the other was taught by an NQT. On this first day I was able to observe one of these classes with the class teacher absent on PPA and the results of these observations will be discussed later. </w:t>
      </w:r>
    </w:p>
    <w:p w14:paraId="2FE230A4" w14:textId="1EA7ED4B"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 xml:space="preserve">The second of these bridging days is where the main focus of this assignment will be. The first half of the day was given to observing one of the school’s year 1 classes this is when and where the specific learning event that this assignment will focus on took place. The second half of the day was spent conducting observations within the school’s nursery setting. </w:t>
      </w:r>
    </w:p>
    <w:p w14:paraId="1268488D" w14:textId="2BC808AB"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In order to place the learning event to be discussed within context it is necessary to give a brief overview of how the days learning up until this event took place. The school day for year 1 started with the arrival of the children into the classroom. Upon arrival the children quickly and efficiently found their way to designated learning spots which had been selected by the teacher to facilitate an effective learning environment. Once all the children had arrived within the classroom, they went through a greeting drill that had obviously been learnt by wrote, this included singing and the assignment of two children the title of 'helpwr heddiw' for the day.</w:t>
      </w:r>
      <w:r w:rsidR="00D82547">
        <w:rPr>
          <w:rFonts w:ascii="Arial" w:eastAsia="Arial" w:hAnsi="Arial" w:cs="Arial"/>
          <w:sz w:val="24"/>
          <w:szCs w:val="24"/>
        </w:rPr>
        <w:t xml:space="preserve"> This is part of behaviourist theory and fits in with Skinners (1938) Operant Conditioning theory.</w:t>
      </w:r>
    </w:p>
    <w:p w14:paraId="11C9F5EB" w14:textId="60A3BBF4"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 xml:space="preserve">The teacher used the opportunity of the children being together on the carpet to recap and reinforce previous learning through the use of directed questioning. The majority of this questioning required children to volunteer answers, but there were occasions when the teacher </w:t>
      </w:r>
      <w:r w:rsidRPr="00666BF0">
        <w:rPr>
          <w:rFonts w:ascii="Arial" w:eastAsia="Arial" w:hAnsi="Arial" w:cs="Arial"/>
          <w:sz w:val="24"/>
          <w:szCs w:val="24"/>
        </w:rPr>
        <w:lastRenderedPageBreak/>
        <w:t xml:space="preserve">would nominate a particular pupil to answer. After directed questioning with regards to numeracy the focus moved on to phonics. Once again this was reinforcement of previous learning this time through the use of singing and physical actions. </w:t>
      </w:r>
    </w:p>
    <w:p w14:paraId="555DED23" w14:textId="5C6925E8" w:rsidR="16F106A5" w:rsidRPr="00666BF0" w:rsidRDefault="16F106A5" w:rsidP="00666BF0">
      <w:pPr>
        <w:spacing w:line="360" w:lineRule="auto"/>
        <w:rPr>
          <w:rFonts w:ascii="Arial" w:hAnsi="Arial" w:cs="Arial"/>
          <w:sz w:val="24"/>
          <w:szCs w:val="24"/>
        </w:rPr>
      </w:pPr>
      <w:r w:rsidRPr="00666BF0">
        <w:rPr>
          <w:rFonts w:ascii="Arial" w:eastAsia="Arial" w:hAnsi="Arial" w:cs="Arial"/>
          <w:sz w:val="24"/>
          <w:szCs w:val="24"/>
        </w:rPr>
        <w:t>Carpet time ended by the children linking their learning to the topic of the term 'All About Me' and thus building on previous learning</w:t>
      </w:r>
      <w:r w:rsidR="00F01AE7">
        <w:rPr>
          <w:rFonts w:ascii="Arial" w:eastAsia="Arial" w:hAnsi="Arial" w:cs="Arial"/>
          <w:sz w:val="24"/>
          <w:szCs w:val="24"/>
        </w:rPr>
        <w:t xml:space="preserve"> linking to Piaget’s (1936) Cognitive Development theory in that all children base their learning by building on previous knowledge. </w:t>
      </w:r>
      <w:r w:rsidRPr="00666BF0">
        <w:rPr>
          <w:rFonts w:ascii="Arial" w:eastAsia="Arial" w:hAnsi="Arial" w:cs="Arial"/>
          <w:sz w:val="24"/>
          <w:szCs w:val="24"/>
        </w:rPr>
        <w:t>not all of the children were able to confidently answer as to what that topic was, despite three weeks of study, this shows the importance of repetition to reinforce learning. Carpet time ended with the pupils being given notice of the topic that they would be covering the next week</w:t>
      </w:r>
      <w:r w:rsidR="00F01AE7">
        <w:rPr>
          <w:rFonts w:ascii="Arial" w:eastAsia="Arial" w:hAnsi="Arial" w:cs="Arial"/>
          <w:sz w:val="24"/>
          <w:szCs w:val="24"/>
        </w:rPr>
        <w:t xml:space="preserve">. </w:t>
      </w:r>
      <w:r w:rsidRPr="00666BF0">
        <w:rPr>
          <w:rFonts w:ascii="Arial" w:eastAsia="Arial" w:hAnsi="Arial" w:cs="Arial"/>
          <w:sz w:val="24"/>
          <w:szCs w:val="24"/>
        </w:rPr>
        <w:t xml:space="preserve">Throughout the whole of the session of carpet time children were given praise for effort even where they did not reach the correct answer. </w:t>
      </w:r>
    </w:p>
    <w:p w14:paraId="4EB2919F" w14:textId="5DF459CB" w:rsidR="16F106A5" w:rsidRPr="00666BF0" w:rsidRDefault="16F106A5" w:rsidP="00666BF0">
      <w:pPr>
        <w:spacing w:line="360" w:lineRule="auto"/>
        <w:rPr>
          <w:rFonts w:ascii="Arial" w:eastAsia="Arial" w:hAnsi="Arial" w:cs="Arial"/>
          <w:sz w:val="24"/>
          <w:szCs w:val="24"/>
        </w:rPr>
      </w:pPr>
      <w:r w:rsidRPr="00666BF0">
        <w:rPr>
          <w:rFonts w:ascii="Arial" w:eastAsia="Arial" w:hAnsi="Arial" w:cs="Arial"/>
          <w:sz w:val="24"/>
          <w:szCs w:val="24"/>
        </w:rPr>
        <w:t xml:space="preserve">After carpet time ended the children were taken outside to the forest school area where our specific learning event took place. The task the children had been given was to gather natural materials from around the woodlands and to use the materials to construct a portrait of their partners face. During this time the children's learning was scaffolded by the teaching staff guiding giving advice as to what materials might be useful for what but for the most part the children were encouraged to use their own creativity to complete the task with as little adult support as possible. Once all of the children had completed their portrait the groups were asked to look at their own work, and then another pairs work, whilst thinking about what they liked about it and what they would change about it? </w:t>
      </w:r>
    </w:p>
    <w:p w14:paraId="4F582B2C" w14:textId="5C73904A" w:rsidR="001A5E59" w:rsidRPr="00666BF0" w:rsidRDefault="008E2EE9" w:rsidP="00666BF0">
      <w:pPr>
        <w:spacing w:line="360" w:lineRule="auto"/>
        <w:rPr>
          <w:rFonts w:ascii="Arial" w:hAnsi="Arial" w:cs="Arial"/>
          <w:sz w:val="24"/>
          <w:szCs w:val="24"/>
        </w:rPr>
      </w:pPr>
      <w:r w:rsidRPr="00666BF0">
        <w:rPr>
          <w:rFonts w:ascii="Arial" w:hAnsi="Arial" w:cs="Arial"/>
          <w:sz w:val="24"/>
          <w:szCs w:val="24"/>
        </w:rPr>
        <w:t xml:space="preserve">This learning event was chosen because it showed several key concepts within educational practice. </w:t>
      </w:r>
      <w:r w:rsidR="001A5E59" w:rsidRPr="00666BF0">
        <w:rPr>
          <w:rFonts w:ascii="Arial" w:hAnsi="Arial" w:cs="Arial"/>
          <w:sz w:val="24"/>
          <w:szCs w:val="24"/>
        </w:rPr>
        <w:t xml:space="preserve">The way the task had been set up showed a social constructivist view point as the task built on the children’s previous experiences and understanding as well as required them to work together as a cohesive social unit in order to complete the task. This event was also selected as it showed examples of dialogic teaching and metacognition. It also emphasised the development of creativity and problem-solving skills. </w:t>
      </w:r>
    </w:p>
    <w:p w14:paraId="33D70FB7" w14:textId="77777777" w:rsidR="003F0EAF" w:rsidRPr="00666BF0" w:rsidRDefault="001A5E59" w:rsidP="00666BF0">
      <w:pPr>
        <w:spacing w:line="360" w:lineRule="auto"/>
        <w:rPr>
          <w:rFonts w:ascii="Arial" w:hAnsi="Arial" w:cs="Arial"/>
          <w:sz w:val="24"/>
          <w:szCs w:val="24"/>
        </w:rPr>
      </w:pPr>
      <w:r w:rsidRPr="00666BF0">
        <w:rPr>
          <w:rFonts w:ascii="Arial" w:hAnsi="Arial" w:cs="Arial"/>
          <w:sz w:val="24"/>
          <w:szCs w:val="24"/>
        </w:rPr>
        <w:t xml:space="preserve">Due to the nature of lesson involved, in that it allowed the children to think and work independently with minimal guidance from teaching staff, the main method of observation chosen was passive visual observation and note-taking. This was decided upon in order to prevent the observations from unduly influencing the children’s ideas and creativity. As such I watched </w:t>
      </w:r>
      <w:r w:rsidR="003F0EAF" w:rsidRPr="00666BF0">
        <w:rPr>
          <w:rFonts w:ascii="Arial" w:hAnsi="Arial" w:cs="Arial"/>
          <w:sz w:val="24"/>
          <w:szCs w:val="24"/>
        </w:rPr>
        <w:t>unobtrusively</w:t>
      </w:r>
      <w:r w:rsidRPr="00666BF0">
        <w:rPr>
          <w:rFonts w:ascii="Arial" w:hAnsi="Arial" w:cs="Arial"/>
          <w:sz w:val="24"/>
          <w:szCs w:val="24"/>
        </w:rPr>
        <w:t xml:space="preserve">, as the children constructed their peer’s face from natural </w:t>
      </w:r>
      <w:r w:rsidR="003F0EAF" w:rsidRPr="00666BF0">
        <w:rPr>
          <w:rFonts w:ascii="Arial" w:hAnsi="Arial" w:cs="Arial"/>
          <w:sz w:val="24"/>
          <w:szCs w:val="24"/>
        </w:rPr>
        <w:t>materials and</w:t>
      </w:r>
      <w:r w:rsidRPr="00666BF0">
        <w:rPr>
          <w:rFonts w:ascii="Arial" w:hAnsi="Arial" w:cs="Arial"/>
          <w:sz w:val="24"/>
          <w:szCs w:val="24"/>
        </w:rPr>
        <w:t xml:space="preserve"> made hand written notes.</w:t>
      </w:r>
      <w:r w:rsidR="003F0EAF" w:rsidRPr="00666BF0">
        <w:rPr>
          <w:rFonts w:ascii="Arial" w:hAnsi="Arial" w:cs="Arial"/>
          <w:sz w:val="24"/>
          <w:szCs w:val="24"/>
        </w:rPr>
        <w:t xml:space="preserve"> After the children had completed the task I asked some children at random as to what a certain material they had used represented but was careful to not do so in such a way as would influence their self-assessment of their work. It was only after the children had completed their assessments that a more formal plenary session was conducted with the whole class going over what they had learnt, what the class thought had gone well and what they had found difficult. </w:t>
      </w:r>
    </w:p>
    <w:p w14:paraId="0F84B427" w14:textId="77777777" w:rsidR="009E2648" w:rsidRDefault="003F0EAF" w:rsidP="00666BF0">
      <w:pPr>
        <w:spacing w:line="360" w:lineRule="auto"/>
        <w:rPr>
          <w:rFonts w:ascii="Arial" w:eastAsia="Arial" w:hAnsi="Arial" w:cs="Arial"/>
          <w:sz w:val="24"/>
          <w:szCs w:val="24"/>
        </w:rPr>
      </w:pPr>
      <w:r w:rsidRPr="00666BF0">
        <w:rPr>
          <w:rFonts w:ascii="Arial" w:hAnsi="Arial" w:cs="Arial"/>
          <w:sz w:val="24"/>
          <w:szCs w:val="24"/>
        </w:rPr>
        <w:lastRenderedPageBreak/>
        <w:t xml:space="preserve">There obviously also some disadvantages to the observation method chosen. By observing from a distance rather than interacting with the task myself I was also distanced from the activity and likely the children’s thought processes as well. On the other </w:t>
      </w:r>
      <w:r w:rsidR="003007F1" w:rsidRPr="00666BF0">
        <w:rPr>
          <w:rFonts w:ascii="Arial" w:hAnsi="Arial" w:cs="Arial"/>
          <w:sz w:val="24"/>
          <w:szCs w:val="24"/>
        </w:rPr>
        <w:t>hand,</w:t>
      </w:r>
      <w:r w:rsidRPr="00666BF0">
        <w:rPr>
          <w:rFonts w:ascii="Arial" w:hAnsi="Arial" w:cs="Arial"/>
          <w:sz w:val="24"/>
          <w:szCs w:val="24"/>
        </w:rPr>
        <w:t xml:space="preserve"> by maintaining that distance I was able to observe a larger sample of children and was far less likely to miss something important happening with one child whilst engaged in conversation with another. </w:t>
      </w:r>
      <w:r w:rsidR="003007F1" w:rsidRPr="00666BF0">
        <w:rPr>
          <w:rFonts w:ascii="Arial" w:hAnsi="Arial" w:cs="Arial"/>
          <w:sz w:val="24"/>
          <w:szCs w:val="24"/>
        </w:rPr>
        <w:t>It is also very likely that as there was someone watching the class, which the children were aware of, that their behaviour would have been affected by the simple fact of being observed. I considered that this would have been to a lesser degree than would have been so with a closer form of observation with this task. The method of recording used was hand written notes and while this allows for recording of events as they happen it is a slow process and as such when reviewing the short hand form notes that were written after the fact there were occasions when I wondered ‘for what reason did I write that down?’</w:t>
      </w:r>
      <w:r w:rsidR="00666BF0" w:rsidRPr="00666BF0">
        <w:rPr>
          <w:rFonts w:ascii="Arial" w:eastAsia="Arial" w:hAnsi="Arial" w:cs="Arial"/>
          <w:sz w:val="24"/>
          <w:szCs w:val="24"/>
        </w:rPr>
        <w:t>.</w:t>
      </w:r>
    </w:p>
    <w:p w14:paraId="79DCB88B" w14:textId="3D375A01" w:rsidR="00666BF0" w:rsidRPr="00666BF0" w:rsidRDefault="00666BF0" w:rsidP="00666BF0">
      <w:pPr>
        <w:spacing w:line="360" w:lineRule="auto"/>
        <w:rPr>
          <w:rFonts w:ascii="Arial" w:hAnsi="Arial" w:cs="Arial"/>
          <w:sz w:val="24"/>
          <w:szCs w:val="24"/>
        </w:rPr>
      </w:pPr>
      <w:r w:rsidRPr="00666BF0">
        <w:rPr>
          <w:rFonts w:ascii="Arial" w:hAnsi="Arial" w:cs="Arial"/>
          <w:sz w:val="24"/>
          <w:szCs w:val="24"/>
        </w:rPr>
        <w:br/>
      </w:r>
      <w:r w:rsidR="00FD7B79">
        <w:rPr>
          <w:rFonts w:ascii="Arial" w:hAnsi="Arial" w:cs="Arial"/>
          <w:sz w:val="24"/>
          <w:szCs w:val="24"/>
        </w:rPr>
        <w:t>Th</w:t>
      </w:r>
      <w:r w:rsidR="00220251">
        <w:rPr>
          <w:rFonts w:ascii="Arial" w:hAnsi="Arial" w:cs="Arial"/>
          <w:sz w:val="24"/>
          <w:szCs w:val="24"/>
        </w:rPr>
        <w:t xml:space="preserve">e learning event previously described can be understood particularly well when viewed from the perspective of social constructivist theory. </w:t>
      </w:r>
      <w:r w:rsidR="00A42299">
        <w:rPr>
          <w:rFonts w:ascii="Arial" w:hAnsi="Arial" w:cs="Arial"/>
          <w:sz w:val="24"/>
          <w:szCs w:val="24"/>
        </w:rPr>
        <w:t xml:space="preserve">Vygotsky believed that for education to be successful it needed to be more than just the acquisition of specific knowledge and skills (Vygotskii Dolya &amp; Vygotskii, 2010). He believed that effective learning comes from a child’s abilities to think clearly and in creative ways, their ability to make and implement their own plans, and to then be able to communicate their own understanding in a variety of ways. When looking towards the described learning event these ideas can clearly be seen in the implementation of the task. The children were given a simple task to complete, making a collage of a partners face from natural materials, and then given time to plan how to complete that task before then implementing the plan. </w:t>
      </w:r>
      <w:r w:rsidR="000243D0">
        <w:rPr>
          <w:rFonts w:ascii="Arial" w:hAnsi="Arial" w:cs="Arial"/>
          <w:sz w:val="24"/>
          <w:szCs w:val="24"/>
        </w:rPr>
        <w:t xml:space="preserve">From the lens of this theoretical framework it can be seen that the children were using their creativity in order to picture the materials as a face, they could be seen to be discussing amongst themselves how they would make their collage before working then working together to make it. The point about expressing understanding from a variety of ways can also be seen from the use of different mediums to express themselves artistically before then being able to verbally reflect and critique upon their own and other’s work. </w:t>
      </w:r>
    </w:p>
    <w:p w14:paraId="72B32CF6" w14:textId="047D28F4" w:rsidR="00E96CAC" w:rsidRPr="00666BF0" w:rsidRDefault="008E2EE9" w:rsidP="00666BF0">
      <w:pPr>
        <w:spacing w:line="360" w:lineRule="auto"/>
        <w:rPr>
          <w:rFonts w:ascii="Arial" w:hAnsi="Arial" w:cs="Arial"/>
          <w:sz w:val="24"/>
          <w:szCs w:val="24"/>
        </w:rPr>
      </w:pPr>
      <w:r w:rsidRPr="00666BF0">
        <w:rPr>
          <w:rFonts w:ascii="Arial" w:hAnsi="Arial" w:cs="Arial"/>
          <w:sz w:val="24"/>
          <w:szCs w:val="24"/>
        </w:rPr>
        <w:t xml:space="preserve">The children were instructed to review their own work, verbally explaining what they thought was good about it and how they could improve it, and the work of their peers. This shows a clear example of the use of formative assessment techniques. Black and William (1998, cited in, Heritage 2010) </w:t>
      </w:r>
      <w:r w:rsidR="00B55651" w:rsidRPr="00666BF0">
        <w:rPr>
          <w:rFonts w:ascii="Arial" w:hAnsi="Arial" w:cs="Arial"/>
          <w:sz w:val="24"/>
          <w:szCs w:val="24"/>
        </w:rPr>
        <w:t xml:space="preserve">argue that one of the key factors in effective formative assessment is involving pupils in the assessment through the use of self and peer assessment techniques as has been used here. The other two key factors that they tell us are that the pupils need to be given feedback that instructs on what improvements can be made, and that the teacher adjusts their teaching method in response to the information they have been given. In the case of the former point the </w:t>
      </w:r>
      <w:r w:rsidR="00B55651" w:rsidRPr="00666BF0">
        <w:rPr>
          <w:rFonts w:ascii="Arial" w:hAnsi="Arial" w:cs="Arial"/>
          <w:sz w:val="24"/>
          <w:szCs w:val="24"/>
        </w:rPr>
        <w:lastRenderedPageBreak/>
        <w:t xml:space="preserve">children were clearly instructed to consider what could have been done differently to improve their own, and their peers, work clearly tying in with Black and William’s (1998) point. </w:t>
      </w:r>
    </w:p>
    <w:p w14:paraId="6BF65A05" w14:textId="13CEFCD7" w:rsidR="00A05974" w:rsidRDefault="00A05974" w:rsidP="00666BF0">
      <w:pPr>
        <w:spacing w:line="360" w:lineRule="auto"/>
        <w:rPr>
          <w:rFonts w:ascii="Arial" w:hAnsi="Arial" w:cs="Arial"/>
          <w:sz w:val="24"/>
          <w:szCs w:val="24"/>
        </w:rPr>
      </w:pPr>
      <w:r w:rsidRPr="00666BF0">
        <w:rPr>
          <w:rFonts w:ascii="Arial" w:hAnsi="Arial" w:cs="Arial"/>
          <w:sz w:val="24"/>
          <w:szCs w:val="24"/>
        </w:rPr>
        <w:t>As has been previously mentioned the assessment for learning techniques that have been used during this learning event are self and peer assessment. One of the advantages of using self-assessment techniques is that children are more likely to assess themselves on a wider level rather than to the specific targets that they would gain from traditional assessment methods. Bourke (201</w:t>
      </w:r>
      <w:r w:rsidR="009E338F" w:rsidRPr="00666BF0">
        <w:rPr>
          <w:rFonts w:ascii="Arial" w:hAnsi="Arial" w:cs="Arial"/>
          <w:sz w:val="24"/>
          <w:szCs w:val="24"/>
        </w:rPr>
        <w:t>6</w:t>
      </w:r>
      <w:r w:rsidRPr="00666BF0">
        <w:rPr>
          <w:rFonts w:ascii="Arial" w:hAnsi="Arial" w:cs="Arial"/>
          <w:sz w:val="24"/>
          <w:szCs w:val="24"/>
        </w:rPr>
        <w:t>) argues that traditional assessment techniques place a greater emphasis on the aspects of learning that are important to the teacher rather than those that are important to the learner. While on the face of things this seems like it could be a good idea, as children will then focus on the specific learning outcomes, this in fact narrows a child’s learning and prevents them from building those vital links between their prior knowledge and their new knowledge. Bourke (201</w:t>
      </w:r>
      <w:r w:rsidR="009E338F" w:rsidRPr="00666BF0">
        <w:rPr>
          <w:rFonts w:ascii="Arial" w:hAnsi="Arial" w:cs="Arial"/>
          <w:sz w:val="24"/>
          <w:szCs w:val="24"/>
        </w:rPr>
        <w:t>6</w:t>
      </w:r>
      <w:r w:rsidRPr="00666BF0">
        <w:rPr>
          <w:rFonts w:ascii="Arial" w:hAnsi="Arial" w:cs="Arial"/>
          <w:sz w:val="24"/>
          <w:szCs w:val="24"/>
        </w:rPr>
        <w:t>) points out that th</w:t>
      </w:r>
      <w:r w:rsidR="009E338F" w:rsidRPr="00666BF0">
        <w:rPr>
          <w:rFonts w:ascii="Arial" w:hAnsi="Arial" w:cs="Arial"/>
          <w:sz w:val="24"/>
          <w:szCs w:val="24"/>
        </w:rPr>
        <w:t xml:space="preserve">is can result in teachers who are influenced to teach to the test and as such produces children who perform well on tests but are unable to apply that knowledge. </w:t>
      </w:r>
      <w:r w:rsidR="00026A44" w:rsidRPr="00666BF0">
        <w:rPr>
          <w:rFonts w:ascii="Arial" w:hAnsi="Arial" w:cs="Arial"/>
          <w:sz w:val="24"/>
          <w:szCs w:val="24"/>
        </w:rPr>
        <w:t xml:space="preserve">The rationale that has been used to justify the use of self-assessment in this learning event is more than likely similar to the following; ‘self-assessment would facilitate independence and self-regulation for learners, and that through self-reflection they would learn to identify what they needed to learn’ (Bourke, 2016, p.98). </w:t>
      </w:r>
      <w:r w:rsidR="008062EE" w:rsidRPr="00666BF0">
        <w:rPr>
          <w:rFonts w:ascii="Arial" w:hAnsi="Arial" w:cs="Arial"/>
          <w:sz w:val="24"/>
          <w:szCs w:val="24"/>
        </w:rPr>
        <w:t xml:space="preserve">The use of self and peer assessment in this learning event gave the pupils the freedom to progress </w:t>
      </w:r>
      <w:r w:rsidR="003F0EAF" w:rsidRPr="00666BF0">
        <w:rPr>
          <w:rFonts w:ascii="Arial" w:hAnsi="Arial" w:cs="Arial"/>
          <w:sz w:val="24"/>
          <w:szCs w:val="24"/>
        </w:rPr>
        <w:t>their</w:t>
      </w:r>
      <w:r w:rsidR="008062EE" w:rsidRPr="00666BF0">
        <w:rPr>
          <w:rFonts w:ascii="Arial" w:hAnsi="Arial" w:cs="Arial"/>
          <w:sz w:val="24"/>
          <w:szCs w:val="24"/>
        </w:rPr>
        <w:t xml:space="preserve"> own learning. By engaging in self and peer reflection according to Hargreaves, Gipps and Pickering (2018) this allows them to develop new knowledge skills and understandings. </w:t>
      </w:r>
    </w:p>
    <w:p w14:paraId="06C67CFB" w14:textId="5DC8A5FD" w:rsidR="000243D0" w:rsidRDefault="000243D0" w:rsidP="00666BF0">
      <w:pPr>
        <w:spacing w:line="360" w:lineRule="auto"/>
        <w:rPr>
          <w:rFonts w:ascii="Arial" w:hAnsi="Arial" w:cs="Arial"/>
          <w:sz w:val="24"/>
          <w:szCs w:val="24"/>
        </w:rPr>
      </w:pPr>
      <w:r>
        <w:rPr>
          <w:rFonts w:ascii="Arial" w:hAnsi="Arial" w:cs="Arial"/>
          <w:sz w:val="24"/>
          <w:szCs w:val="24"/>
        </w:rPr>
        <w:t xml:space="preserve">The use of self and peer reflection techniques once again can </w:t>
      </w:r>
      <w:r w:rsidR="002E10DA">
        <w:rPr>
          <w:rFonts w:ascii="Arial" w:hAnsi="Arial" w:cs="Arial"/>
          <w:sz w:val="24"/>
          <w:szCs w:val="24"/>
        </w:rPr>
        <w:t xml:space="preserve">be </w:t>
      </w:r>
      <w:r>
        <w:rPr>
          <w:rFonts w:ascii="Arial" w:hAnsi="Arial" w:cs="Arial"/>
          <w:sz w:val="24"/>
          <w:szCs w:val="24"/>
        </w:rPr>
        <w:t xml:space="preserve">tied into social constructivist theories and the underpinnings of this theory could be seen in use throughout the day. In particular this could be seen through the use of dialogic questioning techniques between the teacher and pupil. </w:t>
      </w:r>
      <w:r w:rsidR="005513F5">
        <w:rPr>
          <w:rFonts w:ascii="Arial" w:hAnsi="Arial" w:cs="Arial"/>
          <w:sz w:val="24"/>
          <w:szCs w:val="24"/>
        </w:rPr>
        <w:t xml:space="preserve">The questions that the teacher asked tended to build on previous ideas and were broad in nature. As such, these questions were clearly designed to help the child to think and make connections. The teacher asked questions such as ‘How could you show Child A’s hair in your picture, think about the colour and feel?’ rather than ‘Can you use sticks to make hair?’ The latter of these two questions had a simple answer that did not require high order thinking as the answer was simply yes or no, but the former question encouraged the child to think on a broader level. To answer this </w:t>
      </w:r>
      <w:r w:rsidR="00A81DD3">
        <w:rPr>
          <w:rFonts w:ascii="Arial" w:hAnsi="Arial" w:cs="Arial"/>
          <w:sz w:val="24"/>
          <w:szCs w:val="24"/>
        </w:rPr>
        <w:t>question,</w:t>
      </w:r>
      <w:r w:rsidR="005513F5">
        <w:rPr>
          <w:rFonts w:ascii="Arial" w:hAnsi="Arial" w:cs="Arial"/>
          <w:sz w:val="24"/>
          <w:szCs w:val="24"/>
        </w:rPr>
        <w:t xml:space="preserve"> they needed to think about shape, colour and texture and therefore build upon their previous knowledge. </w:t>
      </w:r>
      <w:r w:rsidR="00A81DD3">
        <w:rPr>
          <w:rFonts w:ascii="Arial" w:hAnsi="Arial" w:cs="Arial"/>
          <w:sz w:val="24"/>
          <w:szCs w:val="24"/>
        </w:rPr>
        <w:t xml:space="preserve">Wragg (2001) describes this questioning technique as signposting as it contains ‘pre-formulators’ aimed to direct a child towards the kind of answers that the teacher expects to hear. It is also noted that these questions were pitched at the level of the children and as such were worded in such as way as to be easily understandable to children within a year 1 setting. </w:t>
      </w:r>
    </w:p>
    <w:p w14:paraId="545D70A8" w14:textId="395CF558" w:rsidR="009E2648" w:rsidRDefault="00A81DD3" w:rsidP="00666BF0">
      <w:pPr>
        <w:spacing w:line="360" w:lineRule="auto"/>
        <w:rPr>
          <w:rFonts w:ascii="Arial" w:hAnsi="Arial" w:cs="Arial"/>
          <w:sz w:val="24"/>
          <w:szCs w:val="24"/>
        </w:rPr>
      </w:pPr>
      <w:r>
        <w:rPr>
          <w:rFonts w:ascii="Arial" w:hAnsi="Arial" w:cs="Arial"/>
          <w:sz w:val="24"/>
          <w:szCs w:val="24"/>
        </w:rPr>
        <w:lastRenderedPageBreak/>
        <w:t xml:space="preserve">It could be clearly seen throughout the learning event that the children involved were within Vygotsky’s zone of proximal development. This can be defined as ‘the difference between what a learner can do without help and what he or she can achieve with guidance and encouragement from a skilled partner.’ (Mcleod, 2018) </w:t>
      </w:r>
      <w:r w:rsidR="002756D3">
        <w:rPr>
          <w:rFonts w:ascii="Arial" w:hAnsi="Arial" w:cs="Arial"/>
          <w:sz w:val="24"/>
          <w:szCs w:val="24"/>
        </w:rPr>
        <w:t xml:space="preserve">It is noted here than definition refers to that guidance coming from a skilled partner, it does not refer to a teacher or educator. Certainly, that skilled partner can, and in many cases, is the teacher they do not have to be. In </w:t>
      </w:r>
      <w:r w:rsidR="002E10DA">
        <w:rPr>
          <w:rFonts w:ascii="Arial" w:hAnsi="Arial" w:cs="Arial"/>
          <w:sz w:val="24"/>
          <w:szCs w:val="24"/>
        </w:rPr>
        <w:t>fact,</w:t>
      </w:r>
      <w:r w:rsidR="002756D3">
        <w:rPr>
          <w:rFonts w:ascii="Arial" w:hAnsi="Arial" w:cs="Arial"/>
          <w:sz w:val="24"/>
          <w:szCs w:val="24"/>
        </w:rPr>
        <w:t xml:space="preserve"> in this case where the children were in mixed ability pairings the skilled partner was for the most part a peer. These children were within the ZPD as the task would have been beyond their abilities without the support of their partner. This shows us that the lesson had been planned with the tennets of social constructivism in mind and in particular the use formative assessment, questioning and mixed ability pairings to keep the children working in the ZPD throughout the learning event.</w:t>
      </w:r>
    </w:p>
    <w:p w14:paraId="09B8078C" w14:textId="7FB42362" w:rsidR="002756D3" w:rsidRDefault="009E2648" w:rsidP="00666BF0">
      <w:pPr>
        <w:spacing w:line="360" w:lineRule="auto"/>
        <w:rPr>
          <w:rFonts w:ascii="Arial" w:hAnsi="Arial" w:cs="Arial"/>
          <w:sz w:val="24"/>
          <w:szCs w:val="24"/>
        </w:rPr>
      </w:pPr>
      <w:r>
        <w:rPr>
          <w:rFonts w:ascii="Arial" w:hAnsi="Arial" w:cs="Arial"/>
          <w:sz w:val="24"/>
          <w:szCs w:val="24"/>
        </w:rPr>
        <w:t xml:space="preserve">As previously mentioned the learning event contained dialogic discourse. </w:t>
      </w:r>
      <w:r w:rsidR="00D24843">
        <w:rPr>
          <w:rFonts w:ascii="Arial" w:hAnsi="Arial" w:cs="Arial"/>
          <w:sz w:val="24"/>
          <w:szCs w:val="24"/>
        </w:rPr>
        <w:t xml:space="preserve">Nesari (2015) describes a dialogic classroom as one where pupils think reasonably through exploratory discussion and where the aim is to discuss differing opinions not wrong or right answers. This could clearly be seen in practice within the learning event as the children discussed with each other what they liked about each other’s work, what they did not like and what they would have done differently themselves. </w:t>
      </w:r>
      <w:r w:rsidR="002E10DA">
        <w:rPr>
          <w:rFonts w:ascii="Arial" w:hAnsi="Arial" w:cs="Arial"/>
          <w:sz w:val="24"/>
          <w:szCs w:val="24"/>
        </w:rPr>
        <w:t>There</w:t>
      </w:r>
      <w:r w:rsidR="00D24843">
        <w:rPr>
          <w:rFonts w:ascii="Arial" w:hAnsi="Arial" w:cs="Arial"/>
          <w:sz w:val="24"/>
          <w:szCs w:val="24"/>
        </w:rPr>
        <w:t xml:space="preserve"> was no right or wrong answer only a difference of opinion and perspective which was something that the teacher was attempting to develop understanding of with the lesson in question. </w:t>
      </w:r>
      <w:r w:rsidR="002756D3">
        <w:rPr>
          <w:rFonts w:ascii="Arial" w:hAnsi="Arial" w:cs="Arial"/>
          <w:sz w:val="24"/>
          <w:szCs w:val="24"/>
        </w:rPr>
        <w:t xml:space="preserve"> </w:t>
      </w:r>
    </w:p>
    <w:p w14:paraId="12562B74" w14:textId="398CED06" w:rsidR="002756D3" w:rsidRDefault="002756D3" w:rsidP="00666BF0">
      <w:pPr>
        <w:spacing w:line="360" w:lineRule="auto"/>
        <w:rPr>
          <w:rFonts w:ascii="Arial" w:hAnsi="Arial" w:cs="Arial"/>
          <w:sz w:val="24"/>
          <w:szCs w:val="24"/>
        </w:rPr>
      </w:pPr>
      <w:r>
        <w:rPr>
          <w:rFonts w:ascii="Arial" w:hAnsi="Arial" w:cs="Arial"/>
          <w:sz w:val="24"/>
          <w:szCs w:val="24"/>
        </w:rPr>
        <w:t>It would be wrong however to say that social constructivism was the only theory of learning that could be seen in use throughout the learning event as there were definitely behaviourist ideas used as well.  Where this can be seen in particular</w:t>
      </w:r>
      <w:r w:rsidR="00332049">
        <w:rPr>
          <w:rFonts w:ascii="Arial" w:hAnsi="Arial" w:cs="Arial"/>
          <w:sz w:val="24"/>
          <w:szCs w:val="24"/>
        </w:rPr>
        <w:t xml:space="preserve"> is through the use of continuous reinforcement. Mcleod (2018) describes this as provided a positive reinforcement every time a desired behaviour occurs. This could be seen in effect in the classroom by the teacher asking the same question multiple times throughout the day and to multiple pupils and providing positive reinforcement in the form of praise or a reward when given the desired response. Another area where behaviourism in the classroom could be seen was in the use of rote learning. Oxford Learning (2017) describe rote learning as ‘the </w:t>
      </w:r>
      <w:r w:rsidR="002E10DA">
        <w:rPr>
          <w:rFonts w:ascii="Arial" w:hAnsi="Arial" w:cs="Arial"/>
          <w:sz w:val="24"/>
          <w:szCs w:val="24"/>
        </w:rPr>
        <w:t>memorisation</w:t>
      </w:r>
      <w:r w:rsidR="00332049">
        <w:rPr>
          <w:rFonts w:ascii="Arial" w:hAnsi="Arial" w:cs="Arial"/>
          <w:sz w:val="24"/>
          <w:szCs w:val="24"/>
        </w:rPr>
        <w:t xml:space="preserve"> of information based on rep</w:t>
      </w:r>
      <w:r w:rsidR="002E10DA">
        <w:rPr>
          <w:rFonts w:ascii="Arial" w:hAnsi="Arial" w:cs="Arial"/>
          <w:sz w:val="24"/>
          <w:szCs w:val="24"/>
        </w:rPr>
        <w:t>et</w:t>
      </w:r>
      <w:r w:rsidR="00332049">
        <w:rPr>
          <w:rFonts w:ascii="Arial" w:hAnsi="Arial" w:cs="Arial"/>
          <w:sz w:val="24"/>
          <w:szCs w:val="24"/>
        </w:rPr>
        <w:t xml:space="preserve">ition.’ Although not strongly used within the outdoor learning task early discussed, rote learning could be seen to be used throughout the day particularly during the numeracy and phonics sessions on the carpet. The children repeated times tables by rote and as well as responded quickly to read the phonic sounds displayed on the interactive whiteboard. </w:t>
      </w:r>
      <w:r w:rsidR="009E2648">
        <w:rPr>
          <w:rFonts w:ascii="Arial" w:hAnsi="Arial" w:cs="Arial"/>
          <w:sz w:val="24"/>
          <w:szCs w:val="24"/>
        </w:rPr>
        <w:t xml:space="preserve">In these examples rote learning was an effective method as it is known to promote fast recall and to develop foundation knowledge (Oxford Learning, 2017). However, on the downside learning by rote only provides surface knowledge and does not promote connections between previous knowledge and what has been learnt. From a constructivist view point this is a bad thing as it compartmentalises knowledge. </w:t>
      </w:r>
    </w:p>
    <w:p w14:paraId="778883E6" w14:textId="605F8493" w:rsidR="00D24843" w:rsidRDefault="00D24843" w:rsidP="00666BF0">
      <w:pPr>
        <w:spacing w:line="360" w:lineRule="auto"/>
        <w:rPr>
          <w:rFonts w:ascii="Arial" w:hAnsi="Arial" w:cs="Arial"/>
          <w:sz w:val="24"/>
          <w:szCs w:val="24"/>
        </w:rPr>
      </w:pPr>
      <w:r>
        <w:rPr>
          <w:rFonts w:ascii="Arial" w:hAnsi="Arial" w:cs="Arial"/>
          <w:sz w:val="24"/>
          <w:szCs w:val="24"/>
        </w:rPr>
        <w:lastRenderedPageBreak/>
        <w:t xml:space="preserve">In conclusion, the learning event that took place around the activity of building collages of faces from natural materials could be derived from a number of different learning theories. The learning event was particularly successful as built on the children’s previous knowledge and allowed to express their creativity and understanding in a variety of different ways all of which are principles of social constructivism. </w:t>
      </w:r>
      <w:r w:rsidR="002E10DA">
        <w:rPr>
          <w:rFonts w:ascii="Arial" w:hAnsi="Arial" w:cs="Arial"/>
          <w:sz w:val="24"/>
          <w:szCs w:val="24"/>
        </w:rPr>
        <w:t>However,</w:t>
      </w:r>
      <w:r>
        <w:rPr>
          <w:rFonts w:ascii="Arial" w:hAnsi="Arial" w:cs="Arial"/>
          <w:sz w:val="24"/>
          <w:szCs w:val="24"/>
        </w:rPr>
        <w:t xml:space="preserve"> there were also elements of behaviourism used throughout the day in the form of rote learning and through the use of positive reinforcement to </w:t>
      </w:r>
      <w:r w:rsidR="002E10DA">
        <w:rPr>
          <w:rFonts w:ascii="Arial" w:hAnsi="Arial" w:cs="Arial"/>
          <w:sz w:val="24"/>
          <w:szCs w:val="24"/>
        </w:rPr>
        <w:t xml:space="preserve">encourage the repetition of desired behaviours. The learning event also used dialogic discourse to promote understanding of the world and empathy with each other as well as the idea that differing points of view can be acceptable. </w:t>
      </w:r>
    </w:p>
    <w:p w14:paraId="7EA0F38E" w14:textId="15D9B3D0" w:rsidR="16F106A5" w:rsidRPr="00666BF0" w:rsidRDefault="002E10DA" w:rsidP="00666BF0">
      <w:pPr>
        <w:spacing w:line="360" w:lineRule="auto"/>
        <w:rPr>
          <w:rFonts w:ascii="Arial" w:hAnsi="Arial" w:cs="Arial"/>
          <w:sz w:val="24"/>
          <w:szCs w:val="24"/>
        </w:rPr>
      </w:pPr>
      <w:r>
        <w:rPr>
          <w:rFonts w:ascii="Arial" w:hAnsi="Arial" w:cs="Arial"/>
          <w:sz w:val="24"/>
          <w:szCs w:val="24"/>
        </w:rPr>
        <w:t xml:space="preserve">I can take away from this experience a good example of how educational theory can be put into practice and how with the careful application of ideas from various different theories a truly broad and effective lesson plan can be put together. The lesson I observed covered a variety of different areas, kept the children engaged and interested all the while extending the children’s learning. These are all ideas that I will take with me and put into practice with my own classes. </w:t>
      </w:r>
    </w:p>
    <w:p w14:paraId="5E5787A5" w14:textId="62DF2326" w:rsidR="00B1621D" w:rsidRPr="00666BF0" w:rsidRDefault="00CB6FDB" w:rsidP="00666BF0">
      <w:pPr>
        <w:spacing w:line="360" w:lineRule="auto"/>
        <w:jc w:val="center"/>
        <w:rPr>
          <w:rFonts w:ascii="Arial" w:hAnsi="Arial" w:cs="Arial"/>
          <w:sz w:val="24"/>
          <w:szCs w:val="24"/>
        </w:rPr>
      </w:pPr>
      <w:r w:rsidRPr="00666BF0">
        <w:rPr>
          <w:rFonts w:ascii="Arial" w:hAnsi="Arial" w:cs="Arial"/>
          <w:noProof/>
          <w:sz w:val="24"/>
          <w:szCs w:val="24"/>
        </w:rPr>
        <w:lastRenderedPageBreak/>
        <w:drawing>
          <wp:inline distT="0" distB="0" distL="0" distR="0" wp14:anchorId="3B9689CC" wp14:editId="301BE0D8">
            <wp:extent cx="5527943" cy="9800232"/>
            <wp:effectExtent l="0" t="0" r="0" b="0"/>
            <wp:docPr id="141911309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5538969" cy="9819779"/>
                    </a:xfrm>
                    <a:prstGeom prst="rect">
                      <a:avLst/>
                    </a:prstGeom>
                  </pic:spPr>
                </pic:pic>
              </a:graphicData>
            </a:graphic>
          </wp:inline>
        </w:drawing>
      </w:r>
    </w:p>
    <w:p w14:paraId="308F4472" w14:textId="29F368D2" w:rsidR="16F106A5" w:rsidRPr="00666BF0" w:rsidRDefault="16F106A5" w:rsidP="00666BF0">
      <w:pPr>
        <w:spacing w:line="360" w:lineRule="auto"/>
        <w:rPr>
          <w:rFonts w:ascii="Arial" w:hAnsi="Arial" w:cs="Arial"/>
          <w:sz w:val="24"/>
          <w:szCs w:val="24"/>
        </w:rPr>
      </w:pPr>
      <w:r w:rsidRPr="00666BF0">
        <w:rPr>
          <w:rFonts w:ascii="Arial" w:hAnsi="Arial" w:cs="Arial"/>
          <w:sz w:val="24"/>
          <w:szCs w:val="24"/>
          <w:u w:val="single"/>
        </w:rPr>
        <w:lastRenderedPageBreak/>
        <w:t>Poster Rationale</w:t>
      </w:r>
    </w:p>
    <w:p w14:paraId="4AD7EFD5" w14:textId="26047631" w:rsidR="16F106A5" w:rsidRPr="00666BF0" w:rsidRDefault="16F106A5" w:rsidP="00666BF0">
      <w:pPr>
        <w:spacing w:line="360" w:lineRule="auto"/>
        <w:rPr>
          <w:rFonts w:ascii="Arial" w:hAnsi="Arial" w:cs="Arial"/>
          <w:sz w:val="24"/>
          <w:szCs w:val="24"/>
          <w:u w:val="single"/>
        </w:rPr>
      </w:pPr>
      <w:r w:rsidRPr="00666BF0">
        <w:rPr>
          <w:rFonts w:ascii="Arial" w:hAnsi="Arial" w:cs="Arial"/>
          <w:sz w:val="24"/>
          <w:szCs w:val="24"/>
        </w:rPr>
        <w:t xml:space="preserve">The poster, included on the previous page, has been developed in order to illustrate how a classroom can be made into an effective learning environment. This poster depicts a classroom layout which has been designed with the principles of Foundation Phase in mind. As Sue Cowley (2010) tells us the setup of a classroom is what gives a child their first impressions of the class. Where the classroom is a calm, positive and well-ordered environment this makes it far more likely for the children to behave in the same manner and thus this makes the beginnings of an effective learning environment.  The classroom has been split into several clearly defined areas in order that the children, and staff, can see clearly what is expected off them in each area of the classroom. This allows children to participate more fully in the task as they enter the clearly defined area with the necessary mindset already in place </w:t>
      </w:r>
    </w:p>
    <w:p w14:paraId="434478AE" w14:textId="5A0FACF2" w:rsidR="16F106A5" w:rsidRPr="00666BF0" w:rsidRDefault="16F106A5" w:rsidP="00666BF0">
      <w:pPr>
        <w:spacing w:line="360" w:lineRule="auto"/>
        <w:rPr>
          <w:rFonts w:ascii="Arial" w:hAnsi="Arial" w:cs="Arial"/>
          <w:sz w:val="24"/>
          <w:szCs w:val="24"/>
        </w:rPr>
      </w:pPr>
      <w:r w:rsidRPr="00666BF0">
        <w:rPr>
          <w:rFonts w:ascii="Arial" w:hAnsi="Arial" w:cs="Arial"/>
          <w:sz w:val="24"/>
          <w:szCs w:val="24"/>
        </w:rPr>
        <w:t>In order to foster this effective learning environment, the classroom has been split into the following areas, the carpeted area, focus tables, creative area, reading area, role play area, busy fingers and specific areas for continuous literacy and numeracy provision.  These areas have been considered with the seven areas of the foundation phase framework (2015) in mind and although all of these areas can be focused on within any of the classrooms defined learning areas, specific areas of classroom lend themselves to continuous developing one or more of these curriculum areas. The area of p</w:t>
      </w:r>
      <w:r w:rsidRPr="00666BF0">
        <w:rPr>
          <w:rFonts w:ascii="Arial" w:eastAsia="Calibri" w:hAnsi="Arial" w:cs="Arial"/>
          <w:sz w:val="24"/>
          <w:szCs w:val="24"/>
        </w:rPr>
        <w:t>ersonal and social development is covered particularly well by the role play area as in order for it to be used effectively it requires inter personal communication.  The Well-being and Cultural Diversity Area of Learning is once again covered by the role play area but can also be covered in any other area by the appropriate use of applicable resources. The Language, Literacy and Communication Skills Area of Learning would be primarily covered on the carpet and in the focus areas but is also provided for by a specific continuous provision area within the classroom. The Mathematical Development Area of Learning and Welsh Language Development Area of Learning are covered in a similar manner to the literacy area of learning and using the focus tables and specific continuous provision tasks. It should be noted here that although there has been no specific area dedicated to welsh language this can be more effectively developed by using the existing provision as this assigns an equal value to the Welsh language as that of the English language within the classroom. The Knowledge and Understanding of the World Area of Learning is once again covered in all areas but can be particularly focussed on using the role play and reading areas. The Physical Development Area of Learning has been provided for by the busy fingers station, as this will be filled with continuous provision task specifically aimed at improving physical co-ordination and fine motor skills. The Creative Development Area of Learning has also got a specific area of the classroom dedicated towards it but as has been previously mentioned all of the learning areas can be used to support this area of learning by the development of appropriate tasks and applicable resources.</w:t>
      </w:r>
    </w:p>
    <w:p w14:paraId="3F9D268E" w14:textId="720CC893" w:rsidR="16F106A5" w:rsidRPr="00666BF0" w:rsidRDefault="00777B75" w:rsidP="00666BF0">
      <w:pPr>
        <w:spacing w:line="360" w:lineRule="auto"/>
        <w:rPr>
          <w:rFonts w:ascii="Arial" w:hAnsi="Arial" w:cs="Arial"/>
          <w:sz w:val="24"/>
          <w:szCs w:val="24"/>
        </w:rPr>
      </w:pPr>
      <w:r w:rsidRPr="00666BF0">
        <w:rPr>
          <w:rFonts w:ascii="Arial" w:hAnsi="Arial" w:cs="Arial"/>
          <w:sz w:val="24"/>
          <w:szCs w:val="24"/>
        </w:rPr>
        <w:lastRenderedPageBreak/>
        <w:t xml:space="preserve">The poster above not only shows that the classroom is set up into clearly defined areas it also shows that the classroom has been designed to control the movement of the children around the classroom. As Martin (2002) has pointed out, the teacher can utilise the layout of the classroom to facilitate ordered movement around the classroom and to support and engage children within activities for learning. </w:t>
      </w:r>
      <w:r w:rsidR="00BD6813" w:rsidRPr="00666BF0">
        <w:rPr>
          <w:rFonts w:ascii="Arial" w:hAnsi="Arial" w:cs="Arial"/>
          <w:sz w:val="24"/>
          <w:szCs w:val="24"/>
        </w:rPr>
        <w:t>The continuous provision stations have been deliberately placed around the edges of the classroom. This is so that all such areas are clearly visible from the focus tables and as such can be appropriately observed by the teacher. In addition, the focus tables have not been placed at the edges but rather are more centralised within the room. This is so that those children partaking of the continuous provision are able to move freely between the different areas without disturbing the focus tasks.</w:t>
      </w:r>
    </w:p>
    <w:p w14:paraId="33D23233" w14:textId="251ABF07" w:rsidR="002A4B4E" w:rsidRPr="00666BF0" w:rsidRDefault="00BD6813" w:rsidP="00666BF0">
      <w:pPr>
        <w:pStyle w:val="NormalWeb"/>
        <w:shd w:val="clear" w:color="auto" w:fill="EDEEF0"/>
        <w:spacing w:line="360" w:lineRule="auto"/>
        <w:rPr>
          <w:rFonts w:ascii="Arial" w:hAnsi="Arial" w:cs="Arial"/>
        </w:rPr>
      </w:pPr>
      <w:r w:rsidRPr="00666BF0">
        <w:rPr>
          <w:rFonts w:ascii="Arial" w:hAnsi="Arial" w:cs="Arial"/>
        </w:rPr>
        <w:t xml:space="preserve">In order for a child to learn effectively they need to be comfortable in their environment (Cowley, 2010) For this reason the focus tables have been shaped such that each child has an individual space but easily see all of the others within the group this is to promote companionship whilst also providing a personal space. Referring back to comfort again areas such as the reading area and carpet space have been provided with furnishing designed to make a child comfortable. The interactive whiteboard is placed where it is clearly visible to all on the carpet and the carpet itself gives each child a designated learning spot so that they feel comfortable and thus are more likely to concentrate on their learning. Moore (2015) Argues that </w:t>
      </w:r>
      <w:r w:rsidR="002A4B4E" w:rsidRPr="00666BF0">
        <w:rPr>
          <w:rFonts w:ascii="Arial" w:hAnsi="Arial" w:cs="Arial"/>
        </w:rPr>
        <w:t xml:space="preserve">when children sit closely together, as they do on a carpet, they engage better, have more empathy for one another and are predisposed to active listening. She states that ‘gathering at the meeting area is more engaging, and more effective for whole class instruction.’ (Moore, 2015). </w:t>
      </w:r>
    </w:p>
    <w:p w14:paraId="6BC53873" w14:textId="77777777" w:rsidR="002E10DA" w:rsidRDefault="002E10DA" w:rsidP="00666BF0">
      <w:pPr>
        <w:spacing w:line="360" w:lineRule="auto"/>
        <w:rPr>
          <w:rFonts w:ascii="Arial" w:eastAsia="Times New Roman" w:hAnsi="Arial" w:cs="Arial"/>
          <w:sz w:val="24"/>
          <w:szCs w:val="24"/>
          <w:lang w:eastAsia="en-GB"/>
        </w:rPr>
      </w:pPr>
    </w:p>
    <w:p w14:paraId="68EA67F7" w14:textId="5BD3EA02" w:rsidR="16F106A5" w:rsidRPr="00666BF0" w:rsidRDefault="16F106A5" w:rsidP="00666BF0">
      <w:pPr>
        <w:spacing w:line="360" w:lineRule="auto"/>
        <w:rPr>
          <w:rFonts w:ascii="Arial" w:hAnsi="Arial" w:cs="Arial"/>
          <w:sz w:val="24"/>
          <w:szCs w:val="24"/>
          <w:u w:val="single"/>
        </w:rPr>
      </w:pPr>
      <w:r w:rsidRPr="00666BF0">
        <w:rPr>
          <w:rFonts w:ascii="Arial" w:hAnsi="Arial" w:cs="Arial"/>
          <w:sz w:val="24"/>
          <w:szCs w:val="24"/>
          <w:u w:val="single"/>
        </w:rPr>
        <w:t xml:space="preserve">References. </w:t>
      </w:r>
    </w:p>
    <w:p w14:paraId="71B0F0CE" w14:textId="5CCA96DA" w:rsidR="008062EE" w:rsidRPr="00666BF0" w:rsidRDefault="009E338F" w:rsidP="00666BF0">
      <w:pPr>
        <w:spacing w:line="360" w:lineRule="auto"/>
        <w:rPr>
          <w:rFonts w:ascii="Arial" w:hAnsi="Arial" w:cs="Arial"/>
          <w:sz w:val="24"/>
          <w:szCs w:val="24"/>
          <w:shd w:val="clear" w:color="auto" w:fill="FFFFFF"/>
        </w:rPr>
      </w:pPr>
      <w:r w:rsidRPr="00666BF0">
        <w:rPr>
          <w:rFonts w:ascii="Arial" w:hAnsi="Arial" w:cs="Arial"/>
          <w:sz w:val="24"/>
          <w:szCs w:val="24"/>
          <w:shd w:val="clear" w:color="auto" w:fill="FFFFFF"/>
        </w:rPr>
        <w:t>Bourke, Roseanna. (2016). Liberating the learner through self-assessment. </w:t>
      </w:r>
      <w:r w:rsidRPr="00666BF0">
        <w:rPr>
          <w:rFonts w:ascii="Arial" w:hAnsi="Arial" w:cs="Arial"/>
          <w:i/>
          <w:iCs/>
          <w:sz w:val="24"/>
          <w:szCs w:val="24"/>
          <w:shd w:val="clear" w:color="auto" w:fill="FFFFFF"/>
        </w:rPr>
        <w:t>Cambridge Journal of Education,</w:t>
      </w:r>
      <w:r w:rsidRPr="00666BF0">
        <w:rPr>
          <w:rFonts w:ascii="Arial" w:hAnsi="Arial" w:cs="Arial"/>
          <w:sz w:val="24"/>
          <w:szCs w:val="24"/>
          <w:shd w:val="clear" w:color="auto" w:fill="FFFFFF"/>
        </w:rPr>
        <w:t> </w:t>
      </w:r>
      <w:r w:rsidRPr="00666BF0">
        <w:rPr>
          <w:rFonts w:ascii="Arial" w:hAnsi="Arial" w:cs="Arial"/>
          <w:i/>
          <w:iCs/>
          <w:sz w:val="24"/>
          <w:szCs w:val="24"/>
          <w:shd w:val="clear" w:color="auto" w:fill="FFFFFF"/>
        </w:rPr>
        <w:t>46</w:t>
      </w:r>
      <w:r w:rsidRPr="00666BF0">
        <w:rPr>
          <w:rFonts w:ascii="Arial" w:hAnsi="Arial" w:cs="Arial"/>
          <w:sz w:val="24"/>
          <w:szCs w:val="24"/>
          <w:shd w:val="clear" w:color="auto" w:fill="FFFFFF"/>
        </w:rPr>
        <w:t>(1), 97-112.</w:t>
      </w:r>
    </w:p>
    <w:p w14:paraId="34365D57" w14:textId="77777777" w:rsidR="008062EE" w:rsidRPr="00666BF0" w:rsidRDefault="16F106A5" w:rsidP="00666BF0">
      <w:pPr>
        <w:spacing w:line="360" w:lineRule="auto"/>
        <w:rPr>
          <w:rFonts w:ascii="Arial" w:hAnsi="Arial" w:cs="Arial"/>
          <w:sz w:val="24"/>
          <w:szCs w:val="24"/>
          <w:shd w:val="clear" w:color="auto" w:fill="FFFFFF"/>
        </w:rPr>
      </w:pPr>
      <w:r w:rsidRPr="00666BF0">
        <w:rPr>
          <w:rFonts w:ascii="Arial" w:eastAsia="Calibri" w:hAnsi="Arial" w:cs="Arial"/>
          <w:sz w:val="24"/>
          <w:szCs w:val="24"/>
        </w:rPr>
        <w:t xml:space="preserve">Cowley, S. (2010). </w:t>
      </w:r>
      <w:r w:rsidRPr="00666BF0">
        <w:rPr>
          <w:rFonts w:ascii="Arial" w:eastAsia="Calibri" w:hAnsi="Arial" w:cs="Arial"/>
          <w:i/>
          <w:iCs/>
          <w:sz w:val="24"/>
          <w:szCs w:val="24"/>
        </w:rPr>
        <w:t>Getting the buggers to behave</w:t>
      </w:r>
      <w:r w:rsidRPr="00666BF0">
        <w:rPr>
          <w:rFonts w:ascii="Arial" w:eastAsia="Calibri" w:hAnsi="Arial" w:cs="Arial"/>
          <w:sz w:val="24"/>
          <w:szCs w:val="24"/>
        </w:rPr>
        <w:t xml:space="preserve"> (4th ed., Getting the Buggers). New York: Continuum International Pub. Group</w:t>
      </w:r>
      <w:r w:rsidR="008062EE" w:rsidRPr="00666BF0">
        <w:rPr>
          <w:rFonts w:ascii="Arial" w:hAnsi="Arial" w:cs="Arial"/>
          <w:sz w:val="24"/>
          <w:szCs w:val="24"/>
          <w:shd w:val="clear" w:color="auto" w:fill="FFFFFF"/>
        </w:rPr>
        <w:t xml:space="preserve"> </w:t>
      </w:r>
    </w:p>
    <w:p w14:paraId="75B2944A" w14:textId="3006BA85" w:rsidR="16F106A5" w:rsidRPr="00666BF0" w:rsidRDefault="008062EE" w:rsidP="00666BF0">
      <w:pPr>
        <w:spacing w:line="360" w:lineRule="auto"/>
        <w:rPr>
          <w:rFonts w:ascii="Arial" w:hAnsi="Arial" w:cs="Arial"/>
          <w:sz w:val="24"/>
          <w:szCs w:val="24"/>
          <w:u w:val="single"/>
        </w:rPr>
      </w:pPr>
      <w:r w:rsidRPr="00666BF0">
        <w:rPr>
          <w:rFonts w:ascii="Arial" w:hAnsi="Arial" w:cs="Arial"/>
          <w:sz w:val="24"/>
          <w:szCs w:val="24"/>
          <w:shd w:val="clear" w:color="auto" w:fill="FFFFFF"/>
        </w:rPr>
        <w:t>Cremin,</w:t>
      </w:r>
      <w:r w:rsidRPr="00666BF0">
        <w:rPr>
          <w:rFonts w:ascii="Arial" w:hAnsi="Arial" w:cs="Arial"/>
          <w:sz w:val="24"/>
          <w:szCs w:val="24"/>
          <w:shd w:val="clear" w:color="auto" w:fill="FFFFFF"/>
        </w:rPr>
        <w:t xml:space="preserve"> T.</w:t>
      </w:r>
      <w:r w:rsidRPr="00666BF0">
        <w:rPr>
          <w:rFonts w:ascii="Arial" w:hAnsi="Arial" w:cs="Arial"/>
          <w:sz w:val="24"/>
          <w:szCs w:val="24"/>
          <w:shd w:val="clear" w:color="auto" w:fill="FFFFFF"/>
        </w:rPr>
        <w:t xml:space="preserve"> and Burnett</w:t>
      </w:r>
      <w:r w:rsidRPr="00666BF0">
        <w:rPr>
          <w:rFonts w:ascii="Arial" w:hAnsi="Arial" w:cs="Arial"/>
          <w:sz w:val="24"/>
          <w:szCs w:val="24"/>
          <w:shd w:val="clear" w:color="auto" w:fill="FFFFFF"/>
        </w:rPr>
        <w:t>, C. (ed)</w:t>
      </w:r>
      <w:r w:rsidRPr="00666BF0">
        <w:rPr>
          <w:rFonts w:ascii="Arial" w:hAnsi="Arial" w:cs="Arial"/>
          <w:sz w:val="24"/>
          <w:szCs w:val="24"/>
          <w:shd w:val="clear" w:color="auto" w:fill="FFFFFF"/>
        </w:rPr>
        <w:t>,</w:t>
      </w:r>
      <w:r w:rsidRPr="00666BF0">
        <w:rPr>
          <w:rFonts w:ascii="Arial" w:hAnsi="Arial" w:cs="Arial"/>
          <w:sz w:val="24"/>
          <w:szCs w:val="24"/>
          <w:shd w:val="clear" w:color="auto" w:fill="FFFFFF"/>
        </w:rPr>
        <w:t xml:space="preserve"> </w:t>
      </w:r>
      <w:r w:rsidRPr="00666BF0">
        <w:rPr>
          <w:rFonts w:ascii="Arial" w:hAnsi="Arial" w:cs="Arial"/>
          <w:i/>
          <w:sz w:val="24"/>
          <w:szCs w:val="24"/>
          <w:shd w:val="clear" w:color="auto" w:fill="FFFFFF"/>
        </w:rPr>
        <w:t>Learning to Teach in the Primary School</w:t>
      </w:r>
      <w:r w:rsidRPr="00666BF0">
        <w:rPr>
          <w:rFonts w:ascii="Arial" w:hAnsi="Arial" w:cs="Arial"/>
          <w:i/>
          <w:sz w:val="24"/>
          <w:szCs w:val="24"/>
          <w:shd w:val="clear" w:color="auto" w:fill="FFFFFF"/>
        </w:rPr>
        <w:t>,</w:t>
      </w:r>
      <w:r w:rsidRPr="00666BF0">
        <w:rPr>
          <w:rFonts w:ascii="Arial" w:hAnsi="Arial" w:cs="Arial"/>
          <w:sz w:val="24"/>
          <w:szCs w:val="24"/>
          <w:shd w:val="clear" w:color="auto" w:fill="FFFFFF"/>
        </w:rPr>
        <w:t xml:space="preserve"> Routledge, 2018. </w:t>
      </w:r>
    </w:p>
    <w:p w14:paraId="2FA90FA8" w14:textId="0F91DAF0" w:rsidR="00B55651" w:rsidRDefault="00B55651" w:rsidP="00666BF0">
      <w:pPr>
        <w:spacing w:line="360" w:lineRule="auto"/>
        <w:rPr>
          <w:rFonts w:ascii="Arial" w:hAnsi="Arial" w:cs="Arial"/>
          <w:sz w:val="24"/>
          <w:szCs w:val="24"/>
          <w:shd w:val="clear" w:color="auto" w:fill="FFFFFF"/>
        </w:rPr>
      </w:pPr>
      <w:r w:rsidRPr="00666BF0">
        <w:rPr>
          <w:rFonts w:ascii="Arial" w:hAnsi="Arial" w:cs="Arial"/>
          <w:sz w:val="24"/>
          <w:szCs w:val="24"/>
          <w:shd w:val="clear" w:color="auto" w:fill="FFFFFF"/>
        </w:rPr>
        <w:t>Heritage, M. (2010). </w:t>
      </w:r>
      <w:r w:rsidRPr="00666BF0">
        <w:rPr>
          <w:rFonts w:ascii="Arial" w:hAnsi="Arial" w:cs="Arial"/>
          <w:i/>
          <w:iCs/>
          <w:sz w:val="24"/>
          <w:szCs w:val="24"/>
          <w:shd w:val="clear" w:color="auto" w:fill="FFFFFF"/>
        </w:rPr>
        <w:t>Formative assessment making it happen in the classroom</w:t>
      </w:r>
      <w:r w:rsidRPr="00666BF0">
        <w:rPr>
          <w:rFonts w:ascii="Arial" w:hAnsi="Arial" w:cs="Arial"/>
          <w:sz w:val="24"/>
          <w:szCs w:val="24"/>
          <w:shd w:val="clear" w:color="auto" w:fill="FFFFFF"/>
        </w:rPr>
        <w:t>. Thousand Oaks, Calif. : London: Corwin ; SAGE.</w:t>
      </w:r>
    </w:p>
    <w:p w14:paraId="6988D970" w14:textId="53BE7865" w:rsidR="00D748E7" w:rsidRDefault="00D748E7" w:rsidP="00666BF0">
      <w:pPr>
        <w:spacing w:line="360" w:lineRule="auto"/>
        <w:rPr>
          <w:rFonts w:ascii="Arial" w:eastAsia="Calibri" w:hAnsi="Arial" w:cs="Arial"/>
          <w:sz w:val="24"/>
          <w:szCs w:val="24"/>
        </w:rPr>
      </w:pPr>
      <w:r>
        <w:rPr>
          <w:rFonts w:ascii="Arial" w:eastAsia="Calibri" w:hAnsi="Arial" w:cs="Arial"/>
          <w:sz w:val="24"/>
          <w:szCs w:val="24"/>
        </w:rPr>
        <w:t xml:space="preserve">Mcleod, S. (2018) ‘Skinner – Operant Conditioning’ </w:t>
      </w:r>
      <w:r>
        <w:rPr>
          <w:rFonts w:ascii="Arial" w:eastAsia="Calibri" w:hAnsi="Arial" w:cs="Arial"/>
          <w:i/>
          <w:sz w:val="24"/>
          <w:szCs w:val="24"/>
        </w:rPr>
        <w:t xml:space="preserve">Simply Psychology, </w:t>
      </w:r>
      <w:r>
        <w:rPr>
          <w:rFonts w:ascii="Arial" w:eastAsia="Calibri" w:hAnsi="Arial" w:cs="Arial"/>
          <w:sz w:val="24"/>
          <w:szCs w:val="24"/>
        </w:rPr>
        <w:t>Viewed 19</w:t>
      </w:r>
      <w:r w:rsidRPr="00D748E7">
        <w:rPr>
          <w:rFonts w:ascii="Arial" w:eastAsia="Calibri" w:hAnsi="Arial" w:cs="Arial"/>
          <w:sz w:val="24"/>
          <w:szCs w:val="24"/>
          <w:vertAlign w:val="superscript"/>
        </w:rPr>
        <w:t>th</w:t>
      </w:r>
      <w:r>
        <w:rPr>
          <w:rFonts w:ascii="Arial" w:eastAsia="Calibri" w:hAnsi="Arial" w:cs="Arial"/>
          <w:sz w:val="24"/>
          <w:szCs w:val="24"/>
        </w:rPr>
        <w:t xml:space="preserve"> October 2018 </w:t>
      </w:r>
      <w:hyperlink r:id="rId7" w:history="1">
        <w:r w:rsidRPr="004C055C">
          <w:rPr>
            <w:rStyle w:val="Hyperlink"/>
            <w:rFonts w:ascii="Arial" w:eastAsia="Calibri" w:hAnsi="Arial" w:cs="Arial"/>
            <w:sz w:val="24"/>
            <w:szCs w:val="24"/>
          </w:rPr>
          <w:t>https://www.simplypsychology.org/operant-conditioning.html#sch</w:t>
        </w:r>
      </w:hyperlink>
    </w:p>
    <w:p w14:paraId="1895F3DA" w14:textId="384BCA6E" w:rsidR="00D748E7" w:rsidRPr="00D748E7" w:rsidRDefault="00D748E7" w:rsidP="00666BF0">
      <w:pPr>
        <w:spacing w:line="360" w:lineRule="auto"/>
        <w:rPr>
          <w:rFonts w:ascii="Arial" w:eastAsia="Calibri" w:hAnsi="Arial" w:cs="Arial"/>
          <w:sz w:val="24"/>
          <w:szCs w:val="24"/>
        </w:rPr>
      </w:pPr>
      <w:r>
        <w:rPr>
          <w:rFonts w:ascii="Arial" w:eastAsia="Calibri" w:hAnsi="Arial" w:cs="Arial"/>
          <w:sz w:val="24"/>
          <w:szCs w:val="24"/>
        </w:rPr>
        <w:lastRenderedPageBreak/>
        <w:t xml:space="preserve">Mcleod, S. (2018) ‘The Zone of Proximal Development and Scaffolding’ </w:t>
      </w:r>
      <w:r>
        <w:rPr>
          <w:rFonts w:ascii="Arial" w:eastAsia="Calibri" w:hAnsi="Arial" w:cs="Arial"/>
          <w:i/>
          <w:sz w:val="24"/>
          <w:szCs w:val="24"/>
        </w:rPr>
        <w:t xml:space="preserve">Simply Psychology, </w:t>
      </w:r>
      <w:r>
        <w:rPr>
          <w:rFonts w:ascii="Arial" w:eastAsia="Calibri" w:hAnsi="Arial" w:cs="Arial"/>
          <w:sz w:val="24"/>
          <w:szCs w:val="24"/>
        </w:rPr>
        <w:t>Viewed 19</w:t>
      </w:r>
      <w:r w:rsidRPr="00D748E7">
        <w:rPr>
          <w:rFonts w:ascii="Arial" w:eastAsia="Calibri" w:hAnsi="Arial" w:cs="Arial"/>
          <w:sz w:val="24"/>
          <w:szCs w:val="24"/>
          <w:vertAlign w:val="superscript"/>
        </w:rPr>
        <w:t>th</w:t>
      </w:r>
      <w:r>
        <w:rPr>
          <w:rFonts w:ascii="Arial" w:eastAsia="Calibri" w:hAnsi="Arial" w:cs="Arial"/>
          <w:sz w:val="24"/>
          <w:szCs w:val="24"/>
        </w:rPr>
        <w:t xml:space="preserve"> October 2018 &lt;</w:t>
      </w:r>
      <w:r w:rsidRPr="00D748E7">
        <w:rPr>
          <w:rFonts w:ascii="Arial" w:eastAsia="Calibri" w:hAnsi="Arial" w:cs="Arial"/>
          <w:sz w:val="24"/>
          <w:szCs w:val="24"/>
        </w:rPr>
        <w:t>https://www.simplypsychology.org/Zone-of-Proximal-Development.html</w:t>
      </w:r>
      <w:r>
        <w:rPr>
          <w:rFonts w:ascii="Arial" w:eastAsia="Calibri" w:hAnsi="Arial" w:cs="Arial"/>
          <w:sz w:val="24"/>
          <w:szCs w:val="24"/>
        </w:rPr>
        <w:t>&gt;</w:t>
      </w:r>
    </w:p>
    <w:p w14:paraId="13550533" w14:textId="1C353377" w:rsidR="002A4B4E" w:rsidRDefault="002A4B4E" w:rsidP="00666BF0">
      <w:pPr>
        <w:spacing w:line="360" w:lineRule="auto"/>
        <w:rPr>
          <w:rFonts w:ascii="Arial" w:hAnsi="Arial" w:cs="Arial"/>
          <w:sz w:val="24"/>
          <w:szCs w:val="24"/>
        </w:rPr>
      </w:pPr>
      <w:r w:rsidRPr="00666BF0">
        <w:rPr>
          <w:rFonts w:ascii="Arial" w:hAnsi="Arial" w:cs="Arial"/>
          <w:sz w:val="24"/>
          <w:szCs w:val="24"/>
        </w:rPr>
        <w:t xml:space="preserve">Moore, B. (2015) </w:t>
      </w:r>
      <w:r w:rsidRPr="00666BF0">
        <w:rPr>
          <w:rFonts w:ascii="Arial" w:hAnsi="Arial" w:cs="Arial"/>
          <w:i/>
          <w:sz w:val="24"/>
          <w:szCs w:val="24"/>
        </w:rPr>
        <w:t xml:space="preserve">Why We Gather: The Importance of a Classroom Meeting Area. </w:t>
      </w:r>
      <w:r w:rsidRPr="00666BF0">
        <w:rPr>
          <w:rFonts w:ascii="Arial" w:hAnsi="Arial" w:cs="Arial"/>
          <w:sz w:val="24"/>
          <w:szCs w:val="24"/>
        </w:rPr>
        <w:t>Viewed 16</w:t>
      </w:r>
      <w:r w:rsidRPr="00666BF0">
        <w:rPr>
          <w:rFonts w:ascii="Arial" w:hAnsi="Arial" w:cs="Arial"/>
          <w:sz w:val="24"/>
          <w:szCs w:val="24"/>
          <w:vertAlign w:val="superscript"/>
        </w:rPr>
        <w:t>th</w:t>
      </w:r>
      <w:r w:rsidRPr="00666BF0">
        <w:rPr>
          <w:rFonts w:ascii="Arial" w:hAnsi="Arial" w:cs="Arial"/>
          <w:sz w:val="24"/>
          <w:szCs w:val="24"/>
        </w:rPr>
        <w:t xml:space="preserve"> October 2018</w:t>
      </w:r>
      <w:r w:rsidR="00CB6FDB" w:rsidRPr="00666BF0">
        <w:rPr>
          <w:rFonts w:ascii="Arial" w:hAnsi="Arial" w:cs="Arial"/>
          <w:sz w:val="24"/>
          <w:szCs w:val="24"/>
        </w:rPr>
        <w:t xml:space="preserve">, </w:t>
      </w:r>
      <w:r w:rsidR="00D748E7">
        <w:rPr>
          <w:rFonts w:ascii="Arial" w:hAnsi="Arial" w:cs="Arial"/>
          <w:sz w:val="24"/>
          <w:szCs w:val="24"/>
        </w:rPr>
        <w:t>&lt;</w:t>
      </w:r>
      <w:hyperlink r:id="rId8" w:history="1">
        <w:r w:rsidR="00D748E7" w:rsidRPr="004C055C">
          <w:rPr>
            <w:rStyle w:val="Hyperlink"/>
            <w:rFonts w:ascii="Arial" w:hAnsi="Arial" w:cs="Arial"/>
            <w:sz w:val="24"/>
            <w:szCs w:val="24"/>
          </w:rPr>
          <w:t>https://twowritingteachers.org/2015/08/30/classroom-meeting-area/</w:t>
        </w:r>
      </w:hyperlink>
      <w:r w:rsidR="00D748E7">
        <w:rPr>
          <w:rFonts w:ascii="Arial" w:hAnsi="Arial" w:cs="Arial"/>
          <w:sz w:val="24"/>
          <w:szCs w:val="24"/>
        </w:rPr>
        <w:t>&gt;</w:t>
      </w:r>
    </w:p>
    <w:p w14:paraId="6E1324B0" w14:textId="5FC63B70" w:rsidR="002E10DA" w:rsidRDefault="002E10DA" w:rsidP="00666BF0">
      <w:pPr>
        <w:spacing w:line="360" w:lineRule="auto"/>
        <w:rPr>
          <w:rFonts w:ascii="Arial" w:hAnsi="Arial" w:cs="Arial"/>
          <w:sz w:val="24"/>
          <w:szCs w:val="24"/>
        </w:rPr>
      </w:pPr>
      <w:r>
        <w:rPr>
          <w:rFonts w:ascii="Arial" w:hAnsi="Arial" w:cs="Arial"/>
          <w:sz w:val="24"/>
          <w:szCs w:val="24"/>
        </w:rPr>
        <w:t xml:space="preserve">Nesari, A, J. (2015) ‘Dialogism versus Monologism: A Bakhtinian Approach to Teaching’ </w:t>
      </w:r>
      <w:r w:rsidR="00D748E7">
        <w:rPr>
          <w:rFonts w:ascii="Arial" w:hAnsi="Arial" w:cs="Arial"/>
          <w:i/>
          <w:sz w:val="24"/>
          <w:szCs w:val="24"/>
        </w:rPr>
        <w:t>Procedia – Social and Behavioural Sciences (</w:t>
      </w:r>
      <w:r w:rsidR="00D748E7">
        <w:rPr>
          <w:rFonts w:ascii="Arial" w:hAnsi="Arial" w:cs="Arial"/>
          <w:sz w:val="24"/>
          <w:szCs w:val="24"/>
        </w:rPr>
        <w:t>205) pp.642-647 Viewed October 19</w:t>
      </w:r>
      <w:r w:rsidR="00D748E7" w:rsidRPr="00D748E7">
        <w:rPr>
          <w:rFonts w:ascii="Arial" w:hAnsi="Arial" w:cs="Arial"/>
          <w:sz w:val="24"/>
          <w:szCs w:val="24"/>
          <w:vertAlign w:val="superscript"/>
        </w:rPr>
        <w:t>th</w:t>
      </w:r>
      <w:r w:rsidR="00D748E7">
        <w:rPr>
          <w:rFonts w:ascii="Arial" w:hAnsi="Arial" w:cs="Arial"/>
          <w:sz w:val="24"/>
          <w:szCs w:val="24"/>
        </w:rPr>
        <w:t xml:space="preserve"> 2018 &lt;</w:t>
      </w:r>
      <w:hyperlink r:id="rId9" w:history="1">
        <w:r w:rsidR="00D748E7" w:rsidRPr="004C055C">
          <w:rPr>
            <w:rStyle w:val="Hyperlink"/>
            <w:rFonts w:ascii="Arial" w:hAnsi="Arial" w:cs="Arial"/>
            <w:sz w:val="24"/>
            <w:szCs w:val="24"/>
          </w:rPr>
          <w:t>https://core.ac.uk/download/pdf/82802749.pdf</w:t>
        </w:r>
      </w:hyperlink>
      <w:r w:rsidR="00D748E7">
        <w:rPr>
          <w:rFonts w:ascii="Arial" w:hAnsi="Arial" w:cs="Arial"/>
          <w:sz w:val="24"/>
          <w:szCs w:val="24"/>
        </w:rPr>
        <w:t>&gt;</w:t>
      </w:r>
    </w:p>
    <w:p w14:paraId="1AC8E8CD" w14:textId="2423E195" w:rsidR="00D748E7" w:rsidRPr="00D748E7" w:rsidRDefault="00D748E7" w:rsidP="00666BF0">
      <w:pPr>
        <w:spacing w:line="360" w:lineRule="auto"/>
        <w:rPr>
          <w:rFonts w:ascii="Arial" w:hAnsi="Arial" w:cs="Arial"/>
          <w:sz w:val="24"/>
          <w:szCs w:val="24"/>
        </w:rPr>
      </w:pPr>
      <w:r>
        <w:rPr>
          <w:rFonts w:ascii="Arial" w:hAnsi="Arial" w:cs="Arial"/>
          <w:sz w:val="24"/>
          <w:szCs w:val="24"/>
        </w:rPr>
        <w:t xml:space="preserve">Oxford Learning (2017) </w:t>
      </w:r>
      <w:r>
        <w:rPr>
          <w:rFonts w:ascii="Arial" w:hAnsi="Arial" w:cs="Arial"/>
          <w:i/>
          <w:sz w:val="24"/>
          <w:szCs w:val="24"/>
        </w:rPr>
        <w:t xml:space="preserve">The Difference Between Rote Learning and Meaningful Learning </w:t>
      </w:r>
      <w:r>
        <w:rPr>
          <w:rFonts w:ascii="Arial" w:hAnsi="Arial" w:cs="Arial"/>
          <w:sz w:val="24"/>
          <w:szCs w:val="24"/>
        </w:rPr>
        <w:t>Viewed 19</w:t>
      </w:r>
      <w:r w:rsidRPr="00D748E7">
        <w:rPr>
          <w:rFonts w:ascii="Arial" w:hAnsi="Arial" w:cs="Arial"/>
          <w:sz w:val="24"/>
          <w:szCs w:val="24"/>
          <w:vertAlign w:val="superscript"/>
        </w:rPr>
        <w:t>th</w:t>
      </w:r>
      <w:r>
        <w:rPr>
          <w:rFonts w:ascii="Arial" w:hAnsi="Arial" w:cs="Arial"/>
          <w:sz w:val="24"/>
          <w:szCs w:val="24"/>
        </w:rPr>
        <w:t xml:space="preserve"> October 2019 &lt;</w:t>
      </w:r>
      <w:r w:rsidRPr="00D748E7">
        <w:t xml:space="preserve"> </w:t>
      </w:r>
      <w:r w:rsidRPr="00D748E7">
        <w:rPr>
          <w:rFonts w:ascii="Arial" w:hAnsi="Arial" w:cs="Arial"/>
          <w:sz w:val="24"/>
          <w:szCs w:val="24"/>
        </w:rPr>
        <w:t>https://www.oxfordlearning.com/difference-rote-learning-meaningful-learning/</w:t>
      </w:r>
      <w:r>
        <w:rPr>
          <w:rFonts w:ascii="Arial" w:hAnsi="Arial" w:cs="Arial"/>
          <w:sz w:val="24"/>
          <w:szCs w:val="24"/>
        </w:rPr>
        <w:t>&gt;</w:t>
      </w:r>
    </w:p>
    <w:p w14:paraId="2BF59214" w14:textId="2DA13DC5" w:rsidR="00D748E7" w:rsidRPr="00D748E7" w:rsidRDefault="000243D0" w:rsidP="00666BF0">
      <w:pPr>
        <w:spacing w:line="360" w:lineRule="auto"/>
        <w:rPr>
          <w:rFonts w:ascii="Arial" w:hAnsi="Arial" w:cs="Arial"/>
          <w:sz w:val="24"/>
          <w:szCs w:val="24"/>
          <w:shd w:val="clear" w:color="auto" w:fill="FFFFFF"/>
        </w:rPr>
      </w:pPr>
      <w:r w:rsidRPr="000243D0">
        <w:rPr>
          <w:rFonts w:ascii="Arial" w:hAnsi="Arial" w:cs="Arial"/>
          <w:sz w:val="24"/>
          <w:szCs w:val="24"/>
          <w:shd w:val="clear" w:color="auto" w:fill="FFFFFF"/>
        </w:rPr>
        <w:t xml:space="preserve">Vygotskiĭ Dolya &amp; Vygotskiĭ, L. S., </w:t>
      </w:r>
      <w:r w:rsidR="006610CB">
        <w:rPr>
          <w:rFonts w:ascii="Arial" w:hAnsi="Arial" w:cs="Arial"/>
          <w:sz w:val="24"/>
          <w:szCs w:val="24"/>
          <w:shd w:val="clear" w:color="auto" w:fill="FFFFFF"/>
        </w:rPr>
        <w:t>(</w:t>
      </w:r>
      <w:r w:rsidRPr="000243D0">
        <w:rPr>
          <w:rFonts w:ascii="Arial" w:hAnsi="Arial" w:cs="Arial"/>
          <w:sz w:val="24"/>
          <w:szCs w:val="24"/>
          <w:shd w:val="clear" w:color="auto" w:fill="FFFFFF"/>
        </w:rPr>
        <w:t>2010</w:t>
      </w:r>
      <w:r w:rsidR="006610CB">
        <w:rPr>
          <w:rFonts w:ascii="Arial" w:hAnsi="Arial" w:cs="Arial"/>
          <w:sz w:val="24"/>
          <w:szCs w:val="24"/>
          <w:shd w:val="clear" w:color="auto" w:fill="FFFFFF"/>
        </w:rPr>
        <w:t>)</w:t>
      </w:r>
      <w:r w:rsidRPr="000243D0">
        <w:rPr>
          <w:rFonts w:ascii="Arial" w:hAnsi="Arial" w:cs="Arial"/>
          <w:sz w:val="24"/>
          <w:szCs w:val="24"/>
          <w:shd w:val="clear" w:color="auto" w:fill="FFFFFF"/>
        </w:rPr>
        <w:t>. </w:t>
      </w:r>
      <w:r w:rsidRPr="000243D0">
        <w:rPr>
          <w:rFonts w:ascii="Arial" w:hAnsi="Arial" w:cs="Arial"/>
          <w:i/>
          <w:iCs/>
          <w:sz w:val="24"/>
          <w:szCs w:val="24"/>
          <w:shd w:val="clear" w:color="auto" w:fill="FFFFFF"/>
        </w:rPr>
        <w:t>Vygotsky in action in the early years : the 'key to learning' curriculum</w:t>
      </w:r>
      <w:r w:rsidRPr="000243D0">
        <w:rPr>
          <w:rFonts w:ascii="Arial" w:hAnsi="Arial" w:cs="Arial"/>
          <w:sz w:val="24"/>
          <w:szCs w:val="24"/>
          <w:shd w:val="clear" w:color="auto" w:fill="FFFFFF"/>
        </w:rPr>
        <w:t> New ed, London: Routledge</w:t>
      </w:r>
    </w:p>
    <w:p w14:paraId="1F35E64A" w14:textId="7D315EE4" w:rsidR="16F106A5" w:rsidRPr="00666BF0" w:rsidRDefault="16F106A5" w:rsidP="00666BF0">
      <w:pPr>
        <w:spacing w:line="360" w:lineRule="auto"/>
        <w:rPr>
          <w:rFonts w:ascii="Arial" w:eastAsia="Calibri" w:hAnsi="Arial" w:cs="Arial"/>
          <w:sz w:val="24"/>
          <w:szCs w:val="24"/>
        </w:rPr>
      </w:pPr>
      <w:r w:rsidRPr="00666BF0">
        <w:rPr>
          <w:rFonts w:ascii="Arial" w:eastAsia="Calibri" w:hAnsi="Arial" w:cs="Arial"/>
          <w:sz w:val="24"/>
          <w:szCs w:val="24"/>
        </w:rPr>
        <w:t xml:space="preserve">Welsh Government. (2015). </w:t>
      </w:r>
      <w:r w:rsidRPr="00666BF0">
        <w:rPr>
          <w:rFonts w:ascii="Arial" w:eastAsia="Calibri" w:hAnsi="Arial" w:cs="Arial"/>
          <w:i/>
          <w:iCs/>
          <w:sz w:val="24"/>
          <w:szCs w:val="24"/>
        </w:rPr>
        <w:t xml:space="preserve">Curriculum for Wales: Foundation Phase Framework. </w:t>
      </w:r>
      <w:r w:rsidRPr="00666BF0">
        <w:rPr>
          <w:rFonts w:ascii="Arial" w:eastAsia="Calibri" w:hAnsi="Arial" w:cs="Arial"/>
          <w:sz w:val="24"/>
          <w:szCs w:val="24"/>
        </w:rPr>
        <w:t>Department for Education and Skills, Viewed 16</w:t>
      </w:r>
      <w:r w:rsidRPr="00666BF0">
        <w:rPr>
          <w:rFonts w:ascii="Arial" w:eastAsia="Calibri" w:hAnsi="Arial" w:cs="Arial"/>
          <w:sz w:val="24"/>
          <w:szCs w:val="24"/>
          <w:vertAlign w:val="superscript"/>
        </w:rPr>
        <w:t>th</w:t>
      </w:r>
      <w:r w:rsidRPr="00666BF0">
        <w:rPr>
          <w:rFonts w:ascii="Arial" w:eastAsia="Calibri" w:hAnsi="Arial" w:cs="Arial"/>
          <w:sz w:val="24"/>
          <w:szCs w:val="24"/>
        </w:rPr>
        <w:t xml:space="preserve"> October 2018, &lt;https://beta.gov.wales/sites/default/files/publications/2018-02/foundation-phase-framework-revised-2015.pdf&gt; </w:t>
      </w:r>
    </w:p>
    <w:p w14:paraId="1B1413B3" w14:textId="71F71E24" w:rsidR="16F106A5" w:rsidRDefault="16F106A5" w:rsidP="16F106A5">
      <w:pPr>
        <w:rPr>
          <w:rFonts w:ascii="Arial" w:eastAsia="Calibri" w:hAnsi="Arial" w:cs="Arial"/>
          <w:color w:val="3A3A3A"/>
          <w:sz w:val="24"/>
          <w:szCs w:val="24"/>
        </w:rPr>
      </w:pPr>
      <w:r w:rsidRPr="00CB6FDB">
        <w:rPr>
          <w:rFonts w:ascii="Arial" w:eastAsia="Calibri" w:hAnsi="Arial" w:cs="Arial"/>
          <w:color w:val="3A3A3A"/>
          <w:sz w:val="24"/>
          <w:szCs w:val="24"/>
        </w:rPr>
        <w:t xml:space="preserve"> </w:t>
      </w:r>
      <w:r w:rsidR="00D748E7">
        <w:rPr>
          <w:rFonts w:ascii="Arial" w:eastAsia="Calibri" w:hAnsi="Arial" w:cs="Arial"/>
          <w:color w:val="3A3A3A"/>
          <w:sz w:val="24"/>
          <w:szCs w:val="24"/>
        </w:rPr>
        <w:t xml:space="preserve">Wragg, E.C. &amp; </w:t>
      </w:r>
      <w:r w:rsidR="006610CB">
        <w:rPr>
          <w:rFonts w:ascii="Arial" w:eastAsia="Calibri" w:hAnsi="Arial" w:cs="Arial"/>
          <w:color w:val="3A3A3A"/>
          <w:sz w:val="24"/>
          <w:szCs w:val="24"/>
        </w:rPr>
        <w:t xml:space="preserve">Brown, G. (2001) </w:t>
      </w:r>
      <w:r w:rsidR="006610CB">
        <w:rPr>
          <w:rFonts w:ascii="Arial" w:eastAsia="Calibri" w:hAnsi="Arial" w:cs="Arial"/>
          <w:i/>
          <w:color w:val="3A3A3A"/>
          <w:sz w:val="24"/>
          <w:szCs w:val="24"/>
        </w:rPr>
        <w:t xml:space="preserve">Questioning in the Primary School, </w:t>
      </w:r>
      <w:r w:rsidR="006610CB">
        <w:rPr>
          <w:rFonts w:ascii="Arial" w:eastAsia="Calibri" w:hAnsi="Arial" w:cs="Arial"/>
          <w:color w:val="3A3A3A"/>
          <w:sz w:val="24"/>
          <w:szCs w:val="24"/>
        </w:rPr>
        <w:t>London: Routledge</w:t>
      </w:r>
    </w:p>
    <w:p w14:paraId="304C3806" w14:textId="770E1C36" w:rsidR="006610CB" w:rsidRDefault="006610CB" w:rsidP="16F106A5">
      <w:pPr>
        <w:rPr>
          <w:rFonts w:ascii="Arial" w:eastAsia="Calibri" w:hAnsi="Arial" w:cs="Arial"/>
          <w:color w:val="3A3A3A"/>
          <w:sz w:val="24"/>
          <w:szCs w:val="24"/>
        </w:rPr>
      </w:pPr>
    </w:p>
    <w:p w14:paraId="6399CA1A" w14:textId="6A5400BC" w:rsidR="006610CB" w:rsidRDefault="006610CB" w:rsidP="16F106A5">
      <w:pPr>
        <w:rPr>
          <w:rFonts w:ascii="Arial" w:eastAsia="Calibri" w:hAnsi="Arial" w:cs="Arial"/>
          <w:color w:val="3A3A3A"/>
          <w:sz w:val="24"/>
          <w:szCs w:val="24"/>
        </w:rPr>
      </w:pPr>
      <w:r>
        <w:rPr>
          <w:rFonts w:ascii="Arial" w:eastAsia="Calibri" w:hAnsi="Arial" w:cs="Arial"/>
          <w:color w:val="3A3A3A"/>
          <w:sz w:val="24"/>
          <w:szCs w:val="24"/>
        </w:rPr>
        <w:t>Bibliography</w:t>
      </w:r>
    </w:p>
    <w:p w14:paraId="33AD13A0" w14:textId="11D6A71C" w:rsidR="006610CB" w:rsidRDefault="006610CB" w:rsidP="16F106A5">
      <w:pPr>
        <w:rPr>
          <w:rFonts w:ascii="Arial" w:eastAsia="Calibri" w:hAnsi="Arial" w:cs="Arial"/>
          <w:color w:val="3A3A3A"/>
          <w:sz w:val="24"/>
          <w:szCs w:val="24"/>
        </w:rPr>
      </w:pPr>
    </w:p>
    <w:p w14:paraId="72D5A9AC" w14:textId="329C3703" w:rsidR="006610CB" w:rsidRDefault="006610CB" w:rsidP="16F106A5">
      <w:pPr>
        <w:rPr>
          <w:rFonts w:ascii="Arial" w:eastAsia="Calibri" w:hAnsi="Arial" w:cs="Arial"/>
          <w:color w:val="3A3A3A"/>
          <w:sz w:val="24"/>
          <w:szCs w:val="24"/>
        </w:rPr>
      </w:pPr>
      <w:r>
        <w:rPr>
          <w:rFonts w:ascii="Arial" w:eastAsia="Calibri" w:hAnsi="Arial" w:cs="Arial"/>
          <w:color w:val="3A3A3A"/>
          <w:sz w:val="24"/>
          <w:szCs w:val="24"/>
        </w:rPr>
        <w:t xml:space="preserve">Alexander, R. (2010) </w:t>
      </w:r>
      <w:r>
        <w:rPr>
          <w:rFonts w:ascii="Arial" w:eastAsia="Calibri" w:hAnsi="Arial" w:cs="Arial"/>
          <w:i/>
          <w:color w:val="3A3A3A"/>
          <w:sz w:val="24"/>
          <w:szCs w:val="24"/>
        </w:rPr>
        <w:t xml:space="preserve">Towards Dialogic Teaching: Rethinking Classroom Talk, </w:t>
      </w:r>
      <w:r>
        <w:rPr>
          <w:rFonts w:ascii="Arial" w:eastAsia="Calibri" w:hAnsi="Arial" w:cs="Arial"/>
          <w:color w:val="3A3A3A"/>
          <w:sz w:val="24"/>
          <w:szCs w:val="24"/>
        </w:rPr>
        <w:t>UK: Dialogos UK Ltd</w:t>
      </w:r>
    </w:p>
    <w:p w14:paraId="2DF739B2" w14:textId="5A76BE7B" w:rsidR="006610CB" w:rsidRDefault="006610CB" w:rsidP="16F106A5">
      <w:pPr>
        <w:rPr>
          <w:rFonts w:ascii="Arial" w:eastAsia="Calibri" w:hAnsi="Arial" w:cs="Arial"/>
          <w:color w:val="3A3A3A"/>
          <w:sz w:val="24"/>
          <w:szCs w:val="24"/>
        </w:rPr>
      </w:pPr>
      <w:r>
        <w:rPr>
          <w:rFonts w:ascii="Arial" w:eastAsia="Calibri" w:hAnsi="Arial" w:cs="Arial"/>
          <w:color w:val="3A3A3A"/>
          <w:sz w:val="24"/>
          <w:szCs w:val="24"/>
        </w:rPr>
        <w:t xml:space="preserve">Entwhistle, N. (1983) </w:t>
      </w:r>
      <w:r>
        <w:rPr>
          <w:rFonts w:ascii="Arial" w:eastAsia="Calibri" w:hAnsi="Arial" w:cs="Arial"/>
          <w:i/>
          <w:color w:val="3A3A3A"/>
          <w:sz w:val="24"/>
          <w:szCs w:val="24"/>
        </w:rPr>
        <w:t xml:space="preserve">Styles of Learning and Teaching: An </w:t>
      </w:r>
      <w:r w:rsidR="00F01AE7">
        <w:rPr>
          <w:rFonts w:ascii="Arial" w:eastAsia="Calibri" w:hAnsi="Arial" w:cs="Arial"/>
          <w:i/>
          <w:color w:val="3A3A3A"/>
          <w:sz w:val="24"/>
          <w:szCs w:val="24"/>
        </w:rPr>
        <w:t>Integrated</w:t>
      </w:r>
      <w:r>
        <w:rPr>
          <w:rFonts w:ascii="Arial" w:eastAsia="Calibri" w:hAnsi="Arial" w:cs="Arial"/>
          <w:i/>
          <w:color w:val="3A3A3A"/>
          <w:sz w:val="24"/>
          <w:szCs w:val="24"/>
        </w:rPr>
        <w:t xml:space="preserve"> Outline of Educational Psychology, </w:t>
      </w:r>
      <w:r>
        <w:rPr>
          <w:rFonts w:ascii="Arial" w:eastAsia="Calibri" w:hAnsi="Arial" w:cs="Arial"/>
          <w:color w:val="3A3A3A"/>
          <w:sz w:val="24"/>
          <w:szCs w:val="24"/>
        </w:rPr>
        <w:t xml:space="preserve">Chichester: John Wiley &amp; Sons Ltd </w:t>
      </w:r>
    </w:p>
    <w:p w14:paraId="3213ABD1" w14:textId="16D4C711" w:rsidR="006610CB" w:rsidRDefault="006610CB" w:rsidP="16F106A5">
      <w:pPr>
        <w:rPr>
          <w:rFonts w:ascii="Arial" w:eastAsia="Calibri" w:hAnsi="Arial" w:cs="Arial"/>
          <w:color w:val="3A3A3A"/>
          <w:sz w:val="24"/>
          <w:szCs w:val="24"/>
        </w:rPr>
      </w:pPr>
      <w:r>
        <w:rPr>
          <w:rFonts w:ascii="Arial" w:eastAsia="Calibri" w:hAnsi="Arial" w:cs="Arial"/>
          <w:color w:val="3A3A3A"/>
          <w:sz w:val="24"/>
          <w:szCs w:val="24"/>
        </w:rPr>
        <w:t xml:space="preserve">Newton, D.P. (2000) </w:t>
      </w:r>
      <w:r>
        <w:rPr>
          <w:rFonts w:ascii="Arial" w:eastAsia="Calibri" w:hAnsi="Arial" w:cs="Arial"/>
          <w:i/>
          <w:color w:val="3A3A3A"/>
          <w:sz w:val="24"/>
          <w:szCs w:val="24"/>
        </w:rPr>
        <w:t xml:space="preserve">Teaching for Understanding what it is and how to do it, </w:t>
      </w:r>
      <w:r>
        <w:rPr>
          <w:rFonts w:ascii="Arial" w:eastAsia="Calibri" w:hAnsi="Arial" w:cs="Arial"/>
          <w:color w:val="3A3A3A"/>
          <w:sz w:val="24"/>
          <w:szCs w:val="24"/>
        </w:rPr>
        <w:t>London: Routledge</w:t>
      </w:r>
    </w:p>
    <w:p w14:paraId="7BE58D45" w14:textId="53D0CBFD" w:rsidR="006610CB" w:rsidRDefault="006610CB" w:rsidP="16F106A5">
      <w:pPr>
        <w:rPr>
          <w:rFonts w:ascii="Arial" w:eastAsia="Calibri" w:hAnsi="Arial" w:cs="Arial"/>
          <w:color w:val="3A3A3A"/>
          <w:sz w:val="24"/>
          <w:szCs w:val="24"/>
        </w:rPr>
      </w:pPr>
      <w:r>
        <w:rPr>
          <w:rFonts w:ascii="Arial" w:eastAsia="Calibri" w:hAnsi="Arial" w:cs="Arial"/>
          <w:color w:val="3A3A3A"/>
          <w:sz w:val="24"/>
          <w:szCs w:val="24"/>
        </w:rPr>
        <w:t xml:space="preserve">Rodger, R. (2016) </w:t>
      </w:r>
      <w:r>
        <w:rPr>
          <w:rFonts w:ascii="Arial" w:eastAsia="Calibri" w:hAnsi="Arial" w:cs="Arial"/>
          <w:i/>
          <w:color w:val="3A3A3A"/>
          <w:sz w:val="24"/>
          <w:szCs w:val="24"/>
        </w:rPr>
        <w:t xml:space="preserve">Planning an Appropriate Curriculum in the Early Years: A guide for early years practitioners and leaders, students and parents </w:t>
      </w:r>
      <w:r>
        <w:rPr>
          <w:rFonts w:ascii="Arial" w:eastAsia="Calibri" w:hAnsi="Arial" w:cs="Arial"/>
          <w:color w:val="3A3A3A"/>
          <w:sz w:val="24"/>
          <w:szCs w:val="24"/>
        </w:rPr>
        <w:t>(4</w:t>
      </w:r>
      <w:r w:rsidRPr="006610CB">
        <w:rPr>
          <w:rFonts w:ascii="Arial" w:eastAsia="Calibri" w:hAnsi="Arial" w:cs="Arial"/>
          <w:color w:val="3A3A3A"/>
          <w:sz w:val="24"/>
          <w:szCs w:val="24"/>
          <w:vertAlign w:val="superscript"/>
        </w:rPr>
        <w:t>th</w:t>
      </w:r>
      <w:r>
        <w:rPr>
          <w:rFonts w:ascii="Arial" w:eastAsia="Calibri" w:hAnsi="Arial" w:cs="Arial"/>
          <w:color w:val="3A3A3A"/>
          <w:sz w:val="24"/>
          <w:szCs w:val="24"/>
        </w:rPr>
        <w:t xml:space="preserve"> Edition), </w:t>
      </w:r>
      <w:r w:rsidR="00F01AE7">
        <w:rPr>
          <w:rFonts w:ascii="Arial" w:eastAsia="Calibri" w:hAnsi="Arial" w:cs="Arial"/>
          <w:color w:val="3A3A3A"/>
          <w:sz w:val="24"/>
          <w:szCs w:val="24"/>
        </w:rPr>
        <w:t>London: Routledge</w:t>
      </w:r>
    </w:p>
    <w:p w14:paraId="69FE5997" w14:textId="5DBFE19A" w:rsidR="00D82547" w:rsidRDefault="00D82547" w:rsidP="16F106A5">
      <w:pPr>
        <w:rPr>
          <w:rFonts w:ascii="Arial" w:eastAsia="Calibri" w:hAnsi="Arial" w:cs="Arial"/>
          <w:color w:val="3A3A3A"/>
          <w:sz w:val="24"/>
          <w:szCs w:val="24"/>
        </w:rPr>
      </w:pPr>
    </w:p>
    <w:p w14:paraId="253EB26E" w14:textId="714FE57F" w:rsidR="00D82547" w:rsidRDefault="00D82547" w:rsidP="16F106A5">
      <w:pPr>
        <w:rPr>
          <w:rFonts w:ascii="Arial" w:eastAsia="Calibri" w:hAnsi="Arial" w:cs="Arial"/>
          <w:color w:val="3A3A3A"/>
          <w:sz w:val="24"/>
          <w:szCs w:val="24"/>
        </w:rPr>
      </w:pPr>
    </w:p>
    <w:p w14:paraId="21243A8A" w14:textId="05E68E49" w:rsidR="00D82547" w:rsidRDefault="00D82547" w:rsidP="16F106A5">
      <w:pPr>
        <w:rPr>
          <w:rFonts w:ascii="Arial" w:eastAsia="Calibri" w:hAnsi="Arial" w:cs="Arial"/>
          <w:color w:val="3A3A3A"/>
          <w:sz w:val="24"/>
          <w:szCs w:val="24"/>
        </w:rPr>
      </w:pPr>
    </w:p>
    <w:p w14:paraId="78ED4B4D" w14:textId="426EBF6F" w:rsidR="00D82547" w:rsidRDefault="00D82547" w:rsidP="16F106A5">
      <w:pPr>
        <w:rPr>
          <w:rFonts w:ascii="Arial" w:eastAsia="Calibri" w:hAnsi="Arial" w:cs="Arial"/>
          <w:color w:val="3A3A3A"/>
          <w:sz w:val="24"/>
          <w:szCs w:val="24"/>
        </w:rPr>
      </w:pPr>
    </w:p>
    <w:p w14:paraId="2DB2E5E9" w14:textId="432AD44A" w:rsidR="00D82547" w:rsidRDefault="00D82547" w:rsidP="16F106A5">
      <w:pPr>
        <w:rPr>
          <w:rFonts w:ascii="Arial" w:eastAsia="Calibri" w:hAnsi="Arial" w:cs="Arial"/>
          <w:color w:val="3A3A3A"/>
          <w:sz w:val="24"/>
          <w:szCs w:val="24"/>
        </w:rPr>
      </w:pPr>
    </w:p>
    <w:p w14:paraId="2BC7F2B1" w14:textId="77777777" w:rsidR="003152F7" w:rsidRDefault="003152F7" w:rsidP="16F106A5">
      <w:pPr>
        <w:rPr>
          <w:rFonts w:ascii="Arial" w:eastAsia="Calibri" w:hAnsi="Arial" w:cs="Arial"/>
          <w:color w:val="3A3A3A"/>
          <w:sz w:val="24"/>
          <w:szCs w:val="24"/>
        </w:rPr>
      </w:pPr>
    </w:p>
    <w:p w14:paraId="262C3C89" w14:textId="14841FE3" w:rsidR="00D82547" w:rsidRDefault="00D82547" w:rsidP="16F106A5">
      <w:pPr>
        <w:rPr>
          <w:rFonts w:ascii="Arial" w:eastAsia="Calibri" w:hAnsi="Arial" w:cs="Arial"/>
          <w:color w:val="3A3A3A"/>
          <w:sz w:val="24"/>
          <w:szCs w:val="24"/>
        </w:rPr>
      </w:pPr>
      <w:r>
        <w:rPr>
          <w:rFonts w:ascii="Arial" w:eastAsia="Calibri" w:hAnsi="Arial" w:cs="Arial"/>
          <w:color w:val="3A3A3A"/>
          <w:sz w:val="24"/>
          <w:szCs w:val="24"/>
        </w:rPr>
        <w:lastRenderedPageBreak/>
        <w:t>Appendix</w:t>
      </w:r>
    </w:p>
    <w:p w14:paraId="3EF38F44" w14:textId="76E34D05" w:rsidR="00D82547" w:rsidRPr="006610CB" w:rsidRDefault="00D82547" w:rsidP="16F106A5">
      <w:pPr>
        <w:rPr>
          <w:rFonts w:ascii="Arial" w:eastAsia="Calibri" w:hAnsi="Arial" w:cs="Arial"/>
          <w:color w:val="3A3A3A"/>
          <w:sz w:val="24"/>
          <w:szCs w:val="24"/>
        </w:rPr>
      </w:pPr>
      <w:r>
        <w:rPr>
          <w:noProof/>
        </w:rPr>
        <w:drawing>
          <wp:inline distT="0" distB="0" distL="0" distR="0" wp14:anchorId="090EB8F3" wp14:editId="7A8D0B39">
            <wp:extent cx="5731510" cy="4298950"/>
            <wp:effectExtent l="0" t="7620" r="0" b="0"/>
            <wp:docPr id="5" name="B88A241A-CABE-427D-A4CF-2F8076B71C9E" descr="image1.jpeg"/>
            <wp:cNvGraphicFramePr/>
            <a:graphic xmlns:a="http://schemas.openxmlformats.org/drawingml/2006/main">
              <a:graphicData uri="http://schemas.openxmlformats.org/drawingml/2006/picture">
                <pic:pic xmlns:pic="http://schemas.openxmlformats.org/drawingml/2006/picture">
                  <pic:nvPicPr>
                    <pic:cNvPr id="5" name="B88A241A-CABE-427D-A4CF-2F8076B71C9E" descr="image1.jpeg"/>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sectPr w:rsidR="00D82547" w:rsidRPr="006610CB" w:rsidSect="003152F7">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0A04BD"/>
    <w:rsid w:val="000243D0"/>
    <w:rsid w:val="00026A44"/>
    <w:rsid w:val="001A5E59"/>
    <w:rsid w:val="00220251"/>
    <w:rsid w:val="002756D3"/>
    <w:rsid w:val="002A4B4E"/>
    <w:rsid w:val="002E10DA"/>
    <w:rsid w:val="003007F1"/>
    <w:rsid w:val="003152F7"/>
    <w:rsid w:val="00332049"/>
    <w:rsid w:val="003723D6"/>
    <w:rsid w:val="003F0EAF"/>
    <w:rsid w:val="00493918"/>
    <w:rsid w:val="005513F5"/>
    <w:rsid w:val="006610CB"/>
    <w:rsid w:val="00666BF0"/>
    <w:rsid w:val="00777B75"/>
    <w:rsid w:val="008062EE"/>
    <w:rsid w:val="008217D5"/>
    <w:rsid w:val="008E2EE9"/>
    <w:rsid w:val="009E2648"/>
    <w:rsid w:val="009E338F"/>
    <w:rsid w:val="00A05974"/>
    <w:rsid w:val="00A42299"/>
    <w:rsid w:val="00A81DD3"/>
    <w:rsid w:val="00B1621D"/>
    <w:rsid w:val="00B55651"/>
    <w:rsid w:val="00BD6813"/>
    <w:rsid w:val="00CB6FDB"/>
    <w:rsid w:val="00D24843"/>
    <w:rsid w:val="00D748E7"/>
    <w:rsid w:val="00D82547"/>
    <w:rsid w:val="00D841AD"/>
    <w:rsid w:val="00E96CAC"/>
    <w:rsid w:val="00EE5C67"/>
    <w:rsid w:val="00F01AE7"/>
    <w:rsid w:val="00FD7B79"/>
    <w:rsid w:val="16F106A5"/>
    <w:rsid w:val="7B0A0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A04BD"/>
  <w15:chartTrackingRefBased/>
  <w15:docId w15:val="{1E3C3A84-352D-4A88-A890-20C3AA9DE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3152F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3152F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68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6813"/>
    <w:rPr>
      <w:b/>
      <w:bCs/>
    </w:rPr>
  </w:style>
  <w:style w:type="character" w:styleId="Hyperlink">
    <w:name w:val="Hyperlink"/>
    <w:basedOn w:val="DefaultParagraphFont"/>
    <w:uiPriority w:val="99"/>
    <w:unhideWhenUsed/>
    <w:rsid w:val="000243D0"/>
    <w:rPr>
      <w:color w:val="0563C1" w:themeColor="hyperlink"/>
      <w:u w:val="single"/>
    </w:rPr>
  </w:style>
  <w:style w:type="character" w:styleId="UnresolvedMention">
    <w:name w:val="Unresolved Mention"/>
    <w:basedOn w:val="DefaultParagraphFont"/>
    <w:uiPriority w:val="99"/>
    <w:semiHidden/>
    <w:unhideWhenUsed/>
    <w:rsid w:val="000243D0"/>
    <w:rPr>
      <w:color w:val="605E5C"/>
      <w:shd w:val="clear" w:color="auto" w:fill="E1DFDD"/>
    </w:rPr>
  </w:style>
  <w:style w:type="character" w:customStyle="1" w:styleId="Heading2Char">
    <w:name w:val="Heading 2 Char"/>
    <w:basedOn w:val="DefaultParagraphFont"/>
    <w:link w:val="Heading2"/>
    <w:semiHidden/>
    <w:rsid w:val="003152F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3152F7"/>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3152F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3152F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359435">
      <w:bodyDiv w:val="1"/>
      <w:marLeft w:val="0"/>
      <w:marRight w:val="0"/>
      <w:marTop w:val="0"/>
      <w:marBottom w:val="0"/>
      <w:divBdr>
        <w:top w:val="none" w:sz="0" w:space="0" w:color="auto"/>
        <w:left w:val="none" w:sz="0" w:space="0" w:color="auto"/>
        <w:bottom w:val="none" w:sz="0" w:space="0" w:color="auto"/>
        <w:right w:val="none" w:sz="0" w:space="0" w:color="auto"/>
      </w:divBdr>
    </w:div>
    <w:div w:id="195351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owritingteachers.org/2015/08/30/classroom-meeting-area/"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implypsychology.org/operant-conditioning.html#sc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image" Target="cid:53D71C12-7F14-4C9A-81D4-ED8366560553" TargetMode="External"/><Relationship Id="rId5" Type="http://schemas.openxmlformats.org/officeDocument/2006/relationships/image" Target="cid:image001.png@01D0EA4A.2BD679A0" TargetMode="External"/><Relationship Id="rId10" Type="http://schemas.openxmlformats.org/officeDocument/2006/relationships/image" Target="media/image3.jpeg"/><Relationship Id="rId4" Type="http://schemas.openxmlformats.org/officeDocument/2006/relationships/image" Target="media/image1.png"/><Relationship Id="rId9" Type="http://schemas.openxmlformats.org/officeDocument/2006/relationships/hyperlink" Target="https://core.ac.uk/download/pdf/828027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12</Pages>
  <Words>4019</Words>
  <Characters>22912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Bashford (1302079)</dc:creator>
  <cp:keywords/>
  <dc:description/>
  <cp:lastModifiedBy>Paul Bashford (1302079)</cp:lastModifiedBy>
  <cp:revision>4</cp:revision>
  <dcterms:created xsi:type="dcterms:W3CDTF">2018-10-16T11:05:00Z</dcterms:created>
  <dcterms:modified xsi:type="dcterms:W3CDTF">2018-10-17T13:17:00Z</dcterms:modified>
</cp:coreProperties>
</file>