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C4C55F" w14:textId="4FC1EDCF" w:rsidR="0067581A" w:rsidRPr="00415C43" w:rsidRDefault="0067581A" w:rsidP="00541AD4">
      <w:pPr>
        <w:spacing w:after="240" w:line="360" w:lineRule="auto"/>
        <w:jc w:val="center"/>
        <w:rPr>
          <w:rFonts w:eastAsia="Times New Roman"/>
          <w:b/>
          <w:bCs/>
          <w:sz w:val="32"/>
          <w:szCs w:val="32"/>
        </w:rPr>
      </w:pPr>
      <w:r w:rsidRPr="00415C43">
        <w:rPr>
          <w:b/>
          <w:bCs/>
          <w:noProof/>
          <w:sz w:val="28"/>
          <w:szCs w:val="28"/>
          <w:lang w:val="en-US"/>
        </w:rPr>
        <w:drawing>
          <wp:inline distT="0" distB="0" distL="0" distR="0" wp14:anchorId="5DCCF8DC" wp14:editId="1B7407E2">
            <wp:extent cx="3295650" cy="1171575"/>
            <wp:effectExtent l="0" t="0" r="0" b="9525"/>
            <wp:docPr id="5115835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583541" name=""/>
                    <pic:cNvPicPr/>
                  </pic:nvPicPr>
                  <pic:blipFill>
                    <a:blip r:embed="rId7"/>
                    <a:stretch>
                      <a:fillRect/>
                    </a:stretch>
                  </pic:blipFill>
                  <pic:spPr>
                    <a:xfrm>
                      <a:off x="0" y="0"/>
                      <a:ext cx="3295650" cy="1171575"/>
                    </a:xfrm>
                    <a:prstGeom prst="rect">
                      <a:avLst/>
                    </a:prstGeom>
                  </pic:spPr>
                </pic:pic>
              </a:graphicData>
            </a:graphic>
          </wp:inline>
        </w:drawing>
      </w:r>
    </w:p>
    <w:p w14:paraId="31CC29FA" w14:textId="77777777" w:rsidR="0067581A" w:rsidRPr="00415C43" w:rsidRDefault="0067581A" w:rsidP="00541AD4">
      <w:pPr>
        <w:spacing w:after="240" w:line="360" w:lineRule="auto"/>
        <w:jc w:val="center"/>
        <w:rPr>
          <w:rFonts w:eastAsia="Times New Roman"/>
          <w:b/>
          <w:bCs/>
          <w:sz w:val="32"/>
          <w:szCs w:val="32"/>
        </w:rPr>
      </w:pPr>
      <w:r w:rsidRPr="00415C43">
        <w:rPr>
          <w:rFonts w:eastAsia="Times New Roman"/>
          <w:b/>
          <w:bCs/>
          <w:sz w:val="32"/>
          <w:szCs w:val="32"/>
        </w:rPr>
        <w:t>Module: Financial Management</w:t>
      </w:r>
    </w:p>
    <w:p w14:paraId="5277F887" w14:textId="6CE97F6B" w:rsidR="0067581A" w:rsidRPr="00415C43" w:rsidRDefault="0067581A" w:rsidP="00541AD4">
      <w:pPr>
        <w:spacing w:after="240" w:line="360" w:lineRule="auto"/>
        <w:jc w:val="center"/>
        <w:rPr>
          <w:rFonts w:eastAsia="Times New Roman"/>
          <w:b/>
          <w:bCs/>
          <w:sz w:val="32"/>
          <w:szCs w:val="32"/>
        </w:rPr>
      </w:pPr>
      <w:r w:rsidRPr="00415C43">
        <w:rPr>
          <w:rFonts w:eastAsia="Times New Roman"/>
          <w:b/>
          <w:bCs/>
          <w:sz w:val="32"/>
          <w:szCs w:val="32"/>
        </w:rPr>
        <w:t>Module code: LCMB7002</w:t>
      </w:r>
    </w:p>
    <w:p w14:paraId="37C85F0B" w14:textId="1869E740" w:rsidR="0067581A" w:rsidRPr="00415C43" w:rsidRDefault="0067581A" w:rsidP="00541AD4">
      <w:pPr>
        <w:spacing w:after="240" w:line="360" w:lineRule="auto"/>
        <w:jc w:val="center"/>
        <w:rPr>
          <w:rFonts w:eastAsia="Times New Roman"/>
          <w:b/>
          <w:bCs/>
          <w:sz w:val="32"/>
          <w:szCs w:val="32"/>
        </w:rPr>
      </w:pPr>
      <w:r w:rsidRPr="00415C43">
        <w:rPr>
          <w:rFonts w:eastAsia="Times New Roman"/>
          <w:b/>
          <w:bCs/>
          <w:sz w:val="32"/>
          <w:szCs w:val="32"/>
        </w:rPr>
        <w:t>Assignment Title: Financial performance and management of Accor</w:t>
      </w:r>
    </w:p>
    <w:p w14:paraId="32683AA9" w14:textId="6F60B16E" w:rsidR="0067581A" w:rsidRPr="00415C43" w:rsidRDefault="0067581A" w:rsidP="00541AD4">
      <w:pPr>
        <w:spacing w:after="240" w:line="360" w:lineRule="auto"/>
        <w:jc w:val="center"/>
        <w:rPr>
          <w:rFonts w:eastAsia="Times New Roman"/>
          <w:b/>
          <w:bCs/>
          <w:sz w:val="32"/>
          <w:szCs w:val="32"/>
        </w:rPr>
      </w:pPr>
    </w:p>
    <w:p w14:paraId="3A86D978" w14:textId="0A0C75AC" w:rsidR="0067581A" w:rsidRPr="00415C43" w:rsidRDefault="0067581A" w:rsidP="00541AD4">
      <w:pPr>
        <w:spacing w:after="240" w:line="360" w:lineRule="auto"/>
        <w:jc w:val="center"/>
        <w:rPr>
          <w:rFonts w:eastAsia="Times New Roman"/>
          <w:b/>
          <w:bCs/>
          <w:sz w:val="32"/>
          <w:szCs w:val="32"/>
        </w:rPr>
      </w:pPr>
      <w:r w:rsidRPr="00415C43">
        <w:rPr>
          <w:rFonts w:eastAsia="Times New Roman"/>
          <w:b/>
          <w:bCs/>
          <w:sz w:val="32"/>
          <w:szCs w:val="32"/>
        </w:rPr>
        <w:t>Student Name:</w:t>
      </w:r>
      <w:r w:rsidR="00AC7AB2">
        <w:rPr>
          <w:rFonts w:eastAsia="Times New Roman"/>
          <w:b/>
          <w:bCs/>
          <w:sz w:val="32"/>
          <w:szCs w:val="32"/>
        </w:rPr>
        <w:t xml:space="preserve"> </w:t>
      </w:r>
      <w:r w:rsidR="00AC7AB2" w:rsidRPr="00AC7AB2">
        <w:rPr>
          <w:rFonts w:eastAsia="Times New Roman"/>
          <w:b/>
          <w:bCs/>
          <w:sz w:val="32"/>
          <w:szCs w:val="32"/>
        </w:rPr>
        <w:t>Kunjan patel</w:t>
      </w:r>
    </w:p>
    <w:p w14:paraId="5E3C89E2" w14:textId="431AC76F" w:rsidR="0067581A" w:rsidRPr="00415C43" w:rsidRDefault="0067581A" w:rsidP="00541AD4">
      <w:pPr>
        <w:spacing w:after="240" w:line="360" w:lineRule="auto"/>
        <w:jc w:val="center"/>
        <w:rPr>
          <w:rFonts w:eastAsia="Times New Roman"/>
          <w:b/>
          <w:bCs/>
          <w:sz w:val="32"/>
          <w:szCs w:val="32"/>
        </w:rPr>
      </w:pPr>
      <w:r w:rsidRPr="00415C43">
        <w:rPr>
          <w:rFonts w:eastAsia="Times New Roman"/>
          <w:b/>
          <w:bCs/>
          <w:sz w:val="32"/>
          <w:szCs w:val="32"/>
        </w:rPr>
        <w:t>Student ID:</w:t>
      </w:r>
      <w:r w:rsidR="00AC7AB2">
        <w:rPr>
          <w:rFonts w:eastAsia="Times New Roman"/>
          <w:b/>
          <w:bCs/>
          <w:sz w:val="32"/>
          <w:szCs w:val="32"/>
        </w:rPr>
        <w:t xml:space="preserve"> </w:t>
      </w:r>
      <w:r w:rsidR="00AC7AB2" w:rsidRPr="00AC7AB2">
        <w:rPr>
          <w:rFonts w:eastAsia="Times New Roman"/>
          <w:b/>
          <w:bCs/>
          <w:sz w:val="32"/>
          <w:szCs w:val="32"/>
        </w:rPr>
        <w:t>2540249</w:t>
      </w:r>
    </w:p>
    <w:p w14:paraId="2132BECB" w14:textId="786340C7" w:rsidR="0067581A" w:rsidRPr="00415C43" w:rsidRDefault="0067581A" w:rsidP="00541AD4">
      <w:pPr>
        <w:spacing w:after="240" w:line="360" w:lineRule="auto"/>
        <w:rPr>
          <w:rFonts w:eastAsia="Times New Roman"/>
          <w:sz w:val="24"/>
          <w:szCs w:val="24"/>
        </w:rPr>
      </w:pPr>
      <w:r w:rsidRPr="00415C43">
        <w:rPr>
          <w:rFonts w:eastAsia="Times New Roman"/>
          <w:sz w:val="24"/>
          <w:szCs w:val="24"/>
        </w:rPr>
        <w:br w:type="page"/>
      </w:r>
    </w:p>
    <w:sdt>
      <w:sdtPr>
        <w:rPr>
          <w:rFonts w:ascii="Arial" w:eastAsia="Arial" w:hAnsi="Arial" w:cs="Arial"/>
          <w:color w:val="auto"/>
          <w:sz w:val="22"/>
          <w:szCs w:val="22"/>
          <w:lang w:val="en-GB"/>
        </w:rPr>
        <w:id w:val="1016190593"/>
        <w:docPartObj>
          <w:docPartGallery w:val="Table of Contents"/>
          <w:docPartUnique/>
        </w:docPartObj>
      </w:sdtPr>
      <w:sdtEndPr>
        <w:rPr>
          <w:b/>
          <w:bCs/>
          <w:noProof/>
          <w:sz w:val="24"/>
          <w:szCs w:val="24"/>
        </w:rPr>
      </w:sdtEndPr>
      <w:sdtContent>
        <w:p w14:paraId="6BCCF355" w14:textId="6796C678" w:rsidR="0067581A" w:rsidRPr="00415C43" w:rsidRDefault="0067581A" w:rsidP="00541AD4">
          <w:pPr>
            <w:pStyle w:val="TOCHeading"/>
            <w:spacing w:before="0" w:after="240" w:line="360" w:lineRule="auto"/>
            <w:jc w:val="center"/>
            <w:rPr>
              <w:rFonts w:ascii="Arial" w:hAnsi="Arial" w:cs="Arial"/>
              <w:b/>
              <w:bCs/>
              <w:color w:val="auto"/>
              <w:sz w:val="28"/>
              <w:szCs w:val="28"/>
            </w:rPr>
          </w:pPr>
          <w:r w:rsidRPr="00415C43">
            <w:rPr>
              <w:rFonts w:ascii="Arial" w:hAnsi="Arial" w:cs="Arial"/>
              <w:b/>
              <w:bCs/>
              <w:color w:val="auto"/>
              <w:sz w:val="28"/>
              <w:szCs w:val="28"/>
            </w:rPr>
            <w:t>Table of Contents</w:t>
          </w:r>
        </w:p>
        <w:p w14:paraId="49C4E6E4" w14:textId="1B277A82" w:rsidR="00A24D68" w:rsidRPr="00A24D68" w:rsidRDefault="0067581A" w:rsidP="00541AD4">
          <w:pPr>
            <w:pStyle w:val="TOC1"/>
            <w:tabs>
              <w:tab w:val="right" w:leader="dot" w:pos="9019"/>
            </w:tabs>
            <w:spacing w:after="240" w:line="360" w:lineRule="auto"/>
            <w:rPr>
              <w:rFonts w:asciiTheme="minorHAnsi" w:eastAsiaTheme="minorEastAsia" w:hAnsiTheme="minorHAnsi" w:cstheme="minorBidi"/>
              <w:noProof/>
              <w:sz w:val="24"/>
              <w:szCs w:val="24"/>
              <w:lang w:val="en-US"/>
            </w:rPr>
          </w:pPr>
          <w:r w:rsidRPr="00A24D68">
            <w:rPr>
              <w:sz w:val="24"/>
              <w:szCs w:val="24"/>
            </w:rPr>
            <w:fldChar w:fldCharType="begin"/>
          </w:r>
          <w:r w:rsidRPr="00A24D68">
            <w:rPr>
              <w:sz w:val="24"/>
              <w:szCs w:val="24"/>
            </w:rPr>
            <w:instrText xml:space="preserve"> TOC \o "1-3" \h \z \u </w:instrText>
          </w:r>
          <w:r w:rsidRPr="00A24D68">
            <w:rPr>
              <w:sz w:val="24"/>
              <w:szCs w:val="24"/>
            </w:rPr>
            <w:fldChar w:fldCharType="separate"/>
          </w:r>
          <w:hyperlink w:anchor="_Toc236327946" w:history="1">
            <w:r w:rsidR="00A24D68" w:rsidRPr="00A24D68">
              <w:rPr>
                <w:rStyle w:val="Hyperlink"/>
                <w:noProof/>
                <w:sz w:val="24"/>
                <w:szCs w:val="24"/>
              </w:rPr>
              <w:t>Introduction</w:t>
            </w:r>
            <w:r w:rsidR="00A24D68" w:rsidRPr="00A24D68">
              <w:rPr>
                <w:noProof/>
                <w:webHidden/>
                <w:sz w:val="24"/>
                <w:szCs w:val="24"/>
              </w:rPr>
              <w:tab/>
            </w:r>
            <w:r w:rsidR="00A24D68" w:rsidRPr="00A24D68">
              <w:rPr>
                <w:noProof/>
                <w:webHidden/>
                <w:sz w:val="24"/>
                <w:szCs w:val="24"/>
              </w:rPr>
              <w:fldChar w:fldCharType="begin"/>
            </w:r>
            <w:r w:rsidR="00A24D68" w:rsidRPr="00A24D68">
              <w:rPr>
                <w:noProof/>
                <w:webHidden/>
                <w:sz w:val="24"/>
                <w:szCs w:val="24"/>
              </w:rPr>
              <w:instrText xml:space="preserve"> PAGEREF _Toc236327946 \h </w:instrText>
            </w:r>
            <w:r w:rsidR="00A24D68" w:rsidRPr="00A24D68">
              <w:rPr>
                <w:noProof/>
                <w:webHidden/>
                <w:sz w:val="24"/>
                <w:szCs w:val="24"/>
              </w:rPr>
            </w:r>
            <w:r w:rsidR="00A24D68" w:rsidRPr="00A24D68">
              <w:rPr>
                <w:noProof/>
                <w:webHidden/>
                <w:sz w:val="24"/>
                <w:szCs w:val="24"/>
              </w:rPr>
              <w:fldChar w:fldCharType="separate"/>
            </w:r>
            <w:r w:rsidR="00541AD4">
              <w:rPr>
                <w:noProof/>
                <w:webHidden/>
                <w:sz w:val="24"/>
                <w:szCs w:val="24"/>
              </w:rPr>
              <w:t>3</w:t>
            </w:r>
            <w:r w:rsidR="00A24D68" w:rsidRPr="00A24D68">
              <w:rPr>
                <w:noProof/>
                <w:webHidden/>
                <w:sz w:val="24"/>
                <w:szCs w:val="24"/>
              </w:rPr>
              <w:fldChar w:fldCharType="end"/>
            </w:r>
          </w:hyperlink>
        </w:p>
        <w:p w14:paraId="21DAA660" w14:textId="6EAAB604" w:rsidR="00A24D68" w:rsidRPr="00A24D68" w:rsidRDefault="00A24D68" w:rsidP="00541AD4">
          <w:pPr>
            <w:pStyle w:val="TOC1"/>
            <w:tabs>
              <w:tab w:val="right" w:leader="dot" w:pos="9019"/>
            </w:tabs>
            <w:spacing w:after="240" w:line="360" w:lineRule="auto"/>
            <w:rPr>
              <w:rFonts w:asciiTheme="minorHAnsi" w:eastAsiaTheme="minorEastAsia" w:hAnsiTheme="minorHAnsi" w:cstheme="minorBidi"/>
              <w:noProof/>
              <w:sz w:val="24"/>
              <w:szCs w:val="24"/>
              <w:lang w:val="en-US"/>
            </w:rPr>
          </w:pPr>
          <w:hyperlink w:anchor="_Toc236327947" w:history="1">
            <w:r w:rsidRPr="00A24D68">
              <w:rPr>
                <w:rStyle w:val="Hyperlink"/>
                <w:noProof/>
                <w:sz w:val="24"/>
                <w:szCs w:val="24"/>
              </w:rPr>
              <w:t>1. Financial Health Check</w:t>
            </w:r>
            <w:r w:rsidRPr="00A24D68">
              <w:rPr>
                <w:noProof/>
                <w:webHidden/>
                <w:sz w:val="24"/>
                <w:szCs w:val="24"/>
              </w:rPr>
              <w:tab/>
            </w:r>
            <w:r w:rsidRPr="00A24D68">
              <w:rPr>
                <w:noProof/>
                <w:webHidden/>
                <w:sz w:val="24"/>
                <w:szCs w:val="24"/>
              </w:rPr>
              <w:fldChar w:fldCharType="begin"/>
            </w:r>
            <w:r w:rsidRPr="00A24D68">
              <w:rPr>
                <w:noProof/>
                <w:webHidden/>
                <w:sz w:val="24"/>
                <w:szCs w:val="24"/>
              </w:rPr>
              <w:instrText xml:space="preserve"> PAGEREF _Toc236327947 \h </w:instrText>
            </w:r>
            <w:r w:rsidRPr="00A24D68">
              <w:rPr>
                <w:noProof/>
                <w:webHidden/>
                <w:sz w:val="24"/>
                <w:szCs w:val="24"/>
              </w:rPr>
            </w:r>
            <w:r w:rsidRPr="00A24D68">
              <w:rPr>
                <w:noProof/>
                <w:webHidden/>
                <w:sz w:val="24"/>
                <w:szCs w:val="24"/>
              </w:rPr>
              <w:fldChar w:fldCharType="separate"/>
            </w:r>
            <w:r w:rsidR="00541AD4">
              <w:rPr>
                <w:noProof/>
                <w:webHidden/>
                <w:sz w:val="24"/>
                <w:szCs w:val="24"/>
              </w:rPr>
              <w:t>3</w:t>
            </w:r>
            <w:r w:rsidRPr="00A24D68">
              <w:rPr>
                <w:noProof/>
                <w:webHidden/>
                <w:sz w:val="24"/>
                <w:szCs w:val="24"/>
              </w:rPr>
              <w:fldChar w:fldCharType="end"/>
            </w:r>
          </w:hyperlink>
        </w:p>
        <w:p w14:paraId="5C2D79C7" w14:textId="05E4F9CD" w:rsidR="00A24D68" w:rsidRPr="00A24D68" w:rsidRDefault="00A24D68" w:rsidP="00541AD4">
          <w:pPr>
            <w:pStyle w:val="TOC2"/>
            <w:tabs>
              <w:tab w:val="right" w:leader="dot" w:pos="9019"/>
            </w:tabs>
            <w:spacing w:after="240" w:line="360" w:lineRule="auto"/>
            <w:rPr>
              <w:rFonts w:asciiTheme="minorHAnsi" w:eastAsiaTheme="minorEastAsia" w:hAnsiTheme="minorHAnsi" w:cstheme="minorBidi"/>
              <w:noProof/>
              <w:sz w:val="24"/>
              <w:szCs w:val="24"/>
              <w:lang w:val="en-US"/>
            </w:rPr>
          </w:pPr>
          <w:hyperlink w:anchor="_Toc236327948" w:history="1">
            <w:r w:rsidRPr="00A24D68">
              <w:rPr>
                <w:rStyle w:val="Hyperlink"/>
                <w:noProof/>
                <w:sz w:val="24"/>
                <w:szCs w:val="24"/>
              </w:rPr>
              <w:t>1.1 Analysis financial statements of Accor</w:t>
            </w:r>
            <w:r w:rsidRPr="00A24D68">
              <w:rPr>
                <w:noProof/>
                <w:webHidden/>
                <w:sz w:val="24"/>
                <w:szCs w:val="24"/>
              </w:rPr>
              <w:tab/>
            </w:r>
            <w:r w:rsidRPr="00A24D68">
              <w:rPr>
                <w:noProof/>
                <w:webHidden/>
                <w:sz w:val="24"/>
                <w:szCs w:val="24"/>
              </w:rPr>
              <w:fldChar w:fldCharType="begin"/>
            </w:r>
            <w:r w:rsidRPr="00A24D68">
              <w:rPr>
                <w:noProof/>
                <w:webHidden/>
                <w:sz w:val="24"/>
                <w:szCs w:val="24"/>
              </w:rPr>
              <w:instrText xml:space="preserve"> PAGEREF _Toc236327948 \h </w:instrText>
            </w:r>
            <w:r w:rsidRPr="00A24D68">
              <w:rPr>
                <w:noProof/>
                <w:webHidden/>
                <w:sz w:val="24"/>
                <w:szCs w:val="24"/>
              </w:rPr>
            </w:r>
            <w:r w:rsidRPr="00A24D68">
              <w:rPr>
                <w:noProof/>
                <w:webHidden/>
                <w:sz w:val="24"/>
                <w:szCs w:val="24"/>
              </w:rPr>
              <w:fldChar w:fldCharType="separate"/>
            </w:r>
            <w:r w:rsidR="00541AD4">
              <w:rPr>
                <w:noProof/>
                <w:webHidden/>
                <w:sz w:val="24"/>
                <w:szCs w:val="24"/>
              </w:rPr>
              <w:t>3</w:t>
            </w:r>
            <w:r w:rsidRPr="00A24D68">
              <w:rPr>
                <w:noProof/>
                <w:webHidden/>
                <w:sz w:val="24"/>
                <w:szCs w:val="24"/>
              </w:rPr>
              <w:fldChar w:fldCharType="end"/>
            </w:r>
          </w:hyperlink>
        </w:p>
        <w:p w14:paraId="57A5BD61" w14:textId="33AF6FB5" w:rsidR="00A24D68" w:rsidRPr="00A24D68" w:rsidRDefault="00A24D68" w:rsidP="00541AD4">
          <w:pPr>
            <w:pStyle w:val="TOC2"/>
            <w:tabs>
              <w:tab w:val="right" w:leader="dot" w:pos="9019"/>
            </w:tabs>
            <w:spacing w:after="240" w:line="360" w:lineRule="auto"/>
            <w:rPr>
              <w:rFonts w:asciiTheme="minorHAnsi" w:eastAsiaTheme="minorEastAsia" w:hAnsiTheme="minorHAnsi" w:cstheme="minorBidi"/>
              <w:noProof/>
              <w:sz w:val="24"/>
              <w:szCs w:val="24"/>
              <w:lang w:val="en-US"/>
            </w:rPr>
          </w:pPr>
          <w:hyperlink w:anchor="_Toc236327949" w:history="1">
            <w:r w:rsidRPr="00A24D68">
              <w:rPr>
                <w:rStyle w:val="Hyperlink"/>
                <w:noProof/>
                <w:sz w:val="24"/>
                <w:szCs w:val="24"/>
              </w:rPr>
              <w:t>1.2 Ratio analysis</w:t>
            </w:r>
            <w:r w:rsidRPr="00A24D68">
              <w:rPr>
                <w:noProof/>
                <w:webHidden/>
                <w:sz w:val="24"/>
                <w:szCs w:val="24"/>
              </w:rPr>
              <w:tab/>
            </w:r>
            <w:r w:rsidRPr="00A24D68">
              <w:rPr>
                <w:noProof/>
                <w:webHidden/>
                <w:sz w:val="24"/>
                <w:szCs w:val="24"/>
              </w:rPr>
              <w:fldChar w:fldCharType="begin"/>
            </w:r>
            <w:r w:rsidRPr="00A24D68">
              <w:rPr>
                <w:noProof/>
                <w:webHidden/>
                <w:sz w:val="24"/>
                <w:szCs w:val="24"/>
              </w:rPr>
              <w:instrText xml:space="preserve"> PAGEREF _Toc236327949 \h </w:instrText>
            </w:r>
            <w:r w:rsidRPr="00A24D68">
              <w:rPr>
                <w:noProof/>
                <w:webHidden/>
                <w:sz w:val="24"/>
                <w:szCs w:val="24"/>
              </w:rPr>
            </w:r>
            <w:r w:rsidRPr="00A24D68">
              <w:rPr>
                <w:noProof/>
                <w:webHidden/>
                <w:sz w:val="24"/>
                <w:szCs w:val="24"/>
              </w:rPr>
              <w:fldChar w:fldCharType="separate"/>
            </w:r>
            <w:r w:rsidR="00541AD4">
              <w:rPr>
                <w:noProof/>
                <w:webHidden/>
                <w:sz w:val="24"/>
                <w:szCs w:val="24"/>
              </w:rPr>
              <w:t>4</w:t>
            </w:r>
            <w:r w:rsidRPr="00A24D68">
              <w:rPr>
                <w:noProof/>
                <w:webHidden/>
                <w:sz w:val="24"/>
                <w:szCs w:val="24"/>
              </w:rPr>
              <w:fldChar w:fldCharType="end"/>
            </w:r>
          </w:hyperlink>
        </w:p>
        <w:p w14:paraId="0C5F1645" w14:textId="588E8C65" w:rsidR="00A24D68" w:rsidRPr="00A24D68" w:rsidRDefault="00A24D68" w:rsidP="00541AD4">
          <w:pPr>
            <w:pStyle w:val="TOC2"/>
            <w:tabs>
              <w:tab w:val="right" w:leader="dot" w:pos="9019"/>
            </w:tabs>
            <w:spacing w:after="240" w:line="360" w:lineRule="auto"/>
            <w:rPr>
              <w:rFonts w:asciiTheme="minorHAnsi" w:eastAsiaTheme="minorEastAsia" w:hAnsiTheme="minorHAnsi" w:cstheme="minorBidi"/>
              <w:noProof/>
              <w:sz w:val="24"/>
              <w:szCs w:val="24"/>
              <w:lang w:val="en-US"/>
            </w:rPr>
          </w:pPr>
          <w:hyperlink w:anchor="_Toc236327950" w:history="1">
            <w:r w:rsidRPr="00A24D68">
              <w:rPr>
                <w:rStyle w:val="Hyperlink"/>
                <w:noProof/>
                <w:sz w:val="24"/>
                <w:szCs w:val="24"/>
              </w:rPr>
              <w:t>1.3 Identify trends, strengths, and potential threats</w:t>
            </w:r>
            <w:r w:rsidRPr="00A24D68">
              <w:rPr>
                <w:noProof/>
                <w:webHidden/>
                <w:sz w:val="24"/>
                <w:szCs w:val="24"/>
              </w:rPr>
              <w:tab/>
            </w:r>
            <w:r w:rsidRPr="00A24D68">
              <w:rPr>
                <w:noProof/>
                <w:webHidden/>
                <w:sz w:val="24"/>
                <w:szCs w:val="24"/>
              </w:rPr>
              <w:fldChar w:fldCharType="begin"/>
            </w:r>
            <w:r w:rsidRPr="00A24D68">
              <w:rPr>
                <w:noProof/>
                <w:webHidden/>
                <w:sz w:val="24"/>
                <w:szCs w:val="24"/>
              </w:rPr>
              <w:instrText xml:space="preserve"> PAGEREF _Toc236327950 \h </w:instrText>
            </w:r>
            <w:r w:rsidRPr="00A24D68">
              <w:rPr>
                <w:noProof/>
                <w:webHidden/>
                <w:sz w:val="24"/>
                <w:szCs w:val="24"/>
              </w:rPr>
            </w:r>
            <w:r w:rsidRPr="00A24D68">
              <w:rPr>
                <w:noProof/>
                <w:webHidden/>
                <w:sz w:val="24"/>
                <w:szCs w:val="24"/>
              </w:rPr>
              <w:fldChar w:fldCharType="separate"/>
            </w:r>
            <w:r w:rsidR="00541AD4">
              <w:rPr>
                <w:noProof/>
                <w:webHidden/>
                <w:sz w:val="24"/>
                <w:szCs w:val="24"/>
              </w:rPr>
              <w:t>5</w:t>
            </w:r>
            <w:r w:rsidRPr="00A24D68">
              <w:rPr>
                <w:noProof/>
                <w:webHidden/>
                <w:sz w:val="24"/>
                <w:szCs w:val="24"/>
              </w:rPr>
              <w:fldChar w:fldCharType="end"/>
            </w:r>
          </w:hyperlink>
        </w:p>
        <w:p w14:paraId="36E61B5A" w14:textId="63101712" w:rsidR="00A24D68" w:rsidRPr="00A24D68" w:rsidRDefault="00A24D68" w:rsidP="00541AD4">
          <w:pPr>
            <w:pStyle w:val="TOC2"/>
            <w:tabs>
              <w:tab w:val="right" w:leader="dot" w:pos="9019"/>
            </w:tabs>
            <w:spacing w:after="240" w:line="360" w:lineRule="auto"/>
            <w:rPr>
              <w:rFonts w:asciiTheme="minorHAnsi" w:eastAsiaTheme="minorEastAsia" w:hAnsiTheme="minorHAnsi" w:cstheme="minorBidi"/>
              <w:noProof/>
              <w:sz w:val="24"/>
              <w:szCs w:val="24"/>
              <w:lang w:val="en-US"/>
            </w:rPr>
          </w:pPr>
          <w:hyperlink w:anchor="_Toc236327951" w:history="1">
            <w:r w:rsidRPr="00A24D68">
              <w:rPr>
                <w:rStyle w:val="Hyperlink"/>
                <w:noProof/>
                <w:sz w:val="24"/>
                <w:szCs w:val="24"/>
              </w:rPr>
              <w:t>1.4 Comparison of liquidity ratios with industry benchmarks</w:t>
            </w:r>
            <w:r w:rsidRPr="00A24D68">
              <w:rPr>
                <w:noProof/>
                <w:webHidden/>
                <w:sz w:val="24"/>
                <w:szCs w:val="24"/>
              </w:rPr>
              <w:tab/>
            </w:r>
            <w:r w:rsidRPr="00A24D68">
              <w:rPr>
                <w:noProof/>
                <w:webHidden/>
                <w:sz w:val="24"/>
                <w:szCs w:val="24"/>
              </w:rPr>
              <w:fldChar w:fldCharType="begin"/>
            </w:r>
            <w:r w:rsidRPr="00A24D68">
              <w:rPr>
                <w:noProof/>
                <w:webHidden/>
                <w:sz w:val="24"/>
                <w:szCs w:val="24"/>
              </w:rPr>
              <w:instrText xml:space="preserve"> PAGEREF _Toc236327951 \h </w:instrText>
            </w:r>
            <w:r w:rsidRPr="00A24D68">
              <w:rPr>
                <w:noProof/>
                <w:webHidden/>
                <w:sz w:val="24"/>
                <w:szCs w:val="24"/>
              </w:rPr>
            </w:r>
            <w:r w:rsidRPr="00A24D68">
              <w:rPr>
                <w:noProof/>
                <w:webHidden/>
                <w:sz w:val="24"/>
                <w:szCs w:val="24"/>
              </w:rPr>
              <w:fldChar w:fldCharType="separate"/>
            </w:r>
            <w:r w:rsidR="00541AD4">
              <w:rPr>
                <w:noProof/>
                <w:webHidden/>
                <w:sz w:val="24"/>
                <w:szCs w:val="24"/>
              </w:rPr>
              <w:t>6</w:t>
            </w:r>
            <w:r w:rsidRPr="00A24D68">
              <w:rPr>
                <w:noProof/>
                <w:webHidden/>
                <w:sz w:val="24"/>
                <w:szCs w:val="24"/>
              </w:rPr>
              <w:fldChar w:fldCharType="end"/>
            </w:r>
          </w:hyperlink>
        </w:p>
        <w:p w14:paraId="34B40DB5" w14:textId="0DC17489" w:rsidR="00A24D68" w:rsidRPr="00541AD4" w:rsidRDefault="00A24D68" w:rsidP="00541AD4">
          <w:pPr>
            <w:pStyle w:val="TOC1"/>
            <w:tabs>
              <w:tab w:val="right" w:leader="dot" w:pos="9019"/>
            </w:tabs>
            <w:spacing w:after="240" w:line="360" w:lineRule="auto"/>
            <w:jc w:val="both"/>
            <w:rPr>
              <w:rFonts w:asciiTheme="minorHAnsi" w:eastAsiaTheme="minorEastAsia" w:hAnsiTheme="minorHAnsi" w:cstheme="minorBidi"/>
              <w:noProof/>
              <w:sz w:val="24"/>
              <w:szCs w:val="24"/>
              <w:lang w:val="en-US"/>
            </w:rPr>
          </w:pPr>
          <w:hyperlink w:anchor="_Toc236327952" w:history="1">
            <w:r w:rsidRPr="00541AD4">
              <w:rPr>
                <w:rStyle w:val="Hyperlink"/>
                <w:noProof/>
                <w:sz w:val="24"/>
                <w:szCs w:val="24"/>
              </w:rPr>
              <w:t>2. Working Capital Management Analysis</w:t>
            </w:r>
            <w:r w:rsidRPr="00541AD4">
              <w:rPr>
                <w:noProof/>
                <w:webHidden/>
                <w:sz w:val="24"/>
                <w:szCs w:val="24"/>
              </w:rPr>
              <w:tab/>
            </w:r>
            <w:r w:rsidRPr="00541AD4">
              <w:rPr>
                <w:noProof/>
                <w:webHidden/>
                <w:sz w:val="24"/>
                <w:szCs w:val="24"/>
              </w:rPr>
              <w:fldChar w:fldCharType="begin"/>
            </w:r>
            <w:r w:rsidRPr="00541AD4">
              <w:rPr>
                <w:noProof/>
                <w:webHidden/>
                <w:sz w:val="24"/>
                <w:szCs w:val="24"/>
              </w:rPr>
              <w:instrText xml:space="preserve"> PAGEREF _Toc236327952 \h </w:instrText>
            </w:r>
            <w:r w:rsidRPr="00541AD4">
              <w:rPr>
                <w:noProof/>
                <w:webHidden/>
                <w:sz w:val="24"/>
                <w:szCs w:val="24"/>
              </w:rPr>
            </w:r>
            <w:r w:rsidRPr="00541AD4">
              <w:rPr>
                <w:noProof/>
                <w:webHidden/>
                <w:sz w:val="24"/>
                <w:szCs w:val="24"/>
              </w:rPr>
              <w:fldChar w:fldCharType="separate"/>
            </w:r>
            <w:r w:rsidR="00541AD4" w:rsidRPr="00541AD4">
              <w:rPr>
                <w:noProof/>
                <w:webHidden/>
                <w:sz w:val="24"/>
                <w:szCs w:val="24"/>
              </w:rPr>
              <w:t>7</w:t>
            </w:r>
            <w:r w:rsidRPr="00541AD4">
              <w:rPr>
                <w:noProof/>
                <w:webHidden/>
                <w:sz w:val="24"/>
                <w:szCs w:val="24"/>
              </w:rPr>
              <w:fldChar w:fldCharType="end"/>
            </w:r>
          </w:hyperlink>
        </w:p>
        <w:p w14:paraId="7A7EB390" w14:textId="69235039" w:rsidR="00A24D68" w:rsidRPr="00541AD4" w:rsidRDefault="00A24D68" w:rsidP="00541AD4">
          <w:pPr>
            <w:pStyle w:val="TOC2"/>
            <w:tabs>
              <w:tab w:val="right" w:leader="dot" w:pos="9019"/>
            </w:tabs>
            <w:spacing w:after="240" w:line="360" w:lineRule="auto"/>
            <w:jc w:val="both"/>
            <w:rPr>
              <w:rFonts w:asciiTheme="minorHAnsi" w:eastAsiaTheme="minorEastAsia" w:hAnsiTheme="minorHAnsi" w:cstheme="minorBidi"/>
              <w:noProof/>
              <w:sz w:val="24"/>
              <w:szCs w:val="24"/>
              <w:lang w:val="en-US"/>
            </w:rPr>
          </w:pPr>
          <w:hyperlink w:anchor="_Toc236327953" w:history="1">
            <w:r w:rsidRPr="00541AD4">
              <w:rPr>
                <w:rStyle w:val="Hyperlink"/>
                <w:noProof/>
                <w:sz w:val="24"/>
                <w:szCs w:val="24"/>
              </w:rPr>
              <w:t>2.1 Cash operating cycle</w:t>
            </w:r>
            <w:r w:rsidRPr="00541AD4">
              <w:rPr>
                <w:noProof/>
                <w:webHidden/>
                <w:sz w:val="24"/>
                <w:szCs w:val="24"/>
              </w:rPr>
              <w:tab/>
            </w:r>
            <w:r w:rsidRPr="00541AD4">
              <w:rPr>
                <w:noProof/>
                <w:webHidden/>
                <w:sz w:val="24"/>
                <w:szCs w:val="24"/>
              </w:rPr>
              <w:fldChar w:fldCharType="begin"/>
            </w:r>
            <w:r w:rsidRPr="00541AD4">
              <w:rPr>
                <w:noProof/>
                <w:webHidden/>
                <w:sz w:val="24"/>
                <w:szCs w:val="24"/>
              </w:rPr>
              <w:instrText xml:space="preserve"> PAGEREF _Toc236327953 \h </w:instrText>
            </w:r>
            <w:r w:rsidRPr="00541AD4">
              <w:rPr>
                <w:noProof/>
                <w:webHidden/>
                <w:sz w:val="24"/>
                <w:szCs w:val="24"/>
              </w:rPr>
            </w:r>
            <w:r w:rsidRPr="00541AD4">
              <w:rPr>
                <w:noProof/>
                <w:webHidden/>
                <w:sz w:val="24"/>
                <w:szCs w:val="24"/>
              </w:rPr>
              <w:fldChar w:fldCharType="separate"/>
            </w:r>
            <w:r w:rsidR="00541AD4" w:rsidRPr="00541AD4">
              <w:rPr>
                <w:noProof/>
                <w:webHidden/>
                <w:sz w:val="24"/>
                <w:szCs w:val="24"/>
              </w:rPr>
              <w:t>7</w:t>
            </w:r>
            <w:r w:rsidRPr="00541AD4">
              <w:rPr>
                <w:noProof/>
                <w:webHidden/>
                <w:sz w:val="24"/>
                <w:szCs w:val="24"/>
              </w:rPr>
              <w:fldChar w:fldCharType="end"/>
            </w:r>
          </w:hyperlink>
        </w:p>
        <w:p w14:paraId="69BBA135" w14:textId="05DD3537" w:rsidR="00A24D68" w:rsidRPr="00541AD4" w:rsidRDefault="00A24D68" w:rsidP="00541AD4">
          <w:pPr>
            <w:pStyle w:val="TOC2"/>
            <w:tabs>
              <w:tab w:val="right" w:leader="dot" w:pos="9019"/>
            </w:tabs>
            <w:spacing w:after="240" w:line="360" w:lineRule="auto"/>
            <w:jc w:val="both"/>
            <w:rPr>
              <w:rFonts w:asciiTheme="minorHAnsi" w:eastAsiaTheme="minorEastAsia" w:hAnsiTheme="minorHAnsi" w:cstheme="minorBidi"/>
              <w:noProof/>
              <w:sz w:val="24"/>
              <w:szCs w:val="24"/>
              <w:lang w:val="en-US"/>
            </w:rPr>
          </w:pPr>
          <w:hyperlink w:anchor="_Toc236327954" w:history="1">
            <w:r w:rsidRPr="00541AD4">
              <w:rPr>
                <w:rStyle w:val="Hyperlink"/>
                <w:noProof/>
                <w:sz w:val="24"/>
                <w:szCs w:val="24"/>
              </w:rPr>
              <w:t>2.2 Working capital reforms strategies to improve liquidity.</w:t>
            </w:r>
            <w:r w:rsidRPr="00541AD4">
              <w:rPr>
                <w:noProof/>
                <w:webHidden/>
                <w:sz w:val="24"/>
                <w:szCs w:val="24"/>
              </w:rPr>
              <w:tab/>
            </w:r>
            <w:r w:rsidRPr="00541AD4">
              <w:rPr>
                <w:noProof/>
                <w:webHidden/>
                <w:sz w:val="24"/>
                <w:szCs w:val="24"/>
              </w:rPr>
              <w:fldChar w:fldCharType="begin"/>
            </w:r>
            <w:r w:rsidRPr="00541AD4">
              <w:rPr>
                <w:noProof/>
                <w:webHidden/>
                <w:sz w:val="24"/>
                <w:szCs w:val="24"/>
              </w:rPr>
              <w:instrText xml:space="preserve"> PAGEREF _Toc236327954 \h </w:instrText>
            </w:r>
            <w:r w:rsidRPr="00541AD4">
              <w:rPr>
                <w:noProof/>
                <w:webHidden/>
                <w:sz w:val="24"/>
                <w:szCs w:val="24"/>
              </w:rPr>
            </w:r>
            <w:r w:rsidRPr="00541AD4">
              <w:rPr>
                <w:noProof/>
                <w:webHidden/>
                <w:sz w:val="24"/>
                <w:szCs w:val="24"/>
              </w:rPr>
              <w:fldChar w:fldCharType="separate"/>
            </w:r>
            <w:r w:rsidR="00541AD4" w:rsidRPr="00541AD4">
              <w:rPr>
                <w:noProof/>
                <w:webHidden/>
                <w:sz w:val="24"/>
                <w:szCs w:val="24"/>
              </w:rPr>
              <w:t>8</w:t>
            </w:r>
            <w:r w:rsidRPr="00541AD4">
              <w:rPr>
                <w:noProof/>
                <w:webHidden/>
                <w:sz w:val="24"/>
                <w:szCs w:val="24"/>
              </w:rPr>
              <w:fldChar w:fldCharType="end"/>
            </w:r>
          </w:hyperlink>
        </w:p>
        <w:p w14:paraId="5E245EDF" w14:textId="2A5B3C9D" w:rsidR="00A24D68" w:rsidRPr="00541AD4" w:rsidRDefault="00A24D68" w:rsidP="00541AD4">
          <w:pPr>
            <w:pStyle w:val="TOC2"/>
            <w:tabs>
              <w:tab w:val="right" w:leader="dot" w:pos="9019"/>
            </w:tabs>
            <w:spacing w:after="240" w:line="360" w:lineRule="auto"/>
            <w:jc w:val="both"/>
            <w:rPr>
              <w:rFonts w:asciiTheme="minorHAnsi" w:eastAsiaTheme="minorEastAsia" w:hAnsiTheme="minorHAnsi" w:cstheme="minorBidi"/>
              <w:noProof/>
              <w:sz w:val="24"/>
              <w:szCs w:val="24"/>
              <w:lang w:val="en-US"/>
            </w:rPr>
          </w:pPr>
          <w:hyperlink w:anchor="_Toc236327955" w:history="1">
            <w:r w:rsidRPr="00541AD4">
              <w:rPr>
                <w:rStyle w:val="Hyperlink"/>
                <w:noProof/>
                <w:sz w:val="24"/>
                <w:szCs w:val="24"/>
              </w:rPr>
              <w:t>2.3 Compare short-term vs long-term financing options</w:t>
            </w:r>
            <w:r w:rsidRPr="00541AD4">
              <w:rPr>
                <w:noProof/>
                <w:webHidden/>
                <w:sz w:val="24"/>
                <w:szCs w:val="24"/>
              </w:rPr>
              <w:tab/>
            </w:r>
            <w:r w:rsidRPr="00541AD4">
              <w:rPr>
                <w:noProof/>
                <w:webHidden/>
                <w:sz w:val="24"/>
                <w:szCs w:val="24"/>
              </w:rPr>
              <w:fldChar w:fldCharType="begin"/>
            </w:r>
            <w:r w:rsidRPr="00541AD4">
              <w:rPr>
                <w:noProof/>
                <w:webHidden/>
                <w:sz w:val="24"/>
                <w:szCs w:val="24"/>
              </w:rPr>
              <w:instrText xml:space="preserve"> PAGEREF _Toc236327955 \h </w:instrText>
            </w:r>
            <w:r w:rsidRPr="00541AD4">
              <w:rPr>
                <w:noProof/>
                <w:webHidden/>
                <w:sz w:val="24"/>
                <w:szCs w:val="24"/>
              </w:rPr>
            </w:r>
            <w:r w:rsidRPr="00541AD4">
              <w:rPr>
                <w:noProof/>
                <w:webHidden/>
                <w:sz w:val="24"/>
                <w:szCs w:val="24"/>
              </w:rPr>
              <w:fldChar w:fldCharType="separate"/>
            </w:r>
            <w:r w:rsidR="00541AD4" w:rsidRPr="00541AD4">
              <w:rPr>
                <w:noProof/>
                <w:webHidden/>
                <w:sz w:val="24"/>
                <w:szCs w:val="24"/>
              </w:rPr>
              <w:t>8</w:t>
            </w:r>
            <w:r w:rsidRPr="00541AD4">
              <w:rPr>
                <w:noProof/>
                <w:webHidden/>
                <w:sz w:val="24"/>
                <w:szCs w:val="24"/>
              </w:rPr>
              <w:fldChar w:fldCharType="end"/>
            </w:r>
          </w:hyperlink>
        </w:p>
        <w:p w14:paraId="34586B14" w14:textId="3A81F85E" w:rsidR="00A24D68" w:rsidRPr="00541AD4" w:rsidRDefault="00A24D68" w:rsidP="00541AD4">
          <w:pPr>
            <w:pStyle w:val="TOC1"/>
            <w:tabs>
              <w:tab w:val="right" w:leader="dot" w:pos="9019"/>
            </w:tabs>
            <w:spacing w:after="240" w:line="360" w:lineRule="auto"/>
            <w:jc w:val="both"/>
            <w:rPr>
              <w:rFonts w:asciiTheme="minorHAnsi" w:eastAsiaTheme="minorEastAsia" w:hAnsiTheme="minorHAnsi" w:cstheme="minorBidi"/>
              <w:noProof/>
              <w:sz w:val="24"/>
              <w:szCs w:val="24"/>
              <w:lang w:val="en-US"/>
            </w:rPr>
          </w:pPr>
          <w:hyperlink w:anchor="_Toc236327956" w:history="1">
            <w:r w:rsidRPr="00541AD4">
              <w:rPr>
                <w:rStyle w:val="Hyperlink"/>
                <w:noProof/>
                <w:sz w:val="24"/>
                <w:szCs w:val="24"/>
              </w:rPr>
              <w:t>3. Strategic Financial Restructuring Plan</w:t>
            </w:r>
            <w:r w:rsidRPr="00541AD4">
              <w:rPr>
                <w:noProof/>
                <w:webHidden/>
                <w:sz w:val="24"/>
                <w:szCs w:val="24"/>
              </w:rPr>
              <w:tab/>
            </w:r>
            <w:r w:rsidRPr="00541AD4">
              <w:rPr>
                <w:noProof/>
                <w:webHidden/>
                <w:sz w:val="24"/>
                <w:szCs w:val="24"/>
              </w:rPr>
              <w:fldChar w:fldCharType="begin"/>
            </w:r>
            <w:r w:rsidRPr="00541AD4">
              <w:rPr>
                <w:noProof/>
                <w:webHidden/>
                <w:sz w:val="24"/>
                <w:szCs w:val="24"/>
              </w:rPr>
              <w:instrText xml:space="preserve"> PAGEREF _Toc236327956 \h </w:instrText>
            </w:r>
            <w:r w:rsidRPr="00541AD4">
              <w:rPr>
                <w:noProof/>
                <w:webHidden/>
                <w:sz w:val="24"/>
                <w:szCs w:val="24"/>
              </w:rPr>
            </w:r>
            <w:r w:rsidRPr="00541AD4">
              <w:rPr>
                <w:noProof/>
                <w:webHidden/>
                <w:sz w:val="24"/>
                <w:szCs w:val="24"/>
              </w:rPr>
              <w:fldChar w:fldCharType="separate"/>
            </w:r>
            <w:r w:rsidR="00541AD4" w:rsidRPr="00541AD4">
              <w:rPr>
                <w:noProof/>
                <w:webHidden/>
                <w:sz w:val="24"/>
                <w:szCs w:val="24"/>
              </w:rPr>
              <w:t>9</w:t>
            </w:r>
            <w:r w:rsidRPr="00541AD4">
              <w:rPr>
                <w:noProof/>
                <w:webHidden/>
                <w:sz w:val="24"/>
                <w:szCs w:val="24"/>
              </w:rPr>
              <w:fldChar w:fldCharType="end"/>
            </w:r>
          </w:hyperlink>
        </w:p>
        <w:p w14:paraId="3F109E7B" w14:textId="2A144FE8" w:rsidR="00A24D68" w:rsidRPr="00541AD4" w:rsidRDefault="00A24D68" w:rsidP="00541AD4">
          <w:pPr>
            <w:pStyle w:val="TOC2"/>
            <w:tabs>
              <w:tab w:val="right" w:leader="dot" w:pos="9019"/>
            </w:tabs>
            <w:spacing w:after="240" w:line="360" w:lineRule="auto"/>
            <w:jc w:val="both"/>
            <w:rPr>
              <w:rFonts w:asciiTheme="minorHAnsi" w:eastAsiaTheme="minorEastAsia" w:hAnsiTheme="minorHAnsi" w:cstheme="minorBidi"/>
              <w:noProof/>
              <w:sz w:val="24"/>
              <w:szCs w:val="24"/>
              <w:lang w:val="en-US"/>
            </w:rPr>
          </w:pPr>
          <w:hyperlink w:anchor="_Toc236327957" w:history="1">
            <w:r w:rsidRPr="00541AD4">
              <w:rPr>
                <w:rStyle w:val="Hyperlink"/>
                <w:noProof/>
                <w:sz w:val="24"/>
                <w:szCs w:val="24"/>
              </w:rPr>
              <w:t>3.1 Financial restructuring options</w:t>
            </w:r>
            <w:r w:rsidRPr="00541AD4">
              <w:rPr>
                <w:noProof/>
                <w:webHidden/>
                <w:sz w:val="24"/>
                <w:szCs w:val="24"/>
              </w:rPr>
              <w:tab/>
            </w:r>
            <w:r w:rsidRPr="00541AD4">
              <w:rPr>
                <w:noProof/>
                <w:webHidden/>
                <w:sz w:val="24"/>
                <w:szCs w:val="24"/>
              </w:rPr>
              <w:fldChar w:fldCharType="begin"/>
            </w:r>
            <w:r w:rsidRPr="00541AD4">
              <w:rPr>
                <w:noProof/>
                <w:webHidden/>
                <w:sz w:val="24"/>
                <w:szCs w:val="24"/>
              </w:rPr>
              <w:instrText xml:space="preserve"> PAGEREF _Toc236327957 \h </w:instrText>
            </w:r>
            <w:r w:rsidRPr="00541AD4">
              <w:rPr>
                <w:noProof/>
                <w:webHidden/>
                <w:sz w:val="24"/>
                <w:szCs w:val="24"/>
              </w:rPr>
            </w:r>
            <w:r w:rsidRPr="00541AD4">
              <w:rPr>
                <w:noProof/>
                <w:webHidden/>
                <w:sz w:val="24"/>
                <w:szCs w:val="24"/>
              </w:rPr>
              <w:fldChar w:fldCharType="separate"/>
            </w:r>
            <w:r w:rsidR="00541AD4" w:rsidRPr="00541AD4">
              <w:rPr>
                <w:noProof/>
                <w:webHidden/>
                <w:sz w:val="24"/>
                <w:szCs w:val="24"/>
              </w:rPr>
              <w:t>9</w:t>
            </w:r>
            <w:r w:rsidRPr="00541AD4">
              <w:rPr>
                <w:noProof/>
                <w:webHidden/>
                <w:sz w:val="24"/>
                <w:szCs w:val="24"/>
              </w:rPr>
              <w:fldChar w:fldCharType="end"/>
            </w:r>
          </w:hyperlink>
        </w:p>
        <w:p w14:paraId="7B9CA1B5" w14:textId="62BE521D" w:rsidR="00A24D68" w:rsidRPr="00541AD4" w:rsidRDefault="00A24D68" w:rsidP="00541AD4">
          <w:pPr>
            <w:pStyle w:val="TOC2"/>
            <w:tabs>
              <w:tab w:val="right" w:leader="dot" w:pos="9019"/>
            </w:tabs>
            <w:spacing w:after="240" w:line="360" w:lineRule="auto"/>
            <w:jc w:val="both"/>
            <w:rPr>
              <w:rFonts w:asciiTheme="minorHAnsi" w:eastAsiaTheme="minorEastAsia" w:hAnsiTheme="minorHAnsi" w:cstheme="minorBidi"/>
              <w:noProof/>
              <w:sz w:val="24"/>
              <w:szCs w:val="24"/>
              <w:lang w:val="en-US"/>
            </w:rPr>
          </w:pPr>
          <w:hyperlink w:anchor="_Toc236327958" w:history="1">
            <w:r w:rsidRPr="00541AD4">
              <w:rPr>
                <w:rStyle w:val="Hyperlink"/>
                <w:noProof/>
                <w:sz w:val="24"/>
                <w:szCs w:val="24"/>
              </w:rPr>
              <w:t>3.2 Evaluate the impact on shareholder value, debt structure and operational flexibility</w:t>
            </w:r>
            <w:r w:rsidRPr="00541AD4">
              <w:rPr>
                <w:noProof/>
                <w:webHidden/>
                <w:sz w:val="24"/>
                <w:szCs w:val="24"/>
              </w:rPr>
              <w:tab/>
            </w:r>
            <w:r w:rsidRPr="00541AD4">
              <w:rPr>
                <w:noProof/>
                <w:webHidden/>
                <w:sz w:val="24"/>
                <w:szCs w:val="24"/>
              </w:rPr>
              <w:fldChar w:fldCharType="begin"/>
            </w:r>
            <w:r w:rsidRPr="00541AD4">
              <w:rPr>
                <w:noProof/>
                <w:webHidden/>
                <w:sz w:val="24"/>
                <w:szCs w:val="24"/>
              </w:rPr>
              <w:instrText xml:space="preserve"> PAGEREF _Toc236327958 \h </w:instrText>
            </w:r>
            <w:r w:rsidRPr="00541AD4">
              <w:rPr>
                <w:noProof/>
                <w:webHidden/>
                <w:sz w:val="24"/>
                <w:szCs w:val="24"/>
              </w:rPr>
            </w:r>
            <w:r w:rsidRPr="00541AD4">
              <w:rPr>
                <w:noProof/>
                <w:webHidden/>
                <w:sz w:val="24"/>
                <w:szCs w:val="24"/>
              </w:rPr>
              <w:fldChar w:fldCharType="separate"/>
            </w:r>
            <w:r w:rsidR="00541AD4" w:rsidRPr="00541AD4">
              <w:rPr>
                <w:noProof/>
                <w:webHidden/>
                <w:sz w:val="24"/>
                <w:szCs w:val="24"/>
              </w:rPr>
              <w:t>11</w:t>
            </w:r>
            <w:r w:rsidRPr="00541AD4">
              <w:rPr>
                <w:noProof/>
                <w:webHidden/>
                <w:sz w:val="24"/>
                <w:szCs w:val="24"/>
              </w:rPr>
              <w:fldChar w:fldCharType="end"/>
            </w:r>
          </w:hyperlink>
        </w:p>
        <w:p w14:paraId="42F49277" w14:textId="20AAFBBF" w:rsidR="00A24D68" w:rsidRPr="00541AD4" w:rsidRDefault="00A24D68" w:rsidP="00541AD4">
          <w:pPr>
            <w:pStyle w:val="TOC2"/>
            <w:tabs>
              <w:tab w:val="right" w:leader="dot" w:pos="9019"/>
            </w:tabs>
            <w:spacing w:after="240" w:line="360" w:lineRule="auto"/>
            <w:jc w:val="both"/>
            <w:rPr>
              <w:rFonts w:asciiTheme="minorHAnsi" w:eastAsiaTheme="minorEastAsia" w:hAnsiTheme="minorHAnsi" w:cstheme="minorBidi"/>
              <w:noProof/>
              <w:sz w:val="24"/>
              <w:szCs w:val="24"/>
              <w:lang w:val="en-US"/>
            </w:rPr>
          </w:pPr>
          <w:hyperlink w:anchor="_Toc236327959" w:history="1">
            <w:r w:rsidRPr="00541AD4">
              <w:rPr>
                <w:rStyle w:val="Hyperlink"/>
                <w:noProof/>
                <w:sz w:val="24"/>
                <w:szCs w:val="24"/>
              </w:rPr>
              <w:t>3.3 Discuss international and ethical considerations</w:t>
            </w:r>
            <w:r w:rsidRPr="00541AD4">
              <w:rPr>
                <w:noProof/>
                <w:webHidden/>
                <w:sz w:val="24"/>
                <w:szCs w:val="24"/>
              </w:rPr>
              <w:tab/>
            </w:r>
            <w:r w:rsidRPr="00541AD4">
              <w:rPr>
                <w:noProof/>
                <w:webHidden/>
                <w:sz w:val="24"/>
                <w:szCs w:val="24"/>
              </w:rPr>
              <w:fldChar w:fldCharType="begin"/>
            </w:r>
            <w:r w:rsidRPr="00541AD4">
              <w:rPr>
                <w:noProof/>
                <w:webHidden/>
                <w:sz w:val="24"/>
                <w:szCs w:val="24"/>
              </w:rPr>
              <w:instrText xml:space="preserve"> PAGEREF _Toc236327959 \h </w:instrText>
            </w:r>
            <w:r w:rsidRPr="00541AD4">
              <w:rPr>
                <w:noProof/>
                <w:webHidden/>
                <w:sz w:val="24"/>
                <w:szCs w:val="24"/>
              </w:rPr>
            </w:r>
            <w:r w:rsidRPr="00541AD4">
              <w:rPr>
                <w:noProof/>
                <w:webHidden/>
                <w:sz w:val="24"/>
                <w:szCs w:val="24"/>
              </w:rPr>
              <w:fldChar w:fldCharType="separate"/>
            </w:r>
            <w:r w:rsidR="00541AD4" w:rsidRPr="00541AD4">
              <w:rPr>
                <w:noProof/>
                <w:webHidden/>
                <w:sz w:val="24"/>
                <w:szCs w:val="24"/>
              </w:rPr>
              <w:t>12</w:t>
            </w:r>
            <w:r w:rsidRPr="00541AD4">
              <w:rPr>
                <w:noProof/>
                <w:webHidden/>
                <w:sz w:val="24"/>
                <w:szCs w:val="24"/>
              </w:rPr>
              <w:fldChar w:fldCharType="end"/>
            </w:r>
          </w:hyperlink>
        </w:p>
        <w:p w14:paraId="3BA3C6DB" w14:textId="732F04C6" w:rsidR="00A24D68" w:rsidRPr="00541AD4" w:rsidRDefault="00A24D68" w:rsidP="00541AD4">
          <w:pPr>
            <w:pStyle w:val="TOC1"/>
            <w:tabs>
              <w:tab w:val="right" w:leader="dot" w:pos="9019"/>
            </w:tabs>
            <w:spacing w:after="240" w:line="360" w:lineRule="auto"/>
            <w:jc w:val="both"/>
            <w:rPr>
              <w:rFonts w:asciiTheme="minorHAnsi" w:eastAsiaTheme="minorEastAsia" w:hAnsiTheme="minorHAnsi" w:cstheme="minorBidi"/>
              <w:noProof/>
              <w:sz w:val="24"/>
              <w:szCs w:val="24"/>
              <w:lang w:val="en-US"/>
            </w:rPr>
          </w:pPr>
          <w:hyperlink w:anchor="_Toc236327960" w:history="1">
            <w:r w:rsidRPr="00541AD4">
              <w:rPr>
                <w:rStyle w:val="Hyperlink"/>
                <w:noProof/>
                <w:sz w:val="24"/>
                <w:szCs w:val="24"/>
              </w:rPr>
              <w:t>4. Investment Appraisal and Capital Budgeting</w:t>
            </w:r>
            <w:r w:rsidRPr="00541AD4">
              <w:rPr>
                <w:noProof/>
                <w:webHidden/>
                <w:sz w:val="24"/>
                <w:szCs w:val="24"/>
              </w:rPr>
              <w:tab/>
            </w:r>
            <w:r w:rsidRPr="00541AD4">
              <w:rPr>
                <w:noProof/>
                <w:webHidden/>
                <w:sz w:val="24"/>
                <w:szCs w:val="24"/>
              </w:rPr>
              <w:fldChar w:fldCharType="begin"/>
            </w:r>
            <w:r w:rsidRPr="00541AD4">
              <w:rPr>
                <w:noProof/>
                <w:webHidden/>
                <w:sz w:val="24"/>
                <w:szCs w:val="24"/>
              </w:rPr>
              <w:instrText xml:space="preserve"> PAGEREF _Toc236327960 \h </w:instrText>
            </w:r>
            <w:r w:rsidRPr="00541AD4">
              <w:rPr>
                <w:noProof/>
                <w:webHidden/>
                <w:sz w:val="24"/>
                <w:szCs w:val="24"/>
              </w:rPr>
            </w:r>
            <w:r w:rsidRPr="00541AD4">
              <w:rPr>
                <w:noProof/>
                <w:webHidden/>
                <w:sz w:val="24"/>
                <w:szCs w:val="24"/>
              </w:rPr>
              <w:fldChar w:fldCharType="separate"/>
            </w:r>
            <w:r w:rsidR="00541AD4" w:rsidRPr="00541AD4">
              <w:rPr>
                <w:noProof/>
                <w:webHidden/>
                <w:sz w:val="24"/>
                <w:szCs w:val="24"/>
              </w:rPr>
              <w:t>12</w:t>
            </w:r>
            <w:r w:rsidRPr="00541AD4">
              <w:rPr>
                <w:noProof/>
                <w:webHidden/>
                <w:sz w:val="24"/>
                <w:szCs w:val="24"/>
              </w:rPr>
              <w:fldChar w:fldCharType="end"/>
            </w:r>
          </w:hyperlink>
        </w:p>
        <w:p w14:paraId="1510A16B" w14:textId="6498EE77" w:rsidR="00A24D68" w:rsidRPr="00541AD4" w:rsidRDefault="00A24D68" w:rsidP="00541AD4">
          <w:pPr>
            <w:pStyle w:val="TOC2"/>
            <w:tabs>
              <w:tab w:val="right" w:leader="dot" w:pos="9019"/>
            </w:tabs>
            <w:spacing w:after="240" w:line="360" w:lineRule="auto"/>
            <w:jc w:val="both"/>
            <w:rPr>
              <w:rFonts w:asciiTheme="minorHAnsi" w:eastAsiaTheme="minorEastAsia" w:hAnsiTheme="minorHAnsi" w:cstheme="minorBidi"/>
              <w:noProof/>
              <w:sz w:val="24"/>
              <w:szCs w:val="24"/>
              <w:lang w:val="en-US"/>
            </w:rPr>
          </w:pPr>
          <w:hyperlink w:anchor="_Toc236327961" w:history="1">
            <w:r w:rsidRPr="00541AD4">
              <w:rPr>
                <w:rStyle w:val="Hyperlink"/>
                <w:noProof/>
                <w:sz w:val="24"/>
                <w:szCs w:val="24"/>
              </w:rPr>
              <w:t>4.1 Investment Appraisal Overview</w:t>
            </w:r>
            <w:r w:rsidRPr="00541AD4">
              <w:rPr>
                <w:noProof/>
                <w:webHidden/>
                <w:sz w:val="24"/>
                <w:szCs w:val="24"/>
              </w:rPr>
              <w:tab/>
            </w:r>
            <w:r w:rsidRPr="00541AD4">
              <w:rPr>
                <w:noProof/>
                <w:webHidden/>
                <w:sz w:val="24"/>
                <w:szCs w:val="24"/>
              </w:rPr>
              <w:fldChar w:fldCharType="begin"/>
            </w:r>
            <w:r w:rsidRPr="00541AD4">
              <w:rPr>
                <w:noProof/>
                <w:webHidden/>
                <w:sz w:val="24"/>
                <w:szCs w:val="24"/>
              </w:rPr>
              <w:instrText xml:space="preserve"> PAGEREF _Toc236327961 \h </w:instrText>
            </w:r>
            <w:r w:rsidRPr="00541AD4">
              <w:rPr>
                <w:noProof/>
                <w:webHidden/>
                <w:sz w:val="24"/>
                <w:szCs w:val="24"/>
              </w:rPr>
            </w:r>
            <w:r w:rsidRPr="00541AD4">
              <w:rPr>
                <w:noProof/>
                <w:webHidden/>
                <w:sz w:val="24"/>
                <w:szCs w:val="24"/>
              </w:rPr>
              <w:fldChar w:fldCharType="separate"/>
            </w:r>
            <w:r w:rsidR="00541AD4" w:rsidRPr="00541AD4">
              <w:rPr>
                <w:noProof/>
                <w:webHidden/>
                <w:sz w:val="24"/>
                <w:szCs w:val="24"/>
              </w:rPr>
              <w:t>12</w:t>
            </w:r>
            <w:r w:rsidRPr="00541AD4">
              <w:rPr>
                <w:noProof/>
                <w:webHidden/>
                <w:sz w:val="24"/>
                <w:szCs w:val="24"/>
              </w:rPr>
              <w:fldChar w:fldCharType="end"/>
            </w:r>
          </w:hyperlink>
        </w:p>
        <w:p w14:paraId="3A0D41E4" w14:textId="744086D6" w:rsidR="00A24D68" w:rsidRPr="00541AD4" w:rsidRDefault="00A24D68" w:rsidP="00541AD4">
          <w:pPr>
            <w:pStyle w:val="TOC2"/>
            <w:tabs>
              <w:tab w:val="right" w:leader="dot" w:pos="9019"/>
            </w:tabs>
            <w:spacing w:after="240" w:line="360" w:lineRule="auto"/>
            <w:jc w:val="both"/>
            <w:rPr>
              <w:rFonts w:asciiTheme="minorHAnsi" w:eastAsiaTheme="minorEastAsia" w:hAnsiTheme="minorHAnsi" w:cstheme="minorBidi"/>
              <w:noProof/>
              <w:sz w:val="24"/>
              <w:szCs w:val="24"/>
              <w:lang w:val="en-US"/>
            </w:rPr>
          </w:pPr>
          <w:hyperlink w:anchor="_Toc236327962" w:history="1">
            <w:r w:rsidRPr="00541AD4">
              <w:rPr>
                <w:rStyle w:val="Hyperlink"/>
                <w:noProof/>
                <w:sz w:val="24"/>
                <w:szCs w:val="24"/>
              </w:rPr>
              <w:t>4.2 Investment Appraisal of Proposed Projects</w:t>
            </w:r>
            <w:r w:rsidRPr="00541AD4">
              <w:rPr>
                <w:noProof/>
                <w:webHidden/>
                <w:sz w:val="24"/>
                <w:szCs w:val="24"/>
              </w:rPr>
              <w:tab/>
            </w:r>
            <w:r w:rsidRPr="00541AD4">
              <w:rPr>
                <w:noProof/>
                <w:webHidden/>
                <w:sz w:val="24"/>
                <w:szCs w:val="24"/>
              </w:rPr>
              <w:fldChar w:fldCharType="begin"/>
            </w:r>
            <w:r w:rsidRPr="00541AD4">
              <w:rPr>
                <w:noProof/>
                <w:webHidden/>
                <w:sz w:val="24"/>
                <w:szCs w:val="24"/>
              </w:rPr>
              <w:instrText xml:space="preserve"> PAGEREF _Toc236327962 \h </w:instrText>
            </w:r>
            <w:r w:rsidRPr="00541AD4">
              <w:rPr>
                <w:noProof/>
                <w:webHidden/>
                <w:sz w:val="24"/>
                <w:szCs w:val="24"/>
              </w:rPr>
            </w:r>
            <w:r w:rsidRPr="00541AD4">
              <w:rPr>
                <w:noProof/>
                <w:webHidden/>
                <w:sz w:val="24"/>
                <w:szCs w:val="24"/>
              </w:rPr>
              <w:fldChar w:fldCharType="separate"/>
            </w:r>
            <w:r w:rsidR="00541AD4" w:rsidRPr="00541AD4">
              <w:rPr>
                <w:noProof/>
                <w:webHidden/>
                <w:sz w:val="24"/>
                <w:szCs w:val="24"/>
              </w:rPr>
              <w:t>13</w:t>
            </w:r>
            <w:r w:rsidRPr="00541AD4">
              <w:rPr>
                <w:noProof/>
                <w:webHidden/>
                <w:sz w:val="24"/>
                <w:szCs w:val="24"/>
              </w:rPr>
              <w:fldChar w:fldCharType="end"/>
            </w:r>
          </w:hyperlink>
        </w:p>
        <w:p w14:paraId="29A58E43" w14:textId="151C18A6" w:rsidR="00A24D68" w:rsidRPr="00541AD4" w:rsidRDefault="00A24D68" w:rsidP="00541AD4">
          <w:pPr>
            <w:pStyle w:val="TOC2"/>
            <w:tabs>
              <w:tab w:val="right" w:leader="dot" w:pos="9019"/>
            </w:tabs>
            <w:spacing w:after="240" w:line="360" w:lineRule="auto"/>
            <w:jc w:val="both"/>
            <w:rPr>
              <w:rFonts w:asciiTheme="minorHAnsi" w:eastAsiaTheme="minorEastAsia" w:hAnsiTheme="minorHAnsi" w:cstheme="minorBidi"/>
              <w:noProof/>
              <w:sz w:val="24"/>
              <w:szCs w:val="24"/>
              <w:lang w:val="en-US"/>
            </w:rPr>
          </w:pPr>
          <w:hyperlink w:anchor="_Toc236327963" w:history="1">
            <w:r w:rsidRPr="00541AD4">
              <w:rPr>
                <w:rStyle w:val="Hyperlink"/>
                <w:noProof/>
                <w:sz w:val="24"/>
                <w:szCs w:val="24"/>
              </w:rPr>
              <w:t>4.3 Recommendation of the most suitable project with justification</w:t>
            </w:r>
            <w:r w:rsidRPr="00541AD4">
              <w:rPr>
                <w:noProof/>
                <w:webHidden/>
                <w:sz w:val="24"/>
                <w:szCs w:val="24"/>
              </w:rPr>
              <w:tab/>
            </w:r>
            <w:r w:rsidRPr="00541AD4">
              <w:rPr>
                <w:noProof/>
                <w:webHidden/>
                <w:sz w:val="24"/>
                <w:szCs w:val="24"/>
              </w:rPr>
              <w:fldChar w:fldCharType="begin"/>
            </w:r>
            <w:r w:rsidRPr="00541AD4">
              <w:rPr>
                <w:noProof/>
                <w:webHidden/>
                <w:sz w:val="24"/>
                <w:szCs w:val="24"/>
              </w:rPr>
              <w:instrText xml:space="preserve"> PAGEREF _Toc236327963 \h </w:instrText>
            </w:r>
            <w:r w:rsidRPr="00541AD4">
              <w:rPr>
                <w:noProof/>
                <w:webHidden/>
                <w:sz w:val="24"/>
                <w:szCs w:val="24"/>
              </w:rPr>
            </w:r>
            <w:r w:rsidRPr="00541AD4">
              <w:rPr>
                <w:noProof/>
                <w:webHidden/>
                <w:sz w:val="24"/>
                <w:szCs w:val="24"/>
              </w:rPr>
              <w:fldChar w:fldCharType="separate"/>
            </w:r>
            <w:r w:rsidR="00541AD4" w:rsidRPr="00541AD4">
              <w:rPr>
                <w:noProof/>
                <w:webHidden/>
                <w:sz w:val="24"/>
                <w:szCs w:val="24"/>
              </w:rPr>
              <w:t>14</w:t>
            </w:r>
            <w:r w:rsidRPr="00541AD4">
              <w:rPr>
                <w:noProof/>
                <w:webHidden/>
                <w:sz w:val="24"/>
                <w:szCs w:val="24"/>
              </w:rPr>
              <w:fldChar w:fldCharType="end"/>
            </w:r>
          </w:hyperlink>
        </w:p>
        <w:p w14:paraId="4F4F704A" w14:textId="6A27788D" w:rsidR="00A24D68" w:rsidRPr="00541AD4" w:rsidRDefault="00A24D68" w:rsidP="00541AD4">
          <w:pPr>
            <w:pStyle w:val="TOC2"/>
            <w:tabs>
              <w:tab w:val="right" w:leader="dot" w:pos="9019"/>
            </w:tabs>
            <w:spacing w:after="240" w:line="360" w:lineRule="auto"/>
            <w:jc w:val="both"/>
            <w:rPr>
              <w:rFonts w:asciiTheme="minorHAnsi" w:eastAsiaTheme="minorEastAsia" w:hAnsiTheme="minorHAnsi" w:cstheme="minorBidi"/>
              <w:noProof/>
              <w:sz w:val="24"/>
              <w:szCs w:val="24"/>
              <w:lang w:val="en-US"/>
            </w:rPr>
          </w:pPr>
          <w:hyperlink w:anchor="_Toc236327964" w:history="1">
            <w:r w:rsidRPr="00541AD4">
              <w:rPr>
                <w:rStyle w:val="Hyperlink"/>
                <w:noProof/>
                <w:sz w:val="24"/>
                <w:szCs w:val="24"/>
              </w:rPr>
              <w:t>4.4 Capital Rationing</w:t>
            </w:r>
            <w:r w:rsidRPr="00541AD4">
              <w:rPr>
                <w:noProof/>
                <w:webHidden/>
                <w:sz w:val="24"/>
                <w:szCs w:val="24"/>
              </w:rPr>
              <w:tab/>
            </w:r>
            <w:r w:rsidRPr="00541AD4">
              <w:rPr>
                <w:noProof/>
                <w:webHidden/>
                <w:sz w:val="24"/>
                <w:szCs w:val="24"/>
              </w:rPr>
              <w:fldChar w:fldCharType="begin"/>
            </w:r>
            <w:r w:rsidRPr="00541AD4">
              <w:rPr>
                <w:noProof/>
                <w:webHidden/>
                <w:sz w:val="24"/>
                <w:szCs w:val="24"/>
              </w:rPr>
              <w:instrText xml:space="preserve"> PAGEREF _Toc236327964 \h </w:instrText>
            </w:r>
            <w:r w:rsidRPr="00541AD4">
              <w:rPr>
                <w:noProof/>
                <w:webHidden/>
                <w:sz w:val="24"/>
                <w:szCs w:val="24"/>
              </w:rPr>
            </w:r>
            <w:r w:rsidRPr="00541AD4">
              <w:rPr>
                <w:noProof/>
                <w:webHidden/>
                <w:sz w:val="24"/>
                <w:szCs w:val="24"/>
              </w:rPr>
              <w:fldChar w:fldCharType="separate"/>
            </w:r>
            <w:r w:rsidR="00541AD4" w:rsidRPr="00541AD4">
              <w:rPr>
                <w:noProof/>
                <w:webHidden/>
                <w:sz w:val="24"/>
                <w:szCs w:val="24"/>
              </w:rPr>
              <w:t>15</w:t>
            </w:r>
            <w:r w:rsidRPr="00541AD4">
              <w:rPr>
                <w:noProof/>
                <w:webHidden/>
                <w:sz w:val="24"/>
                <w:szCs w:val="24"/>
              </w:rPr>
              <w:fldChar w:fldCharType="end"/>
            </w:r>
          </w:hyperlink>
        </w:p>
        <w:p w14:paraId="35939974" w14:textId="26AB4090" w:rsidR="00A24D68" w:rsidRPr="00541AD4" w:rsidRDefault="00A24D68" w:rsidP="00541AD4">
          <w:pPr>
            <w:pStyle w:val="TOC1"/>
            <w:tabs>
              <w:tab w:val="right" w:leader="dot" w:pos="9019"/>
            </w:tabs>
            <w:spacing w:after="240" w:line="360" w:lineRule="auto"/>
            <w:jc w:val="both"/>
            <w:rPr>
              <w:rFonts w:asciiTheme="minorHAnsi" w:eastAsiaTheme="minorEastAsia" w:hAnsiTheme="minorHAnsi" w:cstheme="minorBidi"/>
              <w:noProof/>
              <w:sz w:val="24"/>
              <w:szCs w:val="24"/>
              <w:lang w:val="en-US"/>
            </w:rPr>
          </w:pPr>
          <w:hyperlink w:anchor="_Toc236327965" w:history="1">
            <w:r w:rsidRPr="00541AD4">
              <w:rPr>
                <w:rStyle w:val="Hyperlink"/>
                <w:noProof/>
                <w:sz w:val="24"/>
                <w:szCs w:val="24"/>
              </w:rPr>
              <w:t>6. Critical Reflection on AI Usage</w:t>
            </w:r>
            <w:r w:rsidRPr="00541AD4">
              <w:rPr>
                <w:noProof/>
                <w:webHidden/>
                <w:sz w:val="24"/>
                <w:szCs w:val="24"/>
              </w:rPr>
              <w:tab/>
            </w:r>
            <w:r w:rsidRPr="00541AD4">
              <w:rPr>
                <w:noProof/>
                <w:webHidden/>
                <w:sz w:val="24"/>
                <w:szCs w:val="24"/>
              </w:rPr>
              <w:fldChar w:fldCharType="begin"/>
            </w:r>
            <w:r w:rsidRPr="00541AD4">
              <w:rPr>
                <w:noProof/>
                <w:webHidden/>
                <w:sz w:val="24"/>
                <w:szCs w:val="24"/>
              </w:rPr>
              <w:instrText xml:space="preserve"> PAGEREF _Toc236327965 \h </w:instrText>
            </w:r>
            <w:r w:rsidRPr="00541AD4">
              <w:rPr>
                <w:noProof/>
                <w:webHidden/>
                <w:sz w:val="24"/>
                <w:szCs w:val="24"/>
              </w:rPr>
            </w:r>
            <w:r w:rsidRPr="00541AD4">
              <w:rPr>
                <w:noProof/>
                <w:webHidden/>
                <w:sz w:val="24"/>
                <w:szCs w:val="24"/>
              </w:rPr>
              <w:fldChar w:fldCharType="separate"/>
            </w:r>
            <w:r w:rsidR="00541AD4" w:rsidRPr="00541AD4">
              <w:rPr>
                <w:noProof/>
                <w:webHidden/>
                <w:sz w:val="24"/>
                <w:szCs w:val="24"/>
              </w:rPr>
              <w:t>16</w:t>
            </w:r>
            <w:r w:rsidRPr="00541AD4">
              <w:rPr>
                <w:noProof/>
                <w:webHidden/>
                <w:sz w:val="24"/>
                <w:szCs w:val="24"/>
              </w:rPr>
              <w:fldChar w:fldCharType="end"/>
            </w:r>
          </w:hyperlink>
        </w:p>
        <w:p w14:paraId="7A72D76C" w14:textId="3D69F3FC" w:rsidR="00A24D68" w:rsidRPr="00541AD4" w:rsidRDefault="00A24D68" w:rsidP="00541AD4">
          <w:pPr>
            <w:pStyle w:val="TOC2"/>
            <w:tabs>
              <w:tab w:val="right" w:leader="dot" w:pos="9019"/>
            </w:tabs>
            <w:spacing w:after="240" w:line="360" w:lineRule="auto"/>
            <w:jc w:val="both"/>
            <w:rPr>
              <w:rFonts w:asciiTheme="minorHAnsi" w:eastAsiaTheme="minorEastAsia" w:hAnsiTheme="minorHAnsi" w:cstheme="minorBidi"/>
              <w:noProof/>
              <w:sz w:val="24"/>
              <w:szCs w:val="24"/>
              <w:lang w:val="en-US"/>
            </w:rPr>
          </w:pPr>
          <w:hyperlink w:anchor="_Toc236327966" w:history="1">
            <w:r w:rsidRPr="00541AD4">
              <w:rPr>
                <w:rStyle w:val="Hyperlink"/>
                <w:noProof/>
                <w:sz w:val="24"/>
                <w:szCs w:val="24"/>
              </w:rPr>
              <w:t>6.1 Tool Disclosure</w:t>
            </w:r>
            <w:r w:rsidRPr="00541AD4">
              <w:rPr>
                <w:noProof/>
                <w:webHidden/>
                <w:sz w:val="24"/>
                <w:szCs w:val="24"/>
              </w:rPr>
              <w:tab/>
            </w:r>
            <w:r w:rsidRPr="00541AD4">
              <w:rPr>
                <w:noProof/>
                <w:webHidden/>
                <w:sz w:val="24"/>
                <w:szCs w:val="24"/>
              </w:rPr>
              <w:fldChar w:fldCharType="begin"/>
            </w:r>
            <w:r w:rsidRPr="00541AD4">
              <w:rPr>
                <w:noProof/>
                <w:webHidden/>
                <w:sz w:val="24"/>
                <w:szCs w:val="24"/>
              </w:rPr>
              <w:instrText xml:space="preserve"> PAGEREF _Toc236327966 \h </w:instrText>
            </w:r>
            <w:r w:rsidRPr="00541AD4">
              <w:rPr>
                <w:noProof/>
                <w:webHidden/>
                <w:sz w:val="24"/>
                <w:szCs w:val="24"/>
              </w:rPr>
            </w:r>
            <w:r w:rsidRPr="00541AD4">
              <w:rPr>
                <w:noProof/>
                <w:webHidden/>
                <w:sz w:val="24"/>
                <w:szCs w:val="24"/>
              </w:rPr>
              <w:fldChar w:fldCharType="separate"/>
            </w:r>
            <w:r w:rsidR="00541AD4" w:rsidRPr="00541AD4">
              <w:rPr>
                <w:noProof/>
                <w:webHidden/>
                <w:sz w:val="24"/>
                <w:szCs w:val="24"/>
              </w:rPr>
              <w:t>16</w:t>
            </w:r>
            <w:r w:rsidRPr="00541AD4">
              <w:rPr>
                <w:noProof/>
                <w:webHidden/>
                <w:sz w:val="24"/>
                <w:szCs w:val="24"/>
              </w:rPr>
              <w:fldChar w:fldCharType="end"/>
            </w:r>
          </w:hyperlink>
        </w:p>
        <w:p w14:paraId="22BF33BC" w14:textId="42508E0E" w:rsidR="00A24D68" w:rsidRPr="00541AD4" w:rsidRDefault="00A24D68" w:rsidP="00541AD4">
          <w:pPr>
            <w:pStyle w:val="TOC2"/>
            <w:tabs>
              <w:tab w:val="right" w:leader="dot" w:pos="9019"/>
            </w:tabs>
            <w:spacing w:after="240" w:line="360" w:lineRule="auto"/>
            <w:jc w:val="both"/>
            <w:rPr>
              <w:rFonts w:asciiTheme="minorHAnsi" w:eastAsiaTheme="minorEastAsia" w:hAnsiTheme="minorHAnsi" w:cstheme="minorBidi"/>
              <w:noProof/>
              <w:sz w:val="24"/>
              <w:szCs w:val="24"/>
              <w:lang w:val="en-US"/>
            </w:rPr>
          </w:pPr>
          <w:hyperlink w:anchor="_Toc236327967" w:history="1">
            <w:r w:rsidRPr="00541AD4">
              <w:rPr>
                <w:rStyle w:val="Hyperlink"/>
                <w:noProof/>
                <w:sz w:val="24"/>
                <w:szCs w:val="24"/>
              </w:rPr>
              <w:t>6.2 Critical Evaluation of AI Output</w:t>
            </w:r>
            <w:r w:rsidRPr="00541AD4">
              <w:rPr>
                <w:noProof/>
                <w:webHidden/>
                <w:sz w:val="24"/>
                <w:szCs w:val="24"/>
              </w:rPr>
              <w:tab/>
            </w:r>
            <w:r w:rsidRPr="00541AD4">
              <w:rPr>
                <w:noProof/>
                <w:webHidden/>
                <w:sz w:val="24"/>
                <w:szCs w:val="24"/>
              </w:rPr>
              <w:fldChar w:fldCharType="begin"/>
            </w:r>
            <w:r w:rsidRPr="00541AD4">
              <w:rPr>
                <w:noProof/>
                <w:webHidden/>
                <w:sz w:val="24"/>
                <w:szCs w:val="24"/>
              </w:rPr>
              <w:instrText xml:space="preserve"> PAGEREF _Toc236327967 \h </w:instrText>
            </w:r>
            <w:r w:rsidRPr="00541AD4">
              <w:rPr>
                <w:noProof/>
                <w:webHidden/>
                <w:sz w:val="24"/>
                <w:szCs w:val="24"/>
              </w:rPr>
            </w:r>
            <w:r w:rsidRPr="00541AD4">
              <w:rPr>
                <w:noProof/>
                <w:webHidden/>
                <w:sz w:val="24"/>
                <w:szCs w:val="24"/>
              </w:rPr>
              <w:fldChar w:fldCharType="separate"/>
            </w:r>
            <w:r w:rsidR="00541AD4" w:rsidRPr="00541AD4">
              <w:rPr>
                <w:noProof/>
                <w:webHidden/>
                <w:sz w:val="24"/>
                <w:szCs w:val="24"/>
              </w:rPr>
              <w:t>16</w:t>
            </w:r>
            <w:r w:rsidRPr="00541AD4">
              <w:rPr>
                <w:noProof/>
                <w:webHidden/>
                <w:sz w:val="24"/>
                <w:szCs w:val="24"/>
              </w:rPr>
              <w:fldChar w:fldCharType="end"/>
            </w:r>
          </w:hyperlink>
        </w:p>
        <w:p w14:paraId="1C30838C" w14:textId="774DAD2D" w:rsidR="00A24D68" w:rsidRPr="00541AD4" w:rsidRDefault="00A24D68" w:rsidP="00541AD4">
          <w:pPr>
            <w:pStyle w:val="TOC2"/>
            <w:tabs>
              <w:tab w:val="right" w:leader="dot" w:pos="9019"/>
            </w:tabs>
            <w:spacing w:after="240" w:line="360" w:lineRule="auto"/>
            <w:jc w:val="both"/>
            <w:rPr>
              <w:rFonts w:asciiTheme="minorHAnsi" w:eastAsiaTheme="minorEastAsia" w:hAnsiTheme="minorHAnsi" w:cstheme="minorBidi"/>
              <w:noProof/>
              <w:sz w:val="24"/>
              <w:szCs w:val="24"/>
              <w:lang w:val="en-US"/>
            </w:rPr>
          </w:pPr>
          <w:hyperlink w:anchor="_Toc236327968" w:history="1">
            <w:r w:rsidRPr="00541AD4">
              <w:rPr>
                <w:rStyle w:val="Hyperlink"/>
                <w:noProof/>
                <w:sz w:val="24"/>
                <w:szCs w:val="24"/>
              </w:rPr>
              <w:t>6.3 Contribution Analysis</w:t>
            </w:r>
            <w:r w:rsidRPr="00541AD4">
              <w:rPr>
                <w:noProof/>
                <w:webHidden/>
                <w:sz w:val="24"/>
                <w:szCs w:val="24"/>
              </w:rPr>
              <w:tab/>
            </w:r>
            <w:r w:rsidRPr="00541AD4">
              <w:rPr>
                <w:noProof/>
                <w:webHidden/>
                <w:sz w:val="24"/>
                <w:szCs w:val="24"/>
              </w:rPr>
              <w:fldChar w:fldCharType="begin"/>
            </w:r>
            <w:r w:rsidRPr="00541AD4">
              <w:rPr>
                <w:noProof/>
                <w:webHidden/>
                <w:sz w:val="24"/>
                <w:szCs w:val="24"/>
              </w:rPr>
              <w:instrText xml:space="preserve"> PAGEREF _Toc236327968 \h </w:instrText>
            </w:r>
            <w:r w:rsidRPr="00541AD4">
              <w:rPr>
                <w:noProof/>
                <w:webHidden/>
                <w:sz w:val="24"/>
                <w:szCs w:val="24"/>
              </w:rPr>
            </w:r>
            <w:r w:rsidRPr="00541AD4">
              <w:rPr>
                <w:noProof/>
                <w:webHidden/>
                <w:sz w:val="24"/>
                <w:szCs w:val="24"/>
              </w:rPr>
              <w:fldChar w:fldCharType="separate"/>
            </w:r>
            <w:r w:rsidR="00541AD4" w:rsidRPr="00541AD4">
              <w:rPr>
                <w:noProof/>
                <w:webHidden/>
                <w:sz w:val="24"/>
                <w:szCs w:val="24"/>
              </w:rPr>
              <w:t>17</w:t>
            </w:r>
            <w:r w:rsidRPr="00541AD4">
              <w:rPr>
                <w:noProof/>
                <w:webHidden/>
                <w:sz w:val="24"/>
                <w:szCs w:val="24"/>
              </w:rPr>
              <w:fldChar w:fldCharType="end"/>
            </w:r>
          </w:hyperlink>
        </w:p>
        <w:p w14:paraId="0C3359F2" w14:textId="6AB6B86E" w:rsidR="00A24D68" w:rsidRPr="00541AD4" w:rsidRDefault="00A24D68" w:rsidP="00541AD4">
          <w:pPr>
            <w:pStyle w:val="TOC2"/>
            <w:tabs>
              <w:tab w:val="right" w:leader="dot" w:pos="9019"/>
            </w:tabs>
            <w:spacing w:after="240" w:line="360" w:lineRule="auto"/>
            <w:jc w:val="both"/>
            <w:rPr>
              <w:rFonts w:asciiTheme="minorHAnsi" w:eastAsiaTheme="minorEastAsia" w:hAnsiTheme="minorHAnsi" w:cstheme="minorBidi"/>
              <w:noProof/>
              <w:sz w:val="24"/>
              <w:szCs w:val="24"/>
              <w:lang w:val="en-US"/>
            </w:rPr>
          </w:pPr>
          <w:hyperlink w:anchor="_Toc236327969" w:history="1">
            <w:r w:rsidRPr="00541AD4">
              <w:rPr>
                <w:rStyle w:val="Hyperlink"/>
                <w:noProof/>
                <w:sz w:val="24"/>
                <w:szCs w:val="24"/>
              </w:rPr>
              <w:t>6.4 Ethical and Professional Reflection</w:t>
            </w:r>
            <w:r w:rsidRPr="00541AD4">
              <w:rPr>
                <w:noProof/>
                <w:webHidden/>
                <w:sz w:val="24"/>
                <w:szCs w:val="24"/>
              </w:rPr>
              <w:tab/>
            </w:r>
            <w:r w:rsidRPr="00541AD4">
              <w:rPr>
                <w:noProof/>
                <w:webHidden/>
                <w:sz w:val="24"/>
                <w:szCs w:val="24"/>
              </w:rPr>
              <w:fldChar w:fldCharType="begin"/>
            </w:r>
            <w:r w:rsidRPr="00541AD4">
              <w:rPr>
                <w:noProof/>
                <w:webHidden/>
                <w:sz w:val="24"/>
                <w:szCs w:val="24"/>
              </w:rPr>
              <w:instrText xml:space="preserve"> PAGEREF _Toc236327969 \h </w:instrText>
            </w:r>
            <w:r w:rsidRPr="00541AD4">
              <w:rPr>
                <w:noProof/>
                <w:webHidden/>
                <w:sz w:val="24"/>
                <w:szCs w:val="24"/>
              </w:rPr>
            </w:r>
            <w:r w:rsidRPr="00541AD4">
              <w:rPr>
                <w:noProof/>
                <w:webHidden/>
                <w:sz w:val="24"/>
                <w:szCs w:val="24"/>
              </w:rPr>
              <w:fldChar w:fldCharType="separate"/>
            </w:r>
            <w:r w:rsidR="00541AD4" w:rsidRPr="00541AD4">
              <w:rPr>
                <w:noProof/>
                <w:webHidden/>
                <w:sz w:val="24"/>
                <w:szCs w:val="24"/>
              </w:rPr>
              <w:t>17</w:t>
            </w:r>
            <w:r w:rsidRPr="00541AD4">
              <w:rPr>
                <w:noProof/>
                <w:webHidden/>
                <w:sz w:val="24"/>
                <w:szCs w:val="24"/>
              </w:rPr>
              <w:fldChar w:fldCharType="end"/>
            </w:r>
          </w:hyperlink>
        </w:p>
        <w:p w14:paraId="290E425A" w14:textId="6BC7E9EB" w:rsidR="00A24D68" w:rsidRPr="00541AD4" w:rsidRDefault="00A24D68" w:rsidP="00541AD4">
          <w:pPr>
            <w:pStyle w:val="TOC1"/>
            <w:tabs>
              <w:tab w:val="right" w:leader="dot" w:pos="9019"/>
            </w:tabs>
            <w:spacing w:after="240" w:line="360" w:lineRule="auto"/>
            <w:jc w:val="both"/>
            <w:rPr>
              <w:rFonts w:asciiTheme="minorHAnsi" w:eastAsiaTheme="minorEastAsia" w:hAnsiTheme="minorHAnsi" w:cstheme="minorBidi"/>
              <w:noProof/>
              <w:sz w:val="24"/>
              <w:szCs w:val="24"/>
              <w:lang w:val="en-US"/>
            </w:rPr>
          </w:pPr>
          <w:hyperlink w:anchor="_Toc236327970" w:history="1">
            <w:r w:rsidRPr="00541AD4">
              <w:rPr>
                <w:rStyle w:val="Hyperlink"/>
                <w:noProof/>
                <w:sz w:val="24"/>
                <w:szCs w:val="24"/>
              </w:rPr>
              <w:t>Conclusion</w:t>
            </w:r>
            <w:r w:rsidRPr="00541AD4">
              <w:rPr>
                <w:noProof/>
                <w:webHidden/>
                <w:sz w:val="24"/>
                <w:szCs w:val="24"/>
              </w:rPr>
              <w:tab/>
            </w:r>
            <w:r w:rsidRPr="00541AD4">
              <w:rPr>
                <w:noProof/>
                <w:webHidden/>
                <w:sz w:val="24"/>
                <w:szCs w:val="24"/>
              </w:rPr>
              <w:fldChar w:fldCharType="begin"/>
            </w:r>
            <w:r w:rsidRPr="00541AD4">
              <w:rPr>
                <w:noProof/>
                <w:webHidden/>
                <w:sz w:val="24"/>
                <w:szCs w:val="24"/>
              </w:rPr>
              <w:instrText xml:space="preserve"> PAGEREF _Toc236327970 \h </w:instrText>
            </w:r>
            <w:r w:rsidRPr="00541AD4">
              <w:rPr>
                <w:noProof/>
                <w:webHidden/>
                <w:sz w:val="24"/>
                <w:szCs w:val="24"/>
              </w:rPr>
            </w:r>
            <w:r w:rsidRPr="00541AD4">
              <w:rPr>
                <w:noProof/>
                <w:webHidden/>
                <w:sz w:val="24"/>
                <w:szCs w:val="24"/>
              </w:rPr>
              <w:fldChar w:fldCharType="separate"/>
            </w:r>
            <w:r w:rsidR="00541AD4" w:rsidRPr="00541AD4">
              <w:rPr>
                <w:noProof/>
                <w:webHidden/>
                <w:sz w:val="24"/>
                <w:szCs w:val="24"/>
              </w:rPr>
              <w:t>18</w:t>
            </w:r>
            <w:r w:rsidRPr="00541AD4">
              <w:rPr>
                <w:noProof/>
                <w:webHidden/>
                <w:sz w:val="24"/>
                <w:szCs w:val="24"/>
              </w:rPr>
              <w:fldChar w:fldCharType="end"/>
            </w:r>
          </w:hyperlink>
        </w:p>
        <w:p w14:paraId="23143B55" w14:textId="65935367" w:rsidR="00A24D68" w:rsidRPr="00541AD4" w:rsidRDefault="00A24D68" w:rsidP="00541AD4">
          <w:pPr>
            <w:pStyle w:val="TOC1"/>
            <w:tabs>
              <w:tab w:val="right" w:leader="dot" w:pos="9019"/>
            </w:tabs>
            <w:spacing w:after="240" w:line="360" w:lineRule="auto"/>
            <w:jc w:val="both"/>
            <w:rPr>
              <w:rFonts w:asciiTheme="minorHAnsi" w:eastAsiaTheme="minorEastAsia" w:hAnsiTheme="minorHAnsi" w:cstheme="minorBidi"/>
              <w:noProof/>
              <w:sz w:val="24"/>
              <w:szCs w:val="24"/>
              <w:lang w:val="en-US"/>
            </w:rPr>
          </w:pPr>
          <w:hyperlink w:anchor="_Toc236327971" w:history="1">
            <w:r w:rsidRPr="00541AD4">
              <w:rPr>
                <w:rStyle w:val="Hyperlink"/>
                <w:noProof/>
                <w:sz w:val="24"/>
                <w:szCs w:val="24"/>
              </w:rPr>
              <w:t>References</w:t>
            </w:r>
            <w:r w:rsidRPr="00541AD4">
              <w:rPr>
                <w:noProof/>
                <w:webHidden/>
                <w:sz w:val="24"/>
                <w:szCs w:val="24"/>
              </w:rPr>
              <w:tab/>
            </w:r>
            <w:r w:rsidRPr="00541AD4">
              <w:rPr>
                <w:noProof/>
                <w:webHidden/>
                <w:sz w:val="24"/>
                <w:szCs w:val="24"/>
              </w:rPr>
              <w:fldChar w:fldCharType="begin"/>
            </w:r>
            <w:r w:rsidRPr="00541AD4">
              <w:rPr>
                <w:noProof/>
                <w:webHidden/>
                <w:sz w:val="24"/>
                <w:szCs w:val="24"/>
              </w:rPr>
              <w:instrText xml:space="preserve"> PAGEREF _Toc236327971 \h </w:instrText>
            </w:r>
            <w:r w:rsidRPr="00541AD4">
              <w:rPr>
                <w:noProof/>
                <w:webHidden/>
                <w:sz w:val="24"/>
                <w:szCs w:val="24"/>
              </w:rPr>
            </w:r>
            <w:r w:rsidRPr="00541AD4">
              <w:rPr>
                <w:noProof/>
                <w:webHidden/>
                <w:sz w:val="24"/>
                <w:szCs w:val="24"/>
              </w:rPr>
              <w:fldChar w:fldCharType="separate"/>
            </w:r>
            <w:r w:rsidR="00541AD4" w:rsidRPr="00541AD4">
              <w:rPr>
                <w:noProof/>
                <w:webHidden/>
                <w:sz w:val="24"/>
                <w:szCs w:val="24"/>
              </w:rPr>
              <w:t>19</w:t>
            </w:r>
            <w:r w:rsidRPr="00541AD4">
              <w:rPr>
                <w:noProof/>
                <w:webHidden/>
                <w:sz w:val="24"/>
                <w:szCs w:val="24"/>
              </w:rPr>
              <w:fldChar w:fldCharType="end"/>
            </w:r>
          </w:hyperlink>
        </w:p>
        <w:p w14:paraId="5A34EE0A" w14:textId="2BB99F00" w:rsidR="00A24D68" w:rsidRPr="00541AD4" w:rsidRDefault="00A24D68" w:rsidP="00541AD4">
          <w:pPr>
            <w:pStyle w:val="TOC1"/>
            <w:tabs>
              <w:tab w:val="right" w:leader="dot" w:pos="9019"/>
            </w:tabs>
            <w:spacing w:after="240" w:line="360" w:lineRule="auto"/>
            <w:jc w:val="both"/>
            <w:rPr>
              <w:rFonts w:asciiTheme="minorHAnsi" w:eastAsiaTheme="minorEastAsia" w:hAnsiTheme="minorHAnsi" w:cstheme="minorBidi"/>
              <w:noProof/>
              <w:sz w:val="24"/>
              <w:szCs w:val="24"/>
              <w:lang w:val="en-US"/>
            </w:rPr>
          </w:pPr>
          <w:hyperlink w:anchor="_Toc236327972" w:history="1">
            <w:r w:rsidRPr="00541AD4">
              <w:rPr>
                <w:rStyle w:val="Hyperlink"/>
                <w:noProof/>
                <w:sz w:val="24"/>
                <w:szCs w:val="24"/>
              </w:rPr>
              <w:t>Appendices</w:t>
            </w:r>
            <w:r w:rsidRPr="00541AD4">
              <w:rPr>
                <w:noProof/>
                <w:webHidden/>
                <w:sz w:val="24"/>
                <w:szCs w:val="24"/>
              </w:rPr>
              <w:tab/>
            </w:r>
            <w:r w:rsidRPr="00541AD4">
              <w:rPr>
                <w:noProof/>
                <w:webHidden/>
                <w:sz w:val="24"/>
                <w:szCs w:val="24"/>
              </w:rPr>
              <w:fldChar w:fldCharType="begin"/>
            </w:r>
            <w:r w:rsidRPr="00541AD4">
              <w:rPr>
                <w:noProof/>
                <w:webHidden/>
                <w:sz w:val="24"/>
                <w:szCs w:val="24"/>
              </w:rPr>
              <w:instrText xml:space="preserve"> PAGEREF _Toc236327972 \h </w:instrText>
            </w:r>
            <w:r w:rsidRPr="00541AD4">
              <w:rPr>
                <w:noProof/>
                <w:webHidden/>
                <w:sz w:val="24"/>
                <w:szCs w:val="24"/>
              </w:rPr>
            </w:r>
            <w:r w:rsidRPr="00541AD4">
              <w:rPr>
                <w:noProof/>
                <w:webHidden/>
                <w:sz w:val="24"/>
                <w:szCs w:val="24"/>
              </w:rPr>
              <w:fldChar w:fldCharType="separate"/>
            </w:r>
            <w:r w:rsidR="00541AD4" w:rsidRPr="00541AD4">
              <w:rPr>
                <w:noProof/>
                <w:webHidden/>
                <w:sz w:val="24"/>
                <w:szCs w:val="24"/>
              </w:rPr>
              <w:t>26</w:t>
            </w:r>
            <w:r w:rsidRPr="00541AD4">
              <w:rPr>
                <w:noProof/>
                <w:webHidden/>
                <w:sz w:val="24"/>
                <w:szCs w:val="24"/>
              </w:rPr>
              <w:fldChar w:fldCharType="end"/>
            </w:r>
          </w:hyperlink>
        </w:p>
        <w:p w14:paraId="3B9CDE62" w14:textId="7CE6C51E" w:rsidR="00A24D68" w:rsidRPr="00541AD4" w:rsidRDefault="00A24D68" w:rsidP="00541AD4">
          <w:pPr>
            <w:pStyle w:val="TOC2"/>
            <w:tabs>
              <w:tab w:val="right" w:leader="dot" w:pos="9019"/>
            </w:tabs>
            <w:spacing w:after="240" w:line="360" w:lineRule="auto"/>
            <w:jc w:val="both"/>
            <w:rPr>
              <w:rFonts w:asciiTheme="minorHAnsi" w:eastAsiaTheme="minorEastAsia" w:hAnsiTheme="minorHAnsi" w:cstheme="minorBidi"/>
              <w:noProof/>
              <w:sz w:val="24"/>
              <w:szCs w:val="24"/>
              <w:lang w:val="en-US"/>
            </w:rPr>
          </w:pPr>
          <w:hyperlink w:anchor="_Toc236327973" w:history="1">
            <w:r w:rsidRPr="00541AD4">
              <w:rPr>
                <w:rStyle w:val="Hyperlink"/>
                <w:noProof/>
                <w:sz w:val="24"/>
                <w:szCs w:val="24"/>
              </w:rPr>
              <w:t>Appendix A: Raio Calculation</w:t>
            </w:r>
            <w:r w:rsidRPr="00541AD4">
              <w:rPr>
                <w:noProof/>
                <w:webHidden/>
                <w:sz w:val="24"/>
                <w:szCs w:val="24"/>
              </w:rPr>
              <w:tab/>
            </w:r>
            <w:r w:rsidRPr="00541AD4">
              <w:rPr>
                <w:noProof/>
                <w:webHidden/>
                <w:sz w:val="24"/>
                <w:szCs w:val="24"/>
              </w:rPr>
              <w:fldChar w:fldCharType="begin"/>
            </w:r>
            <w:r w:rsidRPr="00541AD4">
              <w:rPr>
                <w:noProof/>
                <w:webHidden/>
                <w:sz w:val="24"/>
                <w:szCs w:val="24"/>
              </w:rPr>
              <w:instrText xml:space="preserve"> PAGEREF _Toc236327973 \h </w:instrText>
            </w:r>
            <w:r w:rsidRPr="00541AD4">
              <w:rPr>
                <w:noProof/>
                <w:webHidden/>
                <w:sz w:val="24"/>
                <w:szCs w:val="24"/>
              </w:rPr>
            </w:r>
            <w:r w:rsidRPr="00541AD4">
              <w:rPr>
                <w:noProof/>
                <w:webHidden/>
                <w:sz w:val="24"/>
                <w:szCs w:val="24"/>
              </w:rPr>
              <w:fldChar w:fldCharType="separate"/>
            </w:r>
            <w:r w:rsidR="00541AD4" w:rsidRPr="00541AD4">
              <w:rPr>
                <w:noProof/>
                <w:webHidden/>
                <w:sz w:val="24"/>
                <w:szCs w:val="24"/>
              </w:rPr>
              <w:t>26</w:t>
            </w:r>
            <w:r w:rsidRPr="00541AD4">
              <w:rPr>
                <w:noProof/>
                <w:webHidden/>
                <w:sz w:val="24"/>
                <w:szCs w:val="24"/>
              </w:rPr>
              <w:fldChar w:fldCharType="end"/>
            </w:r>
          </w:hyperlink>
        </w:p>
        <w:p w14:paraId="0C0C2CE6" w14:textId="0F15006D" w:rsidR="00A24D68" w:rsidRPr="00541AD4" w:rsidRDefault="00A24D68" w:rsidP="00541AD4">
          <w:pPr>
            <w:pStyle w:val="TOC2"/>
            <w:tabs>
              <w:tab w:val="right" w:leader="dot" w:pos="9019"/>
            </w:tabs>
            <w:spacing w:after="240" w:line="360" w:lineRule="auto"/>
            <w:jc w:val="both"/>
            <w:rPr>
              <w:rFonts w:asciiTheme="minorHAnsi" w:eastAsiaTheme="minorEastAsia" w:hAnsiTheme="minorHAnsi" w:cstheme="minorBidi"/>
              <w:noProof/>
              <w:sz w:val="24"/>
              <w:szCs w:val="24"/>
              <w:lang w:val="en-US"/>
            </w:rPr>
          </w:pPr>
          <w:hyperlink w:anchor="_Toc236327974" w:history="1">
            <w:r w:rsidRPr="00541AD4">
              <w:rPr>
                <w:rStyle w:val="Hyperlink"/>
                <w:noProof/>
                <w:sz w:val="24"/>
                <w:szCs w:val="24"/>
              </w:rPr>
              <w:t>Appendix B: Investment appraisal calculations</w:t>
            </w:r>
            <w:r w:rsidRPr="00541AD4">
              <w:rPr>
                <w:noProof/>
                <w:webHidden/>
                <w:sz w:val="24"/>
                <w:szCs w:val="24"/>
              </w:rPr>
              <w:tab/>
            </w:r>
            <w:r w:rsidRPr="00541AD4">
              <w:rPr>
                <w:noProof/>
                <w:webHidden/>
                <w:sz w:val="24"/>
                <w:szCs w:val="24"/>
              </w:rPr>
              <w:fldChar w:fldCharType="begin"/>
            </w:r>
            <w:r w:rsidRPr="00541AD4">
              <w:rPr>
                <w:noProof/>
                <w:webHidden/>
                <w:sz w:val="24"/>
                <w:szCs w:val="24"/>
              </w:rPr>
              <w:instrText xml:space="preserve"> PAGEREF _Toc236327974 \h </w:instrText>
            </w:r>
            <w:r w:rsidRPr="00541AD4">
              <w:rPr>
                <w:noProof/>
                <w:webHidden/>
                <w:sz w:val="24"/>
                <w:szCs w:val="24"/>
              </w:rPr>
            </w:r>
            <w:r w:rsidRPr="00541AD4">
              <w:rPr>
                <w:noProof/>
                <w:webHidden/>
                <w:sz w:val="24"/>
                <w:szCs w:val="24"/>
              </w:rPr>
              <w:fldChar w:fldCharType="separate"/>
            </w:r>
            <w:r w:rsidR="00541AD4" w:rsidRPr="00541AD4">
              <w:rPr>
                <w:noProof/>
                <w:webHidden/>
                <w:sz w:val="24"/>
                <w:szCs w:val="24"/>
              </w:rPr>
              <w:t>33</w:t>
            </w:r>
            <w:r w:rsidRPr="00541AD4">
              <w:rPr>
                <w:noProof/>
                <w:webHidden/>
                <w:sz w:val="24"/>
                <w:szCs w:val="24"/>
              </w:rPr>
              <w:fldChar w:fldCharType="end"/>
            </w:r>
          </w:hyperlink>
        </w:p>
        <w:p w14:paraId="309FEE47" w14:textId="61C7D1B5" w:rsidR="0067581A" w:rsidRPr="00A24D68" w:rsidRDefault="0067581A" w:rsidP="00541AD4">
          <w:pPr>
            <w:spacing w:after="240" w:line="360" w:lineRule="auto"/>
            <w:rPr>
              <w:sz w:val="24"/>
              <w:szCs w:val="24"/>
            </w:rPr>
          </w:pPr>
          <w:r w:rsidRPr="00A24D68">
            <w:rPr>
              <w:b/>
              <w:bCs/>
              <w:noProof/>
              <w:sz w:val="24"/>
              <w:szCs w:val="24"/>
            </w:rPr>
            <w:fldChar w:fldCharType="end"/>
          </w:r>
        </w:p>
      </w:sdtContent>
    </w:sdt>
    <w:p w14:paraId="3B29C94F" w14:textId="77777777" w:rsidR="0067581A" w:rsidRPr="00A24D68" w:rsidRDefault="0067581A" w:rsidP="00541AD4">
      <w:pPr>
        <w:spacing w:after="240" w:line="360" w:lineRule="auto"/>
        <w:rPr>
          <w:rFonts w:eastAsia="Times New Roman"/>
          <w:b/>
          <w:bCs/>
          <w:sz w:val="24"/>
          <w:szCs w:val="24"/>
        </w:rPr>
      </w:pPr>
      <w:r w:rsidRPr="00A24D68">
        <w:rPr>
          <w:rFonts w:eastAsia="Times New Roman"/>
          <w:b/>
          <w:bCs/>
          <w:sz w:val="24"/>
          <w:szCs w:val="24"/>
        </w:rPr>
        <w:br w:type="page"/>
      </w:r>
    </w:p>
    <w:p w14:paraId="5721AF91" w14:textId="452BC4CD" w:rsidR="002A53C5" w:rsidRPr="00415C43" w:rsidRDefault="00696ED1" w:rsidP="00541AD4">
      <w:pPr>
        <w:pStyle w:val="Heading1"/>
        <w:spacing w:after="240"/>
      </w:pPr>
      <w:bookmarkStart w:id="0" w:name="_Toc236327946"/>
      <w:r w:rsidRPr="00415C43">
        <w:lastRenderedPageBreak/>
        <w:t>Introduction</w:t>
      </w:r>
      <w:bookmarkEnd w:id="0"/>
      <w:r w:rsidRPr="00415C43">
        <w:t xml:space="preserve"> </w:t>
      </w:r>
    </w:p>
    <w:p w14:paraId="4259451D" w14:textId="77777777" w:rsidR="002A53C5" w:rsidRPr="00415C43" w:rsidRDefault="00696ED1" w:rsidP="00541AD4">
      <w:pPr>
        <w:spacing w:after="240" w:line="360" w:lineRule="auto"/>
        <w:jc w:val="both"/>
        <w:rPr>
          <w:rFonts w:eastAsia="Times New Roman"/>
          <w:sz w:val="24"/>
          <w:szCs w:val="24"/>
        </w:rPr>
      </w:pPr>
      <w:r w:rsidRPr="00415C43">
        <w:rPr>
          <w:rFonts w:eastAsia="Times New Roman"/>
          <w:sz w:val="24"/>
          <w:szCs w:val="24"/>
        </w:rPr>
        <w:t>The aim of the report is to evaluate the financial performance and strategic financial position of Accor over the past five years based on evidence from its annual reports and other credible sources. The aim is to evaluate the organisation’s financial well-being, working capital efficiency for restructuring and investment decisions using techniques of financial analysis and capital budgeting. The report also suggests financially sustainable solutions and offers a critical reflection on how AI can support financial decision-making and report writing.</w:t>
      </w:r>
    </w:p>
    <w:p w14:paraId="75BD318A" w14:textId="77777777" w:rsidR="002A53C5" w:rsidRPr="00415C43" w:rsidRDefault="00696ED1" w:rsidP="00541AD4">
      <w:pPr>
        <w:pStyle w:val="Heading1"/>
        <w:spacing w:after="240"/>
      </w:pPr>
      <w:bookmarkStart w:id="1" w:name="_Toc236327947"/>
      <w:r w:rsidRPr="00415C43">
        <w:t>1. Financial Health Check</w:t>
      </w:r>
      <w:bookmarkEnd w:id="1"/>
    </w:p>
    <w:p w14:paraId="76226A53" w14:textId="77777777" w:rsidR="002A53C5" w:rsidRPr="00415C43" w:rsidRDefault="00696ED1" w:rsidP="00541AD4">
      <w:pPr>
        <w:pStyle w:val="Heading2"/>
        <w:spacing w:after="240"/>
      </w:pPr>
      <w:bookmarkStart w:id="2" w:name="_Toc236327948"/>
      <w:r w:rsidRPr="00415C43">
        <w:t>1.1 Analysis financial statements of Accor</w:t>
      </w:r>
      <w:bookmarkEnd w:id="2"/>
    </w:p>
    <w:p w14:paraId="2155E146" w14:textId="77777777" w:rsidR="002A53C5" w:rsidRPr="00415C43" w:rsidRDefault="00696ED1" w:rsidP="00541AD4">
      <w:pPr>
        <w:spacing w:after="240" w:line="360" w:lineRule="auto"/>
        <w:jc w:val="both"/>
        <w:rPr>
          <w:rFonts w:eastAsia="Times New Roman"/>
          <w:sz w:val="24"/>
          <w:szCs w:val="24"/>
        </w:rPr>
      </w:pPr>
      <w:r w:rsidRPr="00415C43">
        <w:rPr>
          <w:rFonts w:eastAsia="Times New Roman"/>
          <w:sz w:val="24"/>
          <w:szCs w:val="24"/>
        </w:rPr>
        <w:t>Accor is a global hospitality company, operating more than 5,000 premium, midscale and economy branded hotels, such as Sofitel, Novotel, Mercure, Pullman, and Ibis, in more than 110 countries (Assets Group Accor, 2024). Since its change to an asset-light model, the firm has primarily focused on hotel management, franchising and digital innovation instead of owning hotel properties for scalable and stronger profit growth.</w:t>
      </w:r>
    </w:p>
    <w:p w14:paraId="76AFFC4A" w14:textId="77777777" w:rsidR="002A53C5" w:rsidRPr="00415C43" w:rsidRDefault="00696ED1" w:rsidP="00541AD4">
      <w:pPr>
        <w:spacing w:after="240" w:line="360" w:lineRule="auto"/>
        <w:jc w:val="both"/>
        <w:rPr>
          <w:rFonts w:eastAsia="Times New Roman"/>
          <w:sz w:val="24"/>
          <w:szCs w:val="24"/>
        </w:rPr>
      </w:pPr>
      <w:r w:rsidRPr="00415C43">
        <w:rPr>
          <w:rFonts w:eastAsia="Times New Roman"/>
          <w:sz w:val="24"/>
          <w:szCs w:val="24"/>
        </w:rPr>
        <w:t>Accor’s 2021 to 2025 financial statements show a strong recovery from the pandemic. The amount, however, decreased from 5,639 million in 2021 to 2,204 million in 2025 (Accor, 2025). The gross profit went up from 61 million to 1,263 million while the gross profit margin improved from 2.77% to 22.40%. This implies a recovery in operating income (EBIT) from a loss of 227 million in 2021 to a profit of 871 million in 2025, and of EBITDA from –66 million to 1,077 million (Investing, 2025). Net income bounced back from 85 million to 449 million. However, it was lower than the peak in 2023, reflecting higher financing costs and lower pre-tax earnings. The operating cash flow steadily increased from a deficit of 240 million to a surplus of 810 million.</w:t>
      </w:r>
    </w:p>
    <w:p w14:paraId="586E961F" w14:textId="77777777" w:rsidR="002A53C5" w:rsidRPr="00415C43" w:rsidRDefault="00696ED1" w:rsidP="00541AD4">
      <w:pPr>
        <w:spacing w:after="240" w:line="360" w:lineRule="auto"/>
        <w:jc w:val="both"/>
        <w:rPr>
          <w:rFonts w:eastAsia="Times New Roman"/>
          <w:sz w:val="24"/>
          <w:szCs w:val="24"/>
        </w:rPr>
      </w:pPr>
      <w:r w:rsidRPr="00415C43">
        <w:rPr>
          <w:rFonts w:eastAsia="Times New Roman"/>
          <w:sz w:val="24"/>
          <w:szCs w:val="24"/>
        </w:rPr>
        <w:t xml:space="preserve">The balance sheet remained relatively stable with total assets fluctuating between 10.8 billion and 12.1 billion, while shareholders’ equity stood at 4,717 million in 2025, and cash balances were above 1.2 billion (Investing, 2025). However, with rising total debt to 3,882 million we would expect interest cost to be on the rise in future quarters. Accor’s performance confirms the effectiveness of the asset-light business model, as </w:t>
      </w:r>
      <w:r w:rsidRPr="00415C43">
        <w:rPr>
          <w:rFonts w:eastAsia="Times New Roman"/>
          <w:sz w:val="24"/>
          <w:szCs w:val="24"/>
        </w:rPr>
        <w:lastRenderedPageBreak/>
        <w:t>well as the recovery of operations, coupled with continuous investment in digital and loyalty programs, as well as geographic expansion.</w:t>
      </w:r>
    </w:p>
    <w:p w14:paraId="25820B30" w14:textId="77777777" w:rsidR="002A53C5" w:rsidRPr="00415C43" w:rsidRDefault="00696ED1" w:rsidP="00541AD4">
      <w:pPr>
        <w:pStyle w:val="Heading2"/>
        <w:spacing w:after="240"/>
      </w:pPr>
      <w:bookmarkStart w:id="3" w:name="_Toc236327949"/>
      <w:r w:rsidRPr="00415C43">
        <w:t>1.2 Ratio analysis</w:t>
      </w:r>
      <w:bookmarkEnd w:id="3"/>
    </w:p>
    <w:p w14:paraId="1E097BE3" w14:textId="6CE27E51" w:rsidR="0067581A" w:rsidRPr="00415C43" w:rsidRDefault="00696ED1" w:rsidP="00541AD4">
      <w:pPr>
        <w:spacing w:after="240" w:line="360" w:lineRule="auto"/>
        <w:jc w:val="both"/>
        <w:rPr>
          <w:rFonts w:eastAsia="Times New Roman"/>
          <w:b/>
          <w:bCs/>
          <w:i/>
          <w:iCs/>
          <w:sz w:val="24"/>
          <w:szCs w:val="24"/>
        </w:rPr>
      </w:pPr>
      <w:r w:rsidRPr="00415C43">
        <w:rPr>
          <w:rFonts w:eastAsia="Times New Roman"/>
          <w:b/>
          <w:bCs/>
          <w:i/>
          <w:iCs/>
          <w:sz w:val="24"/>
          <w:szCs w:val="24"/>
        </w:rPr>
        <w:t xml:space="preserve">Profitability </w:t>
      </w:r>
    </w:p>
    <w:p w14:paraId="14DC3BBC" w14:textId="444ECC89" w:rsidR="002A53C5" w:rsidRPr="00415C43" w:rsidRDefault="00696ED1" w:rsidP="00541AD4">
      <w:pPr>
        <w:spacing w:after="240" w:line="360" w:lineRule="auto"/>
        <w:jc w:val="both"/>
        <w:rPr>
          <w:rFonts w:eastAsia="Times New Roman"/>
          <w:sz w:val="24"/>
          <w:szCs w:val="24"/>
        </w:rPr>
      </w:pPr>
      <w:r w:rsidRPr="00415C43">
        <w:rPr>
          <w:rFonts w:eastAsia="Times New Roman"/>
          <w:sz w:val="24"/>
          <w:szCs w:val="24"/>
        </w:rPr>
        <w:t xml:space="preserve">A company’s profitability ratios indicate its ability to generate earnings compared to revenue, assets, and shareholders’ equity. Moreover, it shows operational efficiency and profitability sustainability (Armono, 2024). Between 2021 and 2025, Accor became a lot more profitable as the hospitality industry recovered. The gross profit margin has increased from 3% to 22%. The operating margin has increased from -10% to 15%. This shows better cost control with higher operating efficiency.  Return on </w:t>
      </w:r>
      <w:r w:rsidR="0067581A" w:rsidRPr="00415C43">
        <w:rPr>
          <w:rFonts w:eastAsia="Times New Roman"/>
          <w:sz w:val="24"/>
          <w:szCs w:val="24"/>
        </w:rPr>
        <w:t>Assets (</w:t>
      </w:r>
      <w:r w:rsidRPr="00415C43">
        <w:rPr>
          <w:rFonts w:eastAsia="Times New Roman"/>
          <w:sz w:val="24"/>
          <w:szCs w:val="24"/>
        </w:rPr>
        <w:t>ROA) improved from 1 per cent to 5 percent and Return on Equity (ROE) improved from 3 per cent to 16 percent which means that investors expected higher returns. However, financing costs revenue growth net profit margin declined to 8 per cent in 2025 from 11 per cent in 2024.</w:t>
      </w:r>
    </w:p>
    <w:p w14:paraId="5FEC633A" w14:textId="77777777" w:rsidR="002A53C5" w:rsidRPr="00415C43" w:rsidRDefault="00696ED1" w:rsidP="00541AD4">
      <w:pPr>
        <w:spacing w:after="240" w:line="360" w:lineRule="auto"/>
        <w:jc w:val="both"/>
        <w:rPr>
          <w:rFonts w:eastAsia="Times New Roman"/>
          <w:b/>
          <w:bCs/>
          <w:i/>
          <w:iCs/>
          <w:sz w:val="24"/>
          <w:szCs w:val="24"/>
        </w:rPr>
      </w:pPr>
      <w:r w:rsidRPr="00415C43">
        <w:rPr>
          <w:rFonts w:eastAsia="Times New Roman"/>
          <w:b/>
          <w:bCs/>
          <w:i/>
          <w:iCs/>
          <w:sz w:val="24"/>
          <w:szCs w:val="24"/>
        </w:rPr>
        <w:t xml:space="preserve">Liquidity </w:t>
      </w:r>
    </w:p>
    <w:p w14:paraId="0AA7904D" w14:textId="77777777" w:rsidR="002A53C5" w:rsidRPr="00415C43" w:rsidRDefault="00696ED1" w:rsidP="00541AD4">
      <w:pPr>
        <w:spacing w:after="240" w:line="360" w:lineRule="auto"/>
        <w:jc w:val="both"/>
        <w:rPr>
          <w:rFonts w:eastAsia="Times New Roman"/>
          <w:sz w:val="24"/>
          <w:szCs w:val="24"/>
        </w:rPr>
      </w:pPr>
      <w:r w:rsidRPr="00415C43">
        <w:rPr>
          <w:rFonts w:eastAsia="Times New Roman"/>
          <w:sz w:val="24"/>
          <w:szCs w:val="24"/>
        </w:rPr>
        <w:t xml:space="preserve">Liquidity Ratios measure the ability of the company to meet its short-term obligations through the current assets and cash available (Susellawati et al., 2022). Meaning current liabilities were in excess of current assets as current ratio remained under 1.0. The working system highlights the continuous working capital deficits which lead to maintaining the capital ratio likewise remaining negative. Indicating lesser immediate cash coverage of short-term liabilities though cash ratio improved gradually from 0.022 to 0.069. </w:t>
      </w:r>
    </w:p>
    <w:p w14:paraId="5957807C" w14:textId="77777777" w:rsidR="002A53C5" w:rsidRPr="00415C43" w:rsidRDefault="00696ED1" w:rsidP="00541AD4">
      <w:pPr>
        <w:spacing w:after="240" w:line="360" w:lineRule="auto"/>
        <w:jc w:val="both"/>
        <w:rPr>
          <w:rFonts w:eastAsia="Times New Roman"/>
          <w:b/>
          <w:bCs/>
          <w:i/>
          <w:iCs/>
          <w:sz w:val="24"/>
          <w:szCs w:val="24"/>
        </w:rPr>
      </w:pPr>
      <w:r w:rsidRPr="00415C43">
        <w:rPr>
          <w:rFonts w:eastAsia="Times New Roman"/>
          <w:b/>
          <w:bCs/>
          <w:i/>
          <w:iCs/>
          <w:sz w:val="24"/>
          <w:szCs w:val="24"/>
        </w:rPr>
        <w:t xml:space="preserve">Efficiency </w:t>
      </w:r>
    </w:p>
    <w:p w14:paraId="0CE8FCD3" w14:textId="77777777" w:rsidR="002A53C5" w:rsidRPr="00415C43" w:rsidRDefault="00696ED1" w:rsidP="00541AD4">
      <w:pPr>
        <w:spacing w:after="240" w:line="360" w:lineRule="auto"/>
        <w:jc w:val="both"/>
        <w:rPr>
          <w:rFonts w:eastAsia="Times New Roman"/>
          <w:sz w:val="24"/>
          <w:szCs w:val="24"/>
        </w:rPr>
      </w:pPr>
      <w:r w:rsidRPr="00415C43">
        <w:rPr>
          <w:rFonts w:eastAsia="Times New Roman"/>
          <w:sz w:val="24"/>
          <w:szCs w:val="24"/>
        </w:rPr>
        <w:t>Accor shows rising operational efficiency from 2021 to 2025 so the asset turnover rose from 0.29 to 0.63 which indicates that assets generated significantly higher revenue over time. The receivable turnover improved from 1.32 to 4.68 times and receivable collection days reduced sharply from 276 to 78 days (Majka, 2024). The fixed asset turnover ratio of the hotel went up to 1.94 from 0.72 showing that the hotel assets are better utilized post recovery of world tourism demand.</w:t>
      </w:r>
    </w:p>
    <w:p w14:paraId="6137F415" w14:textId="77777777" w:rsidR="002A53C5" w:rsidRPr="00415C43" w:rsidRDefault="00696ED1" w:rsidP="00541AD4">
      <w:pPr>
        <w:spacing w:after="240" w:line="360" w:lineRule="auto"/>
        <w:jc w:val="both"/>
        <w:rPr>
          <w:rFonts w:eastAsia="Times New Roman"/>
          <w:b/>
          <w:bCs/>
          <w:i/>
          <w:iCs/>
          <w:sz w:val="24"/>
          <w:szCs w:val="24"/>
        </w:rPr>
      </w:pPr>
      <w:r w:rsidRPr="00415C43">
        <w:rPr>
          <w:rFonts w:eastAsia="Times New Roman"/>
          <w:b/>
          <w:bCs/>
          <w:i/>
          <w:iCs/>
          <w:sz w:val="24"/>
          <w:szCs w:val="24"/>
        </w:rPr>
        <w:lastRenderedPageBreak/>
        <w:t xml:space="preserve">Gearing </w:t>
      </w:r>
    </w:p>
    <w:p w14:paraId="3A9BA3C5" w14:textId="77777777" w:rsidR="002A53C5" w:rsidRPr="00415C43" w:rsidRDefault="00696ED1" w:rsidP="00541AD4">
      <w:pPr>
        <w:spacing w:after="240" w:line="360" w:lineRule="auto"/>
        <w:jc w:val="both"/>
        <w:rPr>
          <w:rFonts w:eastAsia="Times New Roman"/>
          <w:sz w:val="24"/>
          <w:szCs w:val="24"/>
        </w:rPr>
      </w:pPr>
      <w:r w:rsidRPr="00415C43">
        <w:rPr>
          <w:rFonts w:eastAsia="Times New Roman"/>
          <w:sz w:val="24"/>
          <w:szCs w:val="24"/>
        </w:rPr>
        <w:t xml:space="preserve">A firm’s gearing ratio shows how much of its debt it is using and how much of its capital it is using equity (MORDI et al., 2025). Accor had a moderately leveraged financial position in 2021-2025. The equity ratio decreased a little from 34% to 31%. also enhance shareholder returns when earnings are not strong which has increased leverage while increase interest costs across financial risk. </w:t>
      </w:r>
    </w:p>
    <w:p w14:paraId="7FE683BF" w14:textId="77777777" w:rsidR="002A53C5" w:rsidRPr="00415C43" w:rsidRDefault="00696ED1" w:rsidP="00541AD4">
      <w:pPr>
        <w:spacing w:after="240" w:line="360" w:lineRule="auto"/>
        <w:jc w:val="both"/>
        <w:rPr>
          <w:rFonts w:eastAsia="Times New Roman"/>
          <w:b/>
          <w:bCs/>
          <w:i/>
          <w:iCs/>
          <w:sz w:val="24"/>
          <w:szCs w:val="24"/>
        </w:rPr>
      </w:pPr>
      <w:r w:rsidRPr="00415C43">
        <w:rPr>
          <w:rFonts w:eastAsia="Times New Roman"/>
          <w:b/>
          <w:bCs/>
          <w:i/>
          <w:iCs/>
          <w:sz w:val="24"/>
          <w:szCs w:val="24"/>
        </w:rPr>
        <w:t xml:space="preserve">Investment </w:t>
      </w:r>
    </w:p>
    <w:p w14:paraId="495925A8" w14:textId="77777777" w:rsidR="002A53C5" w:rsidRPr="00415C43" w:rsidRDefault="00696ED1" w:rsidP="00541AD4">
      <w:pPr>
        <w:spacing w:after="240" w:line="360" w:lineRule="auto"/>
        <w:jc w:val="both"/>
        <w:rPr>
          <w:rFonts w:eastAsia="Times New Roman"/>
          <w:sz w:val="24"/>
          <w:szCs w:val="24"/>
        </w:rPr>
      </w:pPr>
      <w:r w:rsidRPr="00415C43">
        <w:rPr>
          <w:rFonts w:eastAsia="Times New Roman"/>
          <w:sz w:val="24"/>
          <w:szCs w:val="24"/>
        </w:rPr>
        <w:t>Investment ratios indicate the returns generated for shareholders and help assess how appealing the company is as an investment (ADESOYE, and SANUSI, 2025). Accor’s EPS went from $0.02 in 2021 to $0.12 in 2023 as profitability started to recover from the pandemic. Despite a gradual dip in net income, EPS appeared relatively strong at $0.11 in 2024, before falling to $0.10 in 2025. The decline in earnings per share was more gradual. And EPS was still far above 2021. All in all, better execution, better profitability, and Accor’s effective recovery strategy were conducive to investment will strengthen.</w:t>
      </w:r>
    </w:p>
    <w:p w14:paraId="7C066DD4" w14:textId="77777777" w:rsidR="002A53C5" w:rsidRPr="00415C43" w:rsidRDefault="00696ED1" w:rsidP="00541AD4">
      <w:pPr>
        <w:spacing w:after="240" w:line="360" w:lineRule="auto"/>
        <w:jc w:val="both"/>
        <w:rPr>
          <w:rFonts w:eastAsia="Times New Roman"/>
          <w:b/>
          <w:bCs/>
          <w:i/>
          <w:iCs/>
          <w:sz w:val="24"/>
          <w:szCs w:val="24"/>
        </w:rPr>
      </w:pPr>
      <w:r w:rsidRPr="00415C43">
        <w:rPr>
          <w:rFonts w:eastAsia="Times New Roman"/>
          <w:b/>
          <w:bCs/>
          <w:i/>
          <w:iCs/>
          <w:sz w:val="24"/>
          <w:szCs w:val="24"/>
        </w:rPr>
        <w:t xml:space="preserve">Cash flow </w:t>
      </w:r>
    </w:p>
    <w:p w14:paraId="1DB04904" w14:textId="77777777" w:rsidR="002A53C5" w:rsidRPr="00415C43" w:rsidRDefault="00696ED1" w:rsidP="00541AD4">
      <w:pPr>
        <w:spacing w:after="240" w:line="360" w:lineRule="auto"/>
        <w:jc w:val="both"/>
        <w:rPr>
          <w:rFonts w:eastAsia="Times New Roman"/>
          <w:sz w:val="24"/>
          <w:szCs w:val="24"/>
        </w:rPr>
      </w:pPr>
      <w:r w:rsidRPr="00415C43">
        <w:rPr>
          <w:rFonts w:eastAsia="Times New Roman"/>
          <w:sz w:val="24"/>
          <w:szCs w:val="24"/>
        </w:rPr>
        <w:t xml:space="preserve">The cash flow ratios reflect a firm’s ability to produce cash from its operations to support and further its business activity (Nyong, 2022). Also, to pay creditors and fund future growth. Accor's financial position experienced a substantial improvement over the period 2021-2025. </w:t>
      </w:r>
    </w:p>
    <w:p w14:paraId="0EEDE09E" w14:textId="77777777" w:rsidR="002A53C5" w:rsidRPr="00415C43" w:rsidRDefault="00696ED1" w:rsidP="00541AD4">
      <w:pPr>
        <w:spacing w:after="240" w:line="360" w:lineRule="auto"/>
        <w:jc w:val="both"/>
        <w:rPr>
          <w:rFonts w:eastAsia="Times New Roman"/>
          <w:sz w:val="24"/>
          <w:szCs w:val="24"/>
        </w:rPr>
      </w:pPr>
      <w:r w:rsidRPr="00415C43">
        <w:rPr>
          <w:rFonts w:eastAsia="Times New Roman"/>
          <w:sz w:val="24"/>
          <w:szCs w:val="24"/>
        </w:rPr>
        <w:t>The indication of cash flow margin highlights the improvement in -11% to 14% which lead to indigate that the operating cash flow margin generates revenue as per their internal strategy. Indicating a better use of assets to generate cash which highlight the total assets indicator rose to 9% from -3%. The cash flow to current liabilities has improved from -2% to 7%, indicating the company was able to meet these obligations from internal funds. An improvement in operating cash flows bolster financial resilience on external financing.</w:t>
      </w:r>
    </w:p>
    <w:p w14:paraId="56CECFC9" w14:textId="77777777" w:rsidR="002A53C5" w:rsidRPr="00415C43" w:rsidRDefault="00696ED1" w:rsidP="00541AD4">
      <w:pPr>
        <w:pStyle w:val="Heading2"/>
        <w:spacing w:after="240"/>
      </w:pPr>
      <w:bookmarkStart w:id="4" w:name="_Toc236327950"/>
      <w:r w:rsidRPr="00415C43">
        <w:t>1.3 Identify trends, strengths, and potential threats</w:t>
      </w:r>
      <w:bookmarkEnd w:id="4"/>
    </w:p>
    <w:p w14:paraId="5706294F" w14:textId="77777777" w:rsidR="002A53C5" w:rsidRPr="00415C43" w:rsidRDefault="00696ED1" w:rsidP="00541AD4">
      <w:pPr>
        <w:spacing w:after="240" w:line="360" w:lineRule="auto"/>
        <w:jc w:val="both"/>
        <w:rPr>
          <w:rFonts w:eastAsia="Times New Roman"/>
          <w:b/>
          <w:bCs/>
          <w:i/>
          <w:iCs/>
          <w:sz w:val="24"/>
          <w:szCs w:val="24"/>
        </w:rPr>
      </w:pPr>
      <w:r w:rsidRPr="00415C43">
        <w:rPr>
          <w:rFonts w:eastAsia="Times New Roman"/>
          <w:b/>
          <w:bCs/>
          <w:i/>
          <w:iCs/>
          <w:sz w:val="24"/>
          <w:szCs w:val="24"/>
        </w:rPr>
        <w:t xml:space="preserve">Trends </w:t>
      </w:r>
    </w:p>
    <w:p w14:paraId="226BACFE" w14:textId="77777777" w:rsidR="002A53C5" w:rsidRPr="00415C43" w:rsidRDefault="00696ED1" w:rsidP="00541AD4">
      <w:pPr>
        <w:spacing w:after="240" w:line="360" w:lineRule="auto"/>
        <w:jc w:val="both"/>
        <w:rPr>
          <w:rFonts w:eastAsia="Times New Roman"/>
          <w:sz w:val="24"/>
          <w:szCs w:val="24"/>
        </w:rPr>
      </w:pPr>
      <w:r w:rsidRPr="00415C43">
        <w:rPr>
          <w:rFonts w:eastAsia="Times New Roman"/>
          <w:sz w:val="24"/>
          <w:szCs w:val="24"/>
        </w:rPr>
        <w:lastRenderedPageBreak/>
        <w:t xml:space="preserve">Accor’s sales revenue has increased significantly from FY2021 to FY2025 on a post-pandemic recovery of the hotel industry (Accor, 2026). The gross profit margin of Accor has increased from 3% to 22%, and the operating margin from -10% to 15%. The operating efficiency highlights the sign which leads to indigate the EBITDA margin, calculation indigate that the increment of 19%. While receivable days decreased from 276 days to 78 days lead to highlight the asset utilization as per the total asset turnover improving from 0.29 times to 0.63 times. Indicating stronger internal cash generation highlights the operating cash flow margin improved from -11% to 14%. </w:t>
      </w:r>
    </w:p>
    <w:p w14:paraId="17D85854" w14:textId="77777777" w:rsidR="002A53C5" w:rsidRPr="00415C43" w:rsidRDefault="00696ED1" w:rsidP="00541AD4">
      <w:pPr>
        <w:spacing w:after="240" w:line="360" w:lineRule="auto"/>
        <w:jc w:val="both"/>
        <w:rPr>
          <w:rFonts w:eastAsia="Times New Roman"/>
          <w:b/>
          <w:bCs/>
          <w:i/>
          <w:iCs/>
          <w:sz w:val="24"/>
          <w:szCs w:val="24"/>
        </w:rPr>
      </w:pPr>
      <w:r w:rsidRPr="00415C43">
        <w:rPr>
          <w:rFonts w:eastAsia="Times New Roman"/>
          <w:b/>
          <w:bCs/>
          <w:i/>
          <w:iCs/>
          <w:sz w:val="24"/>
          <w:szCs w:val="24"/>
        </w:rPr>
        <w:t xml:space="preserve">Strengths </w:t>
      </w:r>
    </w:p>
    <w:p w14:paraId="61C15000" w14:textId="77777777" w:rsidR="002A53C5" w:rsidRPr="00415C43" w:rsidRDefault="00696ED1" w:rsidP="00541AD4">
      <w:pPr>
        <w:spacing w:after="240" w:line="360" w:lineRule="auto"/>
        <w:jc w:val="both"/>
        <w:rPr>
          <w:rFonts w:eastAsia="Times New Roman"/>
          <w:sz w:val="24"/>
          <w:szCs w:val="24"/>
        </w:rPr>
      </w:pPr>
      <w:r w:rsidRPr="00415C43">
        <w:rPr>
          <w:rFonts w:eastAsia="Times New Roman"/>
          <w:sz w:val="24"/>
          <w:szCs w:val="24"/>
        </w:rPr>
        <w:t>managing the financial recovery from COVID-19 which is the biggest strength of Accor as it effectively increases their revenue (Economic Times, 2026). The company has the international portfolio to serve different customer segments across the world. Financially, EBIT increased from a loss of €227 million in 2021 to a profit of €871 million in 2025 with Ebitda of 1.077 billion euro. Increased receivable turnover with decreasing number of days for receivable collection. Moreover, the CFO has increased from -€240 million to €810 million, strengthening liquidity generated internally. Accor’s asset-light strategy also allows it to expand internationally without spending on hotel ownership.</w:t>
      </w:r>
    </w:p>
    <w:p w14:paraId="502706C3" w14:textId="77777777" w:rsidR="002A53C5" w:rsidRPr="00415C43" w:rsidRDefault="00696ED1" w:rsidP="00541AD4">
      <w:pPr>
        <w:spacing w:after="240" w:line="360" w:lineRule="auto"/>
        <w:jc w:val="both"/>
        <w:rPr>
          <w:rFonts w:eastAsia="Times New Roman"/>
          <w:b/>
          <w:bCs/>
          <w:i/>
          <w:iCs/>
          <w:sz w:val="24"/>
          <w:szCs w:val="24"/>
        </w:rPr>
      </w:pPr>
      <w:r w:rsidRPr="00415C43">
        <w:rPr>
          <w:rFonts w:eastAsia="Times New Roman"/>
          <w:b/>
          <w:bCs/>
          <w:i/>
          <w:iCs/>
          <w:sz w:val="24"/>
          <w:szCs w:val="24"/>
        </w:rPr>
        <w:t xml:space="preserve">Potential Threats </w:t>
      </w:r>
    </w:p>
    <w:p w14:paraId="043B3CDD" w14:textId="77777777" w:rsidR="002A53C5" w:rsidRPr="00415C43" w:rsidRDefault="00696ED1" w:rsidP="00541AD4">
      <w:pPr>
        <w:spacing w:after="240" w:line="360" w:lineRule="auto"/>
        <w:jc w:val="both"/>
        <w:rPr>
          <w:rFonts w:eastAsia="Times New Roman"/>
          <w:sz w:val="24"/>
          <w:szCs w:val="24"/>
        </w:rPr>
      </w:pPr>
      <w:r w:rsidRPr="00415C43">
        <w:rPr>
          <w:rFonts w:eastAsia="Times New Roman"/>
          <w:sz w:val="24"/>
          <w:szCs w:val="24"/>
        </w:rPr>
        <w:t>Accor exposes many financial and operational risks despite strong recovery. The current ratio stayed less than 1.0 for the years 2021 to 2025 at this company, showing limited short-term liquidity and dependence on continuous cash generation. The company’s financial leverage was increased from 2.92 to 3.22. As a result, the company now may potentially face higher interest costs as well as refinancing risks (Ma et al., 2022). Despite continuous growth in revenue, the profit margin fell from 13% in 2023 to 8% in 2025 (Accor, 2025). The presence of hotel chains like Marriott, Hilton, and IHG, as well as lodging options like Airbnb, could also squeeze occupancy, prices and profitability.</w:t>
      </w:r>
    </w:p>
    <w:p w14:paraId="6F9A8B7A" w14:textId="77777777" w:rsidR="002A53C5" w:rsidRPr="00415C43" w:rsidRDefault="00696ED1" w:rsidP="00541AD4">
      <w:pPr>
        <w:pStyle w:val="Heading2"/>
        <w:spacing w:after="240"/>
      </w:pPr>
      <w:bookmarkStart w:id="5" w:name="_Toc236327951"/>
      <w:r w:rsidRPr="00415C43">
        <w:lastRenderedPageBreak/>
        <w:t>1.4 Comparison of liquidity ratios with industry benchmarks</w:t>
      </w:r>
      <w:bookmarkEnd w:id="5"/>
    </w:p>
    <w:p w14:paraId="16E5B312" w14:textId="77777777" w:rsidR="002A53C5" w:rsidRPr="00415C43" w:rsidRDefault="00696ED1" w:rsidP="00541AD4">
      <w:pPr>
        <w:spacing w:after="240" w:line="360" w:lineRule="auto"/>
        <w:jc w:val="both"/>
        <w:rPr>
          <w:rFonts w:eastAsia="Times New Roman"/>
          <w:sz w:val="24"/>
          <w:szCs w:val="24"/>
        </w:rPr>
      </w:pPr>
      <w:r w:rsidRPr="00415C43">
        <w:rPr>
          <w:rFonts w:eastAsia="Times New Roman"/>
          <w:sz w:val="24"/>
          <w:szCs w:val="24"/>
        </w:rPr>
        <w:t xml:space="preserve">Assessment of Accor's ability to meet short-term obligations Although, the ratios given in the original calculation contain a formula error (Seighali, and Moradi, 2022). For example, the 2025 ratio current should be 2,905 / 2,773 = 1.05, not 0.005. The comparison below is made using the underlying financial data. Accor’s current ratio improved from 1.17 in 2021 to 1.23 in 2022, before declining to 0.98 in 2023, 1.05 in 2024 and 1.05 in 2025. Accor has €1 of current assets for every €1 of current liabilities. Its position of 2025 is considerably stronger, although below the 1.5-2.0 benchmark commonly suggested for tourism with a position of 0.85 on average for U.S. hotel companies (SIC 7011) in 2024. </w:t>
      </w:r>
    </w:p>
    <w:p w14:paraId="051374D0" w14:textId="77777777" w:rsidR="002A53C5" w:rsidRPr="00415C43" w:rsidRDefault="00696ED1" w:rsidP="00541AD4">
      <w:pPr>
        <w:spacing w:after="240" w:line="360" w:lineRule="auto"/>
        <w:jc w:val="both"/>
        <w:rPr>
          <w:rFonts w:eastAsia="Times New Roman"/>
          <w:sz w:val="24"/>
          <w:szCs w:val="24"/>
        </w:rPr>
      </w:pPr>
      <w:r w:rsidRPr="00415C43">
        <w:rPr>
          <w:rFonts w:eastAsia="Times New Roman"/>
          <w:sz w:val="24"/>
          <w:szCs w:val="24"/>
        </w:rPr>
        <w:t>Thus, Accor's 1.05 in 2025 seems reasonable relative to the sector. Significantly, the annual accounts of Accor for 2025 reported current assets of €1.341 billion against current liabilities of €1.349 billion producing working capital of about -€8 million.</w:t>
      </w:r>
    </w:p>
    <w:p w14:paraId="5674F6AD" w14:textId="77777777" w:rsidR="002A53C5" w:rsidRPr="00415C43" w:rsidRDefault="00696ED1" w:rsidP="00541AD4">
      <w:pPr>
        <w:pStyle w:val="Heading1"/>
        <w:spacing w:after="240"/>
      </w:pPr>
      <w:bookmarkStart w:id="6" w:name="_Toc236327952"/>
      <w:r w:rsidRPr="00415C43">
        <w:t>2. Working Capital Management Analysis</w:t>
      </w:r>
      <w:bookmarkEnd w:id="6"/>
    </w:p>
    <w:p w14:paraId="60281DA4" w14:textId="77777777" w:rsidR="002A53C5" w:rsidRPr="00415C43" w:rsidRDefault="00696ED1" w:rsidP="00541AD4">
      <w:pPr>
        <w:pStyle w:val="Heading2"/>
        <w:spacing w:after="240"/>
      </w:pPr>
      <w:bookmarkStart w:id="7" w:name="_Toc236327953"/>
      <w:r w:rsidRPr="00415C43">
        <w:t>2.1 Cash operating cycle</w:t>
      </w:r>
      <w:bookmarkEnd w:id="7"/>
    </w:p>
    <w:tbl>
      <w:tblPr>
        <w:tblStyle w:val="a"/>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006"/>
        <w:gridCol w:w="3336"/>
        <w:gridCol w:w="819"/>
        <w:gridCol w:w="716"/>
        <w:gridCol w:w="716"/>
        <w:gridCol w:w="716"/>
        <w:gridCol w:w="716"/>
      </w:tblGrid>
      <w:tr w:rsidR="002A53C5" w:rsidRPr="00415C43" w14:paraId="2DB83906" w14:textId="77777777">
        <w:trPr>
          <w:trHeight w:val="300"/>
        </w:trPr>
        <w:tc>
          <w:tcPr>
            <w:tcW w:w="2004"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7E0611C3" w14:textId="77777777" w:rsidR="002A53C5" w:rsidRPr="00415C43" w:rsidRDefault="00696ED1" w:rsidP="00541AD4">
            <w:pPr>
              <w:spacing w:after="240" w:line="360" w:lineRule="auto"/>
              <w:jc w:val="center"/>
              <w:rPr>
                <w:rFonts w:eastAsia="Times New Roman"/>
                <w:b/>
                <w:bCs/>
                <w:i/>
                <w:iCs/>
              </w:rPr>
            </w:pPr>
            <w:r w:rsidRPr="00415C43">
              <w:rPr>
                <w:rFonts w:eastAsia="Times New Roman"/>
                <w:b/>
                <w:bCs/>
                <w:i/>
                <w:iCs/>
              </w:rPr>
              <w:t>Item</w:t>
            </w:r>
          </w:p>
        </w:tc>
        <w:tc>
          <w:tcPr>
            <w:tcW w:w="3335"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49E46957" w14:textId="77777777" w:rsidR="002A53C5" w:rsidRPr="00415C43" w:rsidRDefault="00696ED1" w:rsidP="00541AD4">
            <w:pPr>
              <w:spacing w:after="240" w:line="360" w:lineRule="auto"/>
              <w:jc w:val="center"/>
              <w:rPr>
                <w:rFonts w:eastAsia="Times New Roman"/>
                <w:b/>
                <w:bCs/>
                <w:i/>
                <w:iCs/>
              </w:rPr>
            </w:pPr>
            <w:r w:rsidRPr="00415C43">
              <w:rPr>
                <w:rFonts w:eastAsia="Times New Roman"/>
                <w:b/>
                <w:bCs/>
                <w:i/>
                <w:iCs/>
              </w:rPr>
              <w:t>Formula</w:t>
            </w:r>
          </w:p>
        </w:tc>
        <w:tc>
          <w:tcPr>
            <w:tcW w:w="819"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5AAA000D" w14:textId="77777777" w:rsidR="002A53C5" w:rsidRPr="00415C43" w:rsidRDefault="00696ED1" w:rsidP="00541AD4">
            <w:pPr>
              <w:spacing w:after="240" w:line="360" w:lineRule="auto"/>
              <w:jc w:val="center"/>
              <w:rPr>
                <w:rFonts w:eastAsia="Times New Roman"/>
                <w:b/>
                <w:bCs/>
                <w:i/>
                <w:iCs/>
              </w:rPr>
            </w:pPr>
            <w:r w:rsidRPr="00415C43">
              <w:rPr>
                <w:rFonts w:eastAsia="Times New Roman"/>
                <w:b/>
                <w:bCs/>
                <w:i/>
                <w:iCs/>
              </w:rPr>
              <w:t>2021</w:t>
            </w:r>
          </w:p>
        </w:tc>
        <w:tc>
          <w:tcPr>
            <w:tcW w:w="716"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46D0DD92" w14:textId="77777777" w:rsidR="002A53C5" w:rsidRPr="00415C43" w:rsidRDefault="00696ED1" w:rsidP="00541AD4">
            <w:pPr>
              <w:spacing w:after="240" w:line="360" w:lineRule="auto"/>
              <w:jc w:val="center"/>
              <w:rPr>
                <w:rFonts w:eastAsia="Times New Roman"/>
                <w:b/>
                <w:bCs/>
                <w:i/>
                <w:iCs/>
              </w:rPr>
            </w:pPr>
            <w:r w:rsidRPr="00415C43">
              <w:rPr>
                <w:rFonts w:eastAsia="Times New Roman"/>
                <w:b/>
                <w:bCs/>
                <w:i/>
                <w:iCs/>
              </w:rPr>
              <w:t>2022</w:t>
            </w:r>
          </w:p>
        </w:tc>
        <w:tc>
          <w:tcPr>
            <w:tcW w:w="716"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55D104A0" w14:textId="77777777" w:rsidR="002A53C5" w:rsidRPr="00415C43" w:rsidRDefault="00696ED1" w:rsidP="00541AD4">
            <w:pPr>
              <w:spacing w:after="240" w:line="360" w:lineRule="auto"/>
              <w:jc w:val="center"/>
              <w:rPr>
                <w:rFonts w:eastAsia="Times New Roman"/>
                <w:b/>
                <w:bCs/>
                <w:i/>
                <w:iCs/>
              </w:rPr>
            </w:pPr>
            <w:r w:rsidRPr="00415C43">
              <w:rPr>
                <w:rFonts w:eastAsia="Times New Roman"/>
                <w:b/>
                <w:bCs/>
                <w:i/>
                <w:iCs/>
              </w:rPr>
              <w:t>2023</w:t>
            </w:r>
          </w:p>
        </w:tc>
        <w:tc>
          <w:tcPr>
            <w:tcW w:w="716"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4EAB5F1E" w14:textId="77777777" w:rsidR="002A53C5" w:rsidRPr="00415C43" w:rsidRDefault="00696ED1" w:rsidP="00541AD4">
            <w:pPr>
              <w:spacing w:after="240" w:line="360" w:lineRule="auto"/>
              <w:jc w:val="center"/>
              <w:rPr>
                <w:rFonts w:eastAsia="Times New Roman"/>
                <w:b/>
                <w:bCs/>
                <w:i/>
                <w:iCs/>
              </w:rPr>
            </w:pPr>
            <w:r w:rsidRPr="00415C43">
              <w:rPr>
                <w:rFonts w:eastAsia="Times New Roman"/>
                <w:b/>
                <w:bCs/>
                <w:i/>
                <w:iCs/>
              </w:rPr>
              <w:t>2024</w:t>
            </w:r>
          </w:p>
        </w:tc>
        <w:tc>
          <w:tcPr>
            <w:tcW w:w="716"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1F6CD871" w14:textId="77777777" w:rsidR="002A53C5" w:rsidRPr="00415C43" w:rsidRDefault="00696ED1" w:rsidP="00541AD4">
            <w:pPr>
              <w:spacing w:after="240" w:line="360" w:lineRule="auto"/>
              <w:jc w:val="center"/>
              <w:rPr>
                <w:rFonts w:eastAsia="Times New Roman"/>
                <w:b/>
                <w:bCs/>
                <w:i/>
                <w:iCs/>
              </w:rPr>
            </w:pPr>
            <w:r w:rsidRPr="00415C43">
              <w:rPr>
                <w:rFonts w:eastAsia="Times New Roman"/>
                <w:b/>
                <w:bCs/>
                <w:i/>
                <w:iCs/>
              </w:rPr>
              <w:t>2025</w:t>
            </w:r>
          </w:p>
        </w:tc>
      </w:tr>
      <w:tr w:rsidR="002A53C5" w:rsidRPr="00415C43" w14:paraId="596E5372" w14:textId="77777777">
        <w:trPr>
          <w:trHeight w:val="300"/>
        </w:trPr>
        <w:tc>
          <w:tcPr>
            <w:tcW w:w="2004"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0F706A15" w14:textId="77777777" w:rsidR="002A53C5" w:rsidRPr="00415C43" w:rsidRDefault="00696ED1" w:rsidP="00541AD4">
            <w:pPr>
              <w:spacing w:after="240" w:line="360" w:lineRule="auto"/>
              <w:jc w:val="both"/>
              <w:rPr>
                <w:rFonts w:eastAsia="Times New Roman"/>
                <w:sz w:val="24"/>
                <w:szCs w:val="24"/>
              </w:rPr>
            </w:pPr>
            <w:r w:rsidRPr="00415C43">
              <w:rPr>
                <w:rFonts w:eastAsia="Times New Roman"/>
                <w:sz w:val="24"/>
                <w:szCs w:val="24"/>
              </w:rPr>
              <w:t>Revenue</w:t>
            </w:r>
          </w:p>
        </w:tc>
        <w:tc>
          <w:tcPr>
            <w:tcW w:w="3335" w:type="dxa"/>
            <w:tcBorders>
              <w:top w:val="nil"/>
              <w:left w:val="nil"/>
              <w:bottom w:val="single" w:sz="8" w:space="0" w:color="000000"/>
              <w:right w:val="single" w:sz="8" w:space="0" w:color="000000"/>
            </w:tcBorders>
            <w:tcMar>
              <w:top w:w="0" w:type="dxa"/>
              <w:left w:w="100" w:type="dxa"/>
              <w:bottom w:w="0" w:type="dxa"/>
              <w:right w:w="100" w:type="dxa"/>
            </w:tcMar>
          </w:tcPr>
          <w:p w14:paraId="66A2655E" w14:textId="77777777" w:rsidR="002A53C5" w:rsidRPr="00415C43" w:rsidRDefault="002A53C5" w:rsidP="00541AD4">
            <w:pPr>
              <w:spacing w:after="240" w:line="360" w:lineRule="auto"/>
              <w:jc w:val="both"/>
              <w:rPr>
                <w:rFonts w:eastAsia="Times New Roman"/>
                <w:sz w:val="24"/>
                <w:szCs w:val="24"/>
              </w:rPr>
            </w:pPr>
          </w:p>
        </w:tc>
        <w:tc>
          <w:tcPr>
            <w:tcW w:w="819" w:type="dxa"/>
            <w:tcBorders>
              <w:top w:val="nil"/>
              <w:left w:val="nil"/>
              <w:bottom w:val="single" w:sz="8" w:space="0" w:color="000000"/>
              <w:right w:val="single" w:sz="8" w:space="0" w:color="000000"/>
            </w:tcBorders>
            <w:tcMar>
              <w:top w:w="0" w:type="dxa"/>
              <w:left w:w="100" w:type="dxa"/>
              <w:bottom w:w="0" w:type="dxa"/>
              <w:right w:w="100" w:type="dxa"/>
            </w:tcMar>
          </w:tcPr>
          <w:p w14:paraId="7F17BAC2" w14:textId="77777777" w:rsidR="002A53C5" w:rsidRPr="00415C43" w:rsidRDefault="00696ED1" w:rsidP="00541AD4">
            <w:pPr>
              <w:spacing w:after="240" w:line="360" w:lineRule="auto"/>
              <w:jc w:val="both"/>
              <w:rPr>
                <w:rFonts w:eastAsia="Times New Roman"/>
                <w:sz w:val="24"/>
                <w:szCs w:val="24"/>
              </w:rPr>
            </w:pPr>
            <w:r w:rsidRPr="00415C43">
              <w:rPr>
                <w:rFonts w:eastAsia="Times New Roman"/>
                <w:sz w:val="24"/>
                <w:szCs w:val="24"/>
              </w:rPr>
              <w:t>2,204</w:t>
            </w:r>
          </w:p>
        </w:tc>
        <w:tc>
          <w:tcPr>
            <w:tcW w:w="716" w:type="dxa"/>
            <w:tcBorders>
              <w:top w:val="nil"/>
              <w:left w:val="nil"/>
              <w:bottom w:val="single" w:sz="8" w:space="0" w:color="000000"/>
              <w:right w:val="single" w:sz="8" w:space="0" w:color="000000"/>
            </w:tcBorders>
            <w:tcMar>
              <w:top w:w="0" w:type="dxa"/>
              <w:left w:w="100" w:type="dxa"/>
              <w:bottom w:w="0" w:type="dxa"/>
              <w:right w:w="100" w:type="dxa"/>
            </w:tcMar>
          </w:tcPr>
          <w:p w14:paraId="4C64AF18" w14:textId="77777777" w:rsidR="002A53C5" w:rsidRPr="00415C43" w:rsidRDefault="00696ED1" w:rsidP="00541AD4">
            <w:pPr>
              <w:spacing w:after="240" w:line="360" w:lineRule="auto"/>
              <w:jc w:val="both"/>
              <w:rPr>
                <w:rFonts w:eastAsia="Times New Roman"/>
                <w:sz w:val="24"/>
                <w:szCs w:val="24"/>
              </w:rPr>
            </w:pPr>
            <w:r w:rsidRPr="00415C43">
              <w:rPr>
                <w:rFonts w:eastAsia="Times New Roman"/>
                <w:sz w:val="24"/>
                <w:szCs w:val="24"/>
              </w:rPr>
              <w:t>4,224</w:t>
            </w:r>
          </w:p>
        </w:tc>
        <w:tc>
          <w:tcPr>
            <w:tcW w:w="716" w:type="dxa"/>
            <w:tcBorders>
              <w:top w:val="nil"/>
              <w:left w:val="nil"/>
              <w:bottom w:val="single" w:sz="8" w:space="0" w:color="000000"/>
              <w:right w:val="single" w:sz="8" w:space="0" w:color="000000"/>
            </w:tcBorders>
            <w:tcMar>
              <w:top w:w="0" w:type="dxa"/>
              <w:left w:w="100" w:type="dxa"/>
              <w:bottom w:w="0" w:type="dxa"/>
              <w:right w:w="100" w:type="dxa"/>
            </w:tcMar>
          </w:tcPr>
          <w:p w14:paraId="4D9E070E" w14:textId="77777777" w:rsidR="002A53C5" w:rsidRPr="00415C43" w:rsidRDefault="00696ED1" w:rsidP="00541AD4">
            <w:pPr>
              <w:spacing w:after="240" w:line="360" w:lineRule="auto"/>
              <w:jc w:val="both"/>
              <w:rPr>
                <w:rFonts w:eastAsia="Times New Roman"/>
                <w:sz w:val="24"/>
                <w:szCs w:val="24"/>
              </w:rPr>
            </w:pPr>
            <w:r w:rsidRPr="00415C43">
              <w:rPr>
                <w:rFonts w:eastAsia="Times New Roman"/>
                <w:sz w:val="24"/>
                <w:szCs w:val="24"/>
              </w:rPr>
              <w:t>5,056</w:t>
            </w:r>
          </w:p>
        </w:tc>
        <w:tc>
          <w:tcPr>
            <w:tcW w:w="716" w:type="dxa"/>
            <w:tcBorders>
              <w:top w:val="nil"/>
              <w:left w:val="nil"/>
              <w:bottom w:val="single" w:sz="8" w:space="0" w:color="000000"/>
              <w:right w:val="single" w:sz="8" w:space="0" w:color="000000"/>
            </w:tcBorders>
            <w:tcMar>
              <w:top w:w="0" w:type="dxa"/>
              <w:left w:w="100" w:type="dxa"/>
              <w:bottom w:w="0" w:type="dxa"/>
              <w:right w:w="100" w:type="dxa"/>
            </w:tcMar>
          </w:tcPr>
          <w:p w14:paraId="42818E09" w14:textId="77777777" w:rsidR="002A53C5" w:rsidRPr="00415C43" w:rsidRDefault="00696ED1" w:rsidP="00541AD4">
            <w:pPr>
              <w:spacing w:after="240" w:line="360" w:lineRule="auto"/>
              <w:jc w:val="both"/>
              <w:rPr>
                <w:rFonts w:eastAsia="Times New Roman"/>
                <w:sz w:val="24"/>
                <w:szCs w:val="24"/>
              </w:rPr>
            </w:pPr>
            <w:r w:rsidRPr="00415C43">
              <w:rPr>
                <w:rFonts w:eastAsia="Times New Roman"/>
                <w:sz w:val="24"/>
                <w:szCs w:val="24"/>
              </w:rPr>
              <w:t>5,606</w:t>
            </w:r>
          </w:p>
        </w:tc>
        <w:tc>
          <w:tcPr>
            <w:tcW w:w="716" w:type="dxa"/>
            <w:tcBorders>
              <w:top w:val="nil"/>
              <w:left w:val="nil"/>
              <w:bottom w:val="single" w:sz="8" w:space="0" w:color="000000"/>
              <w:right w:val="single" w:sz="8" w:space="0" w:color="000000"/>
            </w:tcBorders>
            <w:tcMar>
              <w:top w:w="0" w:type="dxa"/>
              <w:left w:w="100" w:type="dxa"/>
              <w:bottom w:w="0" w:type="dxa"/>
              <w:right w:w="100" w:type="dxa"/>
            </w:tcMar>
          </w:tcPr>
          <w:p w14:paraId="7F32C2F6" w14:textId="77777777" w:rsidR="002A53C5" w:rsidRPr="00415C43" w:rsidRDefault="00696ED1" w:rsidP="00541AD4">
            <w:pPr>
              <w:spacing w:after="240" w:line="360" w:lineRule="auto"/>
              <w:jc w:val="both"/>
              <w:rPr>
                <w:rFonts w:eastAsia="Times New Roman"/>
                <w:sz w:val="24"/>
                <w:szCs w:val="24"/>
              </w:rPr>
            </w:pPr>
            <w:r w:rsidRPr="00415C43">
              <w:rPr>
                <w:rFonts w:eastAsia="Times New Roman"/>
                <w:sz w:val="24"/>
                <w:szCs w:val="24"/>
              </w:rPr>
              <w:t>5,639</w:t>
            </w:r>
          </w:p>
        </w:tc>
      </w:tr>
      <w:tr w:rsidR="002A53C5" w:rsidRPr="00415C43" w14:paraId="2F705C94" w14:textId="77777777">
        <w:trPr>
          <w:trHeight w:val="300"/>
        </w:trPr>
        <w:tc>
          <w:tcPr>
            <w:tcW w:w="2004"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788434D2" w14:textId="77777777" w:rsidR="002A53C5" w:rsidRPr="00415C43" w:rsidRDefault="00696ED1" w:rsidP="00541AD4">
            <w:pPr>
              <w:spacing w:after="240" w:line="360" w:lineRule="auto"/>
              <w:jc w:val="both"/>
              <w:rPr>
                <w:rFonts w:eastAsia="Times New Roman"/>
                <w:sz w:val="24"/>
                <w:szCs w:val="24"/>
              </w:rPr>
            </w:pPr>
            <w:r w:rsidRPr="00415C43">
              <w:rPr>
                <w:rFonts w:eastAsia="Times New Roman"/>
                <w:sz w:val="24"/>
                <w:szCs w:val="24"/>
              </w:rPr>
              <w:t>Inventory</w:t>
            </w:r>
          </w:p>
        </w:tc>
        <w:tc>
          <w:tcPr>
            <w:tcW w:w="3335" w:type="dxa"/>
            <w:tcBorders>
              <w:top w:val="nil"/>
              <w:left w:val="nil"/>
              <w:bottom w:val="single" w:sz="8" w:space="0" w:color="000000"/>
              <w:right w:val="single" w:sz="8" w:space="0" w:color="000000"/>
            </w:tcBorders>
            <w:tcMar>
              <w:top w:w="0" w:type="dxa"/>
              <w:left w:w="100" w:type="dxa"/>
              <w:bottom w:w="0" w:type="dxa"/>
              <w:right w:w="100" w:type="dxa"/>
            </w:tcMar>
          </w:tcPr>
          <w:p w14:paraId="02EB5886" w14:textId="77777777" w:rsidR="002A53C5" w:rsidRPr="00415C43" w:rsidRDefault="002A53C5" w:rsidP="00541AD4">
            <w:pPr>
              <w:spacing w:after="240" w:line="360" w:lineRule="auto"/>
              <w:jc w:val="both"/>
              <w:rPr>
                <w:rFonts w:eastAsia="Times New Roman"/>
                <w:sz w:val="24"/>
                <w:szCs w:val="24"/>
              </w:rPr>
            </w:pPr>
          </w:p>
        </w:tc>
        <w:tc>
          <w:tcPr>
            <w:tcW w:w="819" w:type="dxa"/>
            <w:tcBorders>
              <w:top w:val="nil"/>
              <w:left w:val="nil"/>
              <w:bottom w:val="single" w:sz="8" w:space="0" w:color="000000"/>
              <w:right w:val="single" w:sz="8" w:space="0" w:color="000000"/>
            </w:tcBorders>
            <w:tcMar>
              <w:top w:w="0" w:type="dxa"/>
              <w:left w:w="100" w:type="dxa"/>
              <w:bottom w:w="0" w:type="dxa"/>
              <w:right w:w="100" w:type="dxa"/>
            </w:tcMar>
          </w:tcPr>
          <w:p w14:paraId="19AFC674" w14:textId="77777777" w:rsidR="002A53C5" w:rsidRPr="00415C43" w:rsidRDefault="00696ED1" w:rsidP="00541AD4">
            <w:pPr>
              <w:spacing w:after="240" w:line="360" w:lineRule="auto"/>
              <w:jc w:val="both"/>
              <w:rPr>
                <w:rFonts w:eastAsia="Times New Roman"/>
                <w:sz w:val="24"/>
                <w:szCs w:val="24"/>
              </w:rPr>
            </w:pPr>
            <w:r w:rsidRPr="00415C43">
              <w:rPr>
                <w:rFonts w:eastAsia="Times New Roman"/>
                <w:sz w:val="24"/>
                <w:szCs w:val="24"/>
              </w:rPr>
              <w:t>52</w:t>
            </w:r>
          </w:p>
        </w:tc>
        <w:tc>
          <w:tcPr>
            <w:tcW w:w="716" w:type="dxa"/>
            <w:tcBorders>
              <w:top w:val="nil"/>
              <w:left w:val="nil"/>
              <w:bottom w:val="single" w:sz="8" w:space="0" w:color="000000"/>
              <w:right w:val="single" w:sz="8" w:space="0" w:color="000000"/>
            </w:tcBorders>
            <w:tcMar>
              <w:top w:w="0" w:type="dxa"/>
              <w:left w:w="100" w:type="dxa"/>
              <w:bottom w:w="0" w:type="dxa"/>
              <w:right w:w="100" w:type="dxa"/>
            </w:tcMar>
          </w:tcPr>
          <w:p w14:paraId="075D0559" w14:textId="77777777" w:rsidR="002A53C5" w:rsidRPr="00415C43" w:rsidRDefault="00696ED1" w:rsidP="00541AD4">
            <w:pPr>
              <w:spacing w:after="240" w:line="360" w:lineRule="auto"/>
              <w:jc w:val="both"/>
              <w:rPr>
                <w:rFonts w:eastAsia="Times New Roman"/>
                <w:sz w:val="24"/>
                <w:szCs w:val="24"/>
              </w:rPr>
            </w:pPr>
            <w:r w:rsidRPr="00415C43">
              <w:rPr>
                <w:rFonts w:eastAsia="Times New Roman"/>
                <w:sz w:val="24"/>
                <w:szCs w:val="24"/>
              </w:rPr>
              <w:t>58</w:t>
            </w:r>
          </w:p>
        </w:tc>
        <w:tc>
          <w:tcPr>
            <w:tcW w:w="716" w:type="dxa"/>
            <w:tcBorders>
              <w:top w:val="nil"/>
              <w:left w:val="nil"/>
              <w:bottom w:val="single" w:sz="8" w:space="0" w:color="000000"/>
              <w:right w:val="single" w:sz="8" w:space="0" w:color="000000"/>
            </w:tcBorders>
            <w:tcMar>
              <w:top w:w="0" w:type="dxa"/>
              <w:left w:w="100" w:type="dxa"/>
              <w:bottom w:w="0" w:type="dxa"/>
              <w:right w:w="100" w:type="dxa"/>
            </w:tcMar>
          </w:tcPr>
          <w:p w14:paraId="16A2CA1A" w14:textId="77777777" w:rsidR="002A53C5" w:rsidRPr="00415C43" w:rsidRDefault="00696ED1" w:rsidP="00541AD4">
            <w:pPr>
              <w:spacing w:after="240" w:line="360" w:lineRule="auto"/>
              <w:jc w:val="both"/>
              <w:rPr>
                <w:rFonts w:eastAsia="Times New Roman"/>
                <w:sz w:val="24"/>
                <w:szCs w:val="24"/>
              </w:rPr>
            </w:pPr>
            <w:r w:rsidRPr="00415C43">
              <w:rPr>
                <w:rFonts w:eastAsia="Times New Roman"/>
                <w:sz w:val="24"/>
                <w:szCs w:val="24"/>
              </w:rPr>
              <w:t>62</w:t>
            </w:r>
          </w:p>
        </w:tc>
        <w:tc>
          <w:tcPr>
            <w:tcW w:w="716" w:type="dxa"/>
            <w:tcBorders>
              <w:top w:val="nil"/>
              <w:left w:val="nil"/>
              <w:bottom w:val="single" w:sz="8" w:space="0" w:color="000000"/>
              <w:right w:val="single" w:sz="8" w:space="0" w:color="000000"/>
            </w:tcBorders>
            <w:tcMar>
              <w:top w:w="0" w:type="dxa"/>
              <w:left w:w="100" w:type="dxa"/>
              <w:bottom w:w="0" w:type="dxa"/>
              <w:right w:w="100" w:type="dxa"/>
            </w:tcMar>
          </w:tcPr>
          <w:p w14:paraId="7E3005B5" w14:textId="77777777" w:rsidR="002A53C5" w:rsidRPr="00415C43" w:rsidRDefault="00696ED1" w:rsidP="00541AD4">
            <w:pPr>
              <w:spacing w:after="240" w:line="360" w:lineRule="auto"/>
              <w:jc w:val="both"/>
              <w:rPr>
                <w:rFonts w:eastAsia="Times New Roman"/>
                <w:sz w:val="24"/>
                <w:szCs w:val="24"/>
              </w:rPr>
            </w:pPr>
            <w:r w:rsidRPr="00415C43">
              <w:rPr>
                <w:rFonts w:eastAsia="Times New Roman"/>
                <w:sz w:val="24"/>
                <w:szCs w:val="24"/>
              </w:rPr>
              <w:t>66</w:t>
            </w:r>
          </w:p>
        </w:tc>
        <w:tc>
          <w:tcPr>
            <w:tcW w:w="716" w:type="dxa"/>
            <w:tcBorders>
              <w:top w:val="nil"/>
              <w:left w:val="nil"/>
              <w:bottom w:val="single" w:sz="8" w:space="0" w:color="000000"/>
              <w:right w:val="single" w:sz="8" w:space="0" w:color="000000"/>
            </w:tcBorders>
            <w:tcMar>
              <w:top w:w="0" w:type="dxa"/>
              <w:left w:w="100" w:type="dxa"/>
              <w:bottom w:w="0" w:type="dxa"/>
              <w:right w:w="100" w:type="dxa"/>
            </w:tcMar>
          </w:tcPr>
          <w:p w14:paraId="1357EEC9" w14:textId="77777777" w:rsidR="002A53C5" w:rsidRPr="00415C43" w:rsidRDefault="00696ED1" w:rsidP="00541AD4">
            <w:pPr>
              <w:spacing w:after="240" w:line="360" w:lineRule="auto"/>
              <w:jc w:val="both"/>
              <w:rPr>
                <w:rFonts w:eastAsia="Times New Roman"/>
                <w:sz w:val="24"/>
                <w:szCs w:val="24"/>
              </w:rPr>
            </w:pPr>
            <w:r w:rsidRPr="00415C43">
              <w:rPr>
                <w:rFonts w:eastAsia="Times New Roman"/>
                <w:sz w:val="24"/>
                <w:szCs w:val="24"/>
              </w:rPr>
              <w:t>70</w:t>
            </w:r>
          </w:p>
        </w:tc>
      </w:tr>
      <w:tr w:rsidR="002A53C5" w:rsidRPr="00415C43" w14:paraId="173B161E" w14:textId="77777777">
        <w:trPr>
          <w:trHeight w:val="300"/>
        </w:trPr>
        <w:tc>
          <w:tcPr>
            <w:tcW w:w="2004"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049C5F27" w14:textId="77777777" w:rsidR="002A53C5" w:rsidRPr="00415C43" w:rsidRDefault="00696ED1" w:rsidP="00541AD4">
            <w:pPr>
              <w:spacing w:after="240" w:line="360" w:lineRule="auto"/>
              <w:jc w:val="both"/>
              <w:rPr>
                <w:rFonts w:eastAsia="Times New Roman"/>
                <w:sz w:val="24"/>
                <w:szCs w:val="24"/>
              </w:rPr>
            </w:pPr>
            <w:r w:rsidRPr="00415C43">
              <w:rPr>
                <w:rFonts w:eastAsia="Times New Roman"/>
                <w:sz w:val="24"/>
                <w:szCs w:val="24"/>
              </w:rPr>
              <w:t>Accounts Receivable</w:t>
            </w:r>
          </w:p>
        </w:tc>
        <w:tc>
          <w:tcPr>
            <w:tcW w:w="3335" w:type="dxa"/>
            <w:tcBorders>
              <w:top w:val="nil"/>
              <w:left w:val="nil"/>
              <w:bottom w:val="single" w:sz="8" w:space="0" w:color="000000"/>
              <w:right w:val="single" w:sz="8" w:space="0" w:color="000000"/>
            </w:tcBorders>
            <w:tcMar>
              <w:top w:w="0" w:type="dxa"/>
              <w:left w:w="100" w:type="dxa"/>
              <w:bottom w:w="0" w:type="dxa"/>
              <w:right w:w="100" w:type="dxa"/>
            </w:tcMar>
          </w:tcPr>
          <w:p w14:paraId="7DFB1648" w14:textId="77777777" w:rsidR="002A53C5" w:rsidRPr="00415C43" w:rsidRDefault="002A53C5" w:rsidP="00541AD4">
            <w:pPr>
              <w:spacing w:after="240" w:line="360" w:lineRule="auto"/>
              <w:jc w:val="both"/>
              <w:rPr>
                <w:rFonts w:eastAsia="Times New Roman"/>
                <w:sz w:val="24"/>
                <w:szCs w:val="24"/>
              </w:rPr>
            </w:pPr>
          </w:p>
        </w:tc>
        <w:tc>
          <w:tcPr>
            <w:tcW w:w="819" w:type="dxa"/>
            <w:tcBorders>
              <w:top w:val="nil"/>
              <w:left w:val="nil"/>
              <w:bottom w:val="single" w:sz="8" w:space="0" w:color="000000"/>
              <w:right w:val="single" w:sz="8" w:space="0" w:color="000000"/>
            </w:tcBorders>
            <w:tcMar>
              <w:top w:w="0" w:type="dxa"/>
              <w:left w:w="100" w:type="dxa"/>
              <w:bottom w:w="0" w:type="dxa"/>
              <w:right w:w="100" w:type="dxa"/>
            </w:tcMar>
          </w:tcPr>
          <w:p w14:paraId="2492D46D" w14:textId="77777777" w:rsidR="002A53C5" w:rsidRPr="00415C43" w:rsidRDefault="00696ED1" w:rsidP="00541AD4">
            <w:pPr>
              <w:spacing w:after="240" w:line="360" w:lineRule="auto"/>
              <w:jc w:val="both"/>
              <w:rPr>
                <w:rFonts w:eastAsia="Times New Roman"/>
                <w:sz w:val="24"/>
                <w:szCs w:val="24"/>
              </w:rPr>
            </w:pPr>
            <w:r w:rsidRPr="00415C43">
              <w:rPr>
                <w:rFonts w:eastAsia="Times New Roman"/>
                <w:sz w:val="24"/>
                <w:szCs w:val="24"/>
              </w:rPr>
              <w:t>631</w:t>
            </w:r>
          </w:p>
        </w:tc>
        <w:tc>
          <w:tcPr>
            <w:tcW w:w="716" w:type="dxa"/>
            <w:tcBorders>
              <w:top w:val="nil"/>
              <w:left w:val="nil"/>
              <w:bottom w:val="single" w:sz="8" w:space="0" w:color="000000"/>
              <w:right w:val="single" w:sz="8" w:space="0" w:color="000000"/>
            </w:tcBorders>
            <w:tcMar>
              <w:top w:w="0" w:type="dxa"/>
              <w:left w:w="100" w:type="dxa"/>
              <w:bottom w:w="0" w:type="dxa"/>
              <w:right w:w="100" w:type="dxa"/>
            </w:tcMar>
          </w:tcPr>
          <w:p w14:paraId="2FEC0E46" w14:textId="77777777" w:rsidR="002A53C5" w:rsidRPr="00415C43" w:rsidRDefault="00696ED1" w:rsidP="00541AD4">
            <w:pPr>
              <w:spacing w:after="240" w:line="360" w:lineRule="auto"/>
              <w:jc w:val="both"/>
              <w:rPr>
                <w:rFonts w:eastAsia="Times New Roman"/>
                <w:sz w:val="24"/>
                <w:szCs w:val="24"/>
              </w:rPr>
            </w:pPr>
            <w:r w:rsidRPr="00415C43">
              <w:rPr>
                <w:rFonts w:eastAsia="Times New Roman"/>
                <w:sz w:val="24"/>
                <w:szCs w:val="24"/>
              </w:rPr>
              <w:t>794</w:t>
            </w:r>
          </w:p>
        </w:tc>
        <w:tc>
          <w:tcPr>
            <w:tcW w:w="716" w:type="dxa"/>
            <w:tcBorders>
              <w:top w:val="nil"/>
              <w:left w:val="nil"/>
              <w:bottom w:val="single" w:sz="8" w:space="0" w:color="000000"/>
              <w:right w:val="single" w:sz="8" w:space="0" w:color="000000"/>
            </w:tcBorders>
            <w:tcMar>
              <w:top w:w="0" w:type="dxa"/>
              <w:left w:w="100" w:type="dxa"/>
              <w:bottom w:w="0" w:type="dxa"/>
              <w:right w:w="100" w:type="dxa"/>
            </w:tcMar>
          </w:tcPr>
          <w:p w14:paraId="0DEC6182" w14:textId="77777777" w:rsidR="002A53C5" w:rsidRPr="00415C43" w:rsidRDefault="00696ED1" w:rsidP="00541AD4">
            <w:pPr>
              <w:spacing w:after="240" w:line="360" w:lineRule="auto"/>
              <w:jc w:val="both"/>
              <w:rPr>
                <w:rFonts w:eastAsia="Times New Roman"/>
                <w:sz w:val="24"/>
                <w:szCs w:val="24"/>
              </w:rPr>
            </w:pPr>
            <w:r w:rsidRPr="00415C43">
              <w:rPr>
                <w:rFonts w:eastAsia="Times New Roman"/>
                <w:sz w:val="24"/>
                <w:szCs w:val="24"/>
              </w:rPr>
              <w:t>824</w:t>
            </w:r>
          </w:p>
        </w:tc>
        <w:tc>
          <w:tcPr>
            <w:tcW w:w="716" w:type="dxa"/>
            <w:tcBorders>
              <w:top w:val="nil"/>
              <w:left w:val="nil"/>
              <w:bottom w:val="single" w:sz="8" w:space="0" w:color="000000"/>
              <w:right w:val="single" w:sz="8" w:space="0" w:color="000000"/>
            </w:tcBorders>
            <w:tcMar>
              <w:top w:w="0" w:type="dxa"/>
              <w:left w:w="100" w:type="dxa"/>
              <w:bottom w:w="0" w:type="dxa"/>
              <w:right w:w="100" w:type="dxa"/>
            </w:tcMar>
          </w:tcPr>
          <w:p w14:paraId="4065760B" w14:textId="77777777" w:rsidR="002A53C5" w:rsidRPr="00415C43" w:rsidRDefault="00696ED1" w:rsidP="00541AD4">
            <w:pPr>
              <w:spacing w:after="240" w:line="360" w:lineRule="auto"/>
              <w:jc w:val="both"/>
              <w:rPr>
                <w:rFonts w:eastAsia="Times New Roman"/>
                <w:sz w:val="24"/>
                <w:szCs w:val="24"/>
              </w:rPr>
            </w:pPr>
            <w:r w:rsidRPr="00415C43">
              <w:rPr>
                <w:rFonts w:eastAsia="Times New Roman"/>
                <w:sz w:val="24"/>
                <w:szCs w:val="24"/>
              </w:rPr>
              <w:t>841</w:t>
            </w:r>
          </w:p>
        </w:tc>
        <w:tc>
          <w:tcPr>
            <w:tcW w:w="716" w:type="dxa"/>
            <w:tcBorders>
              <w:top w:val="nil"/>
              <w:left w:val="nil"/>
              <w:bottom w:val="single" w:sz="8" w:space="0" w:color="000000"/>
              <w:right w:val="single" w:sz="8" w:space="0" w:color="000000"/>
            </w:tcBorders>
            <w:tcMar>
              <w:top w:w="0" w:type="dxa"/>
              <w:left w:w="100" w:type="dxa"/>
              <w:bottom w:w="0" w:type="dxa"/>
              <w:right w:w="100" w:type="dxa"/>
            </w:tcMar>
          </w:tcPr>
          <w:p w14:paraId="0F6E5838" w14:textId="77777777" w:rsidR="002A53C5" w:rsidRPr="00415C43" w:rsidRDefault="00696ED1" w:rsidP="00541AD4">
            <w:pPr>
              <w:spacing w:after="240" w:line="360" w:lineRule="auto"/>
              <w:jc w:val="both"/>
              <w:rPr>
                <w:rFonts w:eastAsia="Times New Roman"/>
                <w:sz w:val="24"/>
                <w:szCs w:val="24"/>
              </w:rPr>
            </w:pPr>
            <w:r w:rsidRPr="00415C43">
              <w:rPr>
                <w:rFonts w:eastAsia="Times New Roman"/>
                <w:sz w:val="24"/>
                <w:szCs w:val="24"/>
              </w:rPr>
              <w:t>864</w:t>
            </w:r>
          </w:p>
        </w:tc>
      </w:tr>
      <w:tr w:rsidR="002A53C5" w:rsidRPr="00415C43" w14:paraId="4C064E83" w14:textId="77777777">
        <w:trPr>
          <w:trHeight w:val="300"/>
        </w:trPr>
        <w:tc>
          <w:tcPr>
            <w:tcW w:w="2004"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50CC3219" w14:textId="77777777" w:rsidR="002A53C5" w:rsidRPr="00415C43" w:rsidRDefault="00696ED1" w:rsidP="00541AD4">
            <w:pPr>
              <w:spacing w:after="240" w:line="360" w:lineRule="auto"/>
              <w:jc w:val="both"/>
              <w:rPr>
                <w:rFonts w:eastAsia="Times New Roman"/>
                <w:sz w:val="24"/>
                <w:szCs w:val="24"/>
              </w:rPr>
            </w:pPr>
            <w:r w:rsidRPr="00415C43">
              <w:rPr>
                <w:rFonts w:eastAsia="Times New Roman"/>
                <w:sz w:val="24"/>
                <w:szCs w:val="24"/>
              </w:rPr>
              <w:t>Accounts Payable</w:t>
            </w:r>
          </w:p>
        </w:tc>
        <w:tc>
          <w:tcPr>
            <w:tcW w:w="3335" w:type="dxa"/>
            <w:tcBorders>
              <w:top w:val="nil"/>
              <w:left w:val="nil"/>
              <w:bottom w:val="single" w:sz="8" w:space="0" w:color="000000"/>
              <w:right w:val="single" w:sz="8" w:space="0" w:color="000000"/>
            </w:tcBorders>
            <w:tcMar>
              <w:top w:w="0" w:type="dxa"/>
              <w:left w:w="100" w:type="dxa"/>
              <w:bottom w:w="0" w:type="dxa"/>
              <w:right w:w="100" w:type="dxa"/>
            </w:tcMar>
          </w:tcPr>
          <w:p w14:paraId="44AAC193" w14:textId="77777777" w:rsidR="002A53C5" w:rsidRPr="00415C43" w:rsidRDefault="002A53C5" w:rsidP="00541AD4">
            <w:pPr>
              <w:spacing w:after="240" w:line="360" w:lineRule="auto"/>
              <w:jc w:val="both"/>
              <w:rPr>
                <w:rFonts w:eastAsia="Times New Roman"/>
                <w:sz w:val="24"/>
                <w:szCs w:val="24"/>
              </w:rPr>
            </w:pPr>
          </w:p>
        </w:tc>
        <w:tc>
          <w:tcPr>
            <w:tcW w:w="819" w:type="dxa"/>
            <w:tcBorders>
              <w:top w:val="nil"/>
              <w:left w:val="nil"/>
              <w:bottom w:val="single" w:sz="8" w:space="0" w:color="000000"/>
              <w:right w:val="single" w:sz="8" w:space="0" w:color="000000"/>
            </w:tcBorders>
            <w:tcMar>
              <w:top w:w="0" w:type="dxa"/>
              <w:left w:w="100" w:type="dxa"/>
              <w:bottom w:w="0" w:type="dxa"/>
              <w:right w:w="100" w:type="dxa"/>
            </w:tcMar>
          </w:tcPr>
          <w:p w14:paraId="65D0EBBB" w14:textId="77777777" w:rsidR="002A53C5" w:rsidRPr="00415C43" w:rsidRDefault="00696ED1" w:rsidP="00541AD4">
            <w:pPr>
              <w:spacing w:after="240" w:line="360" w:lineRule="auto"/>
              <w:jc w:val="both"/>
              <w:rPr>
                <w:rFonts w:eastAsia="Times New Roman"/>
                <w:sz w:val="24"/>
                <w:szCs w:val="24"/>
              </w:rPr>
            </w:pPr>
            <w:r w:rsidRPr="00415C43">
              <w:rPr>
                <w:rFonts w:eastAsia="Times New Roman"/>
                <w:sz w:val="24"/>
                <w:szCs w:val="24"/>
              </w:rPr>
              <w:t>391</w:t>
            </w:r>
          </w:p>
        </w:tc>
        <w:tc>
          <w:tcPr>
            <w:tcW w:w="716" w:type="dxa"/>
            <w:tcBorders>
              <w:top w:val="nil"/>
              <w:left w:val="nil"/>
              <w:bottom w:val="single" w:sz="8" w:space="0" w:color="000000"/>
              <w:right w:val="single" w:sz="8" w:space="0" w:color="000000"/>
            </w:tcBorders>
            <w:tcMar>
              <w:top w:w="0" w:type="dxa"/>
              <w:left w:w="100" w:type="dxa"/>
              <w:bottom w:w="0" w:type="dxa"/>
              <w:right w:w="100" w:type="dxa"/>
            </w:tcMar>
          </w:tcPr>
          <w:p w14:paraId="1AF06224" w14:textId="77777777" w:rsidR="002A53C5" w:rsidRPr="00415C43" w:rsidRDefault="00696ED1" w:rsidP="00541AD4">
            <w:pPr>
              <w:spacing w:after="240" w:line="360" w:lineRule="auto"/>
              <w:jc w:val="both"/>
              <w:rPr>
                <w:rFonts w:eastAsia="Times New Roman"/>
                <w:sz w:val="24"/>
                <w:szCs w:val="24"/>
              </w:rPr>
            </w:pPr>
            <w:r w:rsidRPr="00415C43">
              <w:rPr>
                <w:rFonts w:eastAsia="Times New Roman"/>
                <w:sz w:val="24"/>
                <w:szCs w:val="24"/>
              </w:rPr>
              <w:t>489</w:t>
            </w:r>
          </w:p>
        </w:tc>
        <w:tc>
          <w:tcPr>
            <w:tcW w:w="716" w:type="dxa"/>
            <w:tcBorders>
              <w:top w:val="nil"/>
              <w:left w:val="nil"/>
              <w:bottom w:val="single" w:sz="8" w:space="0" w:color="000000"/>
              <w:right w:val="single" w:sz="8" w:space="0" w:color="000000"/>
            </w:tcBorders>
            <w:tcMar>
              <w:top w:w="0" w:type="dxa"/>
              <w:left w:w="100" w:type="dxa"/>
              <w:bottom w:w="0" w:type="dxa"/>
              <w:right w:w="100" w:type="dxa"/>
            </w:tcMar>
          </w:tcPr>
          <w:p w14:paraId="12F1C690" w14:textId="77777777" w:rsidR="002A53C5" w:rsidRPr="00415C43" w:rsidRDefault="00696ED1" w:rsidP="00541AD4">
            <w:pPr>
              <w:spacing w:after="240" w:line="360" w:lineRule="auto"/>
              <w:jc w:val="both"/>
              <w:rPr>
                <w:rFonts w:eastAsia="Times New Roman"/>
                <w:sz w:val="24"/>
                <w:szCs w:val="24"/>
              </w:rPr>
            </w:pPr>
            <w:r w:rsidRPr="00415C43">
              <w:rPr>
                <w:rFonts w:eastAsia="Times New Roman"/>
                <w:sz w:val="24"/>
                <w:szCs w:val="24"/>
              </w:rPr>
              <w:t>515</w:t>
            </w:r>
          </w:p>
        </w:tc>
        <w:tc>
          <w:tcPr>
            <w:tcW w:w="716" w:type="dxa"/>
            <w:tcBorders>
              <w:top w:val="nil"/>
              <w:left w:val="nil"/>
              <w:bottom w:val="single" w:sz="8" w:space="0" w:color="000000"/>
              <w:right w:val="single" w:sz="8" w:space="0" w:color="000000"/>
            </w:tcBorders>
            <w:tcMar>
              <w:top w:w="0" w:type="dxa"/>
              <w:left w:w="100" w:type="dxa"/>
              <w:bottom w:w="0" w:type="dxa"/>
              <w:right w:w="100" w:type="dxa"/>
            </w:tcMar>
          </w:tcPr>
          <w:p w14:paraId="605B40BA" w14:textId="77777777" w:rsidR="002A53C5" w:rsidRPr="00415C43" w:rsidRDefault="00696ED1" w:rsidP="00541AD4">
            <w:pPr>
              <w:spacing w:after="240" w:line="360" w:lineRule="auto"/>
              <w:jc w:val="both"/>
              <w:rPr>
                <w:rFonts w:eastAsia="Times New Roman"/>
                <w:sz w:val="24"/>
                <w:szCs w:val="24"/>
              </w:rPr>
            </w:pPr>
            <w:r w:rsidRPr="00415C43">
              <w:rPr>
                <w:rFonts w:eastAsia="Times New Roman"/>
                <w:sz w:val="24"/>
                <w:szCs w:val="24"/>
              </w:rPr>
              <w:t>557</w:t>
            </w:r>
          </w:p>
        </w:tc>
        <w:tc>
          <w:tcPr>
            <w:tcW w:w="716" w:type="dxa"/>
            <w:tcBorders>
              <w:top w:val="nil"/>
              <w:left w:val="nil"/>
              <w:bottom w:val="single" w:sz="8" w:space="0" w:color="000000"/>
              <w:right w:val="single" w:sz="8" w:space="0" w:color="000000"/>
            </w:tcBorders>
            <w:tcMar>
              <w:top w:w="0" w:type="dxa"/>
              <w:left w:w="100" w:type="dxa"/>
              <w:bottom w:w="0" w:type="dxa"/>
              <w:right w:w="100" w:type="dxa"/>
            </w:tcMar>
          </w:tcPr>
          <w:p w14:paraId="27CF052D" w14:textId="77777777" w:rsidR="002A53C5" w:rsidRPr="00415C43" w:rsidRDefault="00696ED1" w:rsidP="00541AD4">
            <w:pPr>
              <w:spacing w:after="240" w:line="360" w:lineRule="auto"/>
              <w:jc w:val="both"/>
              <w:rPr>
                <w:rFonts w:eastAsia="Times New Roman"/>
                <w:sz w:val="24"/>
                <w:szCs w:val="24"/>
              </w:rPr>
            </w:pPr>
            <w:r w:rsidRPr="00415C43">
              <w:rPr>
                <w:rFonts w:eastAsia="Times New Roman"/>
                <w:sz w:val="24"/>
                <w:szCs w:val="24"/>
              </w:rPr>
              <w:t>526</w:t>
            </w:r>
          </w:p>
        </w:tc>
      </w:tr>
      <w:tr w:rsidR="002A53C5" w:rsidRPr="00415C43" w14:paraId="2756BB75" w14:textId="77777777">
        <w:trPr>
          <w:trHeight w:val="300"/>
        </w:trPr>
        <w:tc>
          <w:tcPr>
            <w:tcW w:w="2004"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28FED627" w14:textId="77777777" w:rsidR="002A53C5" w:rsidRPr="00415C43" w:rsidRDefault="00696ED1" w:rsidP="00541AD4">
            <w:pPr>
              <w:spacing w:after="240" w:line="360" w:lineRule="auto"/>
              <w:jc w:val="both"/>
              <w:rPr>
                <w:rFonts w:eastAsia="Times New Roman"/>
                <w:sz w:val="24"/>
                <w:szCs w:val="24"/>
              </w:rPr>
            </w:pPr>
            <w:r w:rsidRPr="00415C43">
              <w:rPr>
                <w:rFonts w:eastAsia="Times New Roman"/>
                <w:sz w:val="24"/>
                <w:szCs w:val="24"/>
              </w:rPr>
              <w:t>DIO</w:t>
            </w:r>
          </w:p>
        </w:tc>
        <w:tc>
          <w:tcPr>
            <w:tcW w:w="3335" w:type="dxa"/>
            <w:tcBorders>
              <w:top w:val="nil"/>
              <w:left w:val="nil"/>
              <w:bottom w:val="single" w:sz="8" w:space="0" w:color="000000"/>
              <w:right w:val="single" w:sz="8" w:space="0" w:color="000000"/>
            </w:tcBorders>
            <w:tcMar>
              <w:top w:w="0" w:type="dxa"/>
              <w:left w:w="100" w:type="dxa"/>
              <w:bottom w:w="0" w:type="dxa"/>
              <w:right w:w="100" w:type="dxa"/>
            </w:tcMar>
          </w:tcPr>
          <w:p w14:paraId="536A527C" w14:textId="77777777" w:rsidR="002A53C5" w:rsidRPr="00415C43" w:rsidRDefault="00696ED1" w:rsidP="00541AD4">
            <w:pPr>
              <w:spacing w:after="240" w:line="360" w:lineRule="auto"/>
              <w:jc w:val="both"/>
              <w:rPr>
                <w:rFonts w:eastAsia="Times New Roman"/>
                <w:sz w:val="24"/>
                <w:szCs w:val="24"/>
              </w:rPr>
            </w:pPr>
            <w:r w:rsidRPr="00415C43">
              <w:rPr>
                <w:rFonts w:eastAsia="Times New Roman"/>
                <w:sz w:val="24"/>
                <w:szCs w:val="24"/>
              </w:rPr>
              <w:t>(Inventory / Revenue) * 365</w:t>
            </w:r>
          </w:p>
        </w:tc>
        <w:tc>
          <w:tcPr>
            <w:tcW w:w="819" w:type="dxa"/>
            <w:tcBorders>
              <w:top w:val="nil"/>
              <w:left w:val="nil"/>
              <w:bottom w:val="single" w:sz="8" w:space="0" w:color="000000"/>
              <w:right w:val="single" w:sz="8" w:space="0" w:color="000000"/>
            </w:tcBorders>
            <w:tcMar>
              <w:top w:w="0" w:type="dxa"/>
              <w:left w:w="100" w:type="dxa"/>
              <w:bottom w:w="0" w:type="dxa"/>
              <w:right w:w="100" w:type="dxa"/>
            </w:tcMar>
          </w:tcPr>
          <w:p w14:paraId="30EB415B" w14:textId="77777777" w:rsidR="002A53C5" w:rsidRPr="00415C43" w:rsidRDefault="00696ED1" w:rsidP="00541AD4">
            <w:pPr>
              <w:spacing w:after="240" w:line="360" w:lineRule="auto"/>
              <w:jc w:val="both"/>
              <w:rPr>
                <w:rFonts w:eastAsia="Times New Roman"/>
                <w:sz w:val="24"/>
                <w:szCs w:val="24"/>
              </w:rPr>
            </w:pPr>
            <w:r w:rsidRPr="00415C43">
              <w:rPr>
                <w:rFonts w:eastAsia="Times New Roman"/>
                <w:sz w:val="24"/>
                <w:szCs w:val="24"/>
              </w:rPr>
              <w:t>8.61</w:t>
            </w:r>
          </w:p>
        </w:tc>
        <w:tc>
          <w:tcPr>
            <w:tcW w:w="716" w:type="dxa"/>
            <w:tcBorders>
              <w:top w:val="nil"/>
              <w:left w:val="nil"/>
              <w:bottom w:val="single" w:sz="8" w:space="0" w:color="000000"/>
              <w:right w:val="single" w:sz="8" w:space="0" w:color="000000"/>
            </w:tcBorders>
            <w:tcMar>
              <w:top w:w="0" w:type="dxa"/>
              <w:left w:w="100" w:type="dxa"/>
              <w:bottom w:w="0" w:type="dxa"/>
              <w:right w:w="100" w:type="dxa"/>
            </w:tcMar>
          </w:tcPr>
          <w:p w14:paraId="4C36FF86" w14:textId="77777777" w:rsidR="002A53C5" w:rsidRPr="00415C43" w:rsidRDefault="00696ED1" w:rsidP="00541AD4">
            <w:pPr>
              <w:spacing w:after="240" w:line="360" w:lineRule="auto"/>
              <w:jc w:val="both"/>
              <w:rPr>
                <w:rFonts w:eastAsia="Times New Roman"/>
                <w:sz w:val="24"/>
                <w:szCs w:val="24"/>
              </w:rPr>
            </w:pPr>
            <w:r w:rsidRPr="00415C43">
              <w:rPr>
                <w:rFonts w:eastAsia="Times New Roman"/>
                <w:sz w:val="24"/>
                <w:szCs w:val="24"/>
              </w:rPr>
              <w:t>5.01</w:t>
            </w:r>
          </w:p>
        </w:tc>
        <w:tc>
          <w:tcPr>
            <w:tcW w:w="716" w:type="dxa"/>
            <w:tcBorders>
              <w:top w:val="nil"/>
              <w:left w:val="nil"/>
              <w:bottom w:val="single" w:sz="8" w:space="0" w:color="000000"/>
              <w:right w:val="single" w:sz="8" w:space="0" w:color="000000"/>
            </w:tcBorders>
            <w:tcMar>
              <w:top w:w="0" w:type="dxa"/>
              <w:left w:w="100" w:type="dxa"/>
              <w:bottom w:w="0" w:type="dxa"/>
              <w:right w:w="100" w:type="dxa"/>
            </w:tcMar>
          </w:tcPr>
          <w:p w14:paraId="74F58BBF" w14:textId="77777777" w:rsidR="002A53C5" w:rsidRPr="00415C43" w:rsidRDefault="00696ED1" w:rsidP="00541AD4">
            <w:pPr>
              <w:spacing w:after="240" w:line="360" w:lineRule="auto"/>
              <w:jc w:val="both"/>
              <w:rPr>
                <w:rFonts w:eastAsia="Times New Roman"/>
                <w:sz w:val="24"/>
                <w:szCs w:val="24"/>
              </w:rPr>
            </w:pPr>
            <w:r w:rsidRPr="00415C43">
              <w:rPr>
                <w:rFonts w:eastAsia="Times New Roman"/>
                <w:sz w:val="24"/>
                <w:szCs w:val="24"/>
              </w:rPr>
              <w:t>4.48</w:t>
            </w:r>
          </w:p>
        </w:tc>
        <w:tc>
          <w:tcPr>
            <w:tcW w:w="716" w:type="dxa"/>
            <w:tcBorders>
              <w:top w:val="nil"/>
              <w:left w:val="nil"/>
              <w:bottom w:val="single" w:sz="8" w:space="0" w:color="000000"/>
              <w:right w:val="single" w:sz="8" w:space="0" w:color="000000"/>
            </w:tcBorders>
            <w:tcMar>
              <w:top w:w="0" w:type="dxa"/>
              <w:left w:w="100" w:type="dxa"/>
              <w:bottom w:w="0" w:type="dxa"/>
              <w:right w:w="100" w:type="dxa"/>
            </w:tcMar>
          </w:tcPr>
          <w:p w14:paraId="0AFF16F3" w14:textId="77777777" w:rsidR="002A53C5" w:rsidRPr="00415C43" w:rsidRDefault="00696ED1" w:rsidP="00541AD4">
            <w:pPr>
              <w:spacing w:after="240" w:line="360" w:lineRule="auto"/>
              <w:jc w:val="both"/>
              <w:rPr>
                <w:rFonts w:eastAsia="Times New Roman"/>
                <w:sz w:val="24"/>
                <w:szCs w:val="24"/>
              </w:rPr>
            </w:pPr>
            <w:r w:rsidRPr="00415C43">
              <w:rPr>
                <w:rFonts w:eastAsia="Times New Roman"/>
                <w:sz w:val="24"/>
                <w:szCs w:val="24"/>
              </w:rPr>
              <w:t>4.30</w:t>
            </w:r>
          </w:p>
        </w:tc>
        <w:tc>
          <w:tcPr>
            <w:tcW w:w="716" w:type="dxa"/>
            <w:tcBorders>
              <w:top w:val="nil"/>
              <w:left w:val="nil"/>
              <w:bottom w:val="single" w:sz="8" w:space="0" w:color="000000"/>
              <w:right w:val="single" w:sz="8" w:space="0" w:color="000000"/>
            </w:tcBorders>
            <w:tcMar>
              <w:top w:w="0" w:type="dxa"/>
              <w:left w:w="100" w:type="dxa"/>
              <w:bottom w:w="0" w:type="dxa"/>
              <w:right w:w="100" w:type="dxa"/>
            </w:tcMar>
          </w:tcPr>
          <w:p w14:paraId="772025CA" w14:textId="77777777" w:rsidR="002A53C5" w:rsidRPr="00415C43" w:rsidRDefault="00696ED1" w:rsidP="00541AD4">
            <w:pPr>
              <w:spacing w:after="240" w:line="360" w:lineRule="auto"/>
              <w:jc w:val="both"/>
              <w:rPr>
                <w:rFonts w:eastAsia="Times New Roman"/>
                <w:sz w:val="24"/>
                <w:szCs w:val="24"/>
              </w:rPr>
            </w:pPr>
            <w:r w:rsidRPr="00415C43">
              <w:rPr>
                <w:rFonts w:eastAsia="Times New Roman"/>
                <w:sz w:val="24"/>
                <w:szCs w:val="24"/>
              </w:rPr>
              <w:t>4.53</w:t>
            </w:r>
          </w:p>
        </w:tc>
      </w:tr>
      <w:tr w:rsidR="002A53C5" w:rsidRPr="00415C43" w14:paraId="17A4EB83" w14:textId="77777777">
        <w:trPr>
          <w:trHeight w:val="300"/>
        </w:trPr>
        <w:tc>
          <w:tcPr>
            <w:tcW w:w="2004"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456241C2" w14:textId="77777777" w:rsidR="002A53C5" w:rsidRPr="00415C43" w:rsidRDefault="00696ED1" w:rsidP="00541AD4">
            <w:pPr>
              <w:spacing w:after="240" w:line="360" w:lineRule="auto"/>
              <w:jc w:val="both"/>
              <w:rPr>
                <w:rFonts w:eastAsia="Times New Roman"/>
                <w:sz w:val="24"/>
                <w:szCs w:val="24"/>
              </w:rPr>
            </w:pPr>
            <w:r w:rsidRPr="00415C43">
              <w:rPr>
                <w:rFonts w:eastAsia="Times New Roman"/>
                <w:sz w:val="24"/>
                <w:szCs w:val="24"/>
              </w:rPr>
              <w:t>DSO</w:t>
            </w:r>
          </w:p>
        </w:tc>
        <w:tc>
          <w:tcPr>
            <w:tcW w:w="3335" w:type="dxa"/>
            <w:tcBorders>
              <w:top w:val="nil"/>
              <w:left w:val="nil"/>
              <w:bottom w:val="single" w:sz="8" w:space="0" w:color="000000"/>
              <w:right w:val="single" w:sz="8" w:space="0" w:color="000000"/>
            </w:tcBorders>
            <w:tcMar>
              <w:top w:w="0" w:type="dxa"/>
              <w:left w:w="100" w:type="dxa"/>
              <w:bottom w:w="0" w:type="dxa"/>
              <w:right w:w="100" w:type="dxa"/>
            </w:tcMar>
          </w:tcPr>
          <w:p w14:paraId="6581898A" w14:textId="77777777" w:rsidR="002A53C5" w:rsidRPr="00415C43" w:rsidRDefault="00696ED1" w:rsidP="00541AD4">
            <w:pPr>
              <w:spacing w:after="240" w:line="360" w:lineRule="auto"/>
              <w:jc w:val="both"/>
              <w:rPr>
                <w:rFonts w:eastAsia="Times New Roman"/>
                <w:sz w:val="24"/>
                <w:szCs w:val="24"/>
              </w:rPr>
            </w:pPr>
            <w:r w:rsidRPr="00415C43">
              <w:rPr>
                <w:rFonts w:eastAsia="Times New Roman"/>
                <w:sz w:val="24"/>
                <w:szCs w:val="24"/>
              </w:rPr>
              <w:t>(Receivables / Revenue) * 365</w:t>
            </w:r>
          </w:p>
        </w:tc>
        <w:tc>
          <w:tcPr>
            <w:tcW w:w="819" w:type="dxa"/>
            <w:tcBorders>
              <w:top w:val="nil"/>
              <w:left w:val="nil"/>
              <w:bottom w:val="single" w:sz="8" w:space="0" w:color="000000"/>
              <w:right w:val="single" w:sz="8" w:space="0" w:color="000000"/>
            </w:tcBorders>
            <w:tcMar>
              <w:top w:w="0" w:type="dxa"/>
              <w:left w:w="100" w:type="dxa"/>
              <w:bottom w:w="0" w:type="dxa"/>
              <w:right w:w="100" w:type="dxa"/>
            </w:tcMar>
          </w:tcPr>
          <w:p w14:paraId="358659B6" w14:textId="77777777" w:rsidR="002A53C5" w:rsidRPr="00415C43" w:rsidRDefault="00696ED1" w:rsidP="00541AD4">
            <w:pPr>
              <w:spacing w:after="240" w:line="360" w:lineRule="auto"/>
              <w:jc w:val="both"/>
              <w:rPr>
                <w:rFonts w:eastAsia="Times New Roman"/>
                <w:sz w:val="24"/>
                <w:szCs w:val="24"/>
              </w:rPr>
            </w:pPr>
            <w:r w:rsidRPr="00415C43">
              <w:rPr>
                <w:rFonts w:eastAsia="Times New Roman"/>
                <w:sz w:val="24"/>
                <w:szCs w:val="24"/>
              </w:rPr>
              <w:t>104.50</w:t>
            </w:r>
          </w:p>
        </w:tc>
        <w:tc>
          <w:tcPr>
            <w:tcW w:w="716" w:type="dxa"/>
            <w:tcBorders>
              <w:top w:val="nil"/>
              <w:left w:val="nil"/>
              <w:bottom w:val="single" w:sz="8" w:space="0" w:color="000000"/>
              <w:right w:val="single" w:sz="8" w:space="0" w:color="000000"/>
            </w:tcBorders>
            <w:tcMar>
              <w:top w:w="0" w:type="dxa"/>
              <w:left w:w="100" w:type="dxa"/>
              <w:bottom w:w="0" w:type="dxa"/>
              <w:right w:w="100" w:type="dxa"/>
            </w:tcMar>
          </w:tcPr>
          <w:p w14:paraId="7E2C6824" w14:textId="77777777" w:rsidR="002A53C5" w:rsidRPr="00415C43" w:rsidRDefault="00696ED1" w:rsidP="00541AD4">
            <w:pPr>
              <w:spacing w:after="240" w:line="360" w:lineRule="auto"/>
              <w:jc w:val="both"/>
              <w:rPr>
                <w:rFonts w:eastAsia="Times New Roman"/>
                <w:sz w:val="24"/>
                <w:szCs w:val="24"/>
              </w:rPr>
            </w:pPr>
            <w:r w:rsidRPr="00415C43">
              <w:rPr>
                <w:rFonts w:eastAsia="Times New Roman"/>
                <w:sz w:val="24"/>
                <w:szCs w:val="24"/>
              </w:rPr>
              <w:t>68.61</w:t>
            </w:r>
          </w:p>
        </w:tc>
        <w:tc>
          <w:tcPr>
            <w:tcW w:w="716" w:type="dxa"/>
            <w:tcBorders>
              <w:top w:val="nil"/>
              <w:left w:val="nil"/>
              <w:bottom w:val="single" w:sz="8" w:space="0" w:color="000000"/>
              <w:right w:val="single" w:sz="8" w:space="0" w:color="000000"/>
            </w:tcBorders>
            <w:tcMar>
              <w:top w:w="0" w:type="dxa"/>
              <w:left w:w="100" w:type="dxa"/>
              <w:bottom w:w="0" w:type="dxa"/>
              <w:right w:w="100" w:type="dxa"/>
            </w:tcMar>
          </w:tcPr>
          <w:p w14:paraId="08A422CB" w14:textId="77777777" w:rsidR="002A53C5" w:rsidRPr="00415C43" w:rsidRDefault="00696ED1" w:rsidP="00541AD4">
            <w:pPr>
              <w:spacing w:after="240" w:line="360" w:lineRule="auto"/>
              <w:jc w:val="both"/>
              <w:rPr>
                <w:rFonts w:eastAsia="Times New Roman"/>
                <w:sz w:val="24"/>
                <w:szCs w:val="24"/>
              </w:rPr>
            </w:pPr>
            <w:r w:rsidRPr="00415C43">
              <w:rPr>
                <w:rFonts w:eastAsia="Times New Roman"/>
                <w:sz w:val="24"/>
                <w:szCs w:val="24"/>
              </w:rPr>
              <w:t>59.49</w:t>
            </w:r>
          </w:p>
        </w:tc>
        <w:tc>
          <w:tcPr>
            <w:tcW w:w="716" w:type="dxa"/>
            <w:tcBorders>
              <w:top w:val="nil"/>
              <w:left w:val="nil"/>
              <w:bottom w:val="single" w:sz="8" w:space="0" w:color="000000"/>
              <w:right w:val="single" w:sz="8" w:space="0" w:color="000000"/>
            </w:tcBorders>
            <w:tcMar>
              <w:top w:w="0" w:type="dxa"/>
              <w:left w:w="100" w:type="dxa"/>
              <w:bottom w:w="0" w:type="dxa"/>
              <w:right w:w="100" w:type="dxa"/>
            </w:tcMar>
          </w:tcPr>
          <w:p w14:paraId="1BD78703" w14:textId="77777777" w:rsidR="002A53C5" w:rsidRPr="00415C43" w:rsidRDefault="00696ED1" w:rsidP="00541AD4">
            <w:pPr>
              <w:spacing w:after="240" w:line="360" w:lineRule="auto"/>
              <w:jc w:val="both"/>
              <w:rPr>
                <w:rFonts w:eastAsia="Times New Roman"/>
                <w:sz w:val="24"/>
                <w:szCs w:val="24"/>
              </w:rPr>
            </w:pPr>
            <w:r w:rsidRPr="00415C43">
              <w:rPr>
                <w:rFonts w:eastAsia="Times New Roman"/>
                <w:sz w:val="24"/>
                <w:szCs w:val="24"/>
              </w:rPr>
              <w:t>54.76</w:t>
            </w:r>
          </w:p>
        </w:tc>
        <w:tc>
          <w:tcPr>
            <w:tcW w:w="716" w:type="dxa"/>
            <w:tcBorders>
              <w:top w:val="nil"/>
              <w:left w:val="nil"/>
              <w:bottom w:val="single" w:sz="8" w:space="0" w:color="000000"/>
              <w:right w:val="single" w:sz="8" w:space="0" w:color="000000"/>
            </w:tcBorders>
            <w:tcMar>
              <w:top w:w="0" w:type="dxa"/>
              <w:left w:w="100" w:type="dxa"/>
              <w:bottom w:w="0" w:type="dxa"/>
              <w:right w:w="100" w:type="dxa"/>
            </w:tcMar>
          </w:tcPr>
          <w:p w14:paraId="36633995" w14:textId="77777777" w:rsidR="002A53C5" w:rsidRPr="00415C43" w:rsidRDefault="00696ED1" w:rsidP="00541AD4">
            <w:pPr>
              <w:spacing w:after="240" w:line="360" w:lineRule="auto"/>
              <w:jc w:val="both"/>
              <w:rPr>
                <w:rFonts w:eastAsia="Times New Roman"/>
                <w:sz w:val="24"/>
                <w:szCs w:val="24"/>
              </w:rPr>
            </w:pPr>
            <w:r w:rsidRPr="00415C43">
              <w:rPr>
                <w:rFonts w:eastAsia="Times New Roman"/>
                <w:sz w:val="24"/>
                <w:szCs w:val="24"/>
              </w:rPr>
              <w:t>55.92</w:t>
            </w:r>
          </w:p>
        </w:tc>
      </w:tr>
      <w:tr w:rsidR="002A53C5" w:rsidRPr="00415C43" w14:paraId="4316C615" w14:textId="77777777">
        <w:trPr>
          <w:trHeight w:val="300"/>
        </w:trPr>
        <w:tc>
          <w:tcPr>
            <w:tcW w:w="2004"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2CEBC706" w14:textId="77777777" w:rsidR="002A53C5" w:rsidRPr="00415C43" w:rsidRDefault="00696ED1" w:rsidP="00541AD4">
            <w:pPr>
              <w:spacing w:after="240" w:line="360" w:lineRule="auto"/>
              <w:jc w:val="both"/>
              <w:rPr>
                <w:rFonts w:eastAsia="Times New Roman"/>
                <w:sz w:val="24"/>
                <w:szCs w:val="24"/>
              </w:rPr>
            </w:pPr>
            <w:r w:rsidRPr="00415C43">
              <w:rPr>
                <w:rFonts w:eastAsia="Times New Roman"/>
                <w:sz w:val="24"/>
                <w:szCs w:val="24"/>
              </w:rPr>
              <w:lastRenderedPageBreak/>
              <w:t>DPO</w:t>
            </w:r>
          </w:p>
        </w:tc>
        <w:tc>
          <w:tcPr>
            <w:tcW w:w="3335" w:type="dxa"/>
            <w:tcBorders>
              <w:top w:val="nil"/>
              <w:left w:val="nil"/>
              <w:bottom w:val="single" w:sz="8" w:space="0" w:color="000000"/>
              <w:right w:val="single" w:sz="8" w:space="0" w:color="000000"/>
            </w:tcBorders>
            <w:tcMar>
              <w:top w:w="0" w:type="dxa"/>
              <w:left w:w="100" w:type="dxa"/>
              <w:bottom w:w="0" w:type="dxa"/>
              <w:right w:w="100" w:type="dxa"/>
            </w:tcMar>
          </w:tcPr>
          <w:p w14:paraId="6C3F0120" w14:textId="77777777" w:rsidR="002A53C5" w:rsidRPr="00415C43" w:rsidRDefault="00696ED1" w:rsidP="00541AD4">
            <w:pPr>
              <w:spacing w:after="240" w:line="360" w:lineRule="auto"/>
              <w:jc w:val="both"/>
              <w:rPr>
                <w:rFonts w:eastAsia="Times New Roman"/>
                <w:sz w:val="24"/>
                <w:szCs w:val="24"/>
              </w:rPr>
            </w:pPr>
            <w:r w:rsidRPr="00415C43">
              <w:rPr>
                <w:rFonts w:eastAsia="Times New Roman"/>
                <w:sz w:val="24"/>
                <w:szCs w:val="24"/>
              </w:rPr>
              <w:t>(Accounts Payable / Revenue) * 365</w:t>
            </w:r>
          </w:p>
        </w:tc>
        <w:tc>
          <w:tcPr>
            <w:tcW w:w="819" w:type="dxa"/>
            <w:tcBorders>
              <w:top w:val="nil"/>
              <w:left w:val="nil"/>
              <w:bottom w:val="single" w:sz="8" w:space="0" w:color="000000"/>
              <w:right w:val="single" w:sz="8" w:space="0" w:color="000000"/>
            </w:tcBorders>
            <w:tcMar>
              <w:top w:w="0" w:type="dxa"/>
              <w:left w:w="100" w:type="dxa"/>
              <w:bottom w:w="0" w:type="dxa"/>
              <w:right w:w="100" w:type="dxa"/>
            </w:tcMar>
          </w:tcPr>
          <w:p w14:paraId="481B218F" w14:textId="77777777" w:rsidR="002A53C5" w:rsidRPr="00415C43" w:rsidRDefault="00696ED1" w:rsidP="00541AD4">
            <w:pPr>
              <w:spacing w:after="240" w:line="360" w:lineRule="auto"/>
              <w:jc w:val="both"/>
              <w:rPr>
                <w:rFonts w:eastAsia="Times New Roman"/>
                <w:sz w:val="24"/>
                <w:szCs w:val="24"/>
              </w:rPr>
            </w:pPr>
            <w:r w:rsidRPr="00415C43">
              <w:rPr>
                <w:rFonts w:eastAsia="Times New Roman"/>
                <w:sz w:val="24"/>
                <w:szCs w:val="24"/>
              </w:rPr>
              <w:t>64.75</w:t>
            </w:r>
          </w:p>
        </w:tc>
        <w:tc>
          <w:tcPr>
            <w:tcW w:w="716" w:type="dxa"/>
            <w:tcBorders>
              <w:top w:val="nil"/>
              <w:left w:val="nil"/>
              <w:bottom w:val="single" w:sz="8" w:space="0" w:color="000000"/>
              <w:right w:val="single" w:sz="8" w:space="0" w:color="000000"/>
            </w:tcBorders>
            <w:tcMar>
              <w:top w:w="0" w:type="dxa"/>
              <w:left w:w="100" w:type="dxa"/>
              <w:bottom w:w="0" w:type="dxa"/>
              <w:right w:w="100" w:type="dxa"/>
            </w:tcMar>
          </w:tcPr>
          <w:p w14:paraId="53E34B62" w14:textId="77777777" w:rsidR="002A53C5" w:rsidRPr="00415C43" w:rsidRDefault="00696ED1" w:rsidP="00541AD4">
            <w:pPr>
              <w:spacing w:after="240" w:line="360" w:lineRule="auto"/>
              <w:jc w:val="both"/>
              <w:rPr>
                <w:rFonts w:eastAsia="Times New Roman"/>
                <w:sz w:val="24"/>
                <w:szCs w:val="24"/>
              </w:rPr>
            </w:pPr>
            <w:r w:rsidRPr="00415C43">
              <w:rPr>
                <w:rFonts w:eastAsia="Times New Roman"/>
                <w:sz w:val="24"/>
                <w:szCs w:val="24"/>
              </w:rPr>
              <w:t>42.25</w:t>
            </w:r>
          </w:p>
        </w:tc>
        <w:tc>
          <w:tcPr>
            <w:tcW w:w="716" w:type="dxa"/>
            <w:tcBorders>
              <w:top w:val="nil"/>
              <w:left w:val="nil"/>
              <w:bottom w:val="single" w:sz="8" w:space="0" w:color="000000"/>
              <w:right w:val="single" w:sz="8" w:space="0" w:color="000000"/>
            </w:tcBorders>
            <w:tcMar>
              <w:top w:w="0" w:type="dxa"/>
              <w:left w:w="100" w:type="dxa"/>
              <w:bottom w:w="0" w:type="dxa"/>
              <w:right w:w="100" w:type="dxa"/>
            </w:tcMar>
          </w:tcPr>
          <w:p w14:paraId="51CFBFAC" w14:textId="77777777" w:rsidR="002A53C5" w:rsidRPr="00415C43" w:rsidRDefault="00696ED1" w:rsidP="00541AD4">
            <w:pPr>
              <w:spacing w:after="240" w:line="360" w:lineRule="auto"/>
              <w:jc w:val="both"/>
              <w:rPr>
                <w:rFonts w:eastAsia="Times New Roman"/>
                <w:sz w:val="24"/>
                <w:szCs w:val="24"/>
              </w:rPr>
            </w:pPr>
            <w:r w:rsidRPr="00415C43">
              <w:rPr>
                <w:rFonts w:eastAsia="Times New Roman"/>
                <w:sz w:val="24"/>
                <w:szCs w:val="24"/>
              </w:rPr>
              <w:t>37.18</w:t>
            </w:r>
          </w:p>
        </w:tc>
        <w:tc>
          <w:tcPr>
            <w:tcW w:w="716" w:type="dxa"/>
            <w:tcBorders>
              <w:top w:val="nil"/>
              <w:left w:val="nil"/>
              <w:bottom w:val="single" w:sz="8" w:space="0" w:color="000000"/>
              <w:right w:val="single" w:sz="8" w:space="0" w:color="000000"/>
            </w:tcBorders>
            <w:tcMar>
              <w:top w:w="0" w:type="dxa"/>
              <w:left w:w="100" w:type="dxa"/>
              <w:bottom w:w="0" w:type="dxa"/>
              <w:right w:w="100" w:type="dxa"/>
            </w:tcMar>
          </w:tcPr>
          <w:p w14:paraId="29F917DB" w14:textId="77777777" w:rsidR="002A53C5" w:rsidRPr="00415C43" w:rsidRDefault="00696ED1" w:rsidP="00541AD4">
            <w:pPr>
              <w:spacing w:after="240" w:line="360" w:lineRule="auto"/>
              <w:jc w:val="both"/>
              <w:rPr>
                <w:rFonts w:eastAsia="Times New Roman"/>
                <w:sz w:val="24"/>
                <w:szCs w:val="24"/>
              </w:rPr>
            </w:pPr>
            <w:r w:rsidRPr="00415C43">
              <w:rPr>
                <w:rFonts w:eastAsia="Times New Roman"/>
                <w:sz w:val="24"/>
                <w:szCs w:val="24"/>
              </w:rPr>
              <w:t>36.27</w:t>
            </w:r>
          </w:p>
        </w:tc>
        <w:tc>
          <w:tcPr>
            <w:tcW w:w="716" w:type="dxa"/>
            <w:tcBorders>
              <w:top w:val="nil"/>
              <w:left w:val="nil"/>
              <w:bottom w:val="single" w:sz="8" w:space="0" w:color="000000"/>
              <w:right w:val="single" w:sz="8" w:space="0" w:color="000000"/>
            </w:tcBorders>
            <w:tcMar>
              <w:top w:w="0" w:type="dxa"/>
              <w:left w:w="100" w:type="dxa"/>
              <w:bottom w:w="0" w:type="dxa"/>
              <w:right w:w="100" w:type="dxa"/>
            </w:tcMar>
          </w:tcPr>
          <w:p w14:paraId="5414F563" w14:textId="77777777" w:rsidR="002A53C5" w:rsidRPr="00415C43" w:rsidRDefault="00696ED1" w:rsidP="00541AD4">
            <w:pPr>
              <w:spacing w:after="240" w:line="360" w:lineRule="auto"/>
              <w:jc w:val="both"/>
              <w:rPr>
                <w:rFonts w:eastAsia="Times New Roman"/>
                <w:sz w:val="24"/>
                <w:szCs w:val="24"/>
              </w:rPr>
            </w:pPr>
            <w:r w:rsidRPr="00415C43">
              <w:rPr>
                <w:rFonts w:eastAsia="Times New Roman"/>
                <w:sz w:val="24"/>
                <w:szCs w:val="24"/>
              </w:rPr>
              <w:t>34.05</w:t>
            </w:r>
          </w:p>
        </w:tc>
      </w:tr>
      <w:tr w:rsidR="002A53C5" w:rsidRPr="00415C43" w14:paraId="352D946F" w14:textId="77777777">
        <w:trPr>
          <w:trHeight w:val="315"/>
        </w:trPr>
        <w:tc>
          <w:tcPr>
            <w:tcW w:w="2004"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5BB9FBC7" w14:textId="77777777" w:rsidR="002A53C5" w:rsidRPr="00415C43" w:rsidRDefault="00696ED1" w:rsidP="00541AD4">
            <w:pPr>
              <w:spacing w:after="240" w:line="360" w:lineRule="auto"/>
              <w:jc w:val="both"/>
              <w:rPr>
                <w:rFonts w:eastAsia="Times New Roman"/>
                <w:sz w:val="24"/>
                <w:szCs w:val="24"/>
              </w:rPr>
            </w:pPr>
            <w:r w:rsidRPr="00415C43">
              <w:rPr>
                <w:rFonts w:eastAsia="Times New Roman"/>
                <w:sz w:val="24"/>
                <w:szCs w:val="24"/>
              </w:rPr>
              <w:t>CCC</w:t>
            </w:r>
          </w:p>
        </w:tc>
        <w:tc>
          <w:tcPr>
            <w:tcW w:w="3335" w:type="dxa"/>
            <w:tcBorders>
              <w:top w:val="nil"/>
              <w:left w:val="nil"/>
              <w:bottom w:val="single" w:sz="8" w:space="0" w:color="000000"/>
              <w:right w:val="single" w:sz="8" w:space="0" w:color="000000"/>
            </w:tcBorders>
            <w:tcMar>
              <w:top w:w="0" w:type="dxa"/>
              <w:left w:w="100" w:type="dxa"/>
              <w:bottom w:w="0" w:type="dxa"/>
              <w:right w:w="100" w:type="dxa"/>
            </w:tcMar>
          </w:tcPr>
          <w:p w14:paraId="08FCED91" w14:textId="77777777" w:rsidR="002A53C5" w:rsidRPr="00415C43" w:rsidRDefault="00696ED1" w:rsidP="00541AD4">
            <w:pPr>
              <w:spacing w:after="240" w:line="360" w:lineRule="auto"/>
              <w:jc w:val="both"/>
              <w:rPr>
                <w:rFonts w:eastAsia="Times New Roman"/>
                <w:sz w:val="24"/>
                <w:szCs w:val="24"/>
              </w:rPr>
            </w:pPr>
            <w:r w:rsidRPr="00415C43">
              <w:rPr>
                <w:rFonts w:eastAsia="Times New Roman"/>
                <w:sz w:val="24"/>
                <w:szCs w:val="24"/>
              </w:rPr>
              <w:t>(DIO + DSO - DPO)</w:t>
            </w:r>
          </w:p>
        </w:tc>
        <w:tc>
          <w:tcPr>
            <w:tcW w:w="819" w:type="dxa"/>
            <w:tcBorders>
              <w:top w:val="nil"/>
              <w:left w:val="nil"/>
              <w:bottom w:val="single" w:sz="8" w:space="0" w:color="000000"/>
              <w:right w:val="single" w:sz="8" w:space="0" w:color="000000"/>
            </w:tcBorders>
            <w:tcMar>
              <w:top w:w="0" w:type="dxa"/>
              <w:left w:w="100" w:type="dxa"/>
              <w:bottom w:w="0" w:type="dxa"/>
              <w:right w:w="100" w:type="dxa"/>
            </w:tcMar>
          </w:tcPr>
          <w:p w14:paraId="6A329935" w14:textId="77777777" w:rsidR="002A53C5" w:rsidRPr="00415C43" w:rsidRDefault="00696ED1" w:rsidP="00541AD4">
            <w:pPr>
              <w:spacing w:after="240" w:line="360" w:lineRule="auto"/>
              <w:jc w:val="both"/>
              <w:rPr>
                <w:rFonts w:eastAsia="Times New Roman"/>
                <w:sz w:val="24"/>
                <w:szCs w:val="24"/>
              </w:rPr>
            </w:pPr>
            <w:r w:rsidRPr="00415C43">
              <w:rPr>
                <w:rFonts w:eastAsia="Times New Roman"/>
                <w:sz w:val="24"/>
                <w:szCs w:val="24"/>
              </w:rPr>
              <w:t>48.36</w:t>
            </w:r>
          </w:p>
        </w:tc>
        <w:tc>
          <w:tcPr>
            <w:tcW w:w="716" w:type="dxa"/>
            <w:tcBorders>
              <w:top w:val="nil"/>
              <w:left w:val="nil"/>
              <w:bottom w:val="single" w:sz="8" w:space="0" w:color="000000"/>
              <w:right w:val="single" w:sz="8" w:space="0" w:color="000000"/>
            </w:tcBorders>
            <w:tcMar>
              <w:top w:w="0" w:type="dxa"/>
              <w:left w:w="100" w:type="dxa"/>
              <w:bottom w:w="0" w:type="dxa"/>
              <w:right w:w="100" w:type="dxa"/>
            </w:tcMar>
          </w:tcPr>
          <w:p w14:paraId="322C75AC" w14:textId="77777777" w:rsidR="002A53C5" w:rsidRPr="00415C43" w:rsidRDefault="00696ED1" w:rsidP="00541AD4">
            <w:pPr>
              <w:spacing w:after="240" w:line="360" w:lineRule="auto"/>
              <w:jc w:val="both"/>
              <w:rPr>
                <w:rFonts w:eastAsia="Times New Roman"/>
                <w:sz w:val="24"/>
                <w:szCs w:val="24"/>
              </w:rPr>
            </w:pPr>
            <w:r w:rsidRPr="00415C43">
              <w:rPr>
                <w:rFonts w:eastAsia="Times New Roman"/>
                <w:sz w:val="24"/>
                <w:szCs w:val="24"/>
              </w:rPr>
              <w:t>31.37</w:t>
            </w:r>
          </w:p>
        </w:tc>
        <w:tc>
          <w:tcPr>
            <w:tcW w:w="716" w:type="dxa"/>
            <w:tcBorders>
              <w:top w:val="nil"/>
              <w:left w:val="nil"/>
              <w:bottom w:val="single" w:sz="8" w:space="0" w:color="000000"/>
              <w:right w:val="single" w:sz="8" w:space="0" w:color="000000"/>
            </w:tcBorders>
            <w:tcMar>
              <w:top w:w="0" w:type="dxa"/>
              <w:left w:w="100" w:type="dxa"/>
              <w:bottom w:w="0" w:type="dxa"/>
              <w:right w:w="100" w:type="dxa"/>
            </w:tcMar>
          </w:tcPr>
          <w:p w14:paraId="6EAB2524" w14:textId="77777777" w:rsidR="002A53C5" w:rsidRPr="00415C43" w:rsidRDefault="00696ED1" w:rsidP="00541AD4">
            <w:pPr>
              <w:spacing w:after="240" w:line="360" w:lineRule="auto"/>
              <w:jc w:val="both"/>
              <w:rPr>
                <w:rFonts w:eastAsia="Times New Roman"/>
                <w:sz w:val="24"/>
                <w:szCs w:val="24"/>
              </w:rPr>
            </w:pPr>
            <w:r w:rsidRPr="00415C43">
              <w:rPr>
                <w:rFonts w:eastAsia="Times New Roman"/>
                <w:sz w:val="24"/>
                <w:szCs w:val="24"/>
              </w:rPr>
              <w:t>26.78</w:t>
            </w:r>
          </w:p>
        </w:tc>
        <w:tc>
          <w:tcPr>
            <w:tcW w:w="716" w:type="dxa"/>
            <w:tcBorders>
              <w:top w:val="nil"/>
              <w:left w:val="nil"/>
              <w:bottom w:val="single" w:sz="8" w:space="0" w:color="000000"/>
              <w:right w:val="single" w:sz="8" w:space="0" w:color="000000"/>
            </w:tcBorders>
            <w:tcMar>
              <w:top w:w="0" w:type="dxa"/>
              <w:left w:w="100" w:type="dxa"/>
              <w:bottom w:w="0" w:type="dxa"/>
              <w:right w:w="100" w:type="dxa"/>
            </w:tcMar>
          </w:tcPr>
          <w:p w14:paraId="36BCD83B" w14:textId="77777777" w:rsidR="002A53C5" w:rsidRPr="00415C43" w:rsidRDefault="00696ED1" w:rsidP="00541AD4">
            <w:pPr>
              <w:spacing w:after="240" w:line="360" w:lineRule="auto"/>
              <w:jc w:val="both"/>
              <w:rPr>
                <w:rFonts w:eastAsia="Times New Roman"/>
                <w:sz w:val="24"/>
                <w:szCs w:val="24"/>
              </w:rPr>
            </w:pPr>
            <w:r w:rsidRPr="00415C43">
              <w:rPr>
                <w:rFonts w:eastAsia="Times New Roman"/>
                <w:sz w:val="24"/>
                <w:szCs w:val="24"/>
              </w:rPr>
              <w:t>22.79</w:t>
            </w:r>
          </w:p>
        </w:tc>
        <w:tc>
          <w:tcPr>
            <w:tcW w:w="716" w:type="dxa"/>
            <w:tcBorders>
              <w:top w:val="nil"/>
              <w:left w:val="nil"/>
              <w:bottom w:val="single" w:sz="8" w:space="0" w:color="000000"/>
              <w:right w:val="single" w:sz="8" w:space="0" w:color="000000"/>
            </w:tcBorders>
            <w:tcMar>
              <w:top w:w="0" w:type="dxa"/>
              <w:left w:w="100" w:type="dxa"/>
              <w:bottom w:w="0" w:type="dxa"/>
              <w:right w:w="100" w:type="dxa"/>
            </w:tcMar>
          </w:tcPr>
          <w:p w14:paraId="05C0168B" w14:textId="77777777" w:rsidR="002A53C5" w:rsidRPr="00415C43" w:rsidRDefault="00696ED1" w:rsidP="00541AD4">
            <w:pPr>
              <w:spacing w:after="240" w:line="360" w:lineRule="auto"/>
              <w:jc w:val="both"/>
              <w:rPr>
                <w:rFonts w:eastAsia="Times New Roman"/>
                <w:sz w:val="24"/>
                <w:szCs w:val="24"/>
              </w:rPr>
            </w:pPr>
            <w:r w:rsidRPr="00415C43">
              <w:rPr>
                <w:rFonts w:eastAsia="Times New Roman"/>
                <w:sz w:val="24"/>
                <w:szCs w:val="24"/>
              </w:rPr>
              <w:t>26.41</w:t>
            </w:r>
          </w:p>
        </w:tc>
      </w:tr>
    </w:tbl>
    <w:p w14:paraId="30A43A2C" w14:textId="77777777" w:rsidR="002A53C5" w:rsidRPr="00415C43" w:rsidRDefault="00696ED1" w:rsidP="00541AD4">
      <w:pPr>
        <w:spacing w:after="240" w:line="360" w:lineRule="auto"/>
        <w:jc w:val="center"/>
        <w:rPr>
          <w:rFonts w:eastAsia="Times New Roman"/>
          <w:b/>
          <w:bCs/>
          <w:sz w:val="24"/>
          <w:szCs w:val="24"/>
        </w:rPr>
      </w:pPr>
      <w:r w:rsidRPr="00415C43">
        <w:rPr>
          <w:rFonts w:eastAsia="Times New Roman"/>
          <w:b/>
          <w:bCs/>
          <w:sz w:val="24"/>
          <w:szCs w:val="24"/>
        </w:rPr>
        <w:t xml:space="preserve">Table 1: Cash operating cycle Calculation </w:t>
      </w:r>
    </w:p>
    <w:p w14:paraId="27586747" w14:textId="77777777" w:rsidR="002A53C5" w:rsidRPr="00415C43" w:rsidRDefault="00696ED1" w:rsidP="00541AD4">
      <w:pPr>
        <w:spacing w:after="240" w:line="360" w:lineRule="auto"/>
        <w:jc w:val="center"/>
        <w:rPr>
          <w:rFonts w:eastAsia="Times New Roman"/>
          <w:sz w:val="24"/>
          <w:szCs w:val="24"/>
        </w:rPr>
      </w:pPr>
      <w:r w:rsidRPr="00415C43">
        <w:rPr>
          <w:rFonts w:eastAsia="Times New Roman"/>
          <w:sz w:val="24"/>
          <w:szCs w:val="24"/>
        </w:rPr>
        <w:t>(Source: Self-developed)</w:t>
      </w:r>
    </w:p>
    <w:p w14:paraId="057ED89A" w14:textId="77777777" w:rsidR="002A53C5" w:rsidRPr="00415C43" w:rsidRDefault="00696ED1" w:rsidP="00541AD4">
      <w:pPr>
        <w:spacing w:after="240" w:line="360" w:lineRule="auto"/>
        <w:jc w:val="both"/>
        <w:rPr>
          <w:rFonts w:eastAsia="Times New Roman"/>
          <w:sz w:val="24"/>
          <w:szCs w:val="24"/>
        </w:rPr>
      </w:pPr>
      <w:r w:rsidRPr="00415C43">
        <w:rPr>
          <w:rFonts w:eastAsia="Times New Roman"/>
          <w:sz w:val="24"/>
          <w:szCs w:val="24"/>
        </w:rPr>
        <w:t xml:space="preserve">The cash operating cycle quantifies the number of days Accor’s cash is tied up in operating activities. When the CCC is lower, it means less capital is stuck in inventory and accounts for a more efficient working capital management (Roy et al., 2025). This is because cash is recovered quicker from 48.36 days in 2021 to 22.79 days in 2024, increasing again to 26.41 days in 2025. </w:t>
      </w:r>
    </w:p>
    <w:p w14:paraId="6E483C32" w14:textId="77777777" w:rsidR="002A53C5" w:rsidRPr="00415C43" w:rsidRDefault="00696ED1" w:rsidP="00541AD4">
      <w:pPr>
        <w:spacing w:after="240" w:line="360" w:lineRule="auto"/>
        <w:jc w:val="both"/>
        <w:rPr>
          <w:rFonts w:eastAsia="Times New Roman"/>
          <w:sz w:val="24"/>
          <w:szCs w:val="24"/>
        </w:rPr>
      </w:pPr>
      <w:r w:rsidRPr="00415C43">
        <w:rPr>
          <w:rFonts w:eastAsia="Times New Roman"/>
          <w:sz w:val="24"/>
          <w:szCs w:val="24"/>
        </w:rPr>
        <w:t xml:space="preserve">Deterioration in efficiency of working capital lead to increase the detail system in CCC to 26.41 days in 2025 indicates a slight recovery (Akash et al., 2024). However, operating cash flow 2025 decline for Accor demonstrates an enhancement in cash conversion highlight the overall CCC supports its strength of €810 million. </w:t>
      </w:r>
    </w:p>
    <w:p w14:paraId="643A4977" w14:textId="77777777" w:rsidR="002A53C5" w:rsidRPr="00415C43" w:rsidRDefault="00696ED1" w:rsidP="00541AD4">
      <w:pPr>
        <w:pStyle w:val="Heading2"/>
        <w:spacing w:after="240"/>
      </w:pPr>
      <w:bookmarkStart w:id="8" w:name="_Toc236327954"/>
      <w:r w:rsidRPr="00415C43">
        <w:t>2.2 Working capital reforms strategies to improve liquidity.</w:t>
      </w:r>
      <w:bookmarkEnd w:id="8"/>
    </w:p>
    <w:p w14:paraId="2B214B73" w14:textId="77777777" w:rsidR="002A53C5" w:rsidRPr="00415C43" w:rsidRDefault="00696ED1" w:rsidP="00541AD4">
      <w:pPr>
        <w:spacing w:after="240" w:line="360" w:lineRule="auto"/>
        <w:jc w:val="both"/>
        <w:rPr>
          <w:rFonts w:eastAsia="Times New Roman"/>
          <w:b/>
          <w:bCs/>
          <w:i/>
          <w:iCs/>
          <w:sz w:val="24"/>
          <w:szCs w:val="24"/>
        </w:rPr>
      </w:pPr>
      <w:r w:rsidRPr="00415C43">
        <w:rPr>
          <w:rFonts w:eastAsia="Times New Roman"/>
          <w:b/>
          <w:bCs/>
          <w:i/>
          <w:iCs/>
          <w:sz w:val="24"/>
          <w:szCs w:val="24"/>
        </w:rPr>
        <w:t>Focus on Receivables Collection</w:t>
      </w:r>
    </w:p>
    <w:p w14:paraId="37583FDD" w14:textId="77777777" w:rsidR="002A53C5" w:rsidRPr="00415C43" w:rsidRDefault="00696ED1" w:rsidP="00541AD4">
      <w:pPr>
        <w:spacing w:after="240" w:line="360" w:lineRule="auto"/>
        <w:jc w:val="both"/>
        <w:rPr>
          <w:rFonts w:eastAsia="Times New Roman"/>
          <w:sz w:val="24"/>
          <w:szCs w:val="24"/>
        </w:rPr>
      </w:pPr>
      <w:r w:rsidRPr="00415C43">
        <w:rPr>
          <w:rFonts w:eastAsia="Times New Roman"/>
          <w:sz w:val="24"/>
          <w:szCs w:val="24"/>
        </w:rPr>
        <w:t>Accor should reduce its 55.92-day DSO in 2025 by increasing the use of automated invoicing and electronic payments (Jankowski, and Paliński, 2024). The use of digital payment systems has also been growing in the hospitality industry. Accor needs to put priority on its high-value corporate and travel-agency receivables.</w:t>
      </w:r>
    </w:p>
    <w:p w14:paraId="4F96C6E5" w14:textId="77777777" w:rsidR="002A53C5" w:rsidRPr="00415C43" w:rsidRDefault="00696ED1" w:rsidP="00541AD4">
      <w:pPr>
        <w:spacing w:after="240" w:line="360" w:lineRule="auto"/>
        <w:jc w:val="both"/>
        <w:rPr>
          <w:rFonts w:eastAsia="Times New Roman"/>
          <w:b/>
          <w:bCs/>
          <w:i/>
          <w:iCs/>
          <w:sz w:val="24"/>
          <w:szCs w:val="24"/>
        </w:rPr>
      </w:pPr>
      <w:r w:rsidRPr="00415C43">
        <w:rPr>
          <w:rFonts w:eastAsia="Times New Roman"/>
          <w:b/>
          <w:bCs/>
          <w:i/>
          <w:iCs/>
          <w:sz w:val="24"/>
          <w:szCs w:val="24"/>
        </w:rPr>
        <w:t>Supplier Payment Terms</w:t>
      </w:r>
    </w:p>
    <w:p w14:paraId="66590F36" w14:textId="77777777" w:rsidR="002A53C5" w:rsidRPr="00415C43" w:rsidRDefault="00696ED1" w:rsidP="00541AD4">
      <w:pPr>
        <w:spacing w:after="240" w:line="360" w:lineRule="auto"/>
        <w:jc w:val="both"/>
        <w:rPr>
          <w:rFonts w:eastAsia="Times New Roman"/>
          <w:sz w:val="24"/>
          <w:szCs w:val="24"/>
        </w:rPr>
      </w:pPr>
      <w:r w:rsidRPr="00415C43">
        <w:rPr>
          <w:rFonts w:eastAsia="Times New Roman"/>
          <w:sz w:val="24"/>
          <w:szCs w:val="24"/>
        </w:rPr>
        <w:t>Accor must carry out longer carefully regulated terms of payment for their suppliers (Kilay et al., 2022). Accor had 526 million euros of trade payables due in 2025.</w:t>
      </w:r>
    </w:p>
    <w:p w14:paraId="01A98A86" w14:textId="77777777" w:rsidR="002A53C5" w:rsidRPr="00415C43" w:rsidRDefault="00696ED1" w:rsidP="00541AD4">
      <w:pPr>
        <w:spacing w:after="240" w:line="360" w:lineRule="auto"/>
        <w:jc w:val="both"/>
        <w:rPr>
          <w:rFonts w:eastAsia="Times New Roman"/>
          <w:b/>
          <w:bCs/>
          <w:i/>
          <w:iCs/>
          <w:sz w:val="24"/>
          <w:szCs w:val="24"/>
        </w:rPr>
      </w:pPr>
      <w:r w:rsidRPr="00415C43">
        <w:rPr>
          <w:rFonts w:eastAsia="Times New Roman"/>
          <w:b/>
          <w:bCs/>
          <w:i/>
          <w:iCs/>
          <w:sz w:val="24"/>
          <w:szCs w:val="24"/>
        </w:rPr>
        <w:t>Just-in-Time Procurement</w:t>
      </w:r>
    </w:p>
    <w:p w14:paraId="6033EC7A" w14:textId="77777777" w:rsidR="002A53C5" w:rsidRPr="00415C43" w:rsidRDefault="00696ED1" w:rsidP="00541AD4">
      <w:pPr>
        <w:spacing w:after="240" w:line="360" w:lineRule="auto"/>
        <w:jc w:val="both"/>
        <w:rPr>
          <w:rFonts w:eastAsia="Times New Roman"/>
          <w:sz w:val="24"/>
          <w:szCs w:val="24"/>
        </w:rPr>
      </w:pPr>
      <w:r w:rsidRPr="00415C43">
        <w:rPr>
          <w:rFonts w:eastAsia="Times New Roman"/>
          <w:sz w:val="24"/>
          <w:szCs w:val="24"/>
        </w:rPr>
        <w:lastRenderedPageBreak/>
        <w:t>Accor ought to enhance just-in-time control of beverage, food, toiletries and housekeeping inventory. While the 2025 DIO was estimated only 4.53 days, it may be reduced further if procurement is centralised, demand is forecasted and stock is monitored digitally (Putri et al., 2024). This would free cash while maintaining service quality through minimum-stock and emergency-replenishment controls.</w:t>
      </w:r>
    </w:p>
    <w:p w14:paraId="4303EE32" w14:textId="77777777" w:rsidR="002A53C5" w:rsidRPr="00415C43" w:rsidRDefault="00696ED1" w:rsidP="00541AD4">
      <w:pPr>
        <w:spacing w:after="240" w:line="360" w:lineRule="auto"/>
        <w:jc w:val="both"/>
        <w:rPr>
          <w:rFonts w:eastAsia="Times New Roman"/>
          <w:b/>
          <w:bCs/>
          <w:i/>
          <w:iCs/>
          <w:sz w:val="24"/>
          <w:szCs w:val="24"/>
        </w:rPr>
      </w:pPr>
      <w:r w:rsidRPr="00415C43">
        <w:rPr>
          <w:rFonts w:eastAsia="Times New Roman"/>
          <w:b/>
          <w:bCs/>
          <w:i/>
          <w:iCs/>
          <w:sz w:val="24"/>
          <w:szCs w:val="24"/>
        </w:rPr>
        <w:t>Direct Customer Payments</w:t>
      </w:r>
    </w:p>
    <w:p w14:paraId="08D5CC5C" w14:textId="77777777" w:rsidR="002A53C5" w:rsidRPr="00415C43" w:rsidRDefault="00696ED1" w:rsidP="00541AD4">
      <w:pPr>
        <w:spacing w:after="240" w:line="360" w:lineRule="auto"/>
        <w:jc w:val="both"/>
        <w:rPr>
          <w:rFonts w:eastAsia="Times New Roman"/>
          <w:sz w:val="24"/>
          <w:szCs w:val="24"/>
        </w:rPr>
      </w:pPr>
      <w:r w:rsidRPr="00415C43">
        <w:rPr>
          <w:rFonts w:eastAsia="Times New Roman"/>
          <w:sz w:val="24"/>
          <w:szCs w:val="24"/>
        </w:rPr>
        <w:t>Accor is focusing on prepaid bookings, deposits and direct digital payment content in its websites, apps such as Accor’s loyalty ecosystem (Zhong, and Moon, 2022). Marriott provides a tangible example by promoting member rates on direct booking channels, showing that loyalty programmes can incentivise direct transactions.</w:t>
      </w:r>
    </w:p>
    <w:p w14:paraId="0D0D90E2" w14:textId="77777777" w:rsidR="002A53C5" w:rsidRPr="00415C43" w:rsidRDefault="00696ED1" w:rsidP="00541AD4">
      <w:pPr>
        <w:pStyle w:val="Heading2"/>
        <w:spacing w:after="240"/>
      </w:pPr>
      <w:bookmarkStart w:id="9" w:name="_Toc236327955"/>
      <w:r w:rsidRPr="00415C43">
        <w:t>2.3 Compare short-term vs long-term financing options</w:t>
      </w:r>
      <w:bookmarkEnd w:id="9"/>
    </w:p>
    <w:tbl>
      <w:tblPr>
        <w:tblStyle w:val="a0"/>
        <w:tblW w:w="883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740"/>
        <w:gridCol w:w="3600"/>
        <w:gridCol w:w="3495"/>
      </w:tblGrid>
      <w:tr w:rsidR="002A53C5" w:rsidRPr="00415C43" w14:paraId="1B78A7FE" w14:textId="77777777">
        <w:trPr>
          <w:trHeight w:val="450"/>
        </w:trPr>
        <w:tc>
          <w:tcPr>
            <w:tcW w:w="174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5C7BEF10" w14:textId="77777777" w:rsidR="002A53C5" w:rsidRPr="00415C43" w:rsidRDefault="00696ED1" w:rsidP="00541AD4">
            <w:pPr>
              <w:spacing w:after="240" w:line="360" w:lineRule="auto"/>
              <w:jc w:val="center"/>
              <w:rPr>
                <w:rFonts w:eastAsia="Times New Roman"/>
                <w:b/>
                <w:bCs/>
                <w:i/>
                <w:iCs/>
                <w:sz w:val="24"/>
                <w:szCs w:val="24"/>
              </w:rPr>
            </w:pPr>
            <w:r w:rsidRPr="00415C43">
              <w:rPr>
                <w:rFonts w:eastAsia="Times New Roman"/>
                <w:b/>
                <w:bCs/>
                <w:i/>
                <w:iCs/>
                <w:sz w:val="24"/>
                <w:szCs w:val="24"/>
              </w:rPr>
              <w:t>Factor</w:t>
            </w:r>
          </w:p>
        </w:tc>
        <w:tc>
          <w:tcPr>
            <w:tcW w:w="3600"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198F2529" w14:textId="77777777" w:rsidR="002A53C5" w:rsidRPr="00415C43" w:rsidRDefault="00696ED1" w:rsidP="00541AD4">
            <w:pPr>
              <w:spacing w:after="240" w:line="360" w:lineRule="auto"/>
              <w:jc w:val="center"/>
              <w:rPr>
                <w:rFonts w:eastAsia="Times New Roman"/>
                <w:b/>
                <w:bCs/>
                <w:i/>
                <w:iCs/>
                <w:sz w:val="24"/>
                <w:szCs w:val="24"/>
              </w:rPr>
            </w:pPr>
            <w:r w:rsidRPr="00415C43">
              <w:rPr>
                <w:rFonts w:eastAsia="Times New Roman"/>
                <w:b/>
                <w:bCs/>
                <w:i/>
                <w:iCs/>
                <w:sz w:val="24"/>
                <w:szCs w:val="24"/>
              </w:rPr>
              <w:t>Short-Term Financing</w:t>
            </w:r>
          </w:p>
        </w:tc>
        <w:tc>
          <w:tcPr>
            <w:tcW w:w="3495"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23916266" w14:textId="77777777" w:rsidR="002A53C5" w:rsidRPr="00415C43" w:rsidRDefault="00696ED1" w:rsidP="00541AD4">
            <w:pPr>
              <w:spacing w:after="240" w:line="360" w:lineRule="auto"/>
              <w:jc w:val="center"/>
              <w:rPr>
                <w:rFonts w:eastAsia="Times New Roman"/>
                <w:b/>
                <w:bCs/>
                <w:i/>
                <w:iCs/>
                <w:sz w:val="24"/>
                <w:szCs w:val="24"/>
              </w:rPr>
            </w:pPr>
            <w:r w:rsidRPr="00415C43">
              <w:rPr>
                <w:rFonts w:eastAsia="Times New Roman"/>
                <w:b/>
                <w:bCs/>
                <w:i/>
                <w:iCs/>
                <w:sz w:val="24"/>
                <w:szCs w:val="24"/>
              </w:rPr>
              <w:t>Long-Term Financing</w:t>
            </w:r>
          </w:p>
        </w:tc>
      </w:tr>
      <w:tr w:rsidR="002A53C5" w:rsidRPr="00415C43" w14:paraId="6FC1B072" w14:textId="77777777">
        <w:trPr>
          <w:trHeight w:val="735"/>
        </w:trPr>
        <w:tc>
          <w:tcPr>
            <w:tcW w:w="174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7ED172F1" w14:textId="77777777" w:rsidR="002A53C5" w:rsidRPr="00415C43" w:rsidRDefault="00696ED1" w:rsidP="00541AD4">
            <w:pPr>
              <w:spacing w:after="240" w:line="360" w:lineRule="auto"/>
              <w:jc w:val="both"/>
              <w:rPr>
                <w:rFonts w:eastAsia="Times New Roman"/>
                <w:sz w:val="24"/>
                <w:szCs w:val="24"/>
              </w:rPr>
            </w:pPr>
            <w:r w:rsidRPr="00415C43">
              <w:rPr>
                <w:rFonts w:eastAsia="Times New Roman"/>
                <w:sz w:val="24"/>
                <w:szCs w:val="24"/>
              </w:rPr>
              <w:t>Typical maturity</w:t>
            </w:r>
          </w:p>
        </w:tc>
        <w:tc>
          <w:tcPr>
            <w:tcW w:w="3600" w:type="dxa"/>
            <w:tcBorders>
              <w:top w:val="nil"/>
              <w:left w:val="nil"/>
              <w:bottom w:val="single" w:sz="8" w:space="0" w:color="000000"/>
              <w:right w:val="single" w:sz="8" w:space="0" w:color="000000"/>
            </w:tcBorders>
            <w:tcMar>
              <w:top w:w="0" w:type="dxa"/>
              <w:left w:w="100" w:type="dxa"/>
              <w:bottom w:w="0" w:type="dxa"/>
              <w:right w:w="100" w:type="dxa"/>
            </w:tcMar>
          </w:tcPr>
          <w:p w14:paraId="4433862E" w14:textId="77777777" w:rsidR="002A53C5" w:rsidRPr="00415C43" w:rsidRDefault="00696ED1" w:rsidP="00541AD4">
            <w:pPr>
              <w:spacing w:after="240" w:line="360" w:lineRule="auto"/>
              <w:jc w:val="both"/>
              <w:rPr>
                <w:rFonts w:eastAsia="Times New Roman"/>
                <w:sz w:val="24"/>
                <w:szCs w:val="24"/>
              </w:rPr>
            </w:pPr>
            <w:r w:rsidRPr="00415C43">
              <w:rPr>
                <w:rFonts w:eastAsia="Times New Roman"/>
                <w:sz w:val="24"/>
                <w:szCs w:val="24"/>
              </w:rPr>
              <w:t>1 year</w:t>
            </w:r>
          </w:p>
        </w:tc>
        <w:tc>
          <w:tcPr>
            <w:tcW w:w="3495" w:type="dxa"/>
            <w:tcBorders>
              <w:top w:val="nil"/>
              <w:left w:val="nil"/>
              <w:bottom w:val="single" w:sz="8" w:space="0" w:color="000000"/>
              <w:right w:val="single" w:sz="8" w:space="0" w:color="000000"/>
            </w:tcBorders>
            <w:tcMar>
              <w:top w:w="0" w:type="dxa"/>
              <w:left w:w="100" w:type="dxa"/>
              <w:bottom w:w="0" w:type="dxa"/>
              <w:right w:w="100" w:type="dxa"/>
            </w:tcMar>
          </w:tcPr>
          <w:p w14:paraId="07AF6BA8" w14:textId="77777777" w:rsidR="002A53C5" w:rsidRPr="00415C43" w:rsidRDefault="00696ED1" w:rsidP="00541AD4">
            <w:pPr>
              <w:spacing w:after="240" w:line="360" w:lineRule="auto"/>
              <w:jc w:val="both"/>
              <w:rPr>
                <w:rFonts w:eastAsia="Times New Roman"/>
                <w:sz w:val="24"/>
                <w:szCs w:val="24"/>
              </w:rPr>
            </w:pPr>
            <w:r w:rsidRPr="00415C43">
              <w:rPr>
                <w:rFonts w:eastAsia="Times New Roman"/>
                <w:sz w:val="24"/>
                <w:szCs w:val="24"/>
              </w:rPr>
              <w:t>1 year</w:t>
            </w:r>
          </w:p>
        </w:tc>
      </w:tr>
      <w:tr w:rsidR="002A53C5" w:rsidRPr="00415C43" w14:paraId="6CCF267F" w14:textId="77777777">
        <w:trPr>
          <w:trHeight w:val="735"/>
        </w:trPr>
        <w:tc>
          <w:tcPr>
            <w:tcW w:w="174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749AE9E4" w14:textId="77777777" w:rsidR="002A53C5" w:rsidRPr="00415C43" w:rsidRDefault="00696ED1" w:rsidP="00541AD4">
            <w:pPr>
              <w:spacing w:after="240" w:line="360" w:lineRule="auto"/>
              <w:jc w:val="both"/>
              <w:rPr>
                <w:rFonts w:eastAsia="Times New Roman"/>
                <w:sz w:val="24"/>
                <w:szCs w:val="24"/>
              </w:rPr>
            </w:pPr>
            <w:r w:rsidRPr="00415C43">
              <w:rPr>
                <w:rFonts w:eastAsia="Times New Roman"/>
                <w:sz w:val="24"/>
                <w:szCs w:val="24"/>
              </w:rPr>
              <w:t>Examples</w:t>
            </w:r>
          </w:p>
        </w:tc>
        <w:tc>
          <w:tcPr>
            <w:tcW w:w="3600" w:type="dxa"/>
            <w:tcBorders>
              <w:top w:val="nil"/>
              <w:left w:val="nil"/>
              <w:bottom w:val="single" w:sz="8" w:space="0" w:color="000000"/>
              <w:right w:val="single" w:sz="8" w:space="0" w:color="000000"/>
            </w:tcBorders>
            <w:tcMar>
              <w:top w:w="0" w:type="dxa"/>
              <w:left w:w="100" w:type="dxa"/>
              <w:bottom w:w="0" w:type="dxa"/>
              <w:right w:w="100" w:type="dxa"/>
            </w:tcMar>
          </w:tcPr>
          <w:p w14:paraId="760BBFFE" w14:textId="77777777" w:rsidR="002A53C5" w:rsidRPr="00415C43" w:rsidRDefault="00696ED1" w:rsidP="00541AD4">
            <w:pPr>
              <w:spacing w:after="240" w:line="360" w:lineRule="auto"/>
              <w:jc w:val="both"/>
              <w:rPr>
                <w:rFonts w:eastAsia="Times New Roman"/>
                <w:sz w:val="24"/>
                <w:szCs w:val="24"/>
              </w:rPr>
            </w:pPr>
            <w:r w:rsidRPr="00415C43">
              <w:rPr>
                <w:rFonts w:eastAsia="Times New Roman"/>
                <w:sz w:val="24"/>
                <w:szCs w:val="24"/>
              </w:rPr>
              <w:t>Bank overdraft, trade credit, revolving credit</w:t>
            </w:r>
          </w:p>
        </w:tc>
        <w:tc>
          <w:tcPr>
            <w:tcW w:w="3495" w:type="dxa"/>
            <w:tcBorders>
              <w:top w:val="nil"/>
              <w:left w:val="nil"/>
              <w:bottom w:val="single" w:sz="8" w:space="0" w:color="000000"/>
              <w:right w:val="single" w:sz="8" w:space="0" w:color="000000"/>
            </w:tcBorders>
            <w:tcMar>
              <w:top w:w="0" w:type="dxa"/>
              <w:left w:w="100" w:type="dxa"/>
              <w:bottom w:w="0" w:type="dxa"/>
              <w:right w:w="100" w:type="dxa"/>
            </w:tcMar>
          </w:tcPr>
          <w:p w14:paraId="3BD17054" w14:textId="77777777" w:rsidR="002A53C5" w:rsidRPr="00415C43" w:rsidRDefault="00696ED1" w:rsidP="00541AD4">
            <w:pPr>
              <w:spacing w:after="240" w:line="360" w:lineRule="auto"/>
              <w:jc w:val="both"/>
              <w:rPr>
                <w:rFonts w:eastAsia="Times New Roman"/>
                <w:sz w:val="24"/>
                <w:szCs w:val="24"/>
              </w:rPr>
            </w:pPr>
            <w:r w:rsidRPr="00415C43">
              <w:rPr>
                <w:rFonts w:eastAsia="Times New Roman"/>
                <w:sz w:val="24"/>
                <w:szCs w:val="24"/>
              </w:rPr>
              <w:t>Bonds, bank loans, equity</w:t>
            </w:r>
          </w:p>
        </w:tc>
      </w:tr>
      <w:tr w:rsidR="002A53C5" w:rsidRPr="00415C43" w14:paraId="2BD75266" w14:textId="77777777">
        <w:trPr>
          <w:trHeight w:val="735"/>
        </w:trPr>
        <w:tc>
          <w:tcPr>
            <w:tcW w:w="174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6204CA20" w14:textId="77777777" w:rsidR="002A53C5" w:rsidRPr="00415C43" w:rsidRDefault="00696ED1" w:rsidP="00541AD4">
            <w:pPr>
              <w:spacing w:after="240" w:line="360" w:lineRule="auto"/>
              <w:jc w:val="both"/>
              <w:rPr>
                <w:rFonts w:eastAsia="Times New Roman"/>
                <w:sz w:val="24"/>
                <w:szCs w:val="24"/>
              </w:rPr>
            </w:pPr>
            <w:r w:rsidRPr="00415C43">
              <w:rPr>
                <w:rFonts w:eastAsia="Times New Roman"/>
                <w:sz w:val="24"/>
                <w:szCs w:val="24"/>
              </w:rPr>
              <w:t>Main purpose</w:t>
            </w:r>
          </w:p>
        </w:tc>
        <w:tc>
          <w:tcPr>
            <w:tcW w:w="3600" w:type="dxa"/>
            <w:tcBorders>
              <w:top w:val="nil"/>
              <w:left w:val="nil"/>
              <w:bottom w:val="single" w:sz="8" w:space="0" w:color="000000"/>
              <w:right w:val="single" w:sz="8" w:space="0" w:color="000000"/>
            </w:tcBorders>
            <w:tcMar>
              <w:top w:w="0" w:type="dxa"/>
              <w:left w:w="100" w:type="dxa"/>
              <w:bottom w:w="0" w:type="dxa"/>
              <w:right w:w="100" w:type="dxa"/>
            </w:tcMar>
          </w:tcPr>
          <w:p w14:paraId="6CCB0E5B" w14:textId="77777777" w:rsidR="002A53C5" w:rsidRPr="00415C43" w:rsidRDefault="00696ED1" w:rsidP="00541AD4">
            <w:pPr>
              <w:spacing w:after="240" w:line="360" w:lineRule="auto"/>
              <w:jc w:val="both"/>
              <w:rPr>
                <w:rFonts w:eastAsia="Times New Roman"/>
                <w:sz w:val="24"/>
                <w:szCs w:val="24"/>
              </w:rPr>
            </w:pPr>
            <w:r w:rsidRPr="00415C43">
              <w:rPr>
                <w:rFonts w:eastAsia="Times New Roman"/>
                <w:sz w:val="24"/>
                <w:szCs w:val="24"/>
              </w:rPr>
              <w:t>Working capital, liquidity</w:t>
            </w:r>
          </w:p>
        </w:tc>
        <w:tc>
          <w:tcPr>
            <w:tcW w:w="3495" w:type="dxa"/>
            <w:tcBorders>
              <w:top w:val="nil"/>
              <w:left w:val="nil"/>
              <w:bottom w:val="single" w:sz="8" w:space="0" w:color="000000"/>
              <w:right w:val="single" w:sz="8" w:space="0" w:color="000000"/>
            </w:tcBorders>
            <w:tcMar>
              <w:top w:w="0" w:type="dxa"/>
              <w:left w:w="100" w:type="dxa"/>
              <w:bottom w:w="0" w:type="dxa"/>
              <w:right w:w="100" w:type="dxa"/>
            </w:tcMar>
          </w:tcPr>
          <w:p w14:paraId="44F2A601" w14:textId="77777777" w:rsidR="002A53C5" w:rsidRPr="00415C43" w:rsidRDefault="00696ED1" w:rsidP="00541AD4">
            <w:pPr>
              <w:spacing w:after="240" w:line="360" w:lineRule="auto"/>
              <w:jc w:val="both"/>
              <w:rPr>
                <w:rFonts w:eastAsia="Times New Roman"/>
                <w:sz w:val="24"/>
                <w:szCs w:val="24"/>
              </w:rPr>
            </w:pPr>
            <w:r w:rsidRPr="00415C43">
              <w:rPr>
                <w:rFonts w:eastAsia="Times New Roman"/>
                <w:sz w:val="24"/>
                <w:szCs w:val="24"/>
              </w:rPr>
              <w:t>Expansion, acquisitions, major investment</w:t>
            </w:r>
          </w:p>
        </w:tc>
      </w:tr>
      <w:tr w:rsidR="002A53C5" w:rsidRPr="00415C43" w14:paraId="3F440FB0" w14:textId="77777777">
        <w:trPr>
          <w:trHeight w:val="735"/>
        </w:trPr>
        <w:tc>
          <w:tcPr>
            <w:tcW w:w="174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7E80EB51" w14:textId="77777777" w:rsidR="002A53C5" w:rsidRPr="00415C43" w:rsidRDefault="00696ED1" w:rsidP="00541AD4">
            <w:pPr>
              <w:spacing w:after="240" w:line="360" w:lineRule="auto"/>
              <w:jc w:val="both"/>
              <w:rPr>
                <w:rFonts w:eastAsia="Times New Roman"/>
                <w:sz w:val="24"/>
                <w:szCs w:val="24"/>
              </w:rPr>
            </w:pPr>
            <w:r w:rsidRPr="00415C43">
              <w:rPr>
                <w:rFonts w:eastAsia="Times New Roman"/>
                <w:sz w:val="24"/>
                <w:szCs w:val="24"/>
              </w:rPr>
              <w:t>Cost</w:t>
            </w:r>
          </w:p>
        </w:tc>
        <w:tc>
          <w:tcPr>
            <w:tcW w:w="3600" w:type="dxa"/>
            <w:tcBorders>
              <w:top w:val="nil"/>
              <w:left w:val="nil"/>
              <w:bottom w:val="single" w:sz="8" w:space="0" w:color="000000"/>
              <w:right w:val="single" w:sz="8" w:space="0" w:color="000000"/>
            </w:tcBorders>
            <w:tcMar>
              <w:top w:w="0" w:type="dxa"/>
              <w:left w:w="100" w:type="dxa"/>
              <w:bottom w:w="0" w:type="dxa"/>
              <w:right w:w="100" w:type="dxa"/>
            </w:tcMar>
          </w:tcPr>
          <w:p w14:paraId="32D08195" w14:textId="77777777" w:rsidR="002A53C5" w:rsidRPr="00415C43" w:rsidRDefault="00696ED1" w:rsidP="00541AD4">
            <w:pPr>
              <w:spacing w:after="240" w:line="360" w:lineRule="auto"/>
              <w:jc w:val="both"/>
              <w:rPr>
                <w:rFonts w:eastAsia="Times New Roman"/>
                <w:sz w:val="24"/>
                <w:szCs w:val="24"/>
              </w:rPr>
            </w:pPr>
            <w:r w:rsidRPr="00415C43">
              <w:rPr>
                <w:rFonts w:eastAsia="Times New Roman"/>
                <w:sz w:val="24"/>
                <w:szCs w:val="24"/>
              </w:rPr>
              <w:t>Usually, lower initially</w:t>
            </w:r>
          </w:p>
        </w:tc>
        <w:tc>
          <w:tcPr>
            <w:tcW w:w="3495" w:type="dxa"/>
            <w:tcBorders>
              <w:top w:val="nil"/>
              <w:left w:val="nil"/>
              <w:bottom w:val="single" w:sz="8" w:space="0" w:color="000000"/>
              <w:right w:val="single" w:sz="8" w:space="0" w:color="000000"/>
            </w:tcBorders>
            <w:tcMar>
              <w:top w:w="0" w:type="dxa"/>
              <w:left w:w="100" w:type="dxa"/>
              <w:bottom w:w="0" w:type="dxa"/>
              <w:right w:w="100" w:type="dxa"/>
            </w:tcMar>
          </w:tcPr>
          <w:p w14:paraId="0407EE0D" w14:textId="77777777" w:rsidR="002A53C5" w:rsidRPr="00415C43" w:rsidRDefault="00696ED1" w:rsidP="00541AD4">
            <w:pPr>
              <w:spacing w:after="240" w:line="360" w:lineRule="auto"/>
              <w:jc w:val="both"/>
              <w:rPr>
                <w:rFonts w:eastAsia="Times New Roman"/>
                <w:sz w:val="24"/>
                <w:szCs w:val="24"/>
              </w:rPr>
            </w:pPr>
            <w:r w:rsidRPr="00415C43">
              <w:rPr>
                <w:rFonts w:eastAsia="Times New Roman"/>
                <w:sz w:val="24"/>
                <w:szCs w:val="24"/>
              </w:rPr>
              <w:t>Usually higher/long-term commitment</w:t>
            </w:r>
          </w:p>
        </w:tc>
      </w:tr>
      <w:tr w:rsidR="002A53C5" w:rsidRPr="00415C43" w14:paraId="433B5AB6" w14:textId="77777777">
        <w:trPr>
          <w:trHeight w:val="450"/>
        </w:trPr>
        <w:tc>
          <w:tcPr>
            <w:tcW w:w="174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311A97CC" w14:textId="77777777" w:rsidR="002A53C5" w:rsidRPr="00415C43" w:rsidRDefault="00696ED1" w:rsidP="00541AD4">
            <w:pPr>
              <w:spacing w:after="240" w:line="360" w:lineRule="auto"/>
              <w:jc w:val="both"/>
              <w:rPr>
                <w:rFonts w:eastAsia="Times New Roman"/>
                <w:sz w:val="24"/>
                <w:szCs w:val="24"/>
              </w:rPr>
            </w:pPr>
            <w:r w:rsidRPr="00415C43">
              <w:rPr>
                <w:rFonts w:eastAsia="Times New Roman"/>
                <w:sz w:val="24"/>
                <w:szCs w:val="24"/>
              </w:rPr>
              <w:t>Risk</w:t>
            </w:r>
          </w:p>
        </w:tc>
        <w:tc>
          <w:tcPr>
            <w:tcW w:w="3600" w:type="dxa"/>
            <w:tcBorders>
              <w:top w:val="nil"/>
              <w:left w:val="nil"/>
              <w:bottom w:val="single" w:sz="8" w:space="0" w:color="000000"/>
              <w:right w:val="single" w:sz="8" w:space="0" w:color="000000"/>
            </w:tcBorders>
            <w:tcMar>
              <w:top w:w="0" w:type="dxa"/>
              <w:left w:w="100" w:type="dxa"/>
              <w:bottom w:w="0" w:type="dxa"/>
              <w:right w:w="100" w:type="dxa"/>
            </w:tcMar>
          </w:tcPr>
          <w:p w14:paraId="643E442D" w14:textId="77777777" w:rsidR="002A53C5" w:rsidRPr="00415C43" w:rsidRDefault="00696ED1" w:rsidP="00541AD4">
            <w:pPr>
              <w:spacing w:after="240" w:line="360" w:lineRule="auto"/>
              <w:jc w:val="both"/>
              <w:rPr>
                <w:rFonts w:eastAsia="Times New Roman"/>
                <w:sz w:val="24"/>
                <w:szCs w:val="24"/>
              </w:rPr>
            </w:pPr>
            <w:r w:rsidRPr="00415C43">
              <w:rPr>
                <w:rFonts w:eastAsia="Times New Roman"/>
                <w:sz w:val="24"/>
                <w:szCs w:val="24"/>
              </w:rPr>
              <w:t>Refinancing risk</w:t>
            </w:r>
          </w:p>
        </w:tc>
        <w:tc>
          <w:tcPr>
            <w:tcW w:w="3495" w:type="dxa"/>
            <w:tcBorders>
              <w:top w:val="nil"/>
              <w:left w:val="nil"/>
              <w:bottom w:val="single" w:sz="8" w:space="0" w:color="000000"/>
              <w:right w:val="single" w:sz="8" w:space="0" w:color="000000"/>
            </w:tcBorders>
            <w:tcMar>
              <w:top w:w="0" w:type="dxa"/>
              <w:left w:w="100" w:type="dxa"/>
              <w:bottom w:w="0" w:type="dxa"/>
              <w:right w:w="100" w:type="dxa"/>
            </w:tcMar>
          </w:tcPr>
          <w:p w14:paraId="43CA4EBC" w14:textId="77777777" w:rsidR="002A53C5" w:rsidRPr="00415C43" w:rsidRDefault="00696ED1" w:rsidP="00541AD4">
            <w:pPr>
              <w:spacing w:after="240" w:line="360" w:lineRule="auto"/>
              <w:jc w:val="both"/>
              <w:rPr>
                <w:rFonts w:eastAsia="Times New Roman"/>
                <w:sz w:val="24"/>
                <w:szCs w:val="24"/>
              </w:rPr>
            </w:pPr>
            <w:r w:rsidRPr="00415C43">
              <w:rPr>
                <w:rFonts w:eastAsia="Times New Roman"/>
                <w:sz w:val="24"/>
                <w:szCs w:val="24"/>
              </w:rPr>
              <w:t>Lower refinancing risk</w:t>
            </w:r>
          </w:p>
        </w:tc>
      </w:tr>
      <w:tr w:rsidR="002A53C5" w:rsidRPr="00415C43" w14:paraId="45CCA043" w14:textId="77777777">
        <w:trPr>
          <w:trHeight w:val="450"/>
        </w:trPr>
        <w:tc>
          <w:tcPr>
            <w:tcW w:w="174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5713DED8" w14:textId="77777777" w:rsidR="002A53C5" w:rsidRPr="00415C43" w:rsidRDefault="00696ED1" w:rsidP="00541AD4">
            <w:pPr>
              <w:spacing w:after="240" w:line="360" w:lineRule="auto"/>
              <w:jc w:val="both"/>
              <w:rPr>
                <w:rFonts w:eastAsia="Times New Roman"/>
                <w:sz w:val="24"/>
                <w:szCs w:val="24"/>
              </w:rPr>
            </w:pPr>
            <w:r w:rsidRPr="00415C43">
              <w:rPr>
                <w:rFonts w:eastAsia="Times New Roman"/>
                <w:sz w:val="24"/>
                <w:szCs w:val="24"/>
              </w:rPr>
              <w:t>Flexibility</w:t>
            </w:r>
          </w:p>
        </w:tc>
        <w:tc>
          <w:tcPr>
            <w:tcW w:w="3600" w:type="dxa"/>
            <w:tcBorders>
              <w:top w:val="nil"/>
              <w:left w:val="nil"/>
              <w:bottom w:val="single" w:sz="8" w:space="0" w:color="000000"/>
              <w:right w:val="single" w:sz="8" w:space="0" w:color="000000"/>
            </w:tcBorders>
            <w:tcMar>
              <w:top w:w="0" w:type="dxa"/>
              <w:left w:w="100" w:type="dxa"/>
              <w:bottom w:w="0" w:type="dxa"/>
              <w:right w:w="100" w:type="dxa"/>
            </w:tcMar>
          </w:tcPr>
          <w:p w14:paraId="3058DF6F" w14:textId="77777777" w:rsidR="002A53C5" w:rsidRPr="00415C43" w:rsidRDefault="00696ED1" w:rsidP="00541AD4">
            <w:pPr>
              <w:spacing w:after="240" w:line="360" w:lineRule="auto"/>
              <w:jc w:val="both"/>
              <w:rPr>
                <w:rFonts w:eastAsia="Times New Roman"/>
                <w:sz w:val="24"/>
                <w:szCs w:val="24"/>
              </w:rPr>
            </w:pPr>
            <w:r w:rsidRPr="00415C43">
              <w:rPr>
                <w:rFonts w:eastAsia="Times New Roman"/>
                <w:sz w:val="24"/>
                <w:szCs w:val="24"/>
              </w:rPr>
              <w:t>High</w:t>
            </w:r>
          </w:p>
        </w:tc>
        <w:tc>
          <w:tcPr>
            <w:tcW w:w="3495" w:type="dxa"/>
            <w:tcBorders>
              <w:top w:val="nil"/>
              <w:left w:val="nil"/>
              <w:bottom w:val="single" w:sz="8" w:space="0" w:color="000000"/>
              <w:right w:val="single" w:sz="8" w:space="0" w:color="000000"/>
            </w:tcBorders>
            <w:tcMar>
              <w:top w:w="0" w:type="dxa"/>
              <w:left w:w="100" w:type="dxa"/>
              <w:bottom w:w="0" w:type="dxa"/>
              <w:right w:w="100" w:type="dxa"/>
            </w:tcMar>
          </w:tcPr>
          <w:p w14:paraId="5C806C6E" w14:textId="77777777" w:rsidR="002A53C5" w:rsidRPr="00415C43" w:rsidRDefault="00696ED1" w:rsidP="00541AD4">
            <w:pPr>
              <w:spacing w:after="240" w:line="360" w:lineRule="auto"/>
              <w:jc w:val="both"/>
              <w:rPr>
                <w:rFonts w:eastAsia="Times New Roman"/>
                <w:sz w:val="24"/>
                <w:szCs w:val="24"/>
              </w:rPr>
            </w:pPr>
            <w:r w:rsidRPr="00415C43">
              <w:rPr>
                <w:rFonts w:eastAsia="Times New Roman"/>
                <w:sz w:val="24"/>
                <w:szCs w:val="24"/>
              </w:rPr>
              <w:t>Moderate</w:t>
            </w:r>
          </w:p>
        </w:tc>
      </w:tr>
      <w:tr w:rsidR="002A53C5" w:rsidRPr="00415C43" w14:paraId="42633047" w14:textId="77777777">
        <w:trPr>
          <w:trHeight w:val="735"/>
        </w:trPr>
        <w:tc>
          <w:tcPr>
            <w:tcW w:w="174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562CFE2F" w14:textId="77777777" w:rsidR="002A53C5" w:rsidRPr="00415C43" w:rsidRDefault="00696ED1" w:rsidP="00541AD4">
            <w:pPr>
              <w:spacing w:after="240" w:line="360" w:lineRule="auto"/>
              <w:jc w:val="both"/>
              <w:rPr>
                <w:rFonts w:eastAsia="Times New Roman"/>
                <w:sz w:val="24"/>
                <w:szCs w:val="24"/>
              </w:rPr>
            </w:pPr>
            <w:r w:rsidRPr="00415C43">
              <w:rPr>
                <w:rFonts w:eastAsia="Times New Roman"/>
                <w:sz w:val="24"/>
                <w:szCs w:val="24"/>
              </w:rPr>
              <w:t>Accor suitability</w:t>
            </w:r>
          </w:p>
        </w:tc>
        <w:tc>
          <w:tcPr>
            <w:tcW w:w="3600" w:type="dxa"/>
            <w:tcBorders>
              <w:top w:val="nil"/>
              <w:left w:val="nil"/>
              <w:bottom w:val="single" w:sz="8" w:space="0" w:color="000000"/>
              <w:right w:val="single" w:sz="8" w:space="0" w:color="000000"/>
            </w:tcBorders>
            <w:tcMar>
              <w:top w:w="0" w:type="dxa"/>
              <w:left w:w="100" w:type="dxa"/>
              <w:bottom w:w="0" w:type="dxa"/>
              <w:right w:w="100" w:type="dxa"/>
            </w:tcMar>
          </w:tcPr>
          <w:p w14:paraId="172034BB" w14:textId="77777777" w:rsidR="002A53C5" w:rsidRPr="00415C43" w:rsidRDefault="00696ED1" w:rsidP="00541AD4">
            <w:pPr>
              <w:spacing w:after="240" w:line="360" w:lineRule="auto"/>
              <w:jc w:val="both"/>
              <w:rPr>
                <w:rFonts w:eastAsia="Times New Roman"/>
                <w:sz w:val="24"/>
                <w:szCs w:val="24"/>
              </w:rPr>
            </w:pPr>
            <w:r w:rsidRPr="00415C43">
              <w:rPr>
                <w:rFonts w:eastAsia="Times New Roman"/>
                <w:sz w:val="24"/>
                <w:szCs w:val="24"/>
              </w:rPr>
              <w:t>Cash-flow gaps, supplier payments</w:t>
            </w:r>
          </w:p>
        </w:tc>
        <w:tc>
          <w:tcPr>
            <w:tcW w:w="3495" w:type="dxa"/>
            <w:tcBorders>
              <w:top w:val="nil"/>
              <w:left w:val="nil"/>
              <w:bottom w:val="single" w:sz="8" w:space="0" w:color="000000"/>
              <w:right w:val="single" w:sz="8" w:space="0" w:color="000000"/>
            </w:tcBorders>
            <w:tcMar>
              <w:top w:w="0" w:type="dxa"/>
              <w:left w:w="100" w:type="dxa"/>
              <w:bottom w:w="0" w:type="dxa"/>
              <w:right w:w="100" w:type="dxa"/>
            </w:tcMar>
          </w:tcPr>
          <w:p w14:paraId="4993B3BD" w14:textId="77777777" w:rsidR="002A53C5" w:rsidRPr="00415C43" w:rsidRDefault="00696ED1" w:rsidP="00541AD4">
            <w:pPr>
              <w:spacing w:after="240" w:line="360" w:lineRule="auto"/>
              <w:jc w:val="both"/>
              <w:rPr>
                <w:rFonts w:eastAsia="Times New Roman"/>
                <w:sz w:val="24"/>
                <w:szCs w:val="24"/>
              </w:rPr>
            </w:pPr>
            <w:r w:rsidRPr="00415C43">
              <w:rPr>
                <w:rFonts w:eastAsia="Times New Roman"/>
                <w:sz w:val="24"/>
                <w:szCs w:val="24"/>
              </w:rPr>
              <w:t>Global expansion, digital investment</w:t>
            </w:r>
          </w:p>
        </w:tc>
      </w:tr>
      <w:tr w:rsidR="002A53C5" w:rsidRPr="00415C43" w14:paraId="500B6D12" w14:textId="77777777">
        <w:trPr>
          <w:trHeight w:val="735"/>
        </w:trPr>
        <w:tc>
          <w:tcPr>
            <w:tcW w:w="174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723FECBB" w14:textId="77777777" w:rsidR="002A53C5" w:rsidRPr="00415C43" w:rsidRDefault="00696ED1" w:rsidP="00541AD4">
            <w:pPr>
              <w:spacing w:after="240" w:line="360" w:lineRule="auto"/>
              <w:jc w:val="both"/>
              <w:rPr>
                <w:rFonts w:eastAsia="Times New Roman"/>
                <w:sz w:val="24"/>
                <w:szCs w:val="24"/>
              </w:rPr>
            </w:pPr>
            <w:r w:rsidRPr="00415C43">
              <w:rPr>
                <w:rFonts w:eastAsia="Times New Roman"/>
                <w:sz w:val="24"/>
                <w:szCs w:val="24"/>
              </w:rPr>
              <w:lastRenderedPageBreak/>
              <w:t>Main disadvantage</w:t>
            </w:r>
          </w:p>
        </w:tc>
        <w:tc>
          <w:tcPr>
            <w:tcW w:w="3600" w:type="dxa"/>
            <w:tcBorders>
              <w:top w:val="nil"/>
              <w:left w:val="nil"/>
              <w:bottom w:val="single" w:sz="8" w:space="0" w:color="000000"/>
              <w:right w:val="single" w:sz="8" w:space="0" w:color="000000"/>
            </w:tcBorders>
            <w:tcMar>
              <w:top w:w="0" w:type="dxa"/>
              <w:left w:w="100" w:type="dxa"/>
              <w:bottom w:w="0" w:type="dxa"/>
              <w:right w:w="100" w:type="dxa"/>
            </w:tcMar>
          </w:tcPr>
          <w:p w14:paraId="1969B314" w14:textId="77777777" w:rsidR="002A53C5" w:rsidRPr="00415C43" w:rsidRDefault="00696ED1" w:rsidP="00541AD4">
            <w:pPr>
              <w:spacing w:after="240" w:line="360" w:lineRule="auto"/>
              <w:jc w:val="both"/>
              <w:rPr>
                <w:rFonts w:eastAsia="Times New Roman"/>
                <w:sz w:val="24"/>
                <w:szCs w:val="24"/>
              </w:rPr>
            </w:pPr>
            <w:r w:rsidRPr="00415C43">
              <w:rPr>
                <w:rFonts w:eastAsia="Times New Roman"/>
                <w:sz w:val="24"/>
                <w:szCs w:val="24"/>
              </w:rPr>
              <w:t>Short repayment period</w:t>
            </w:r>
          </w:p>
        </w:tc>
        <w:tc>
          <w:tcPr>
            <w:tcW w:w="3495" w:type="dxa"/>
            <w:tcBorders>
              <w:top w:val="nil"/>
              <w:left w:val="nil"/>
              <w:bottom w:val="single" w:sz="8" w:space="0" w:color="000000"/>
              <w:right w:val="single" w:sz="8" w:space="0" w:color="000000"/>
            </w:tcBorders>
            <w:tcMar>
              <w:top w:w="0" w:type="dxa"/>
              <w:left w:w="100" w:type="dxa"/>
              <w:bottom w:w="0" w:type="dxa"/>
              <w:right w:w="100" w:type="dxa"/>
            </w:tcMar>
          </w:tcPr>
          <w:p w14:paraId="0707C489" w14:textId="77777777" w:rsidR="002A53C5" w:rsidRPr="00415C43" w:rsidRDefault="00696ED1" w:rsidP="00541AD4">
            <w:pPr>
              <w:spacing w:after="240" w:line="360" w:lineRule="auto"/>
              <w:jc w:val="both"/>
              <w:rPr>
                <w:rFonts w:eastAsia="Times New Roman"/>
                <w:sz w:val="24"/>
                <w:szCs w:val="24"/>
              </w:rPr>
            </w:pPr>
            <w:r w:rsidRPr="00415C43">
              <w:rPr>
                <w:rFonts w:eastAsia="Times New Roman"/>
                <w:sz w:val="24"/>
                <w:szCs w:val="24"/>
              </w:rPr>
              <w:t>Interest/capital commitment</w:t>
            </w:r>
          </w:p>
        </w:tc>
      </w:tr>
    </w:tbl>
    <w:p w14:paraId="6164394F" w14:textId="77777777" w:rsidR="002A53C5" w:rsidRPr="00415C43" w:rsidRDefault="00696ED1" w:rsidP="00541AD4">
      <w:pPr>
        <w:spacing w:after="240" w:line="360" w:lineRule="auto"/>
        <w:jc w:val="center"/>
        <w:rPr>
          <w:rFonts w:eastAsia="Times New Roman"/>
          <w:b/>
          <w:bCs/>
          <w:sz w:val="24"/>
          <w:szCs w:val="24"/>
        </w:rPr>
      </w:pPr>
      <w:r w:rsidRPr="00415C43">
        <w:rPr>
          <w:rFonts w:eastAsia="Times New Roman"/>
          <w:b/>
          <w:bCs/>
          <w:sz w:val="24"/>
          <w:szCs w:val="24"/>
        </w:rPr>
        <w:t xml:space="preserve">Table 2: Compare short-term vs long-term financing </w:t>
      </w:r>
    </w:p>
    <w:p w14:paraId="5CF76982" w14:textId="77777777" w:rsidR="002A53C5" w:rsidRPr="00415C43" w:rsidRDefault="00696ED1" w:rsidP="00541AD4">
      <w:pPr>
        <w:spacing w:after="240" w:line="360" w:lineRule="auto"/>
        <w:jc w:val="center"/>
        <w:rPr>
          <w:rFonts w:eastAsia="Times New Roman"/>
          <w:sz w:val="24"/>
          <w:szCs w:val="24"/>
        </w:rPr>
      </w:pPr>
      <w:r w:rsidRPr="00415C43">
        <w:rPr>
          <w:rFonts w:eastAsia="Times New Roman"/>
          <w:sz w:val="24"/>
          <w:szCs w:val="24"/>
        </w:rPr>
        <w:t>(Source: Self-developed)</w:t>
      </w:r>
    </w:p>
    <w:p w14:paraId="1A9789F4" w14:textId="77777777" w:rsidR="002A53C5" w:rsidRPr="00415C43" w:rsidRDefault="00696ED1" w:rsidP="00541AD4">
      <w:pPr>
        <w:spacing w:after="240" w:line="360" w:lineRule="auto"/>
        <w:jc w:val="both"/>
        <w:rPr>
          <w:rFonts w:eastAsia="Times New Roman"/>
          <w:sz w:val="24"/>
          <w:szCs w:val="24"/>
        </w:rPr>
      </w:pPr>
      <w:r w:rsidRPr="00415C43">
        <w:rPr>
          <w:rFonts w:eastAsia="Times New Roman"/>
          <w:sz w:val="24"/>
          <w:szCs w:val="24"/>
        </w:rPr>
        <w:t xml:space="preserve">Accor must adopt a stable financing strategy involving short- and long-term resources in accordance with the maturity of its financial individual needs. The need for temporary working-capital can be serviced through short-term financing like bank overdrafts, revolving credit facilities and trade credit. Accor’s cash operating cycle in 2025 was 26.41 days, meaning funds remain locked into operations for that period before recovery. </w:t>
      </w:r>
    </w:p>
    <w:p w14:paraId="4294146E" w14:textId="77777777" w:rsidR="002A53C5" w:rsidRPr="00415C43" w:rsidRDefault="00696ED1" w:rsidP="00541AD4">
      <w:pPr>
        <w:spacing w:after="240" w:line="360" w:lineRule="auto"/>
        <w:jc w:val="both"/>
        <w:rPr>
          <w:rFonts w:eastAsia="Times New Roman"/>
          <w:sz w:val="24"/>
          <w:szCs w:val="24"/>
        </w:rPr>
      </w:pPr>
      <w:r w:rsidRPr="00415C43">
        <w:rPr>
          <w:rFonts w:eastAsia="Times New Roman"/>
          <w:sz w:val="24"/>
          <w:szCs w:val="24"/>
        </w:rPr>
        <w:t xml:space="preserve">However, if the public sector engaged in excessive short-term borrowing, there would be greater exposure to refinancing and interest-rate risk. Accor’s Financial Leverage Increased To 3.22 In 2025 Although Its Current Ratio Was About 1.05 So Liquidity Cushion Is Not Much. As a general rule, borrowed money in the short term should only be used to finance short-term assets and not to impact permanent investment (Emma, 2024). </w:t>
      </w:r>
    </w:p>
    <w:p w14:paraId="45E0A20B" w14:textId="77777777" w:rsidR="002A53C5" w:rsidRPr="00415C43" w:rsidRDefault="00696ED1" w:rsidP="00541AD4">
      <w:pPr>
        <w:pStyle w:val="Heading1"/>
        <w:spacing w:after="240"/>
      </w:pPr>
      <w:bookmarkStart w:id="10" w:name="_Toc236327956"/>
      <w:r w:rsidRPr="00415C43">
        <w:t>3. Strategic Financial Restructuring Plan</w:t>
      </w:r>
      <w:bookmarkEnd w:id="10"/>
    </w:p>
    <w:p w14:paraId="55B550EB" w14:textId="77777777" w:rsidR="002A53C5" w:rsidRPr="00415C43" w:rsidRDefault="00696ED1" w:rsidP="00541AD4">
      <w:pPr>
        <w:pStyle w:val="Heading2"/>
        <w:spacing w:after="240"/>
      </w:pPr>
      <w:bookmarkStart w:id="11" w:name="_Toc236327957"/>
      <w:r w:rsidRPr="00415C43">
        <w:t>3.1 Financial restructuring options</w:t>
      </w:r>
      <w:bookmarkEnd w:id="11"/>
    </w:p>
    <w:p w14:paraId="27EE27CE" w14:textId="77777777" w:rsidR="002A53C5" w:rsidRPr="00415C43" w:rsidRDefault="00696ED1" w:rsidP="00541AD4">
      <w:pPr>
        <w:spacing w:after="240" w:line="360" w:lineRule="auto"/>
        <w:jc w:val="both"/>
        <w:rPr>
          <w:rFonts w:eastAsia="Times New Roman"/>
          <w:b/>
          <w:bCs/>
          <w:i/>
          <w:iCs/>
          <w:sz w:val="24"/>
          <w:szCs w:val="24"/>
        </w:rPr>
      </w:pPr>
      <w:r w:rsidRPr="00415C43">
        <w:rPr>
          <w:rFonts w:eastAsia="Times New Roman"/>
          <w:b/>
          <w:bCs/>
          <w:i/>
          <w:iCs/>
          <w:sz w:val="24"/>
          <w:szCs w:val="24"/>
        </w:rPr>
        <w:t xml:space="preserve">Divestiture </w:t>
      </w:r>
    </w:p>
    <w:p w14:paraId="7679DAE8" w14:textId="77777777" w:rsidR="002A53C5" w:rsidRPr="00415C43" w:rsidRDefault="00696ED1" w:rsidP="00541AD4">
      <w:pPr>
        <w:spacing w:after="240" w:line="360" w:lineRule="auto"/>
        <w:jc w:val="both"/>
        <w:rPr>
          <w:rFonts w:eastAsia="Times New Roman"/>
          <w:sz w:val="24"/>
          <w:szCs w:val="24"/>
        </w:rPr>
      </w:pPr>
      <w:r w:rsidRPr="00415C43">
        <w:rPr>
          <w:rFonts w:eastAsia="Times New Roman"/>
          <w:sz w:val="24"/>
          <w:szCs w:val="24"/>
        </w:rPr>
        <w:t>Business interests to generate cash by enhancing financial flexibility which highlight the selling non-essential assets (Hamzat, 2025). Accor's strategy is already very asset-light making this especially fitting for Accor. Accor has cut its owned hotels exposure by selling 70% of AccorInvest and 85.8% of Orbis, while only roughly 3% of its rooms are presently owned or leased. Accor ought to keep selling non-core assets and putting the proceeds into management and franchise at high growth markets. It may enhance cash flow, lessen capital needs, and assist debt cut. Essentially, buyers should not acquire strategically important brands or markets to protect future sales and shareholder expectations.</w:t>
      </w:r>
    </w:p>
    <w:p w14:paraId="3BCFE4A7" w14:textId="77777777" w:rsidR="002A53C5" w:rsidRPr="00415C43" w:rsidRDefault="00696ED1" w:rsidP="00541AD4">
      <w:pPr>
        <w:spacing w:after="240" w:line="360" w:lineRule="auto"/>
        <w:jc w:val="both"/>
        <w:rPr>
          <w:rFonts w:eastAsia="Times New Roman"/>
          <w:b/>
          <w:bCs/>
          <w:i/>
          <w:iCs/>
          <w:sz w:val="24"/>
          <w:szCs w:val="24"/>
        </w:rPr>
      </w:pPr>
      <w:r w:rsidRPr="00415C43">
        <w:rPr>
          <w:rFonts w:eastAsia="Times New Roman"/>
          <w:b/>
          <w:bCs/>
          <w:i/>
          <w:iCs/>
          <w:sz w:val="24"/>
          <w:szCs w:val="24"/>
        </w:rPr>
        <w:lastRenderedPageBreak/>
        <w:t xml:space="preserve">Merger </w:t>
      </w:r>
    </w:p>
    <w:p w14:paraId="3183A393" w14:textId="77777777" w:rsidR="002A53C5" w:rsidRPr="00415C43" w:rsidRDefault="00696ED1" w:rsidP="00541AD4">
      <w:pPr>
        <w:spacing w:after="240" w:line="360" w:lineRule="auto"/>
        <w:jc w:val="both"/>
        <w:rPr>
          <w:rFonts w:eastAsia="Times New Roman"/>
          <w:sz w:val="24"/>
          <w:szCs w:val="24"/>
        </w:rPr>
      </w:pPr>
      <w:r w:rsidRPr="00415C43">
        <w:rPr>
          <w:rFonts w:eastAsia="Times New Roman"/>
          <w:sz w:val="24"/>
          <w:szCs w:val="24"/>
        </w:rPr>
        <w:t>Following a merger or a strategic acquisition, Accor hotels could be projected to expand their global portfolio and further strengthen their competitive position. A relevant real-life example is Accor’s acquisition in 2024 of a 51% stake in Dubai-based premium hospitality firm Rikas Restaurants Management for roughly $50 million, with a 14 per cent stake to follow (Assets Group Accor, 2025).  Accor would do far better to make similar asset-light acquisitions in luxury, lifestyle, resorts and food-and-beverage businesses. For instance, buying similar brands in fast-growing markets can boost fee-based revenues and loyalty. Nevertheless, management should complete rigorous due diligence to avoid overpaying and increasing financial leverage.</w:t>
      </w:r>
    </w:p>
    <w:p w14:paraId="22270E21" w14:textId="77777777" w:rsidR="002A53C5" w:rsidRPr="00415C43" w:rsidRDefault="00696ED1" w:rsidP="00541AD4">
      <w:pPr>
        <w:spacing w:after="240" w:line="360" w:lineRule="auto"/>
        <w:jc w:val="both"/>
        <w:rPr>
          <w:rFonts w:eastAsia="Times New Roman"/>
          <w:b/>
          <w:bCs/>
          <w:i/>
          <w:iCs/>
          <w:sz w:val="24"/>
          <w:szCs w:val="24"/>
        </w:rPr>
      </w:pPr>
      <w:r w:rsidRPr="00415C43">
        <w:rPr>
          <w:rFonts w:eastAsia="Times New Roman"/>
          <w:b/>
          <w:bCs/>
          <w:i/>
          <w:iCs/>
          <w:sz w:val="24"/>
          <w:szCs w:val="24"/>
        </w:rPr>
        <w:t>Equity injection</w:t>
      </w:r>
    </w:p>
    <w:p w14:paraId="4F55C5A7" w14:textId="186BE325" w:rsidR="002A53C5" w:rsidRDefault="00696ED1" w:rsidP="00541AD4">
      <w:pPr>
        <w:spacing w:after="240" w:line="360" w:lineRule="auto"/>
        <w:jc w:val="both"/>
        <w:rPr>
          <w:rFonts w:eastAsia="Times New Roman"/>
          <w:sz w:val="24"/>
          <w:szCs w:val="24"/>
        </w:rPr>
      </w:pPr>
      <w:r w:rsidRPr="00415C43">
        <w:rPr>
          <w:rFonts w:eastAsia="Times New Roman"/>
          <w:sz w:val="24"/>
          <w:szCs w:val="24"/>
        </w:rPr>
        <w:t>Extra shareholder capital is obtained via a rights issue, private placement or strategic investment in an equity injection (Fasano et al., 2025). This can enhance Accor's balance sheet that can help lessen its dependency on debt as its financial leverage stood at 3.22 in 2025. Moreover, the Group has previously performed equity financing: a capital increase was recorded in its financial statements in 2020, showing that an equity-based restructuring is a known financing mechanism employed by the Group. An issue of equity could fund digital transformation, sustainable hotels, and strategic expansion with only a modest rise in interest obligation. Nonetheless, one major drawback is that the existing shareholders will be diluted. Therefore, Accor should only use equity when the expected returns from the investment exceed the cost of new capital.</w:t>
      </w:r>
    </w:p>
    <w:p w14:paraId="6E46DBEE" w14:textId="77777777" w:rsidR="00312B15" w:rsidRPr="00E22D11" w:rsidRDefault="00312B15" w:rsidP="00541AD4">
      <w:pPr>
        <w:pStyle w:val="Heading2"/>
        <w:spacing w:after="240"/>
      </w:pPr>
      <w:bookmarkStart w:id="12" w:name="_Toc236327958"/>
      <w:r w:rsidRPr="00E22D11">
        <w:t>3.2 Evaluate the impact on shareholder value, debt structure and operational flexibility</w:t>
      </w:r>
      <w:bookmarkEnd w:id="12"/>
      <w:r w:rsidRPr="00E22D11">
        <w:t xml:space="preserve"> </w:t>
      </w:r>
    </w:p>
    <w:p w14:paraId="2F703CA9" w14:textId="77777777" w:rsidR="00312B15" w:rsidRPr="00E22D11" w:rsidRDefault="00312B15" w:rsidP="00541AD4">
      <w:pPr>
        <w:spacing w:after="240" w:line="360" w:lineRule="auto"/>
        <w:jc w:val="both"/>
        <w:rPr>
          <w:rFonts w:eastAsia="Times New Roman"/>
          <w:b/>
          <w:bCs/>
          <w:i/>
          <w:iCs/>
          <w:sz w:val="24"/>
          <w:szCs w:val="24"/>
        </w:rPr>
      </w:pPr>
      <w:r w:rsidRPr="00E22D11">
        <w:rPr>
          <w:rFonts w:eastAsia="Times New Roman"/>
          <w:b/>
          <w:bCs/>
          <w:i/>
          <w:iCs/>
          <w:sz w:val="24"/>
          <w:szCs w:val="24"/>
        </w:rPr>
        <w:t>Impact on Shareholder Value</w:t>
      </w:r>
    </w:p>
    <w:p w14:paraId="7FD3FB54" w14:textId="77777777" w:rsidR="00312B15" w:rsidRPr="00E22D11" w:rsidRDefault="00312B15" w:rsidP="00541AD4">
      <w:pPr>
        <w:spacing w:after="240" w:line="360" w:lineRule="auto"/>
        <w:jc w:val="both"/>
        <w:rPr>
          <w:rFonts w:eastAsia="Times New Roman"/>
          <w:sz w:val="24"/>
          <w:szCs w:val="24"/>
        </w:rPr>
      </w:pPr>
      <w:r w:rsidRPr="00E22D11">
        <w:rPr>
          <w:rFonts w:eastAsia="Times New Roman"/>
          <w:sz w:val="24"/>
          <w:szCs w:val="24"/>
        </w:rPr>
        <w:t>The proposed financial restructuring has the potential to enhance the value of the shareholders through fortifying the long-term sustainability of the financial performance of Accor. The recovery of this hospit</w:t>
      </w:r>
      <w:r>
        <w:rPr>
          <w:rFonts w:eastAsia="Times New Roman"/>
          <w:sz w:val="24"/>
          <w:szCs w:val="24"/>
        </w:rPr>
        <w:t xml:space="preserve">ality company showcases that the asset light </w:t>
      </w:r>
      <w:r w:rsidRPr="00E22D11">
        <w:rPr>
          <w:rFonts w:eastAsia="Times New Roman"/>
          <w:sz w:val="24"/>
          <w:szCs w:val="24"/>
        </w:rPr>
        <w:t xml:space="preserve">business model </w:t>
      </w:r>
      <w:r>
        <w:rPr>
          <w:rFonts w:eastAsia="Times New Roman"/>
          <w:sz w:val="24"/>
          <w:szCs w:val="24"/>
        </w:rPr>
        <w:t xml:space="preserve">of this firm </w:t>
      </w:r>
      <w:r w:rsidRPr="00E22D11">
        <w:rPr>
          <w:rFonts w:eastAsia="Times New Roman"/>
          <w:sz w:val="24"/>
          <w:szCs w:val="24"/>
        </w:rPr>
        <w:t xml:space="preserve">is capable of generating value. However, effectively managing this performance requires greater emphasis on financial </w:t>
      </w:r>
      <w:r w:rsidRPr="00E22D11">
        <w:rPr>
          <w:rFonts w:eastAsia="Times New Roman"/>
          <w:sz w:val="24"/>
          <w:szCs w:val="24"/>
        </w:rPr>
        <w:lastRenderedPageBreak/>
        <w:t xml:space="preserve">effectiveness instead of revenue growth alone. Moreover, optimising the capital structure while controlling the financing costs will enhance the quality of the earnings while maximising the confidence level of the investors (Filatova et al., 2024).  However, restructuring, which involves equity financing, needs to be applied cautiously because issuing additional shares can dilute the existing ownership while lowering the returns of the shareholders. </w:t>
      </w:r>
    </w:p>
    <w:p w14:paraId="025DC0DA" w14:textId="77777777" w:rsidR="00312B15" w:rsidRPr="00E22D11" w:rsidRDefault="00312B15" w:rsidP="00541AD4">
      <w:pPr>
        <w:spacing w:after="240" w:line="360" w:lineRule="auto"/>
        <w:jc w:val="both"/>
        <w:rPr>
          <w:rFonts w:eastAsia="Times New Roman"/>
          <w:b/>
          <w:bCs/>
          <w:i/>
          <w:iCs/>
          <w:sz w:val="24"/>
          <w:szCs w:val="24"/>
        </w:rPr>
      </w:pPr>
      <w:r w:rsidRPr="00E22D11">
        <w:rPr>
          <w:rFonts w:eastAsia="Times New Roman"/>
          <w:b/>
          <w:bCs/>
          <w:i/>
          <w:iCs/>
          <w:sz w:val="24"/>
          <w:szCs w:val="24"/>
        </w:rPr>
        <w:t>Impact on Debt Structure</w:t>
      </w:r>
    </w:p>
    <w:p w14:paraId="61BC1E12" w14:textId="77777777" w:rsidR="00312B15" w:rsidRPr="00E22D11" w:rsidRDefault="00312B15" w:rsidP="00541AD4">
      <w:pPr>
        <w:spacing w:after="240" w:line="360" w:lineRule="auto"/>
        <w:jc w:val="both"/>
        <w:rPr>
          <w:rFonts w:eastAsia="Times New Roman"/>
          <w:sz w:val="24"/>
          <w:szCs w:val="24"/>
        </w:rPr>
      </w:pPr>
      <w:r w:rsidRPr="00E22D11">
        <w:rPr>
          <w:rFonts w:eastAsia="Times New Roman"/>
          <w:sz w:val="24"/>
          <w:szCs w:val="24"/>
        </w:rPr>
        <w:t xml:space="preserve">Accor’s asset-light strategy has allowed the expansion with comparatively limited investments of capital; however, greater dependence on debt often maximises the financial risks during times of economic uncertainty as well as rising interest rates (Aslam et al., 2025). As a result, restructuring needs to properly concentrate on successfully attaining an appropriate balance between debt and equity rather than aggressively diminishing the borrowings. </w:t>
      </w:r>
    </w:p>
    <w:p w14:paraId="08DA7F32" w14:textId="77777777" w:rsidR="00312B15" w:rsidRPr="00E22D11" w:rsidRDefault="00312B15" w:rsidP="00541AD4">
      <w:pPr>
        <w:spacing w:after="240" w:line="360" w:lineRule="auto"/>
        <w:jc w:val="both"/>
        <w:rPr>
          <w:rFonts w:eastAsia="Times New Roman"/>
          <w:b/>
          <w:bCs/>
          <w:i/>
          <w:iCs/>
          <w:sz w:val="24"/>
          <w:szCs w:val="24"/>
        </w:rPr>
      </w:pPr>
      <w:r w:rsidRPr="00E22D11">
        <w:rPr>
          <w:rFonts w:eastAsia="Times New Roman"/>
          <w:b/>
          <w:bCs/>
          <w:i/>
          <w:iCs/>
          <w:sz w:val="24"/>
          <w:szCs w:val="24"/>
        </w:rPr>
        <w:t>Impact on Operational Flexibility</w:t>
      </w:r>
    </w:p>
    <w:p w14:paraId="414E65CC" w14:textId="77777777" w:rsidR="00312B15" w:rsidRPr="00E22D11" w:rsidRDefault="00312B15" w:rsidP="00541AD4">
      <w:pPr>
        <w:spacing w:after="240" w:line="360" w:lineRule="auto"/>
        <w:jc w:val="both"/>
        <w:rPr>
          <w:rFonts w:eastAsia="Times New Roman"/>
          <w:sz w:val="24"/>
          <w:szCs w:val="24"/>
        </w:rPr>
      </w:pPr>
      <w:r w:rsidRPr="00E22D11">
        <w:rPr>
          <w:rFonts w:eastAsia="Times New Roman"/>
          <w:sz w:val="24"/>
          <w:szCs w:val="24"/>
        </w:rPr>
        <w:t xml:space="preserve">Strengthening the liquidity of Accor through the help of improved working capital management will help boost the operational flexibility of the company through reducing the high reliance on external financing (Fernandes et al., 2026). Moreover, the higher internally developed cash will enable the firm to successfully continue investing within different aspects like digital transformation, sustainability initiatives, and ultimately global brand expansion while responding more profoundly towards the changes across tourism demand. As a result, financial restructuring needs to prioritise the generation of sustainable cash along with efficient capital allocation in order to support long-term competitiveness instead of completely concentrating on short-term financial enhancements. </w:t>
      </w:r>
    </w:p>
    <w:p w14:paraId="77A42BA2" w14:textId="77777777" w:rsidR="00312B15" w:rsidRPr="00E22D11" w:rsidRDefault="00312B15" w:rsidP="00541AD4">
      <w:pPr>
        <w:pStyle w:val="Heading2"/>
        <w:spacing w:after="240"/>
      </w:pPr>
      <w:bookmarkStart w:id="13" w:name="_Toc236327959"/>
      <w:r w:rsidRPr="00E22D11">
        <w:t>3.3 Discuss international and ethical considerations</w:t>
      </w:r>
      <w:bookmarkEnd w:id="13"/>
      <w:r w:rsidRPr="00E22D11">
        <w:t xml:space="preserve"> </w:t>
      </w:r>
    </w:p>
    <w:p w14:paraId="702ACE99" w14:textId="2F4FC404" w:rsidR="00312B15" w:rsidRPr="00E22D11" w:rsidRDefault="00312B15" w:rsidP="00541AD4">
      <w:pPr>
        <w:spacing w:after="240" w:line="360" w:lineRule="auto"/>
        <w:jc w:val="both"/>
        <w:rPr>
          <w:rFonts w:eastAsia="Times New Roman"/>
          <w:sz w:val="24"/>
          <w:szCs w:val="24"/>
        </w:rPr>
      </w:pPr>
      <w:r w:rsidRPr="00E22D11">
        <w:rPr>
          <w:rFonts w:eastAsia="Times New Roman"/>
          <w:sz w:val="24"/>
          <w:szCs w:val="24"/>
        </w:rPr>
        <w:t xml:space="preserve">As a global hospitality company which operates its business across more than 110 countries, the financial restructuring of Accor needs to consider both international as well as ethical elements. Moreover, currency fluctuations can notably influence the operating costs, overseas revenues and the value of the foreign assets when translated into euros, while inflation might maximise the costs of labour, energy and </w:t>
      </w:r>
      <w:r w:rsidRPr="00E22D11">
        <w:rPr>
          <w:rFonts w:eastAsia="Times New Roman"/>
          <w:sz w:val="24"/>
          <w:szCs w:val="24"/>
        </w:rPr>
        <w:lastRenderedPageBreak/>
        <w:t xml:space="preserve">finally the procurement costs while diminishing the overall profit margins (Babbhra, 2023). The company is also required to embrace tax strategies which comply with international regulations to minimise both legal as well as reputational risks rather than pursuing aggressive tax avoidance. Moreover, the financial decisions require to closely integrates with the Environmental, Social and Governance (ESG) commitments of Accor through profoundly supporting sustainable hotel operations, diminishing carbon emissions and ultimately fostering responsible employment practices (Back, 2025). In essence, it can be asserted that successfully aligning these considerations into the restructuring decisions will assist the firm in fortifying the trust of the stakeholders, boost the corporate reputation and ultimately support the sustainable long-term financial performance. </w:t>
      </w:r>
    </w:p>
    <w:p w14:paraId="3544C163" w14:textId="77777777" w:rsidR="00312B15" w:rsidRPr="00E22D11" w:rsidRDefault="00312B15" w:rsidP="00541AD4">
      <w:pPr>
        <w:pStyle w:val="Heading1"/>
        <w:spacing w:after="240"/>
      </w:pPr>
      <w:bookmarkStart w:id="14" w:name="_Toc236327960"/>
      <w:r w:rsidRPr="00E22D11">
        <w:t>4. Investment Appraisal and Capital Budgeting</w:t>
      </w:r>
      <w:bookmarkEnd w:id="14"/>
      <w:r w:rsidRPr="00E22D11">
        <w:t xml:space="preserve"> </w:t>
      </w:r>
    </w:p>
    <w:p w14:paraId="29BBCBE8" w14:textId="77777777" w:rsidR="00312B15" w:rsidRPr="00E22D11" w:rsidRDefault="00312B15" w:rsidP="00541AD4">
      <w:pPr>
        <w:pStyle w:val="Heading2"/>
        <w:spacing w:after="240"/>
      </w:pPr>
      <w:bookmarkStart w:id="15" w:name="_ke1s1bfyhvhn" w:colFirst="0" w:colLast="0"/>
      <w:bookmarkStart w:id="16" w:name="_Toc236327961"/>
      <w:bookmarkEnd w:id="15"/>
      <w:r w:rsidRPr="00E22D11">
        <w:t>4.1 Investment Appraisal Overview</w:t>
      </w:r>
      <w:bookmarkEnd w:id="16"/>
    </w:p>
    <w:p w14:paraId="248A4E10" w14:textId="77777777" w:rsidR="00312B15" w:rsidRPr="00E22D11" w:rsidRDefault="00312B15" w:rsidP="00541AD4">
      <w:pPr>
        <w:spacing w:after="240" w:line="360" w:lineRule="auto"/>
        <w:jc w:val="both"/>
        <w:rPr>
          <w:rFonts w:eastAsia="Times New Roman"/>
          <w:sz w:val="24"/>
          <w:szCs w:val="24"/>
        </w:rPr>
      </w:pPr>
      <w:r w:rsidRPr="00E22D11">
        <w:rPr>
          <w:rFonts w:eastAsia="Times New Roman"/>
          <w:sz w:val="24"/>
          <w:szCs w:val="24"/>
        </w:rPr>
        <w:t>Investment appraisal refers to the prior financial management tool utilised to assess the financial viability of long-term investment opportunities supporting the effective capital allocation decision (APM, 2025). It allows organisations to compare and contrast the alternative projects through analysing their expected returns, risks and contribution towards shareholder value. With respect to Accor, choosing the most suitable investment is significant to fortify the financial performance and thus supports sustainable business growth. Through leveraging the five widely recognised capital budgeting techniques, such as Payback Period (PBP), Accounting Rate of Return (ARR), Net Present Value (NPV), Profitability Index (PI) and ultimately the Internal Rate of Return (IRR), this section profoundly analyses Project A, Project B and Project C. The final outcomes are utilised in order to identify the projects which offer profound financial as well as strategic value for Accor.</w:t>
      </w:r>
    </w:p>
    <w:p w14:paraId="68E179ED" w14:textId="77777777" w:rsidR="00312B15" w:rsidRPr="00E22D11" w:rsidRDefault="00312B15" w:rsidP="00541AD4">
      <w:pPr>
        <w:pStyle w:val="Heading2"/>
        <w:spacing w:after="240"/>
      </w:pPr>
      <w:bookmarkStart w:id="17" w:name="_Toc236327962"/>
      <w:r w:rsidRPr="00E22D11">
        <w:t>4.2 Investment Appraisal of Proposed Projects</w:t>
      </w:r>
      <w:bookmarkEnd w:id="17"/>
    </w:p>
    <w:p w14:paraId="2D0F6931" w14:textId="77777777" w:rsidR="00312B15" w:rsidRPr="00E22D11" w:rsidRDefault="00312B15" w:rsidP="00541AD4">
      <w:pPr>
        <w:spacing w:after="240" w:line="360" w:lineRule="auto"/>
        <w:jc w:val="both"/>
        <w:rPr>
          <w:rFonts w:eastAsia="Times New Roman"/>
          <w:b/>
          <w:bCs/>
          <w:i/>
          <w:iCs/>
          <w:sz w:val="24"/>
          <w:szCs w:val="24"/>
        </w:rPr>
      </w:pPr>
      <w:r w:rsidRPr="00E22D11">
        <w:rPr>
          <w:rFonts w:eastAsia="Times New Roman"/>
          <w:b/>
          <w:bCs/>
          <w:i/>
          <w:iCs/>
          <w:sz w:val="24"/>
          <w:szCs w:val="24"/>
        </w:rPr>
        <w:t>PROJECT A</w:t>
      </w:r>
    </w:p>
    <w:p w14:paraId="43434C73" w14:textId="77777777" w:rsidR="00312B15" w:rsidRPr="00E22D11" w:rsidRDefault="00312B15" w:rsidP="00541AD4">
      <w:pPr>
        <w:spacing w:after="240" w:line="360" w:lineRule="auto"/>
        <w:jc w:val="both"/>
        <w:rPr>
          <w:rFonts w:eastAsia="Times New Roman"/>
          <w:sz w:val="24"/>
          <w:szCs w:val="24"/>
        </w:rPr>
      </w:pPr>
      <w:r w:rsidRPr="00E22D11">
        <w:rPr>
          <w:rFonts w:eastAsia="Times New Roman"/>
          <w:sz w:val="24"/>
          <w:szCs w:val="24"/>
        </w:rPr>
        <w:t xml:space="preserve">Project A showcases a moderate level of financial performance, but it offers mixed investment outcomes. The project recovers its primary investment within 4.8 years, which means that the capital is returned before the end of the project’s life, though the </w:t>
      </w:r>
      <w:r w:rsidRPr="00E22D11">
        <w:rPr>
          <w:rFonts w:eastAsia="Times New Roman"/>
          <w:sz w:val="24"/>
          <w:szCs w:val="24"/>
        </w:rPr>
        <w:lastRenderedPageBreak/>
        <w:t xml:space="preserve">payback period is comparatively long. The Accounting Rate of Return (ARR) of the company is estimated as 21.6%, which suggests satisfactory accounting profitability. However, the discounted cash flow measures present a less favourable picture. On the flip side, the negative Net Present Value (NPV) points to the fact that the project is expected to diminish the value of the shareholders because the discounted cash inflows are not sufficient for properly recovering the primary investments (Magni and Martin, 2025). Likewise, the Profitability Index (PI) below 1 and the Internal Rate of Return (IRR) of 3%, which are lower than the required 8% discount rate, mean that the financial returns of the project do not adequately compensate for its investment cost.  As a result, Project A appears as a financially unattractive option on the basis of the discounted investment appraisals. </w:t>
      </w:r>
    </w:p>
    <w:p w14:paraId="07D8B4D8" w14:textId="77777777" w:rsidR="00312B15" w:rsidRPr="00E22D11" w:rsidRDefault="00312B15" w:rsidP="00541AD4">
      <w:pPr>
        <w:spacing w:after="240" w:line="360" w:lineRule="auto"/>
        <w:jc w:val="both"/>
        <w:rPr>
          <w:rFonts w:eastAsia="Times New Roman"/>
          <w:b/>
          <w:bCs/>
          <w:i/>
          <w:iCs/>
          <w:sz w:val="24"/>
          <w:szCs w:val="24"/>
        </w:rPr>
      </w:pPr>
      <w:r w:rsidRPr="00E22D11">
        <w:rPr>
          <w:rFonts w:eastAsia="Times New Roman"/>
          <w:b/>
          <w:bCs/>
          <w:i/>
          <w:iCs/>
          <w:sz w:val="24"/>
          <w:szCs w:val="24"/>
        </w:rPr>
        <w:t>PROJECT B</w:t>
      </w:r>
    </w:p>
    <w:p w14:paraId="1F9E6683" w14:textId="77777777" w:rsidR="00312B15" w:rsidRPr="00E22D11" w:rsidRDefault="00312B15" w:rsidP="00541AD4">
      <w:pPr>
        <w:spacing w:after="240" w:line="360" w:lineRule="auto"/>
        <w:jc w:val="both"/>
        <w:rPr>
          <w:rFonts w:eastAsia="Times New Roman"/>
          <w:sz w:val="24"/>
          <w:szCs w:val="24"/>
        </w:rPr>
      </w:pPr>
      <w:r w:rsidRPr="00E22D11">
        <w:rPr>
          <w:rFonts w:eastAsia="Times New Roman"/>
          <w:sz w:val="24"/>
          <w:szCs w:val="24"/>
        </w:rPr>
        <w:t xml:space="preserve">Project B presents a consistent cash flow pattern through developing equal annual inflows throughout the investment period.  This kind of stability not only lowers the uncertainty but also supports more predictable financial planning, which is very beneficial for organisations which seeking a sense of steady cash generation (Batiuk and Kuzyk, 2025). </w:t>
      </w:r>
      <w:r w:rsidRPr="00ED6E36">
        <w:rPr>
          <w:rFonts w:eastAsia="Times New Roman"/>
          <w:sz w:val="24"/>
          <w:szCs w:val="24"/>
        </w:rPr>
        <w:t xml:space="preserve">However, despite this predictability, the outcomes of the overall investment appraisal indicate a limited financial attractiveness of the project. The project only able to recovers its primary investments at the end of the fifth year, which limits its availability of funds for any alternative investment opportunities. </w:t>
      </w:r>
      <w:r w:rsidRPr="00E22D11">
        <w:rPr>
          <w:rFonts w:eastAsia="Times New Roman"/>
          <w:sz w:val="24"/>
          <w:szCs w:val="24"/>
        </w:rPr>
        <w:t>Though the ARR of 22% highlights acceptable accounting profitability, the discounted cash flow measures present a completely different perspective. On the flip side, the negative NPV, PI below 1, and IRR of 3%, which is lower than the required cost of capital of 8%, showcase that Project B fails to develop sufficient economic value.  In essence, it can be asserted that though Project B provides lower cash flow risk compared to Project A, it remains an unsuitable investment because it does not help in increasing the wealth of the shareholders.</w:t>
      </w:r>
    </w:p>
    <w:p w14:paraId="1ACF713B" w14:textId="77777777" w:rsidR="00312B15" w:rsidRPr="00E22D11" w:rsidRDefault="00312B15" w:rsidP="00541AD4">
      <w:pPr>
        <w:spacing w:after="240" w:line="360" w:lineRule="auto"/>
        <w:jc w:val="both"/>
        <w:rPr>
          <w:rFonts w:eastAsia="Times New Roman"/>
          <w:b/>
          <w:bCs/>
          <w:i/>
          <w:iCs/>
          <w:sz w:val="24"/>
          <w:szCs w:val="24"/>
        </w:rPr>
      </w:pPr>
      <w:r w:rsidRPr="00E22D11">
        <w:rPr>
          <w:rFonts w:eastAsia="Times New Roman"/>
          <w:b/>
          <w:bCs/>
          <w:i/>
          <w:iCs/>
          <w:sz w:val="24"/>
          <w:szCs w:val="24"/>
        </w:rPr>
        <w:t>PROJECT C</w:t>
      </w:r>
    </w:p>
    <w:p w14:paraId="23379C68" w14:textId="77777777" w:rsidR="00312B15" w:rsidRPr="00E22D11" w:rsidRDefault="00312B15" w:rsidP="00541AD4">
      <w:pPr>
        <w:spacing w:after="240" w:line="360" w:lineRule="auto"/>
        <w:jc w:val="both"/>
        <w:rPr>
          <w:rFonts w:eastAsia="Times New Roman"/>
          <w:sz w:val="24"/>
          <w:szCs w:val="24"/>
        </w:rPr>
      </w:pPr>
      <w:r w:rsidRPr="00E22D11">
        <w:rPr>
          <w:rFonts w:eastAsia="Times New Roman"/>
          <w:sz w:val="24"/>
          <w:szCs w:val="24"/>
        </w:rPr>
        <w:t xml:space="preserve">Project C presents the most favourable investment opportunity because it assists in developing greater economic value despite the lower cash inflows during the beginning stage of the project. Besides that, the concentration of higher returns across </w:t>
      </w:r>
      <w:r w:rsidRPr="00E22D11">
        <w:rPr>
          <w:rFonts w:eastAsia="Times New Roman"/>
          <w:sz w:val="24"/>
          <w:szCs w:val="24"/>
        </w:rPr>
        <w:lastRenderedPageBreak/>
        <w:t>the later years showcases a long-term investment strategy which requires a sense of patience before the substa</w:t>
      </w:r>
      <w:r>
        <w:rPr>
          <w:rFonts w:eastAsia="Times New Roman"/>
          <w:sz w:val="24"/>
          <w:szCs w:val="24"/>
        </w:rPr>
        <w:t>ntial</w:t>
      </w:r>
      <w:r w:rsidRPr="00E22D11">
        <w:rPr>
          <w:rFonts w:eastAsia="Times New Roman"/>
          <w:sz w:val="24"/>
          <w:szCs w:val="24"/>
        </w:rPr>
        <w:t xml:space="preserve"> advantages are realised. However, the project attains the highest accounting profitability, which means the company has the exclusive ability to develop stronger financial returns over its lifetime (Xu et al., 2023). Unlike Project A and Project B, the discounted cash flow techniques of Project C notably support its financial viability. Moreover, the positive NPV showcases that the investment in Project C is expected to add a sense of value to the company, while the PI above 1 confirms that the present value of the future cash inflows surpasses the initial investment. In addition, the IRR of 9%, which surpassed the required discount rates of 8%, confirms that the expected return is sufficient to justify the investment. As a result, Project C presents the strongest balance between profitability and the value creation, thus making it the preferred investment option. </w:t>
      </w:r>
    </w:p>
    <w:p w14:paraId="27780F8F" w14:textId="77777777" w:rsidR="00312B15" w:rsidRPr="00E22D11" w:rsidRDefault="00312B15" w:rsidP="00541AD4">
      <w:pPr>
        <w:pStyle w:val="Heading2"/>
        <w:spacing w:after="240"/>
      </w:pPr>
      <w:bookmarkStart w:id="18" w:name="_Toc236327963"/>
      <w:r w:rsidRPr="00E22D11">
        <w:t>4.3 Recommendation of the most suitable project with justification</w:t>
      </w:r>
      <w:bookmarkEnd w:id="18"/>
    </w:p>
    <w:p w14:paraId="43F9A941" w14:textId="77777777" w:rsidR="00312B15" w:rsidRPr="00E22D11" w:rsidRDefault="00312B15" w:rsidP="00541AD4">
      <w:pPr>
        <w:spacing w:after="240" w:line="360" w:lineRule="auto"/>
        <w:jc w:val="both"/>
        <w:rPr>
          <w:rFonts w:eastAsia="Times New Roman"/>
          <w:sz w:val="24"/>
          <w:szCs w:val="24"/>
        </w:rPr>
      </w:pPr>
      <w:r w:rsidRPr="00E22D11">
        <w:rPr>
          <w:rFonts w:eastAsia="Times New Roman"/>
          <w:sz w:val="24"/>
          <w:szCs w:val="24"/>
        </w:rPr>
        <w:t>On the basis of the investment appraisal outcomes, Project C has been recommended because it is the only investment which develops a positive NPV, a Profitability Index greater than one and ultimately an IRR above the required 8% discount rate. This points that it is capable of creating shareholder value. On the contrary, both Project A and Project B fail to meet the required rate of return within Accor and thus make them less suitable despite their comparatively stable cash flow. The recommendation is also consistent with the recent financial performances of Accor along with the strategic direction. The financial analysis also showed that the hospitality organisation has recovered its financial performance since the pandemic with significant enhancements within the profitability, asset utilisation, and finally the operating cash flows (Rodrigues, 2024). However, despite this, the liquidity of the firm remains constrained, which suggests that future investments need to prioritise long-term value creation instead of simply recovering the primary investments profoundly. Therefore, Project C closely aligns with these objectives because it presents superior economic returns despite of developing higher cash inflows within the later years.</w:t>
      </w:r>
    </w:p>
    <w:p w14:paraId="5BDF0751" w14:textId="77777777" w:rsidR="00312B15" w:rsidRPr="00E22D11" w:rsidRDefault="00312B15" w:rsidP="00541AD4">
      <w:pPr>
        <w:spacing w:after="240" w:line="360" w:lineRule="auto"/>
        <w:jc w:val="both"/>
        <w:rPr>
          <w:rFonts w:eastAsia="Times New Roman"/>
          <w:sz w:val="24"/>
          <w:szCs w:val="24"/>
        </w:rPr>
      </w:pPr>
      <w:r w:rsidRPr="00E22D11">
        <w:rPr>
          <w:rFonts w:eastAsia="Times New Roman"/>
          <w:sz w:val="24"/>
          <w:szCs w:val="24"/>
        </w:rPr>
        <w:t xml:space="preserve">Moreover, the asset-light business model of Accor, which </w:t>
      </w:r>
      <w:r>
        <w:rPr>
          <w:rFonts w:eastAsia="Times New Roman"/>
          <w:sz w:val="24"/>
          <w:szCs w:val="24"/>
        </w:rPr>
        <w:t xml:space="preserve">is basically focused on hotel management as well as </w:t>
      </w:r>
      <w:r w:rsidRPr="00E22D11">
        <w:rPr>
          <w:rFonts w:eastAsia="Times New Roman"/>
          <w:sz w:val="24"/>
          <w:szCs w:val="24"/>
        </w:rPr>
        <w:t>franchise agreements instead of the ownership of the property, requires</w:t>
      </w:r>
      <w:r>
        <w:rPr>
          <w:rFonts w:eastAsia="Times New Roman"/>
          <w:sz w:val="24"/>
          <w:szCs w:val="24"/>
        </w:rPr>
        <w:t xml:space="preserve"> a sense of </w:t>
      </w:r>
      <w:r w:rsidRPr="00E22D11">
        <w:rPr>
          <w:rFonts w:eastAsia="Times New Roman"/>
          <w:sz w:val="24"/>
          <w:szCs w:val="24"/>
        </w:rPr>
        <w:t xml:space="preserve">disciplined allocation in order to maximise the returns on investment capital. As per </w:t>
      </w:r>
      <w:r>
        <w:rPr>
          <w:rFonts w:eastAsia="Times New Roman"/>
          <w:sz w:val="24"/>
          <w:szCs w:val="24"/>
        </w:rPr>
        <w:t xml:space="preserve">the </w:t>
      </w:r>
      <w:r w:rsidRPr="00E22D11">
        <w:rPr>
          <w:rFonts w:eastAsia="Times New Roman"/>
          <w:sz w:val="24"/>
          <w:szCs w:val="24"/>
        </w:rPr>
        <w:t xml:space="preserve">Accor's 2025 Universal Registration Document, the </w:t>
      </w:r>
      <w:r w:rsidRPr="00E22D11">
        <w:rPr>
          <w:rFonts w:eastAsia="Times New Roman"/>
          <w:sz w:val="24"/>
          <w:szCs w:val="24"/>
        </w:rPr>
        <w:lastRenderedPageBreak/>
        <w:t xml:space="preserve">Group continues to prioritise </w:t>
      </w:r>
      <w:r>
        <w:rPr>
          <w:rFonts w:eastAsia="Times New Roman"/>
          <w:sz w:val="24"/>
          <w:szCs w:val="24"/>
        </w:rPr>
        <w:t xml:space="preserve">the </w:t>
      </w:r>
      <w:r w:rsidRPr="00E22D11">
        <w:rPr>
          <w:rFonts w:eastAsia="Times New Roman"/>
          <w:sz w:val="24"/>
          <w:szCs w:val="24"/>
        </w:rPr>
        <w:t xml:space="preserve">expansion </w:t>
      </w:r>
      <w:r>
        <w:rPr>
          <w:rFonts w:eastAsia="Times New Roman"/>
          <w:sz w:val="24"/>
          <w:szCs w:val="24"/>
        </w:rPr>
        <w:t xml:space="preserve">of the business </w:t>
      </w:r>
      <w:r w:rsidRPr="00E22D11">
        <w:rPr>
          <w:rFonts w:eastAsia="Times New Roman"/>
          <w:sz w:val="24"/>
          <w:szCs w:val="24"/>
        </w:rPr>
        <w:t xml:space="preserve">through the help of premium, luxury and lifestyle brands while </w:t>
      </w:r>
      <w:r>
        <w:rPr>
          <w:rFonts w:eastAsia="Times New Roman"/>
          <w:sz w:val="24"/>
          <w:szCs w:val="24"/>
        </w:rPr>
        <w:t xml:space="preserve">profoundly </w:t>
      </w:r>
      <w:r w:rsidRPr="00E22D11">
        <w:rPr>
          <w:rFonts w:eastAsia="Times New Roman"/>
          <w:sz w:val="24"/>
          <w:szCs w:val="24"/>
        </w:rPr>
        <w:t xml:space="preserve">intensifying the digital transformation through the help of its ALL – Accor Live Limitless loyalty programme </w:t>
      </w:r>
      <w:r>
        <w:rPr>
          <w:rFonts w:eastAsia="Times New Roman"/>
          <w:sz w:val="24"/>
          <w:szCs w:val="24"/>
        </w:rPr>
        <w:t xml:space="preserve">along with </w:t>
      </w:r>
      <w:r w:rsidRPr="00E22D11">
        <w:rPr>
          <w:rFonts w:eastAsia="Times New Roman"/>
          <w:sz w:val="24"/>
          <w:szCs w:val="24"/>
        </w:rPr>
        <w:t xml:space="preserve">technology investments (Accor, 2026). Moreover, selecting Project C will better support these strategic priorities through generating a sense of greater long-term financial value and thus offer stronger capacity to finance the future growth initiatives of this hospitality brand. </w:t>
      </w:r>
    </w:p>
    <w:p w14:paraId="16288D10" w14:textId="77777777" w:rsidR="00312B15" w:rsidRPr="00E22D11" w:rsidRDefault="00312B15" w:rsidP="00541AD4">
      <w:pPr>
        <w:spacing w:after="240" w:line="360" w:lineRule="auto"/>
        <w:jc w:val="both"/>
        <w:rPr>
          <w:rFonts w:eastAsia="Times New Roman"/>
          <w:sz w:val="24"/>
          <w:szCs w:val="24"/>
        </w:rPr>
      </w:pPr>
      <w:r w:rsidRPr="00E22D11">
        <w:rPr>
          <w:rFonts w:eastAsia="Times New Roman"/>
          <w:sz w:val="24"/>
          <w:szCs w:val="24"/>
        </w:rPr>
        <w:t xml:space="preserve">Beyond the financial appraisal, Project C also needs to be holistically investigated against the non-financial risks which might influence its long-term success and competitive advantages. Since this hospitality firm operates its business in more than 110 countries, this makes the business operations of Accor vulnerable towards the geopolitical instability and changes within travel regulations and, ultimately, economic uncertainty which might influence both the tourism demand and the project returns. Moreover, customer loyalty is increasingly significant within this highly volatile hospitality industry. Not only this, ALL – Accor Live Limitless loyalty programme by Accor has become a key strategic asset  through strengthening the retention rates of the customers  while motivating them for repeated bookings (Accor, 2026) As a consequences, selecting a project which supports the innovation, service quality and ultimately the engagement of the digital customers will not only bsoot the brand loyalty of Accor but also fortify the competitive advantages while enhancing the long-term business adaptability. </w:t>
      </w:r>
    </w:p>
    <w:p w14:paraId="2CB8621A" w14:textId="77777777" w:rsidR="00312B15" w:rsidRPr="00E22D11" w:rsidRDefault="00312B15" w:rsidP="00541AD4">
      <w:pPr>
        <w:pStyle w:val="Heading2"/>
        <w:spacing w:after="240"/>
      </w:pPr>
      <w:bookmarkStart w:id="19" w:name="_Toc236327964"/>
      <w:r w:rsidRPr="00E22D11">
        <w:t>4.4 Capital Rationing</w:t>
      </w:r>
      <w:bookmarkEnd w:id="19"/>
    </w:p>
    <w:p w14:paraId="38983745" w14:textId="103F2E5A" w:rsidR="00312B15" w:rsidRPr="00E22D11" w:rsidRDefault="00312B15" w:rsidP="00541AD4">
      <w:pPr>
        <w:spacing w:after="240" w:line="360" w:lineRule="auto"/>
        <w:jc w:val="both"/>
        <w:rPr>
          <w:rFonts w:eastAsia="Times New Roman"/>
          <w:sz w:val="24"/>
          <w:szCs w:val="24"/>
        </w:rPr>
      </w:pPr>
      <w:r w:rsidRPr="00E22D11">
        <w:rPr>
          <w:rFonts w:eastAsia="Times New Roman"/>
          <w:sz w:val="24"/>
          <w:szCs w:val="24"/>
        </w:rPr>
        <w:t xml:space="preserve">Under the capital rationing constraint, this hospitality brand needs to invest a maximum value of £100 million, through allowing the selection of only two of the three proposed projects. On the basis of the final outcomes of the investment appraisals, the combination of Project B and Project C is the most suitable because threy presents a balance between the financial returns and stability of the cash flows. Project C develops shareholder </w:t>
      </w:r>
      <w:r w:rsidR="00541AD4" w:rsidRPr="00E22D11">
        <w:rPr>
          <w:rFonts w:eastAsia="Times New Roman"/>
          <w:sz w:val="24"/>
          <w:szCs w:val="24"/>
        </w:rPr>
        <w:t>value through</w:t>
      </w:r>
      <w:r w:rsidRPr="00E22D11">
        <w:rPr>
          <w:rFonts w:eastAsia="Times New Roman"/>
          <w:sz w:val="24"/>
          <w:szCs w:val="24"/>
        </w:rPr>
        <w:t xml:space="preserve"> the help of its positive NPV and the accelerated IRR, whereas Project B significantly contributes towards the predictable annual cash inflows which can support </w:t>
      </w:r>
      <w:r w:rsidR="00541AD4" w:rsidRPr="00E22D11">
        <w:rPr>
          <w:rFonts w:eastAsia="Times New Roman"/>
          <w:sz w:val="24"/>
          <w:szCs w:val="24"/>
        </w:rPr>
        <w:t>the liquidity</w:t>
      </w:r>
      <w:r w:rsidRPr="00E22D11">
        <w:rPr>
          <w:rFonts w:eastAsia="Times New Roman"/>
          <w:sz w:val="24"/>
          <w:szCs w:val="24"/>
        </w:rPr>
        <w:t xml:space="preserve"> while lowering the risks of investments.  On the contrary, Project A will diminish the overall financial attractiveness since it fails to develop positive economic value.  In essence, it can be asserted that, selecting both </w:t>
      </w:r>
      <w:r w:rsidRPr="00E22D11">
        <w:rPr>
          <w:rFonts w:eastAsia="Times New Roman"/>
          <w:sz w:val="24"/>
          <w:szCs w:val="24"/>
        </w:rPr>
        <w:lastRenderedPageBreak/>
        <w:t xml:space="preserve">Project B and Project C represent the most effective allocation of the capital which will not supports the long-term profitability but also the financial adaptability of Accor while fulfilling the sustainable growth objectives. </w:t>
      </w:r>
    </w:p>
    <w:p w14:paraId="428D11E8" w14:textId="77777777" w:rsidR="00312B15" w:rsidRPr="00E22D11" w:rsidRDefault="00312B15" w:rsidP="00541AD4">
      <w:pPr>
        <w:pStyle w:val="Heading1"/>
        <w:spacing w:after="240"/>
      </w:pPr>
      <w:bookmarkStart w:id="20" w:name="_Toc236327965"/>
      <w:r w:rsidRPr="00E22D11">
        <w:t>6. Critical Reflection on AI Usage</w:t>
      </w:r>
      <w:bookmarkEnd w:id="20"/>
    </w:p>
    <w:p w14:paraId="38F4C1D4" w14:textId="77777777" w:rsidR="00312B15" w:rsidRPr="00E22D11" w:rsidRDefault="00312B15" w:rsidP="00541AD4">
      <w:pPr>
        <w:pStyle w:val="Heading2"/>
        <w:spacing w:after="240"/>
      </w:pPr>
      <w:bookmarkStart w:id="21" w:name="_Toc236327966"/>
      <w:r w:rsidRPr="00E22D11">
        <w:t>6.1 Tool Disclosure</w:t>
      </w:r>
      <w:bookmarkEnd w:id="21"/>
    </w:p>
    <w:p w14:paraId="20BCC5F9" w14:textId="77777777" w:rsidR="00312B15" w:rsidRPr="00E22D11" w:rsidRDefault="00312B15" w:rsidP="00541AD4">
      <w:pPr>
        <w:spacing w:after="240" w:line="360" w:lineRule="auto"/>
        <w:jc w:val="both"/>
        <w:rPr>
          <w:rFonts w:eastAsia="Times New Roman"/>
          <w:sz w:val="24"/>
          <w:szCs w:val="24"/>
        </w:rPr>
      </w:pPr>
      <w:r w:rsidRPr="00E22D11">
        <w:rPr>
          <w:rFonts w:eastAsia="Times New Roman"/>
          <w:sz w:val="24"/>
          <w:szCs w:val="24"/>
        </w:rPr>
        <w:t xml:space="preserve">Artificial intelligence has been used only to support the preparation of this financial management report on Accor, in line with the requirements of the assessments. Basically, ChatGPT has been used, which assisted the report with background research through explaining the different concepts of financial management, ratio analysis, working capital management, financial restructuring and ultimately the investment appraisal techniques. AI has also been utilised during the proofreading to enhance the grammar, sentence clarity and academic language (Alalaq, 2024). However, this tool has not been used to develop the overall report or its structure as this is not permitted by the assessment brief.  Besides that, the financial information, incorporating Accor’s five-year financial statements, ratio calculations, liquidity comparison and investment appraisal, has been obtained from the published annual reports and also examined independently through leveraging Microsoft Excel. </w:t>
      </w:r>
    </w:p>
    <w:p w14:paraId="0503A0C6" w14:textId="77777777" w:rsidR="00312B15" w:rsidRPr="00E22D11" w:rsidRDefault="00312B15" w:rsidP="00541AD4">
      <w:pPr>
        <w:pStyle w:val="Heading2"/>
        <w:spacing w:after="240"/>
      </w:pPr>
      <w:bookmarkStart w:id="22" w:name="_Toc236327967"/>
      <w:r w:rsidRPr="00E22D11">
        <w:t>6.2 Critical Evaluation of AI Output</w:t>
      </w:r>
      <w:bookmarkEnd w:id="22"/>
      <w:r w:rsidRPr="00E22D11">
        <w:t xml:space="preserve"> </w:t>
      </w:r>
    </w:p>
    <w:p w14:paraId="773B920F" w14:textId="102D5517" w:rsidR="00312B15" w:rsidRPr="00E22D11" w:rsidRDefault="00312B15" w:rsidP="00541AD4">
      <w:pPr>
        <w:spacing w:after="240" w:line="360" w:lineRule="auto"/>
        <w:jc w:val="both"/>
        <w:rPr>
          <w:rFonts w:eastAsia="Times New Roman"/>
          <w:sz w:val="24"/>
          <w:szCs w:val="24"/>
        </w:rPr>
      </w:pPr>
      <w:r w:rsidRPr="00E22D11">
        <w:rPr>
          <w:rFonts w:eastAsia="Times New Roman"/>
          <w:sz w:val="24"/>
          <w:szCs w:val="24"/>
        </w:rPr>
        <w:t xml:space="preserve">The outputs produced by ChatGPT have been critically analysed before being included in the report. Financial data suggested through AI has not been accepted without verification because AI often develop outdated information or inaccurate interpretations (Asrifan and Alaqad, 2025). Therefore, all financial figures related to Accor’s revenue, profitability, liquidity, debt positions and cash flows have been cross-checked against the official annual reports of the organisations which cover the five years.  In a similar way, ratio calculations, incorporating the profitability, liquidity, efficiency, gearing, investment and cash flow ratios has been independently calculated as well as verified through leveraging Microsoft Excel. During the investment appraisals, the payback period, ARR, NPV, PI and IRR calculations have been manually checked in order to ensure consistency with the project cash flows. </w:t>
      </w:r>
      <w:r w:rsidRPr="00E22D11">
        <w:rPr>
          <w:rFonts w:eastAsia="Times New Roman"/>
          <w:sz w:val="24"/>
          <w:szCs w:val="24"/>
        </w:rPr>
        <w:lastRenderedPageBreak/>
        <w:t xml:space="preserve">Moreover, any unsupported AI-generated interpretations have been excluded and replaced with evidence-based financial analysis. </w:t>
      </w:r>
    </w:p>
    <w:p w14:paraId="435F4A40" w14:textId="77777777" w:rsidR="00312B15" w:rsidRPr="00E22D11" w:rsidRDefault="00312B15" w:rsidP="00541AD4">
      <w:pPr>
        <w:pStyle w:val="Heading2"/>
        <w:spacing w:after="240"/>
      </w:pPr>
      <w:bookmarkStart w:id="23" w:name="_Toc236327968"/>
      <w:r w:rsidRPr="00E22D11">
        <w:t>6.3 Contribution Analysis</w:t>
      </w:r>
      <w:bookmarkEnd w:id="23"/>
      <w:r w:rsidRPr="00E22D11">
        <w:t xml:space="preserve"> </w:t>
      </w:r>
    </w:p>
    <w:p w14:paraId="39B05C61" w14:textId="77777777" w:rsidR="00312B15" w:rsidRPr="00E22D11" w:rsidRDefault="00312B15" w:rsidP="00541AD4">
      <w:pPr>
        <w:spacing w:after="240" w:line="360" w:lineRule="auto"/>
        <w:jc w:val="both"/>
        <w:rPr>
          <w:rFonts w:eastAsia="Times New Roman"/>
          <w:sz w:val="24"/>
          <w:szCs w:val="24"/>
        </w:rPr>
      </w:pPr>
      <w:r w:rsidRPr="00E22D11">
        <w:rPr>
          <w:rFonts w:eastAsia="Times New Roman"/>
          <w:sz w:val="24"/>
          <w:szCs w:val="24"/>
        </w:rPr>
        <w:t xml:space="preserve">AI made a limited contribution to this report through supporting the literature exploration, explaining the financial terminology and ultimately enhancing the readability of the draft sections. However, the substantive content has been produced independently.  The evaluation of financial performance of the company, identification of financial strengths as well as weaknesses, comparison of liquidity ratios with industry benchmarks, assessment of the cash operating cycle, recommendations for working capital improvement, and finally the evaluation of restructuring options and the final investment decisions have been developed on my own investigations of financial evidence. Besides that, the recommendations of the preferred investment project and the capital rationing decision reflected independent critical judgement instead of AI-generated suggestions. Therefore, AI functioned only as a supporting tool while the strategic analysis and the recommendations remained my original work. </w:t>
      </w:r>
    </w:p>
    <w:p w14:paraId="3DD4DAFE" w14:textId="77777777" w:rsidR="00312B15" w:rsidRPr="00E22D11" w:rsidRDefault="00312B15" w:rsidP="00541AD4">
      <w:pPr>
        <w:pStyle w:val="Heading2"/>
        <w:spacing w:after="240"/>
      </w:pPr>
      <w:bookmarkStart w:id="24" w:name="_Toc236327969"/>
      <w:r w:rsidRPr="00E22D11">
        <w:t>6.4 Ethical and Professional Reflection</w:t>
      </w:r>
      <w:bookmarkEnd w:id="24"/>
      <w:r w:rsidRPr="00E22D11">
        <w:t xml:space="preserve"> </w:t>
      </w:r>
    </w:p>
    <w:p w14:paraId="29E20F60" w14:textId="77777777" w:rsidR="00312B15" w:rsidRPr="00E22D11" w:rsidRDefault="00312B15" w:rsidP="00541AD4">
      <w:pPr>
        <w:spacing w:after="240" w:line="360" w:lineRule="auto"/>
        <w:jc w:val="both"/>
        <w:rPr>
          <w:rFonts w:eastAsia="Times New Roman"/>
          <w:sz w:val="24"/>
          <w:szCs w:val="24"/>
        </w:rPr>
      </w:pPr>
      <w:r w:rsidRPr="00E22D11">
        <w:rPr>
          <w:rFonts w:eastAsia="Times New Roman"/>
          <w:sz w:val="24"/>
          <w:szCs w:val="24"/>
        </w:rPr>
        <w:t xml:space="preserve">The effective utilisation of AI across financial management requires a sense of transparency, accountability and professional judgement, specifically when evaluating a multinational organisation such as Accor. Moreover, the financial decisions influence the key shareholders, employees, creditors and ultimately the investors; therefore, inaccurate AI-generated information could lead to inappropriate strategic recommendations (Zhang et al., 2026). For this reason, confidential company information has not been entered into AI systems, and all publicly available financial data has been independently verified before being used in the report. Moreover, the responsible use of AI also requires a clear disclosure of its role and avoidance of excessive reliance on the automated outputs. Though AI enhanced both the effectiveness of research and proofreading, the final financial analysis, restructuring recommendations and ultimately the investment decisions heavily rely on professional judgement supported through verified evidence. In essence, it can be asserted that AI tools need to complement, rather than replace, critical financial analysis as well as ethical decision-making within corporate financial management. </w:t>
      </w:r>
    </w:p>
    <w:p w14:paraId="288C8451" w14:textId="2D850A44" w:rsidR="002A53C5" w:rsidRPr="00415C43" w:rsidRDefault="00696ED1" w:rsidP="00541AD4">
      <w:pPr>
        <w:pStyle w:val="Heading1"/>
        <w:spacing w:after="240"/>
      </w:pPr>
      <w:bookmarkStart w:id="25" w:name="_Toc236327970"/>
      <w:r w:rsidRPr="00415C43">
        <w:lastRenderedPageBreak/>
        <w:t>Conclusion</w:t>
      </w:r>
      <w:bookmarkEnd w:id="25"/>
      <w:r w:rsidRPr="00415C43">
        <w:t xml:space="preserve"> </w:t>
      </w:r>
    </w:p>
    <w:p w14:paraId="31BCD970" w14:textId="197E78C0" w:rsidR="002A53C5" w:rsidRPr="00415C43" w:rsidRDefault="00312B15" w:rsidP="00541AD4">
      <w:pPr>
        <w:spacing w:after="240" w:line="360" w:lineRule="auto"/>
        <w:jc w:val="both"/>
        <w:rPr>
          <w:rFonts w:eastAsia="Times New Roman"/>
          <w:sz w:val="24"/>
          <w:szCs w:val="24"/>
        </w:rPr>
      </w:pPr>
      <w:r>
        <w:rPr>
          <w:rFonts w:eastAsia="Times New Roman"/>
          <w:sz w:val="24"/>
          <w:szCs w:val="24"/>
        </w:rPr>
        <w:t>In conclusion, t</w:t>
      </w:r>
      <w:r w:rsidR="00696ED1" w:rsidRPr="00415C43">
        <w:rPr>
          <w:rFonts w:eastAsia="Times New Roman"/>
          <w:sz w:val="24"/>
          <w:szCs w:val="24"/>
        </w:rPr>
        <w:t xml:space="preserve">he analysis finds that Accor had a strong financial recovery from 2021 up to 2025, revenue jumping from €2.204 billion to €5.639 billion, and at the same time EBIT and EBITDA ended up at €871 million and €1.077 billion, respectively. Profitability, asset efficiency and operating cash generation got better quite substantially, yet liquidity stayed a bit tight, and the financial leverage rose to 3.22.  </w:t>
      </w:r>
    </w:p>
    <w:p w14:paraId="34EE7880" w14:textId="77777777" w:rsidR="002A53C5" w:rsidRPr="00415C43" w:rsidRDefault="00696ED1" w:rsidP="00541AD4">
      <w:pPr>
        <w:spacing w:after="240" w:line="360" w:lineRule="auto"/>
        <w:jc w:val="both"/>
        <w:rPr>
          <w:rFonts w:eastAsia="Times New Roman"/>
          <w:sz w:val="24"/>
          <w:szCs w:val="24"/>
        </w:rPr>
      </w:pPr>
      <w:r w:rsidRPr="00415C43">
        <w:rPr>
          <w:rFonts w:eastAsia="Times New Roman"/>
          <w:sz w:val="24"/>
          <w:szCs w:val="24"/>
        </w:rPr>
        <w:t xml:space="preserve">Also, the cash conversion cycle improved, going from 48.36 down to 26.41 days that helped with more attentive working-capital management. Going forward, strategic restructuring should lean toward selective divestment, an asset-light style of acquisitions and a careful approach to equity financing.  </w:t>
      </w:r>
    </w:p>
    <w:p w14:paraId="3B91A609" w14:textId="77777777" w:rsidR="002A53C5" w:rsidRPr="00415C43" w:rsidRDefault="00696ED1" w:rsidP="00541AD4">
      <w:pPr>
        <w:spacing w:after="240" w:line="360" w:lineRule="auto"/>
        <w:jc w:val="both"/>
        <w:rPr>
          <w:rFonts w:eastAsia="Times New Roman"/>
          <w:sz w:val="24"/>
          <w:szCs w:val="24"/>
        </w:rPr>
      </w:pPr>
      <w:r w:rsidRPr="00415C43">
        <w:rPr>
          <w:rFonts w:eastAsia="Times New Roman"/>
          <w:sz w:val="24"/>
          <w:szCs w:val="24"/>
        </w:rPr>
        <w:t>When it comes to the proposed investments, Project C seems to deliver the strongest value creation, while capital rationing would favour pairing or combining projects so that returns are maximised, within the £100 million investment cap.</w:t>
      </w:r>
    </w:p>
    <w:p w14:paraId="53F6D3D8" w14:textId="77777777" w:rsidR="0067581A" w:rsidRPr="00415C43" w:rsidRDefault="0067581A" w:rsidP="00541AD4">
      <w:pPr>
        <w:spacing w:after="240" w:line="360" w:lineRule="auto"/>
        <w:rPr>
          <w:rFonts w:eastAsia="Times New Roman"/>
          <w:sz w:val="24"/>
          <w:szCs w:val="24"/>
        </w:rPr>
      </w:pPr>
      <w:r w:rsidRPr="00415C43">
        <w:rPr>
          <w:rFonts w:eastAsia="Times New Roman"/>
          <w:sz w:val="24"/>
          <w:szCs w:val="24"/>
        </w:rPr>
        <w:br w:type="page"/>
      </w:r>
    </w:p>
    <w:p w14:paraId="5D9B7172" w14:textId="3F023D4F" w:rsidR="002A53C5" w:rsidRPr="00415C43" w:rsidRDefault="00696ED1" w:rsidP="00541AD4">
      <w:pPr>
        <w:pStyle w:val="Heading1"/>
        <w:spacing w:after="240"/>
      </w:pPr>
      <w:bookmarkStart w:id="26" w:name="_Toc236327971"/>
      <w:r w:rsidRPr="00415C43">
        <w:lastRenderedPageBreak/>
        <w:t>References</w:t>
      </w:r>
      <w:bookmarkEnd w:id="26"/>
      <w:r w:rsidRPr="00415C43">
        <w:t xml:space="preserve"> </w:t>
      </w:r>
    </w:p>
    <w:p w14:paraId="7DC4A5C0" w14:textId="77777777" w:rsidR="00541AD4" w:rsidRPr="00C3122E" w:rsidRDefault="00541AD4" w:rsidP="00541AD4">
      <w:pPr>
        <w:spacing w:before="240" w:after="240" w:line="360" w:lineRule="auto"/>
        <w:jc w:val="both"/>
        <w:rPr>
          <w:rFonts w:eastAsia="Times New Roman"/>
          <w:sz w:val="24"/>
          <w:szCs w:val="24"/>
        </w:rPr>
      </w:pPr>
      <w:r w:rsidRPr="00C3122E">
        <w:rPr>
          <w:rFonts w:eastAsia="Times New Roman"/>
          <w:sz w:val="24"/>
          <w:szCs w:val="24"/>
        </w:rPr>
        <w:t xml:space="preserve">Accor (2025) </w:t>
      </w:r>
      <w:r w:rsidRPr="00C3122E">
        <w:rPr>
          <w:rFonts w:eastAsia="Times New Roman"/>
          <w:i/>
          <w:iCs/>
          <w:sz w:val="24"/>
          <w:szCs w:val="24"/>
        </w:rPr>
        <w:t>2025 Universal Registration Document.</w:t>
      </w:r>
      <w:r w:rsidRPr="00C3122E">
        <w:rPr>
          <w:rFonts w:eastAsia="Times New Roman"/>
          <w:sz w:val="24"/>
          <w:szCs w:val="24"/>
        </w:rPr>
        <w:t xml:space="preserve"> Available at:</w:t>
      </w:r>
      <w:hyperlink r:id="rId8">
        <w:r w:rsidRPr="00C3122E">
          <w:rPr>
            <w:rFonts w:eastAsia="Times New Roman"/>
            <w:sz w:val="24"/>
            <w:szCs w:val="24"/>
          </w:rPr>
          <w:t xml:space="preserve"> </w:t>
        </w:r>
      </w:hyperlink>
      <w:hyperlink r:id="rId9">
        <w:r w:rsidRPr="00C3122E">
          <w:rPr>
            <w:rFonts w:eastAsia="Times New Roman"/>
            <w:color w:val="1155CC"/>
            <w:sz w:val="24"/>
            <w:szCs w:val="24"/>
            <w:u w:val="single"/>
          </w:rPr>
          <w:t>https://assets.group.accor.com/yrj0orc8tx24/dwdklcBVai21ztMLgb3A5/9c5cee572414b86f8e59daecb0d80bdc/ACCOR_DEU2025_US_PDF_UA.pdf</w:t>
        </w:r>
      </w:hyperlink>
      <w:r w:rsidRPr="00C3122E">
        <w:rPr>
          <w:rFonts w:eastAsia="Times New Roman"/>
          <w:sz w:val="24"/>
          <w:szCs w:val="24"/>
        </w:rPr>
        <w:t xml:space="preserve"> (Accessed on 30.07.2026)</w:t>
      </w:r>
    </w:p>
    <w:p w14:paraId="7C17B29A" w14:textId="77777777" w:rsidR="00541AD4" w:rsidRPr="00C3122E" w:rsidRDefault="00541AD4" w:rsidP="00541AD4">
      <w:pPr>
        <w:spacing w:before="240" w:after="240" w:line="360" w:lineRule="auto"/>
        <w:jc w:val="both"/>
        <w:rPr>
          <w:rFonts w:eastAsia="Times New Roman"/>
          <w:sz w:val="24"/>
          <w:szCs w:val="24"/>
        </w:rPr>
      </w:pPr>
      <w:r w:rsidRPr="00C3122E">
        <w:rPr>
          <w:rFonts w:eastAsia="Times New Roman"/>
          <w:sz w:val="24"/>
          <w:szCs w:val="24"/>
        </w:rPr>
        <w:t xml:space="preserve">Accor (2025) </w:t>
      </w:r>
      <w:r w:rsidRPr="00C3122E">
        <w:rPr>
          <w:rFonts w:eastAsia="Times New Roman"/>
          <w:i/>
          <w:iCs/>
          <w:sz w:val="24"/>
          <w:szCs w:val="24"/>
        </w:rPr>
        <w:t>Full-Year 2025 Results Solid results above 2025 guidance.</w:t>
      </w:r>
      <w:r w:rsidRPr="00C3122E">
        <w:rPr>
          <w:rFonts w:eastAsia="Times New Roman"/>
          <w:sz w:val="24"/>
          <w:szCs w:val="24"/>
        </w:rPr>
        <w:t xml:space="preserve"> Available at:</w:t>
      </w:r>
      <w:hyperlink r:id="rId10">
        <w:r w:rsidRPr="00C3122E">
          <w:rPr>
            <w:rFonts w:eastAsia="Times New Roman"/>
            <w:sz w:val="24"/>
            <w:szCs w:val="24"/>
          </w:rPr>
          <w:t xml:space="preserve"> </w:t>
        </w:r>
      </w:hyperlink>
      <w:hyperlink r:id="rId11">
        <w:r w:rsidRPr="00C3122E">
          <w:rPr>
            <w:rFonts w:eastAsia="Times New Roman"/>
            <w:color w:val="1155CC"/>
            <w:sz w:val="24"/>
            <w:szCs w:val="24"/>
            <w:u w:val="single"/>
          </w:rPr>
          <w:t>https://press.accor.com/full-year-2025-results-solid-results-above-2025-guidance/?lang=eng</w:t>
        </w:r>
      </w:hyperlink>
      <w:r w:rsidRPr="00C3122E">
        <w:rPr>
          <w:rFonts w:eastAsia="Times New Roman"/>
          <w:sz w:val="24"/>
          <w:szCs w:val="24"/>
        </w:rPr>
        <w:t xml:space="preserve"> (Accessed on 30.07.2026)</w:t>
      </w:r>
    </w:p>
    <w:p w14:paraId="342BC7E4" w14:textId="77777777" w:rsidR="00541AD4" w:rsidRPr="00C3122E" w:rsidRDefault="00541AD4" w:rsidP="00541AD4">
      <w:pPr>
        <w:spacing w:before="240" w:after="240" w:line="360" w:lineRule="auto"/>
        <w:jc w:val="both"/>
        <w:rPr>
          <w:rFonts w:eastAsia="Times New Roman"/>
          <w:sz w:val="24"/>
          <w:szCs w:val="24"/>
        </w:rPr>
      </w:pPr>
      <w:r w:rsidRPr="00C3122E">
        <w:rPr>
          <w:rFonts w:eastAsia="Times New Roman"/>
          <w:sz w:val="24"/>
          <w:szCs w:val="24"/>
        </w:rPr>
        <w:t xml:space="preserve">Accor (2026) </w:t>
      </w:r>
      <w:r w:rsidRPr="00C3122E">
        <w:rPr>
          <w:rFonts w:eastAsia="Times New Roman"/>
          <w:i/>
          <w:iCs/>
          <w:sz w:val="24"/>
          <w:szCs w:val="24"/>
        </w:rPr>
        <w:t>Full-Year 2025 Results.</w:t>
      </w:r>
      <w:r w:rsidRPr="00C3122E">
        <w:rPr>
          <w:rFonts w:eastAsia="Times New Roman"/>
          <w:sz w:val="24"/>
          <w:szCs w:val="24"/>
        </w:rPr>
        <w:t xml:space="preserve"> Available at:</w:t>
      </w:r>
      <w:hyperlink r:id="rId12">
        <w:r w:rsidRPr="00C3122E">
          <w:rPr>
            <w:rFonts w:eastAsia="Times New Roman"/>
            <w:sz w:val="24"/>
            <w:szCs w:val="24"/>
          </w:rPr>
          <w:t xml:space="preserve"> </w:t>
        </w:r>
      </w:hyperlink>
      <w:hyperlink r:id="rId13">
        <w:r w:rsidRPr="00C3122E">
          <w:rPr>
            <w:rFonts w:eastAsia="Times New Roman"/>
            <w:color w:val="1155CC"/>
            <w:sz w:val="24"/>
            <w:szCs w:val="24"/>
            <w:u w:val="single"/>
          </w:rPr>
          <w:t>https://group.accor.com/en/news-stories/accor-full-year-2025-results</w:t>
        </w:r>
      </w:hyperlink>
      <w:r w:rsidRPr="00C3122E">
        <w:rPr>
          <w:rFonts w:eastAsia="Times New Roman"/>
          <w:sz w:val="24"/>
          <w:szCs w:val="24"/>
        </w:rPr>
        <w:t xml:space="preserve"> (Accessed on 30.07.2026)</w:t>
      </w:r>
    </w:p>
    <w:p w14:paraId="0EA038BE" w14:textId="77777777" w:rsidR="00541AD4" w:rsidRPr="00C3122E" w:rsidRDefault="00541AD4" w:rsidP="00541AD4">
      <w:pPr>
        <w:pStyle w:val="NormalWeb"/>
        <w:spacing w:before="240" w:beforeAutospacing="0" w:after="240" w:afterAutospacing="0" w:line="360" w:lineRule="auto"/>
        <w:jc w:val="both"/>
        <w:rPr>
          <w:rFonts w:ascii="Arial" w:hAnsi="Arial" w:cs="Arial"/>
        </w:rPr>
      </w:pPr>
      <w:r w:rsidRPr="00C3122E">
        <w:rPr>
          <w:rFonts w:ascii="Arial" w:hAnsi="Arial" w:cs="Arial"/>
          <w:color w:val="000000"/>
        </w:rPr>
        <w:t xml:space="preserve">Accor (2026). </w:t>
      </w:r>
      <w:r w:rsidRPr="00C3122E">
        <w:rPr>
          <w:rFonts w:ascii="Arial" w:hAnsi="Arial" w:cs="Arial"/>
          <w:i/>
          <w:iCs/>
          <w:color w:val="000000"/>
        </w:rPr>
        <w:t>Availability of the 2025 Universal Registration Document including the Annual Financial Report</w:t>
      </w:r>
      <w:r w:rsidRPr="00C3122E">
        <w:rPr>
          <w:rFonts w:ascii="Arial" w:hAnsi="Arial" w:cs="Arial"/>
          <w:color w:val="000000"/>
        </w:rPr>
        <w:t>. Available at:</w:t>
      </w:r>
      <w:hyperlink r:id="rId14" w:history="1">
        <w:r w:rsidRPr="00C3122E">
          <w:rPr>
            <w:rStyle w:val="Hyperlink"/>
            <w:rFonts w:ascii="Arial" w:hAnsi="Arial" w:cs="Arial"/>
            <w:color w:val="1155CC"/>
          </w:rPr>
          <w:t>https://assets.group.accor.com/yrj0orc8tx24/7GKd4x98vALvGSU7A4t0Ow/cc011cfb875bb17f27220408ddf3b0ef/Availability-of-the-2025-Universal-Registration-Document-including-the-Annual-Financial-Report.pdf</w:t>
        </w:r>
      </w:hyperlink>
      <w:r w:rsidRPr="00C3122E">
        <w:rPr>
          <w:rFonts w:ascii="Arial" w:hAnsi="Arial" w:cs="Arial"/>
          <w:color w:val="000000"/>
        </w:rPr>
        <w:t>. (Accessed on 30.07.2026)</w:t>
      </w:r>
    </w:p>
    <w:p w14:paraId="33AD8C5E" w14:textId="77777777" w:rsidR="00541AD4" w:rsidRPr="00C3122E" w:rsidRDefault="00541AD4" w:rsidP="00541AD4">
      <w:pPr>
        <w:spacing w:before="240" w:after="240" w:line="360" w:lineRule="auto"/>
        <w:jc w:val="both"/>
        <w:rPr>
          <w:rFonts w:eastAsia="Times New Roman"/>
          <w:color w:val="1155CC"/>
          <w:sz w:val="24"/>
          <w:szCs w:val="24"/>
          <w:u w:val="single"/>
        </w:rPr>
      </w:pPr>
      <w:r w:rsidRPr="00C3122E">
        <w:rPr>
          <w:rFonts w:eastAsia="Times New Roman"/>
          <w:sz w:val="24"/>
          <w:szCs w:val="24"/>
        </w:rPr>
        <w:t>ADESOYE, I.O. and SANUSI, A.E., ‘THE IMPACT OF RATIO ANALYSIS ON INVESTMENT DECISION (2016-2020)’,</w:t>
      </w:r>
      <w:hyperlink r:id="rId15">
        <w:r w:rsidRPr="00C3122E">
          <w:rPr>
            <w:rFonts w:eastAsia="Times New Roman"/>
            <w:sz w:val="24"/>
            <w:szCs w:val="24"/>
          </w:rPr>
          <w:t xml:space="preserve"> </w:t>
        </w:r>
      </w:hyperlink>
      <w:hyperlink r:id="rId16">
        <w:r w:rsidRPr="00C3122E">
          <w:rPr>
            <w:rFonts w:eastAsia="Times New Roman"/>
            <w:color w:val="1155CC"/>
            <w:sz w:val="24"/>
            <w:szCs w:val="24"/>
            <w:u w:val="single"/>
          </w:rPr>
          <w:t>https://www.researchgate.net/profile/Idowu-Adesoye/publication/359659590_THE_IMPACT_OF_RATIO_ANALYSIS_ON_INVESTMENT_DECISION_2016-2020/links/624705e221077329f2e83766/THE-IMPACT-OF-RATIO-ANALYSIS-ON-INVESTMENT-DECISION-2016-2020.pdf</w:t>
        </w:r>
      </w:hyperlink>
    </w:p>
    <w:p w14:paraId="23EEC698" w14:textId="77777777" w:rsidR="00541AD4" w:rsidRPr="00C3122E" w:rsidRDefault="00541AD4" w:rsidP="00541AD4">
      <w:pPr>
        <w:spacing w:before="240" w:after="240" w:line="360" w:lineRule="auto"/>
        <w:jc w:val="both"/>
        <w:rPr>
          <w:rFonts w:eastAsia="Times New Roman"/>
          <w:color w:val="1155CC"/>
          <w:sz w:val="24"/>
          <w:szCs w:val="24"/>
          <w:u w:val="single"/>
        </w:rPr>
      </w:pPr>
      <w:r w:rsidRPr="00C3122E">
        <w:rPr>
          <w:rFonts w:eastAsia="Times New Roman"/>
          <w:sz w:val="24"/>
          <w:szCs w:val="24"/>
        </w:rPr>
        <w:t xml:space="preserve">Akash, T.R., Reza, J. and Alam, M.A., (2024) ‘Evaluating financial risk management in corporation financial security systems’, </w:t>
      </w:r>
      <w:r w:rsidRPr="00C3122E">
        <w:rPr>
          <w:rFonts w:eastAsia="Times New Roman"/>
          <w:i/>
          <w:iCs/>
          <w:sz w:val="24"/>
          <w:szCs w:val="24"/>
        </w:rPr>
        <w:t>World Journal of Advanced Research and Reviews</w:t>
      </w:r>
      <w:r w:rsidRPr="00C3122E">
        <w:rPr>
          <w:rFonts w:eastAsia="Times New Roman"/>
          <w:sz w:val="24"/>
          <w:szCs w:val="24"/>
        </w:rPr>
        <w:t xml:space="preserve">, </w:t>
      </w:r>
      <w:r w:rsidRPr="00C3122E">
        <w:rPr>
          <w:rFonts w:eastAsia="Times New Roman"/>
          <w:i/>
          <w:iCs/>
          <w:sz w:val="24"/>
          <w:szCs w:val="24"/>
        </w:rPr>
        <w:t>23</w:t>
      </w:r>
      <w:r w:rsidRPr="00C3122E">
        <w:rPr>
          <w:rFonts w:eastAsia="Times New Roman"/>
          <w:sz w:val="24"/>
          <w:szCs w:val="24"/>
        </w:rPr>
        <w:t>(1), pp.2203-2213.</w:t>
      </w:r>
      <w:hyperlink r:id="rId17">
        <w:r w:rsidRPr="00C3122E">
          <w:rPr>
            <w:rFonts w:eastAsia="Times New Roman"/>
            <w:sz w:val="24"/>
            <w:szCs w:val="24"/>
          </w:rPr>
          <w:t xml:space="preserve"> </w:t>
        </w:r>
      </w:hyperlink>
      <w:hyperlink r:id="rId18">
        <w:r w:rsidRPr="00C3122E">
          <w:rPr>
            <w:rFonts w:eastAsia="Times New Roman"/>
            <w:color w:val="1155CC"/>
            <w:sz w:val="24"/>
            <w:szCs w:val="24"/>
            <w:u w:val="single"/>
          </w:rPr>
          <w:t>https://www.researchgate.net/profile/Tanvir-Rahman-Akash/publication/382680751_Evaluating_financial_risk_management_in_corporation_financial_security_systems/links/6734882968de5e5a307503f8/Evaluating-financial-risk-management-in-corporation-financial-security-systems.pdf</w:t>
        </w:r>
      </w:hyperlink>
    </w:p>
    <w:p w14:paraId="1A4583E5" w14:textId="77777777" w:rsidR="00541AD4" w:rsidRPr="00C3122E" w:rsidRDefault="00541AD4" w:rsidP="00541AD4">
      <w:pPr>
        <w:pStyle w:val="NormalWeb"/>
        <w:spacing w:before="240" w:beforeAutospacing="0" w:after="240" w:afterAutospacing="0" w:line="360" w:lineRule="auto"/>
        <w:jc w:val="both"/>
        <w:rPr>
          <w:rFonts w:ascii="Arial" w:hAnsi="Arial" w:cs="Arial"/>
        </w:rPr>
      </w:pPr>
      <w:r w:rsidRPr="00C3122E">
        <w:rPr>
          <w:rFonts w:ascii="Arial" w:hAnsi="Arial" w:cs="Arial"/>
          <w:color w:val="222222"/>
          <w:shd w:val="clear" w:color="auto" w:fill="FFFFFF"/>
        </w:rPr>
        <w:t xml:space="preserve">Alalaq, A.S., (2024). ‘AI tools assisting in the proofreading and scientific review of research papers’. </w:t>
      </w:r>
      <w:r w:rsidRPr="00C3122E">
        <w:rPr>
          <w:rFonts w:ascii="Arial" w:hAnsi="Arial" w:cs="Arial"/>
          <w:i/>
          <w:iCs/>
          <w:color w:val="222222"/>
          <w:shd w:val="clear" w:color="auto" w:fill="FFFFFF"/>
        </w:rPr>
        <w:t>ScienceOpen Preprints</w:t>
      </w:r>
      <w:r w:rsidRPr="00C3122E">
        <w:rPr>
          <w:rFonts w:ascii="Arial" w:hAnsi="Arial" w:cs="Arial"/>
          <w:color w:val="222222"/>
          <w:shd w:val="clear" w:color="auto" w:fill="FFFFFF"/>
        </w:rPr>
        <w:t>.</w:t>
      </w:r>
      <w:r w:rsidRPr="00C3122E">
        <w:rPr>
          <w:rFonts w:ascii="Arial" w:hAnsi="Arial" w:cs="Arial"/>
          <w:color w:val="000000"/>
        </w:rPr>
        <w:t xml:space="preserve"> </w:t>
      </w:r>
      <w:hyperlink r:id="rId19" w:history="1">
        <w:r w:rsidRPr="00C3122E">
          <w:rPr>
            <w:rStyle w:val="Hyperlink"/>
            <w:rFonts w:ascii="Arial" w:hAnsi="Arial" w:cs="Arial"/>
            <w:color w:val="1155CC"/>
          </w:rPr>
          <w:t>https://www.scienceopen.com/document_file/d45c41e2-5ed8-4376-b786-</w:t>
        </w:r>
        <w:r w:rsidRPr="00C3122E">
          <w:rPr>
            <w:rStyle w:val="Hyperlink"/>
            <w:rFonts w:ascii="Arial" w:hAnsi="Arial" w:cs="Arial"/>
            <w:color w:val="1155CC"/>
          </w:rPr>
          <w:lastRenderedPageBreak/>
          <w:t>584f49af44e0/ScienceOpenPreprint/AI%20tools%20assisting%20in%20the%20proofreading%20and%20scientific%20review%20of%20research%20papers.pdf</w:t>
        </w:r>
      </w:hyperlink>
    </w:p>
    <w:p w14:paraId="77E1B763" w14:textId="77777777" w:rsidR="00541AD4" w:rsidRPr="00C3122E" w:rsidRDefault="00541AD4" w:rsidP="00541AD4">
      <w:pPr>
        <w:pStyle w:val="NormalWeb"/>
        <w:spacing w:before="240" w:beforeAutospacing="0" w:after="240" w:afterAutospacing="0" w:line="360" w:lineRule="auto"/>
        <w:jc w:val="both"/>
        <w:rPr>
          <w:rFonts w:ascii="Arial" w:hAnsi="Arial" w:cs="Arial"/>
        </w:rPr>
      </w:pPr>
      <w:r w:rsidRPr="00C3122E">
        <w:rPr>
          <w:rFonts w:ascii="Arial" w:hAnsi="Arial" w:cs="Arial"/>
          <w:color w:val="000000"/>
        </w:rPr>
        <w:t xml:space="preserve">APM (2025). </w:t>
      </w:r>
      <w:r w:rsidRPr="00C3122E">
        <w:rPr>
          <w:rFonts w:ascii="Arial" w:hAnsi="Arial" w:cs="Arial"/>
          <w:i/>
          <w:iCs/>
          <w:color w:val="000000"/>
        </w:rPr>
        <w:t>What is investment appraisal and project funding?</w:t>
      </w:r>
      <w:r w:rsidRPr="00C3122E">
        <w:rPr>
          <w:rFonts w:ascii="Arial" w:hAnsi="Arial" w:cs="Arial"/>
          <w:color w:val="000000"/>
        </w:rPr>
        <w:t>. Available at:</w:t>
      </w:r>
      <w:hyperlink r:id="rId20" w:history="1">
        <w:r w:rsidRPr="00C3122E">
          <w:rPr>
            <w:rStyle w:val="Hyperlink"/>
            <w:rFonts w:ascii="Arial" w:hAnsi="Arial" w:cs="Arial"/>
            <w:color w:val="1155CC"/>
          </w:rPr>
          <w:t>https://www.apm.org.uk/resources/what-is-project-management/what-is-investment-appraisal-and-project-funding/</w:t>
        </w:r>
      </w:hyperlink>
      <w:r w:rsidRPr="00C3122E">
        <w:rPr>
          <w:rFonts w:ascii="Arial" w:hAnsi="Arial" w:cs="Arial"/>
          <w:color w:val="000000"/>
        </w:rPr>
        <w:t>. (Accessed on 30.07.2026)</w:t>
      </w:r>
    </w:p>
    <w:p w14:paraId="294550F2" w14:textId="77777777" w:rsidR="00541AD4" w:rsidRPr="00C3122E" w:rsidRDefault="00541AD4" w:rsidP="00541AD4">
      <w:pPr>
        <w:spacing w:before="240" w:after="240" w:line="360" w:lineRule="auto"/>
        <w:jc w:val="both"/>
        <w:rPr>
          <w:rFonts w:eastAsia="Times New Roman"/>
          <w:color w:val="1155CC"/>
          <w:sz w:val="24"/>
          <w:szCs w:val="24"/>
          <w:u w:val="single"/>
        </w:rPr>
      </w:pPr>
      <w:r w:rsidRPr="00C3122E">
        <w:rPr>
          <w:rFonts w:eastAsia="Times New Roman"/>
          <w:sz w:val="24"/>
          <w:szCs w:val="24"/>
        </w:rPr>
        <w:t xml:space="preserve">Armono, D., (2024), January ‘Profitability ratio analysis as a basis for financial performance assessment’, In </w:t>
      </w:r>
      <w:r w:rsidRPr="00C3122E">
        <w:rPr>
          <w:rFonts w:eastAsia="Times New Roman"/>
          <w:i/>
          <w:iCs/>
          <w:sz w:val="24"/>
          <w:szCs w:val="24"/>
        </w:rPr>
        <w:t>Proceeding International Conference on Accounting and Finance</w:t>
      </w:r>
      <w:r w:rsidRPr="00C3122E">
        <w:rPr>
          <w:rFonts w:eastAsia="Times New Roman"/>
          <w:sz w:val="24"/>
          <w:szCs w:val="24"/>
        </w:rPr>
        <w:t xml:space="preserve"> (pp. 205-209).</w:t>
      </w:r>
      <w:hyperlink r:id="rId21">
        <w:r w:rsidRPr="00C3122E">
          <w:rPr>
            <w:rFonts w:eastAsia="Times New Roman"/>
            <w:sz w:val="24"/>
            <w:szCs w:val="24"/>
          </w:rPr>
          <w:t xml:space="preserve"> </w:t>
        </w:r>
      </w:hyperlink>
      <w:hyperlink r:id="rId22">
        <w:r w:rsidRPr="00C3122E">
          <w:rPr>
            <w:rFonts w:eastAsia="Times New Roman"/>
            <w:color w:val="1155CC"/>
            <w:sz w:val="24"/>
            <w:szCs w:val="24"/>
            <w:u w:val="single"/>
          </w:rPr>
          <w:t>https://journal.uii.ac.id/inCAF/article/download/32617/16184</w:t>
        </w:r>
      </w:hyperlink>
    </w:p>
    <w:p w14:paraId="633F10AE" w14:textId="77777777" w:rsidR="00541AD4" w:rsidRPr="00C3122E" w:rsidRDefault="00541AD4" w:rsidP="00541AD4">
      <w:pPr>
        <w:pStyle w:val="NormalWeb"/>
        <w:spacing w:before="240" w:beforeAutospacing="0" w:after="240" w:afterAutospacing="0" w:line="360" w:lineRule="auto"/>
        <w:jc w:val="both"/>
        <w:rPr>
          <w:rFonts w:ascii="Arial" w:hAnsi="Arial" w:cs="Arial"/>
        </w:rPr>
      </w:pPr>
      <w:r w:rsidRPr="00C3122E">
        <w:rPr>
          <w:rFonts w:ascii="Arial" w:hAnsi="Arial" w:cs="Arial"/>
          <w:color w:val="222222"/>
          <w:shd w:val="clear" w:color="auto" w:fill="FFFFFF"/>
        </w:rPr>
        <w:t xml:space="preserve">Aslam, R., Nasir, A., Asif, R., Abid, H. and Ali, A., (2025). ‘How Macroeconomic Factors Affect the Leverage Behavior? A Model of Asset Light and Fee-Oriented Strategy in the Hospitality Industry’. </w:t>
      </w:r>
      <w:r w:rsidRPr="00C3122E">
        <w:rPr>
          <w:rFonts w:ascii="Arial" w:hAnsi="Arial" w:cs="Arial"/>
          <w:i/>
          <w:iCs/>
          <w:color w:val="222222"/>
          <w:shd w:val="clear" w:color="auto" w:fill="FFFFFF"/>
        </w:rPr>
        <w:t>The Critical Review of Social Sciences Studies</w:t>
      </w:r>
      <w:r w:rsidRPr="00C3122E">
        <w:rPr>
          <w:rFonts w:ascii="Arial" w:hAnsi="Arial" w:cs="Arial"/>
          <w:color w:val="222222"/>
          <w:shd w:val="clear" w:color="auto" w:fill="FFFFFF"/>
        </w:rPr>
        <w:t xml:space="preserve">, </w:t>
      </w:r>
      <w:r w:rsidRPr="00C3122E">
        <w:rPr>
          <w:rFonts w:ascii="Arial" w:hAnsi="Arial" w:cs="Arial"/>
          <w:i/>
          <w:iCs/>
          <w:color w:val="222222"/>
          <w:shd w:val="clear" w:color="auto" w:fill="FFFFFF"/>
        </w:rPr>
        <w:t>3</w:t>
      </w:r>
      <w:r w:rsidRPr="00C3122E">
        <w:rPr>
          <w:rFonts w:ascii="Arial" w:hAnsi="Arial" w:cs="Arial"/>
          <w:color w:val="222222"/>
          <w:shd w:val="clear" w:color="auto" w:fill="FFFFFF"/>
        </w:rPr>
        <w:t>(1), pp.985-1003.</w:t>
      </w:r>
      <w:r w:rsidRPr="00C3122E">
        <w:rPr>
          <w:rFonts w:ascii="Arial" w:hAnsi="Arial" w:cs="Arial"/>
          <w:color w:val="000000"/>
        </w:rPr>
        <w:t xml:space="preserve"> </w:t>
      </w:r>
      <w:hyperlink r:id="rId23" w:history="1">
        <w:r w:rsidRPr="00C3122E">
          <w:rPr>
            <w:rStyle w:val="Hyperlink"/>
            <w:rFonts w:ascii="Arial" w:hAnsi="Arial" w:cs="Arial"/>
            <w:color w:val="1155CC"/>
          </w:rPr>
          <w:t>https://thecrsss.com/index.php/Journal/article/download/204/225</w:t>
        </w:r>
      </w:hyperlink>
    </w:p>
    <w:p w14:paraId="056FC8F8" w14:textId="77777777" w:rsidR="00541AD4" w:rsidRPr="00C3122E" w:rsidRDefault="00541AD4" w:rsidP="00541AD4">
      <w:pPr>
        <w:pStyle w:val="NormalWeb"/>
        <w:spacing w:before="240" w:beforeAutospacing="0" w:after="240" w:afterAutospacing="0" w:line="360" w:lineRule="auto"/>
        <w:jc w:val="both"/>
        <w:rPr>
          <w:rFonts w:ascii="Arial" w:hAnsi="Arial" w:cs="Arial"/>
        </w:rPr>
      </w:pPr>
      <w:r w:rsidRPr="00C3122E">
        <w:rPr>
          <w:rFonts w:ascii="Arial" w:hAnsi="Arial" w:cs="Arial"/>
          <w:color w:val="222222"/>
          <w:shd w:val="clear" w:color="auto" w:fill="FFFFFF"/>
        </w:rPr>
        <w:t xml:space="preserve">Asrifan, A. and Alaqad, M.H., (2025). ‘Evolution of AI in interpretation: From traditional approaches to real-time solution’. In </w:t>
      </w:r>
      <w:r w:rsidRPr="00C3122E">
        <w:rPr>
          <w:rFonts w:ascii="Arial" w:hAnsi="Arial" w:cs="Arial"/>
          <w:i/>
          <w:iCs/>
          <w:color w:val="222222"/>
          <w:shd w:val="clear" w:color="auto" w:fill="FFFFFF"/>
        </w:rPr>
        <w:t>Role of AI in Translation and Interpretation</w:t>
      </w:r>
      <w:r w:rsidRPr="00C3122E">
        <w:rPr>
          <w:rFonts w:ascii="Arial" w:hAnsi="Arial" w:cs="Arial"/>
          <w:color w:val="222222"/>
          <w:shd w:val="clear" w:color="auto" w:fill="FFFFFF"/>
        </w:rPr>
        <w:t xml:space="preserve"> (pp. 63-94). IGI Global Scientific Publishing.</w:t>
      </w:r>
      <w:r w:rsidRPr="00C3122E">
        <w:rPr>
          <w:rFonts w:ascii="Arial" w:hAnsi="Arial" w:cs="Arial"/>
          <w:color w:val="000000"/>
        </w:rPr>
        <w:t xml:space="preserve"> </w:t>
      </w:r>
      <w:hyperlink r:id="rId24" w:history="1">
        <w:r w:rsidRPr="00C3122E">
          <w:rPr>
            <w:rStyle w:val="Hyperlink"/>
            <w:rFonts w:ascii="Arial" w:hAnsi="Arial" w:cs="Arial"/>
            <w:color w:val="1155CC"/>
          </w:rPr>
          <w:t>https://www.researchgate.net/profile/Mohammed-Alaqad-3/publication/391189237_Evolution_of_AI_in_Interpretation_From_Traditional_Approaches_to_Real-Time_Solution/links/69a10168e8fd5476473b7a9f/Evolution-of-AI-in-Interpretation-From-Traditional-Approaches-to-Real-Time-Solution.pdf</w:t>
        </w:r>
      </w:hyperlink>
    </w:p>
    <w:p w14:paraId="2C7D78D5" w14:textId="77777777" w:rsidR="00541AD4" w:rsidRPr="00C3122E" w:rsidRDefault="00541AD4" w:rsidP="00541AD4">
      <w:pPr>
        <w:spacing w:before="240" w:after="240" w:line="360" w:lineRule="auto"/>
        <w:jc w:val="both"/>
        <w:rPr>
          <w:rFonts w:eastAsia="Times New Roman"/>
          <w:sz w:val="24"/>
          <w:szCs w:val="24"/>
        </w:rPr>
      </w:pPr>
      <w:r w:rsidRPr="00C3122E">
        <w:rPr>
          <w:rFonts w:eastAsia="Times New Roman"/>
          <w:sz w:val="24"/>
          <w:szCs w:val="24"/>
        </w:rPr>
        <w:t xml:space="preserve">Assets Group Accor (2024) </w:t>
      </w:r>
      <w:r w:rsidRPr="00C3122E">
        <w:rPr>
          <w:rFonts w:eastAsia="Times New Roman"/>
          <w:i/>
          <w:iCs/>
          <w:sz w:val="24"/>
          <w:szCs w:val="24"/>
        </w:rPr>
        <w:t>Integrated Report 2023.</w:t>
      </w:r>
      <w:r w:rsidRPr="00C3122E">
        <w:rPr>
          <w:rFonts w:eastAsia="Times New Roman"/>
          <w:sz w:val="24"/>
          <w:szCs w:val="24"/>
        </w:rPr>
        <w:t xml:space="preserve"> Available at:</w:t>
      </w:r>
      <w:hyperlink r:id="rId25">
        <w:r w:rsidRPr="00C3122E">
          <w:rPr>
            <w:rFonts w:eastAsia="Times New Roman"/>
            <w:sz w:val="24"/>
            <w:szCs w:val="24"/>
          </w:rPr>
          <w:t xml:space="preserve"> </w:t>
        </w:r>
      </w:hyperlink>
      <w:hyperlink r:id="rId26">
        <w:r w:rsidRPr="00C3122E">
          <w:rPr>
            <w:rFonts w:eastAsia="Times New Roman"/>
            <w:color w:val="1155CC"/>
            <w:sz w:val="24"/>
            <w:szCs w:val="24"/>
            <w:u w:val="single"/>
          </w:rPr>
          <w:t>https://assets.group.accor.com/yrj0orc8tx24/7uQsZpYhpBNmqCKmIoQ2ae/2071dceae9cde78d5d9fd4d796aeaee4/ACCOR_RI_2023_MEL_UK.pdf</w:t>
        </w:r>
      </w:hyperlink>
      <w:r w:rsidRPr="00C3122E">
        <w:rPr>
          <w:rFonts w:eastAsia="Times New Roman"/>
          <w:sz w:val="24"/>
          <w:szCs w:val="24"/>
        </w:rPr>
        <w:t xml:space="preserve"> (Accessed on 30.07.2026)</w:t>
      </w:r>
    </w:p>
    <w:p w14:paraId="649159B2" w14:textId="77777777" w:rsidR="00541AD4" w:rsidRPr="00C3122E" w:rsidRDefault="00541AD4" w:rsidP="00541AD4">
      <w:pPr>
        <w:spacing w:before="240" w:after="240" w:line="360" w:lineRule="auto"/>
        <w:jc w:val="both"/>
        <w:rPr>
          <w:rFonts w:eastAsia="Times New Roman"/>
          <w:sz w:val="24"/>
          <w:szCs w:val="24"/>
        </w:rPr>
      </w:pPr>
      <w:r w:rsidRPr="00C3122E">
        <w:rPr>
          <w:rFonts w:eastAsia="Times New Roman"/>
          <w:sz w:val="24"/>
          <w:szCs w:val="24"/>
        </w:rPr>
        <w:t xml:space="preserve">Assets Group Accor (2025) </w:t>
      </w:r>
      <w:r w:rsidRPr="00C3122E">
        <w:rPr>
          <w:rFonts w:eastAsia="Times New Roman"/>
          <w:i/>
          <w:iCs/>
          <w:sz w:val="24"/>
          <w:szCs w:val="24"/>
        </w:rPr>
        <w:t>CONSOLIDATED FINANCIAL STATEMENTS AND NOTES.</w:t>
      </w:r>
      <w:r w:rsidRPr="00C3122E">
        <w:rPr>
          <w:rFonts w:eastAsia="Times New Roman"/>
          <w:sz w:val="24"/>
          <w:szCs w:val="24"/>
        </w:rPr>
        <w:t xml:space="preserve"> Available at:</w:t>
      </w:r>
      <w:hyperlink r:id="rId27">
        <w:r w:rsidRPr="00C3122E">
          <w:rPr>
            <w:rFonts w:eastAsia="Times New Roman"/>
            <w:sz w:val="24"/>
            <w:szCs w:val="24"/>
          </w:rPr>
          <w:t xml:space="preserve"> </w:t>
        </w:r>
      </w:hyperlink>
      <w:hyperlink r:id="rId28">
        <w:r w:rsidRPr="00C3122E">
          <w:rPr>
            <w:rFonts w:eastAsia="Times New Roman"/>
            <w:color w:val="1155CC"/>
            <w:sz w:val="24"/>
            <w:szCs w:val="24"/>
            <w:u w:val="single"/>
          </w:rPr>
          <w:t>https://assets.group.accor.com/yrj0orc8tx24/3T4W8eBWnheEwgRrPUynaH/e3675a64e596a1eb95f6f20a14474f0e/Accor-2024-Notes-to-Financial-Statements-vdef.pdf</w:t>
        </w:r>
      </w:hyperlink>
      <w:r w:rsidRPr="00C3122E">
        <w:rPr>
          <w:rFonts w:eastAsia="Times New Roman"/>
          <w:sz w:val="24"/>
          <w:szCs w:val="24"/>
        </w:rPr>
        <w:t xml:space="preserve"> (Accessed on 30.07.2026)</w:t>
      </w:r>
    </w:p>
    <w:p w14:paraId="372AE518" w14:textId="77777777" w:rsidR="00541AD4" w:rsidRPr="00C3122E" w:rsidRDefault="00541AD4" w:rsidP="00541AD4">
      <w:pPr>
        <w:pStyle w:val="NormalWeb"/>
        <w:spacing w:before="240" w:beforeAutospacing="0" w:after="240" w:afterAutospacing="0" w:line="360" w:lineRule="auto"/>
        <w:jc w:val="both"/>
        <w:rPr>
          <w:rFonts w:ascii="Arial" w:hAnsi="Arial" w:cs="Arial"/>
        </w:rPr>
      </w:pPr>
      <w:r w:rsidRPr="00C3122E">
        <w:rPr>
          <w:rFonts w:ascii="Arial" w:hAnsi="Arial" w:cs="Arial"/>
          <w:color w:val="222222"/>
          <w:shd w:val="clear" w:color="auto" w:fill="FFFFFF"/>
        </w:rPr>
        <w:lastRenderedPageBreak/>
        <w:t>Babbhra, S., (2023). ‘Currency fluctuations and its impact on international business’.</w:t>
      </w:r>
      <w:r w:rsidRPr="00C3122E">
        <w:rPr>
          <w:rFonts w:ascii="Arial" w:hAnsi="Arial" w:cs="Arial"/>
          <w:color w:val="000000"/>
        </w:rPr>
        <w:t xml:space="preserve"> </w:t>
      </w:r>
      <w:hyperlink r:id="rId29" w:history="1">
        <w:r w:rsidRPr="00C3122E">
          <w:rPr>
            <w:rStyle w:val="Hyperlink"/>
            <w:rFonts w:ascii="Arial" w:hAnsi="Arial" w:cs="Arial"/>
            <w:color w:val="1155CC"/>
          </w:rPr>
          <w:t>https://www.theseus.fi/bitstream/handle/10024/807521/Currency%20Fluctuatons%20and%20its%20Impact%27s%20on%20International%20Business.pdf?sequence=2</w:t>
        </w:r>
      </w:hyperlink>
    </w:p>
    <w:p w14:paraId="03A3A4FC" w14:textId="77777777" w:rsidR="00541AD4" w:rsidRPr="00C3122E" w:rsidRDefault="00541AD4" w:rsidP="00541AD4">
      <w:pPr>
        <w:pStyle w:val="NormalWeb"/>
        <w:spacing w:before="240" w:beforeAutospacing="0" w:after="240" w:afterAutospacing="0" w:line="360" w:lineRule="auto"/>
        <w:jc w:val="both"/>
        <w:rPr>
          <w:rFonts w:ascii="Arial" w:hAnsi="Arial" w:cs="Arial"/>
        </w:rPr>
      </w:pPr>
      <w:r w:rsidRPr="00C3122E">
        <w:rPr>
          <w:rFonts w:ascii="Arial" w:hAnsi="Arial" w:cs="Arial"/>
          <w:color w:val="222222"/>
          <w:shd w:val="clear" w:color="auto" w:fill="FFFFFF"/>
        </w:rPr>
        <w:t>Back, K.J. ed., (2025). ‘</w:t>
      </w:r>
      <w:r w:rsidRPr="00C3122E">
        <w:rPr>
          <w:rFonts w:ascii="Arial" w:hAnsi="Arial" w:cs="Arial"/>
          <w:i/>
          <w:iCs/>
          <w:color w:val="222222"/>
          <w:shd w:val="clear" w:color="auto" w:fill="FFFFFF"/>
        </w:rPr>
        <w:t>Environmental, Social, and Governance Strategies in the Hospitality and Tourism Industry’</w:t>
      </w:r>
      <w:r w:rsidRPr="00C3122E">
        <w:rPr>
          <w:rFonts w:ascii="Arial" w:hAnsi="Arial" w:cs="Arial"/>
          <w:color w:val="222222"/>
          <w:shd w:val="clear" w:color="auto" w:fill="FFFFFF"/>
        </w:rPr>
        <w:t>. Taylor &amp; Francis.</w:t>
      </w:r>
      <w:r w:rsidRPr="00C3122E">
        <w:rPr>
          <w:rFonts w:ascii="Arial" w:hAnsi="Arial" w:cs="Arial"/>
          <w:color w:val="000000"/>
        </w:rPr>
        <w:t xml:space="preserve"> </w:t>
      </w:r>
      <w:hyperlink r:id="rId30" w:history="1">
        <w:r w:rsidRPr="00C3122E">
          <w:rPr>
            <w:rStyle w:val="Hyperlink"/>
            <w:rFonts w:ascii="Arial" w:hAnsi="Arial" w:cs="Arial"/>
            <w:color w:val="1155CC"/>
          </w:rPr>
          <w:t>https://books.google.com/books?hl=en&amp;lr=&amp;id=nIiGEQAAQBAJ&amp;oi=fnd&amp;pg=PA2000&amp;dq=+the+financial+decisions+requires+to+closely+integrates+with+the+Environmental,+Social+and+Governance+(ESG)+commitments+of+Accor+through+profoundly+supporting+sustainable+hotel+operations,+diminishing+carbon+emissions+and+ultimately+fostering+responsible+employment+practices.+&amp;ots=1_JKN-jaCe&amp;sig=S0sTIaVaxRVVA1deaX4nSM0FNmg</w:t>
        </w:r>
      </w:hyperlink>
    </w:p>
    <w:p w14:paraId="37FD142A" w14:textId="77777777" w:rsidR="00541AD4" w:rsidRPr="00C3122E" w:rsidRDefault="00541AD4" w:rsidP="00541AD4">
      <w:pPr>
        <w:pStyle w:val="NormalWeb"/>
        <w:spacing w:before="240" w:beforeAutospacing="0" w:after="240" w:afterAutospacing="0" w:line="360" w:lineRule="auto"/>
        <w:jc w:val="both"/>
        <w:rPr>
          <w:rFonts w:ascii="Arial" w:hAnsi="Arial" w:cs="Arial"/>
        </w:rPr>
      </w:pPr>
      <w:r w:rsidRPr="00C3122E">
        <w:rPr>
          <w:rFonts w:ascii="Arial" w:hAnsi="Arial" w:cs="Arial"/>
          <w:color w:val="222222"/>
          <w:shd w:val="clear" w:color="auto" w:fill="FFFFFF"/>
        </w:rPr>
        <w:t xml:space="preserve">Batiuk, B. and Kuzyk, Y., (2025). ‘Strategy and tactics of making management decisions to ensure the financial and economic stability of the enterprise’. </w:t>
      </w:r>
      <w:r w:rsidRPr="00C3122E">
        <w:rPr>
          <w:rFonts w:ascii="Arial" w:hAnsi="Arial" w:cs="Arial"/>
          <w:i/>
          <w:iCs/>
          <w:color w:val="222222"/>
          <w:shd w:val="clear" w:color="auto" w:fill="FFFFFF"/>
        </w:rPr>
        <w:t>Publishing House “Baltija Publishing”</w:t>
      </w:r>
      <w:r w:rsidRPr="00C3122E">
        <w:rPr>
          <w:rFonts w:ascii="Arial" w:hAnsi="Arial" w:cs="Arial"/>
          <w:color w:val="222222"/>
          <w:shd w:val="clear" w:color="auto" w:fill="FFFFFF"/>
        </w:rPr>
        <w:t>.</w:t>
      </w:r>
      <w:r w:rsidRPr="00C3122E">
        <w:rPr>
          <w:rFonts w:ascii="Arial" w:hAnsi="Arial" w:cs="Arial"/>
          <w:color w:val="000000"/>
        </w:rPr>
        <w:t xml:space="preserve"> </w:t>
      </w:r>
      <w:hyperlink r:id="rId31" w:history="1">
        <w:r w:rsidRPr="00C3122E">
          <w:rPr>
            <w:rStyle w:val="Hyperlink"/>
            <w:rFonts w:ascii="Arial" w:hAnsi="Arial" w:cs="Arial"/>
            <w:color w:val="1155CC"/>
          </w:rPr>
          <w:t>http://www.baltijapublishing.lv/omp/index.php/bp/catalog/download/596/16158/34067-1</w:t>
        </w:r>
      </w:hyperlink>
    </w:p>
    <w:p w14:paraId="02FB6714" w14:textId="77777777" w:rsidR="00541AD4" w:rsidRPr="00C3122E" w:rsidRDefault="00541AD4" w:rsidP="00541AD4">
      <w:pPr>
        <w:spacing w:before="240" w:after="240" w:line="360" w:lineRule="auto"/>
        <w:jc w:val="both"/>
        <w:rPr>
          <w:rFonts w:eastAsia="Times New Roman"/>
          <w:sz w:val="24"/>
          <w:szCs w:val="24"/>
        </w:rPr>
      </w:pPr>
      <w:r w:rsidRPr="00C3122E">
        <w:rPr>
          <w:rFonts w:eastAsia="Times New Roman"/>
          <w:sz w:val="24"/>
          <w:szCs w:val="24"/>
        </w:rPr>
        <w:t xml:space="preserve">Economic Times (2026) </w:t>
      </w:r>
      <w:r w:rsidRPr="00C3122E">
        <w:rPr>
          <w:rFonts w:eastAsia="Times New Roman"/>
          <w:i/>
          <w:iCs/>
          <w:sz w:val="24"/>
          <w:szCs w:val="24"/>
        </w:rPr>
        <w:t>Accor continues recovery as travelers emerge from Covid-19 trough.</w:t>
      </w:r>
      <w:r w:rsidRPr="00C3122E">
        <w:rPr>
          <w:rFonts w:eastAsia="Times New Roman"/>
          <w:sz w:val="24"/>
          <w:szCs w:val="24"/>
        </w:rPr>
        <w:t xml:space="preserve"> Available At:</w:t>
      </w:r>
      <w:hyperlink r:id="rId32">
        <w:r w:rsidRPr="00C3122E">
          <w:rPr>
            <w:rFonts w:eastAsia="Times New Roman"/>
            <w:sz w:val="24"/>
            <w:szCs w:val="24"/>
          </w:rPr>
          <w:t xml:space="preserve"> </w:t>
        </w:r>
      </w:hyperlink>
      <w:hyperlink r:id="rId33">
        <w:r w:rsidRPr="00C3122E">
          <w:rPr>
            <w:rFonts w:eastAsia="Times New Roman"/>
            <w:color w:val="1155CC"/>
            <w:sz w:val="24"/>
            <w:szCs w:val="24"/>
            <w:u w:val="single"/>
          </w:rPr>
          <w:t>https://travel.economictimes.indiatimes.com/news/hospitality/accor-continues-recovery-as-travellers-emerge-from-covid-19-trough/95114963?next=1</w:t>
        </w:r>
      </w:hyperlink>
      <w:r w:rsidRPr="00C3122E">
        <w:rPr>
          <w:rFonts w:eastAsia="Times New Roman"/>
          <w:sz w:val="24"/>
          <w:szCs w:val="24"/>
        </w:rPr>
        <w:t xml:space="preserve"> (Accessed on 30.07.2026)</w:t>
      </w:r>
    </w:p>
    <w:p w14:paraId="01AE1940" w14:textId="77777777" w:rsidR="00541AD4" w:rsidRPr="00C3122E" w:rsidRDefault="00541AD4" w:rsidP="00541AD4">
      <w:pPr>
        <w:spacing w:before="240" w:after="240" w:line="360" w:lineRule="auto"/>
        <w:jc w:val="both"/>
        <w:rPr>
          <w:rFonts w:eastAsia="Times New Roman"/>
          <w:color w:val="1155CC"/>
          <w:sz w:val="24"/>
          <w:szCs w:val="24"/>
          <w:u w:val="single"/>
        </w:rPr>
      </w:pPr>
      <w:r w:rsidRPr="00C3122E">
        <w:rPr>
          <w:rFonts w:eastAsia="Times New Roman"/>
          <w:sz w:val="24"/>
          <w:szCs w:val="24"/>
        </w:rPr>
        <w:t>Emma, L., (2024) ‘</w:t>
      </w:r>
      <w:r w:rsidRPr="00C3122E">
        <w:rPr>
          <w:rFonts w:eastAsia="Times New Roman"/>
          <w:i/>
          <w:iCs/>
          <w:sz w:val="24"/>
          <w:szCs w:val="24"/>
        </w:rPr>
        <w:t>Integrating sustainable financial strategies for long-term corporate growth and stakeholder value’,</w:t>
      </w:r>
      <w:r w:rsidRPr="00C3122E">
        <w:rPr>
          <w:rFonts w:eastAsia="Times New Roman"/>
          <w:sz w:val="24"/>
          <w:szCs w:val="24"/>
        </w:rPr>
        <w:t xml:space="preserve"> [online]</w:t>
      </w:r>
      <w:hyperlink r:id="rId34">
        <w:r w:rsidRPr="00C3122E">
          <w:rPr>
            <w:rFonts w:eastAsia="Times New Roman"/>
            <w:sz w:val="24"/>
            <w:szCs w:val="24"/>
          </w:rPr>
          <w:t xml:space="preserve"> </w:t>
        </w:r>
      </w:hyperlink>
      <w:hyperlink r:id="rId35">
        <w:r w:rsidRPr="00C3122E">
          <w:rPr>
            <w:rFonts w:eastAsia="Times New Roman"/>
            <w:color w:val="1155CC"/>
            <w:sz w:val="24"/>
            <w:szCs w:val="24"/>
            <w:u w:val="single"/>
          </w:rPr>
          <w:t>https://www.researchgate.net/profile/Lawrence-Emma/publication/388625506_Integrating_Sustainable_Financial_Strategies_for_Long-Term_Corporate_Growth_and_Stakeholder_Value/links/679f57ab645ef274a45eb698/Integrating-Sustainable-Financial-Strategies-for-Long-Term-Corporate-Growth-and-Stakeholder-Value.pdf</w:t>
        </w:r>
      </w:hyperlink>
    </w:p>
    <w:p w14:paraId="0F0B5B76" w14:textId="77777777" w:rsidR="00541AD4" w:rsidRPr="00C3122E" w:rsidRDefault="00541AD4" w:rsidP="00541AD4">
      <w:pPr>
        <w:spacing w:before="240" w:after="240" w:line="360" w:lineRule="auto"/>
        <w:jc w:val="both"/>
        <w:rPr>
          <w:rFonts w:eastAsia="Times New Roman"/>
          <w:color w:val="1155CC"/>
          <w:sz w:val="24"/>
          <w:szCs w:val="24"/>
          <w:u w:val="single"/>
        </w:rPr>
      </w:pPr>
      <w:r w:rsidRPr="00C3122E">
        <w:rPr>
          <w:rFonts w:eastAsia="Times New Roman"/>
          <w:sz w:val="24"/>
          <w:szCs w:val="24"/>
        </w:rPr>
        <w:t xml:space="preserve">Fasano, F., La Rocca, M., Sánchez-Vidal, F.J. and Boutouar, Y., (2025) ‘Why SMEs go to crowdfunding? The role of financial constraints and agency issues’, F. Fasano </w:t>
      </w:r>
      <w:r w:rsidRPr="00C3122E">
        <w:rPr>
          <w:rFonts w:eastAsia="Times New Roman"/>
          <w:sz w:val="24"/>
          <w:szCs w:val="24"/>
        </w:rPr>
        <w:lastRenderedPageBreak/>
        <w:t xml:space="preserve">et al. </w:t>
      </w:r>
      <w:r w:rsidRPr="00C3122E">
        <w:rPr>
          <w:rFonts w:eastAsia="Times New Roman"/>
          <w:i/>
          <w:iCs/>
          <w:sz w:val="24"/>
          <w:szCs w:val="24"/>
        </w:rPr>
        <w:t>Small Business Economics</w:t>
      </w:r>
      <w:r w:rsidRPr="00C3122E">
        <w:rPr>
          <w:rFonts w:eastAsia="Times New Roman"/>
          <w:sz w:val="24"/>
          <w:szCs w:val="24"/>
        </w:rPr>
        <w:t xml:space="preserve">, </w:t>
      </w:r>
      <w:r w:rsidRPr="00C3122E">
        <w:rPr>
          <w:rFonts w:eastAsia="Times New Roman"/>
          <w:i/>
          <w:iCs/>
          <w:sz w:val="24"/>
          <w:szCs w:val="24"/>
        </w:rPr>
        <w:t>65</w:t>
      </w:r>
      <w:r w:rsidRPr="00C3122E">
        <w:rPr>
          <w:rFonts w:eastAsia="Times New Roman"/>
          <w:sz w:val="24"/>
          <w:szCs w:val="24"/>
        </w:rPr>
        <w:t>(2), pp.1183-1207.</w:t>
      </w:r>
      <w:hyperlink r:id="rId36">
        <w:r w:rsidRPr="00C3122E">
          <w:rPr>
            <w:rFonts w:eastAsia="Times New Roman"/>
            <w:sz w:val="24"/>
            <w:szCs w:val="24"/>
          </w:rPr>
          <w:t xml:space="preserve"> </w:t>
        </w:r>
      </w:hyperlink>
      <w:hyperlink r:id="rId37">
        <w:r w:rsidRPr="00C3122E">
          <w:rPr>
            <w:rFonts w:eastAsia="Times New Roman"/>
            <w:color w:val="1155CC"/>
            <w:sz w:val="24"/>
            <w:szCs w:val="24"/>
            <w:u w:val="single"/>
          </w:rPr>
          <w:t>https://link.springer.com/content/pdf/10.1007/s11187-025-01046-x.pdf</w:t>
        </w:r>
      </w:hyperlink>
    </w:p>
    <w:p w14:paraId="41C0729D" w14:textId="77777777" w:rsidR="00541AD4" w:rsidRPr="00C3122E" w:rsidRDefault="00541AD4" w:rsidP="00541AD4">
      <w:pPr>
        <w:pStyle w:val="NormalWeb"/>
        <w:spacing w:before="240" w:beforeAutospacing="0" w:after="240" w:afterAutospacing="0" w:line="360" w:lineRule="auto"/>
        <w:jc w:val="both"/>
        <w:rPr>
          <w:rFonts w:ascii="Arial" w:hAnsi="Arial" w:cs="Arial"/>
        </w:rPr>
      </w:pPr>
      <w:r w:rsidRPr="00C3122E">
        <w:rPr>
          <w:rFonts w:ascii="Arial" w:hAnsi="Arial" w:cs="Arial"/>
          <w:color w:val="222222"/>
          <w:shd w:val="clear" w:color="auto" w:fill="FFFFFF"/>
        </w:rPr>
        <w:t xml:space="preserve">Fernandes, A.B., Cardim, S., Ferreira, J. and Pinto, L., (2026). ‘Assessing the Impact of Working Capital on Free Cash Flow: Evidence from Portuguese Accommodation Companies’. </w:t>
      </w:r>
      <w:r w:rsidRPr="00C3122E">
        <w:rPr>
          <w:rFonts w:ascii="Arial" w:hAnsi="Arial" w:cs="Arial"/>
          <w:i/>
          <w:iCs/>
          <w:color w:val="222222"/>
          <w:shd w:val="clear" w:color="auto" w:fill="FFFFFF"/>
        </w:rPr>
        <w:t>International Journal of Marketing, Communication and New Media</w:t>
      </w:r>
      <w:r w:rsidRPr="00C3122E">
        <w:rPr>
          <w:rFonts w:ascii="Arial" w:hAnsi="Arial" w:cs="Arial"/>
          <w:color w:val="222222"/>
          <w:shd w:val="clear" w:color="auto" w:fill="FFFFFF"/>
        </w:rPr>
        <w:t>, (18).</w:t>
      </w:r>
      <w:r w:rsidRPr="00C3122E">
        <w:rPr>
          <w:rFonts w:ascii="Arial" w:hAnsi="Arial" w:cs="Arial"/>
          <w:color w:val="000000"/>
        </w:rPr>
        <w:t xml:space="preserve"> </w:t>
      </w:r>
      <w:hyperlink r:id="rId38" w:history="1">
        <w:r w:rsidRPr="00C3122E">
          <w:rPr>
            <w:rStyle w:val="Hyperlink"/>
            <w:rFonts w:ascii="Arial" w:hAnsi="Arial" w:cs="Arial"/>
            <w:color w:val="1155CC"/>
          </w:rPr>
          <w:t>http://u3isjournal.isvouga.pt/index.php/ijmcnm/article/viewFile/1209/554</w:t>
        </w:r>
      </w:hyperlink>
    </w:p>
    <w:p w14:paraId="0EF9BE75" w14:textId="77777777" w:rsidR="00541AD4" w:rsidRPr="00C3122E" w:rsidRDefault="00541AD4" w:rsidP="00541AD4">
      <w:pPr>
        <w:pStyle w:val="NormalWeb"/>
        <w:spacing w:before="240" w:beforeAutospacing="0" w:after="240" w:afterAutospacing="0" w:line="360" w:lineRule="auto"/>
        <w:jc w:val="both"/>
        <w:rPr>
          <w:rFonts w:ascii="Arial" w:hAnsi="Arial" w:cs="Arial"/>
        </w:rPr>
      </w:pPr>
      <w:r w:rsidRPr="00C3122E">
        <w:rPr>
          <w:rFonts w:ascii="Arial" w:hAnsi="Arial" w:cs="Arial"/>
          <w:color w:val="222222"/>
          <w:shd w:val="clear" w:color="auto" w:fill="FFFFFF"/>
        </w:rPr>
        <w:t xml:space="preserve">Filatova, H., Kulyk, V. and Kravchenko, O., (2024). ‘Optimization of a company’s capital structure based on the criterion of minimizing the level of financial risk’. </w:t>
      </w:r>
      <w:r w:rsidRPr="00C3122E">
        <w:rPr>
          <w:rFonts w:ascii="Arial" w:hAnsi="Arial" w:cs="Arial"/>
          <w:i/>
          <w:iCs/>
          <w:color w:val="222222"/>
          <w:shd w:val="clear" w:color="auto" w:fill="FFFFFF"/>
        </w:rPr>
        <w:t>Accounting and Financial Control</w:t>
      </w:r>
      <w:r w:rsidRPr="00C3122E">
        <w:rPr>
          <w:rFonts w:ascii="Arial" w:hAnsi="Arial" w:cs="Arial"/>
          <w:color w:val="222222"/>
          <w:shd w:val="clear" w:color="auto" w:fill="FFFFFF"/>
        </w:rPr>
        <w:t xml:space="preserve">, </w:t>
      </w:r>
      <w:r w:rsidRPr="00C3122E">
        <w:rPr>
          <w:rFonts w:ascii="Arial" w:hAnsi="Arial" w:cs="Arial"/>
          <w:i/>
          <w:iCs/>
          <w:color w:val="222222"/>
          <w:shd w:val="clear" w:color="auto" w:fill="FFFFFF"/>
        </w:rPr>
        <w:t>5</w:t>
      </w:r>
      <w:r w:rsidRPr="00C3122E">
        <w:rPr>
          <w:rFonts w:ascii="Arial" w:hAnsi="Arial" w:cs="Arial"/>
          <w:color w:val="222222"/>
          <w:shd w:val="clear" w:color="auto" w:fill="FFFFFF"/>
        </w:rPr>
        <w:t>(1), p.46.</w:t>
      </w:r>
      <w:r w:rsidRPr="00C3122E">
        <w:rPr>
          <w:rFonts w:ascii="Arial" w:hAnsi="Arial" w:cs="Arial"/>
          <w:color w:val="000000"/>
        </w:rPr>
        <w:t xml:space="preserve"> </w:t>
      </w:r>
      <w:hyperlink r:id="rId39" w:history="1">
        <w:r w:rsidRPr="00C3122E">
          <w:rPr>
            <w:rStyle w:val="Hyperlink"/>
            <w:rFonts w:ascii="Arial" w:hAnsi="Arial" w:cs="Arial"/>
            <w:color w:val="1155CC"/>
          </w:rPr>
          <w:t>https://reposit.nupp.edu.ua/files/original/19/13384/66502834570e63bbc36682a5d39b88fef55758ba.pdf</w:t>
        </w:r>
      </w:hyperlink>
    </w:p>
    <w:p w14:paraId="1E0C5277" w14:textId="77777777" w:rsidR="00541AD4" w:rsidRPr="00C3122E" w:rsidRDefault="00541AD4" w:rsidP="00541AD4">
      <w:pPr>
        <w:spacing w:before="240" w:after="240" w:line="360" w:lineRule="auto"/>
        <w:jc w:val="both"/>
        <w:rPr>
          <w:rFonts w:eastAsia="Times New Roman"/>
          <w:color w:val="1155CC"/>
          <w:sz w:val="24"/>
          <w:szCs w:val="24"/>
          <w:u w:val="single"/>
        </w:rPr>
      </w:pPr>
      <w:r w:rsidRPr="00C3122E">
        <w:rPr>
          <w:rFonts w:eastAsia="Times New Roman"/>
          <w:sz w:val="24"/>
          <w:szCs w:val="24"/>
        </w:rPr>
        <w:t xml:space="preserve">Hamzat, L., (2025) ‘Real-time financial resilience and debt optimization for entrepreneurs: tackling debt management as a financial health pandemic and empowering small business growth through early detection of financial distress and effortless capital management’, </w:t>
      </w:r>
      <w:r w:rsidRPr="00C3122E">
        <w:rPr>
          <w:rFonts w:eastAsia="Times New Roman"/>
          <w:i/>
          <w:iCs/>
          <w:sz w:val="24"/>
          <w:szCs w:val="24"/>
        </w:rPr>
        <w:t>Int J Adv Res Publ Rev</w:t>
      </w:r>
      <w:r w:rsidRPr="00C3122E">
        <w:rPr>
          <w:rFonts w:eastAsia="Times New Roman"/>
          <w:sz w:val="24"/>
          <w:szCs w:val="24"/>
        </w:rPr>
        <w:t xml:space="preserve">, </w:t>
      </w:r>
      <w:r w:rsidRPr="00C3122E">
        <w:rPr>
          <w:rFonts w:eastAsia="Times New Roman"/>
          <w:i/>
          <w:iCs/>
          <w:sz w:val="24"/>
          <w:szCs w:val="24"/>
        </w:rPr>
        <w:t>2</w:t>
      </w:r>
      <w:r w:rsidRPr="00C3122E">
        <w:rPr>
          <w:rFonts w:eastAsia="Times New Roman"/>
          <w:sz w:val="24"/>
          <w:szCs w:val="24"/>
        </w:rPr>
        <w:t>(5), pp.202-23.</w:t>
      </w:r>
      <w:hyperlink r:id="rId40">
        <w:r w:rsidRPr="00C3122E">
          <w:rPr>
            <w:rFonts w:eastAsia="Times New Roman"/>
            <w:sz w:val="24"/>
            <w:szCs w:val="24"/>
          </w:rPr>
          <w:t xml:space="preserve"> </w:t>
        </w:r>
      </w:hyperlink>
      <w:hyperlink r:id="rId41">
        <w:r w:rsidRPr="00C3122E">
          <w:rPr>
            <w:rFonts w:eastAsia="Times New Roman"/>
            <w:color w:val="1155CC"/>
            <w:sz w:val="24"/>
            <w:szCs w:val="24"/>
            <w:u w:val="single"/>
          </w:rPr>
          <w:t>https://www.researchgate.net/profile/Lolade-Hamzat/publication/391776111_Real-Time_Financial_Resilience_and_Debt_Optimization_for_Entrepreneurs_Tackling_Debt_Management_as_a_Financial_Health_Pandemic_and_Empowering_Small_Business_Growth_Through_Early_Detection_of_Financial/links/6826b14cdf0e3f544f54c00e/Real-Time-Financial-Resilience-and-Debt-Optimization-for-Entrepreneurs-Tackling-Debt-Management-as-a-Financial-Health-Pandemic-and-Empowering-Small-Business-Growth-Through-Early-Detection-of-Financial.pdf</w:t>
        </w:r>
      </w:hyperlink>
    </w:p>
    <w:p w14:paraId="59C46F67" w14:textId="77777777" w:rsidR="00541AD4" w:rsidRPr="00C3122E" w:rsidRDefault="00541AD4" w:rsidP="00541AD4">
      <w:pPr>
        <w:spacing w:before="240" w:after="240" w:line="360" w:lineRule="auto"/>
        <w:jc w:val="both"/>
        <w:rPr>
          <w:rFonts w:eastAsia="Times New Roman"/>
          <w:sz w:val="24"/>
          <w:szCs w:val="24"/>
        </w:rPr>
      </w:pPr>
      <w:r w:rsidRPr="00C3122E">
        <w:rPr>
          <w:rFonts w:eastAsia="Times New Roman"/>
          <w:sz w:val="24"/>
          <w:szCs w:val="24"/>
        </w:rPr>
        <w:t xml:space="preserve">Investing (2025) </w:t>
      </w:r>
      <w:r w:rsidRPr="00C3122E">
        <w:rPr>
          <w:rFonts w:eastAsia="Times New Roman"/>
          <w:i/>
          <w:iCs/>
          <w:sz w:val="24"/>
          <w:szCs w:val="24"/>
        </w:rPr>
        <w:t>Accor SA (ACCP)</w:t>
      </w:r>
      <w:r w:rsidRPr="00C3122E">
        <w:rPr>
          <w:rFonts w:eastAsia="Times New Roman"/>
          <w:sz w:val="24"/>
          <w:szCs w:val="24"/>
        </w:rPr>
        <w:t>. Available at:</w:t>
      </w:r>
      <w:hyperlink r:id="rId42">
        <w:r w:rsidRPr="00C3122E">
          <w:rPr>
            <w:rFonts w:eastAsia="Times New Roman"/>
            <w:sz w:val="24"/>
            <w:szCs w:val="24"/>
          </w:rPr>
          <w:t xml:space="preserve"> </w:t>
        </w:r>
      </w:hyperlink>
      <w:hyperlink r:id="rId43">
        <w:r w:rsidRPr="00C3122E">
          <w:rPr>
            <w:rFonts w:eastAsia="Times New Roman"/>
            <w:color w:val="1155CC"/>
            <w:sz w:val="24"/>
            <w:szCs w:val="24"/>
            <w:u w:val="single"/>
          </w:rPr>
          <w:t>https://in.investing.com/equities/accor-financial-summary</w:t>
        </w:r>
      </w:hyperlink>
      <w:r w:rsidRPr="00C3122E">
        <w:rPr>
          <w:rFonts w:eastAsia="Times New Roman"/>
          <w:sz w:val="24"/>
          <w:szCs w:val="24"/>
        </w:rPr>
        <w:t xml:space="preserve"> (Accessed on 30.07.2026)</w:t>
      </w:r>
    </w:p>
    <w:p w14:paraId="5FF2A9E4" w14:textId="77777777" w:rsidR="00541AD4" w:rsidRPr="00C3122E" w:rsidRDefault="00541AD4" w:rsidP="00541AD4">
      <w:pPr>
        <w:spacing w:before="240" w:after="240" w:line="360" w:lineRule="auto"/>
        <w:jc w:val="both"/>
        <w:rPr>
          <w:rFonts w:eastAsia="Times New Roman"/>
          <w:color w:val="1155CC"/>
          <w:sz w:val="24"/>
          <w:szCs w:val="24"/>
          <w:u w:val="single"/>
        </w:rPr>
      </w:pPr>
      <w:r w:rsidRPr="00C3122E">
        <w:rPr>
          <w:rFonts w:eastAsia="Times New Roman"/>
          <w:sz w:val="24"/>
          <w:szCs w:val="24"/>
        </w:rPr>
        <w:t xml:space="preserve">Jankowski, R. and Paliński, A., (2024) ‘Debt collection model for mass receivables based on decision rules—a path to efficiency and sustainability’, </w:t>
      </w:r>
      <w:r w:rsidRPr="00C3122E">
        <w:rPr>
          <w:rFonts w:eastAsia="Times New Roman"/>
          <w:i/>
          <w:iCs/>
          <w:sz w:val="24"/>
          <w:szCs w:val="24"/>
        </w:rPr>
        <w:t>Sustainability</w:t>
      </w:r>
      <w:r w:rsidRPr="00C3122E">
        <w:rPr>
          <w:rFonts w:eastAsia="Times New Roman"/>
          <w:sz w:val="24"/>
          <w:szCs w:val="24"/>
        </w:rPr>
        <w:t xml:space="preserve">, </w:t>
      </w:r>
      <w:r w:rsidRPr="00C3122E">
        <w:rPr>
          <w:rFonts w:eastAsia="Times New Roman"/>
          <w:i/>
          <w:iCs/>
          <w:sz w:val="24"/>
          <w:szCs w:val="24"/>
        </w:rPr>
        <w:t>16</w:t>
      </w:r>
      <w:r w:rsidRPr="00C3122E">
        <w:rPr>
          <w:rFonts w:eastAsia="Times New Roman"/>
          <w:sz w:val="24"/>
          <w:szCs w:val="24"/>
        </w:rPr>
        <w:t>(14), p.5885.</w:t>
      </w:r>
      <w:hyperlink r:id="rId44">
        <w:r w:rsidRPr="00C3122E">
          <w:rPr>
            <w:rFonts w:eastAsia="Times New Roman"/>
            <w:sz w:val="24"/>
            <w:szCs w:val="24"/>
          </w:rPr>
          <w:t xml:space="preserve"> </w:t>
        </w:r>
      </w:hyperlink>
      <w:hyperlink r:id="rId45">
        <w:r w:rsidRPr="00C3122E">
          <w:rPr>
            <w:rFonts w:eastAsia="Times New Roman"/>
            <w:color w:val="1155CC"/>
            <w:sz w:val="24"/>
            <w:szCs w:val="24"/>
            <w:u w:val="single"/>
          </w:rPr>
          <w:t>https://www.mdpi.com/2071-1050/16/14/5885</w:t>
        </w:r>
      </w:hyperlink>
    </w:p>
    <w:p w14:paraId="7B6C8A1C" w14:textId="77777777" w:rsidR="00541AD4" w:rsidRPr="00C3122E" w:rsidRDefault="00541AD4" w:rsidP="00541AD4">
      <w:pPr>
        <w:spacing w:before="240" w:after="240" w:line="360" w:lineRule="auto"/>
        <w:jc w:val="both"/>
        <w:rPr>
          <w:rFonts w:eastAsia="Times New Roman"/>
          <w:color w:val="1155CC"/>
          <w:sz w:val="24"/>
          <w:szCs w:val="24"/>
          <w:u w:val="single"/>
        </w:rPr>
      </w:pPr>
      <w:r w:rsidRPr="00C3122E">
        <w:rPr>
          <w:rFonts w:eastAsia="Times New Roman"/>
          <w:sz w:val="24"/>
          <w:szCs w:val="24"/>
        </w:rPr>
        <w:t xml:space="preserve">Kilay, A.L., Simamora, B.H. and Putra, D.P., (2022) ‘The influence of e-payment and e-commerce services on supply chain performance: Implications of open innovation and solutions for the digitalization of micro, small, and medium enterprises (MSMEs) </w:t>
      </w:r>
      <w:r w:rsidRPr="00C3122E">
        <w:rPr>
          <w:rFonts w:eastAsia="Times New Roman"/>
          <w:sz w:val="24"/>
          <w:szCs w:val="24"/>
        </w:rPr>
        <w:lastRenderedPageBreak/>
        <w:t xml:space="preserve">in Indonesia’, </w:t>
      </w:r>
      <w:r w:rsidRPr="00C3122E">
        <w:rPr>
          <w:rFonts w:eastAsia="Times New Roman"/>
          <w:i/>
          <w:iCs/>
          <w:sz w:val="24"/>
          <w:szCs w:val="24"/>
        </w:rPr>
        <w:t>Journal of Open Innovation: Technology, Market, and Complexity</w:t>
      </w:r>
      <w:r w:rsidRPr="00C3122E">
        <w:rPr>
          <w:rFonts w:eastAsia="Times New Roman"/>
          <w:sz w:val="24"/>
          <w:szCs w:val="24"/>
        </w:rPr>
        <w:t xml:space="preserve">, </w:t>
      </w:r>
      <w:r w:rsidRPr="00C3122E">
        <w:rPr>
          <w:rFonts w:eastAsia="Times New Roman"/>
          <w:i/>
          <w:iCs/>
          <w:sz w:val="24"/>
          <w:szCs w:val="24"/>
        </w:rPr>
        <w:t>8</w:t>
      </w:r>
      <w:r w:rsidRPr="00C3122E">
        <w:rPr>
          <w:rFonts w:eastAsia="Times New Roman"/>
          <w:sz w:val="24"/>
          <w:szCs w:val="24"/>
        </w:rPr>
        <w:t>(3), p.119.</w:t>
      </w:r>
      <w:hyperlink r:id="rId46">
        <w:r w:rsidRPr="00C3122E">
          <w:rPr>
            <w:rFonts w:eastAsia="Times New Roman"/>
            <w:sz w:val="24"/>
            <w:szCs w:val="24"/>
          </w:rPr>
          <w:t xml:space="preserve"> </w:t>
        </w:r>
      </w:hyperlink>
      <w:hyperlink r:id="rId47">
        <w:r w:rsidRPr="00C3122E">
          <w:rPr>
            <w:rFonts w:eastAsia="Times New Roman"/>
            <w:color w:val="1155CC"/>
            <w:sz w:val="24"/>
            <w:szCs w:val="24"/>
            <w:u w:val="single"/>
          </w:rPr>
          <w:t>https://www.sciencedirect.com/science/article/pii/S219985312200720X</w:t>
        </w:r>
      </w:hyperlink>
    </w:p>
    <w:p w14:paraId="0DFB3ECC" w14:textId="77777777" w:rsidR="00541AD4" w:rsidRPr="00C3122E" w:rsidRDefault="00541AD4" w:rsidP="00541AD4">
      <w:pPr>
        <w:spacing w:before="240" w:after="240" w:line="360" w:lineRule="auto"/>
        <w:jc w:val="both"/>
        <w:rPr>
          <w:rFonts w:eastAsia="Times New Roman"/>
          <w:color w:val="1155CC"/>
          <w:sz w:val="24"/>
          <w:szCs w:val="24"/>
          <w:u w:val="single"/>
        </w:rPr>
      </w:pPr>
      <w:r w:rsidRPr="00C3122E">
        <w:rPr>
          <w:rFonts w:eastAsia="Times New Roman"/>
          <w:sz w:val="24"/>
          <w:szCs w:val="24"/>
        </w:rPr>
        <w:t xml:space="preserve">Ma, R., Ji, Q., Zhai, P. and Yang, R., (2022) ‘Environmental violations, refinancing risk, and the corporate bond cost in China’, </w:t>
      </w:r>
      <w:r w:rsidRPr="00C3122E">
        <w:rPr>
          <w:rFonts w:eastAsia="Times New Roman"/>
          <w:i/>
          <w:iCs/>
          <w:sz w:val="24"/>
          <w:szCs w:val="24"/>
        </w:rPr>
        <w:t>Journal of International Financial Management &amp; Accounting</w:t>
      </w:r>
      <w:r w:rsidRPr="00C3122E">
        <w:rPr>
          <w:rFonts w:eastAsia="Times New Roman"/>
          <w:sz w:val="24"/>
          <w:szCs w:val="24"/>
        </w:rPr>
        <w:t xml:space="preserve">, </w:t>
      </w:r>
      <w:r w:rsidRPr="00C3122E">
        <w:rPr>
          <w:rFonts w:eastAsia="Times New Roman"/>
          <w:i/>
          <w:iCs/>
          <w:sz w:val="24"/>
          <w:szCs w:val="24"/>
        </w:rPr>
        <w:t>33</w:t>
      </w:r>
      <w:r w:rsidRPr="00C3122E">
        <w:rPr>
          <w:rFonts w:eastAsia="Times New Roman"/>
          <w:sz w:val="24"/>
          <w:szCs w:val="24"/>
        </w:rPr>
        <w:t>(3), pp.480-504.</w:t>
      </w:r>
      <w:hyperlink r:id="rId48">
        <w:r w:rsidRPr="00C3122E">
          <w:rPr>
            <w:rFonts w:eastAsia="Times New Roman"/>
            <w:sz w:val="24"/>
            <w:szCs w:val="24"/>
          </w:rPr>
          <w:t xml:space="preserve"> </w:t>
        </w:r>
      </w:hyperlink>
      <w:hyperlink r:id="rId49">
        <w:r w:rsidRPr="00C3122E">
          <w:rPr>
            <w:rFonts w:eastAsia="Times New Roman"/>
            <w:color w:val="1155CC"/>
            <w:sz w:val="24"/>
            <w:szCs w:val="24"/>
            <w:u w:val="single"/>
          </w:rPr>
          <w:t>https://www.researchgate.net/profile/Qiang-Ji-9/publication/357929095_Environmental_violations_refinancing_risk_and_the_corporate_bond_cost_in_China/links/61ea58fb9a753545e2e685a2/Environmental-violations-refinancing-risk-and-the-corporate-bond-cost-in-China.pdf</w:t>
        </w:r>
      </w:hyperlink>
    </w:p>
    <w:p w14:paraId="7AA4DDDD" w14:textId="77777777" w:rsidR="00541AD4" w:rsidRPr="00C3122E" w:rsidRDefault="00541AD4" w:rsidP="00541AD4">
      <w:pPr>
        <w:pStyle w:val="NormalWeb"/>
        <w:spacing w:before="240" w:beforeAutospacing="0" w:after="240" w:afterAutospacing="0" w:line="360" w:lineRule="auto"/>
        <w:jc w:val="both"/>
        <w:rPr>
          <w:rFonts w:ascii="Arial" w:hAnsi="Arial" w:cs="Arial"/>
        </w:rPr>
      </w:pPr>
      <w:r w:rsidRPr="00C3122E">
        <w:rPr>
          <w:rFonts w:ascii="Arial" w:hAnsi="Arial" w:cs="Arial"/>
          <w:color w:val="222222"/>
          <w:shd w:val="clear" w:color="auto" w:fill="FFFFFF"/>
        </w:rPr>
        <w:t xml:space="preserve">Magni, C.A. and Martin, J.D., (2025). ‘The two sides of the reinvestment assumption fallacy in IRR and NPV’. </w:t>
      </w:r>
      <w:r w:rsidRPr="00C3122E">
        <w:rPr>
          <w:rFonts w:ascii="Arial" w:hAnsi="Arial" w:cs="Arial"/>
          <w:i/>
          <w:iCs/>
          <w:color w:val="222222"/>
          <w:shd w:val="clear" w:color="auto" w:fill="FFFFFF"/>
        </w:rPr>
        <w:t>The Engineering Economist</w:t>
      </w:r>
      <w:r w:rsidRPr="00C3122E">
        <w:rPr>
          <w:rFonts w:ascii="Arial" w:hAnsi="Arial" w:cs="Arial"/>
          <w:color w:val="222222"/>
          <w:shd w:val="clear" w:color="auto" w:fill="FFFFFF"/>
        </w:rPr>
        <w:t xml:space="preserve">, </w:t>
      </w:r>
      <w:r w:rsidRPr="00C3122E">
        <w:rPr>
          <w:rFonts w:ascii="Arial" w:hAnsi="Arial" w:cs="Arial"/>
          <w:i/>
          <w:iCs/>
          <w:color w:val="222222"/>
          <w:shd w:val="clear" w:color="auto" w:fill="FFFFFF"/>
        </w:rPr>
        <w:t>70</w:t>
      </w:r>
      <w:r w:rsidRPr="00C3122E">
        <w:rPr>
          <w:rFonts w:ascii="Arial" w:hAnsi="Arial" w:cs="Arial"/>
          <w:color w:val="222222"/>
          <w:shd w:val="clear" w:color="auto" w:fill="FFFFFF"/>
        </w:rPr>
        <w:t>(3), pp.122-151.</w:t>
      </w:r>
      <w:r w:rsidRPr="00C3122E">
        <w:rPr>
          <w:rFonts w:ascii="Arial" w:hAnsi="Arial" w:cs="Arial"/>
          <w:color w:val="000000"/>
        </w:rPr>
        <w:t xml:space="preserve"> </w:t>
      </w:r>
      <w:hyperlink r:id="rId50" w:history="1">
        <w:r w:rsidRPr="00C3122E">
          <w:rPr>
            <w:rStyle w:val="Hyperlink"/>
            <w:rFonts w:ascii="Arial" w:hAnsi="Arial" w:cs="Arial"/>
            <w:color w:val="1155CC"/>
          </w:rPr>
          <w:t>https://papers.ssrn.com/sol3/Delivery.cfm?abstractid=5462494</w:t>
        </w:r>
      </w:hyperlink>
    </w:p>
    <w:p w14:paraId="21E06B9C" w14:textId="77777777" w:rsidR="00541AD4" w:rsidRPr="00C3122E" w:rsidRDefault="00541AD4" w:rsidP="00541AD4">
      <w:pPr>
        <w:spacing w:before="240" w:after="240" w:line="360" w:lineRule="auto"/>
        <w:jc w:val="both"/>
        <w:rPr>
          <w:rFonts w:eastAsia="Times New Roman"/>
          <w:color w:val="1155CC"/>
          <w:sz w:val="24"/>
          <w:szCs w:val="24"/>
          <w:u w:val="single"/>
        </w:rPr>
      </w:pPr>
      <w:r w:rsidRPr="00C3122E">
        <w:rPr>
          <w:rFonts w:eastAsia="Times New Roman"/>
          <w:sz w:val="24"/>
          <w:szCs w:val="24"/>
        </w:rPr>
        <w:t>Majka, M., (2024) ‘Understanding Efficiency Ratios’,</w:t>
      </w:r>
      <w:hyperlink r:id="rId51">
        <w:r w:rsidRPr="00C3122E">
          <w:rPr>
            <w:rFonts w:eastAsia="Times New Roman"/>
            <w:sz w:val="24"/>
            <w:szCs w:val="24"/>
          </w:rPr>
          <w:t xml:space="preserve"> </w:t>
        </w:r>
      </w:hyperlink>
      <w:hyperlink r:id="rId52">
        <w:r w:rsidRPr="00C3122E">
          <w:rPr>
            <w:rFonts w:eastAsia="Times New Roman"/>
            <w:color w:val="1155CC"/>
            <w:sz w:val="24"/>
            <w:szCs w:val="24"/>
            <w:u w:val="single"/>
          </w:rPr>
          <w:t>https://www.researchgate.net/profile/Marcin-Majka-2/publication/381402363_Understanding_Efficiency_Ratios/links/666b64b9de777205a32c2aa5/Understanding-Efficiency-Ratios.pdf</w:t>
        </w:r>
      </w:hyperlink>
    </w:p>
    <w:p w14:paraId="398D111F" w14:textId="77777777" w:rsidR="00541AD4" w:rsidRPr="00C3122E" w:rsidRDefault="00541AD4" w:rsidP="00541AD4">
      <w:pPr>
        <w:spacing w:before="240" w:after="240" w:line="360" w:lineRule="auto"/>
        <w:jc w:val="both"/>
        <w:rPr>
          <w:rFonts w:eastAsia="Times New Roman"/>
          <w:color w:val="1155CC"/>
          <w:sz w:val="24"/>
          <w:szCs w:val="24"/>
          <w:u w:val="single"/>
        </w:rPr>
      </w:pPr>
      <w:r w:rsidRPr="00C3122E">
        <w:rPr>
          <w:rFonts w:eastAsia="Times New Roman"/>
          <w:sz w:val="24"/>
          <w:szCs w:val="24"/>
        </w:rPr>
        <w:t xml:space="preserve"> MORDI, A.K., JEROH, E. and EBIAGHAN, O.F., (2025) ‘Financial flexibility in R&amp;D investment: A study of operating cash flow, earnings before interest and tax and gearing ratio’, </w:t>
      </w:r>
      <w:r w:rsidRPr="00C3122E">
        <w:rPr>
          <w:rFonts w:eastAsia="Times New Roman"/>
          <w:i/>
          <w:iCs/>
          <w:sz w:val="24"/>
          <w:szCs w:val="24"/>
        </w:rPr>
        <w:t>Research Journal of Management Practice| ISSN</w:t>
      </w:r>
      <w:r w:rsidRPr="00C3122E">
        <w:rPr>
          <w:rFonts w:eastAsia="Times New Roman"/>
          <w:sz w:val="24"/>
          <w:szCs w:val="24"/>
        </w:rPr>
        <w:t xml:space="preserve">, </w:t>
      </w:r>
      <w:r w:rsidRPr="00C3122E">
        <w:rPr>
          <w:rFonts w:eastAsia="Times New Roman"/>
          <w:i/>
          <w:iCs/>
          <w:sz w:val="24"/>
          <w:szCs w:val="24"/>
        </w:rPr>
        <w:t>2782</w:t>
      </w:r>
      <w:r w:rsidRPr="00C3122E">
        <w:rPr>
          <w:rFonts w:eastAsia="Times New Roman"/>
          <w:sz w:val="24"/>
          <w:szCs w:val="24"/>
        </w:rPr>
        <w:t>, p.7674.</w:t>
      </w:r>
      <w:hyperlink r:id="rId53">
        <w:r w:rsidRPr="00C3122E">
          <w:rPr>
            <w:rFonts w:eastAsia="Times New Roman"/>
            <w:sz w:val="24"/>
            <w:szCs w:val="24"/>
          </w:rPr>
          <w:t xml:space="preserve"> </w:t>
        </w:r>
      </w:hyperlink>
      <w:hyperlink r:id="rId54">
        <w:r w:rsidRPr="00C3122E">
          <w:rPr>
            <w:rFonts w:eastAsia="Times New Roman"/>
            <w:color w:val="1155CC"/>
            <w:sz w:val="24"/>
            <w:szCs w:val="24"/>
            <w:u w:val="single"/>
          </w:rPr>
          <w:t>https://www.researchgate.net/profile/Kelvin-Adim-Mordi/publication/394032413_Financial_Flexibility_in_RD_Investment_A_Study_of_Operating_Cash_Flow_Earnings_before_Interest_and_Tax_and_Gearing_Ratio/links/68854a77253dcb78df887e25/Financial-Flexibility-in-R-D-Investment-A-Study-of-Operating-Cash-Flow-Earnings-before-Interest-and-Tax-and-Gearing-Ratio.pdf</w:t>
        </w:r>
      </w:hyperlink>
    </w:p>
    <w:p w14:paraId="73D696BE" w14:textId="77777777" w:rsidR="00541AD4" w:rsidRPr="00C3122E" w:rsidRDefault="00541AD4" w:rsidP="00541AD4">
      <w:pPr>
        <w:spacing w:before="240" w:after="240" w:line="360" w:lineRule="auto"/>
        <w:jc w:val="both"/>
        <w:rPr>
          <w:rFonts w:eastAsia="Times New Roman"/>
          <w:color w:val="1155CC"/>
          <w:sz w:val="24"/>
          <w:szCs w:val="24"/>
          <w:u w:val="single"/>
        </w:rPr>
      </w:pPr>
      <w:r w:rsidRPr="00C3122E">
        <w:rPr>
          <w:rFonts w:eastAsia="Times New Roman"/>
          <w:sz w:val="24"/>
          <w:szCs w:val="24"/>
        </w:rPr>
        <w:t xml:space="preserve">Nyong, M.B., 2022. Cash flow management and financial performance of selected listed companies in Nigeria. </w:t>
      </w:r>
      <w:r w:rsidRPr="00C3122E">
        <w:rPr>
          <w:rFonts w:eastAsia="Times New Roman"/>
          <w:i/>
          <w:iCs/>
          <w:sz w:val="24"/>
          <w:szCs w:val="24"/>
        </w:rPr>
        <w:t>Indo-Asian journal of finance and accounting</w:t>
      </w:r>
      <w:r w:rsidRPr="00C3122E">
        <w:rPr>
          <w:rFonts w:eastAsia="Times New Roman"/>
          <w:sz w:val="24"/>
          <w:szCs w:val="24"/>
        </w:rPr>
        <w:t>.</w:t>
      </w:r>
      <w:hyperlink r:id="rId55">
        <w:r w:rsidRPr="00C3122E">
          <w:rPr>
            <w:rFonts w:eastAsia="Times New Roman"/>
            <w:sz w:val="24"/>
            <w:szCs w:val="24"/>
          </w:rPr>
          <w:t xml:space="preserve"> </w:t>
        </w:r>
      </w:hyperlink>
      <w:hyperlink r:id="rId56">
        <w:r w:rsidRPr="00C3122E">
          <w:rPr>
            <w:rFonts w:eastAsia="Times New Roman"/>
            <w:color w:val="1155CC"/>
            <w:sz w:val="24"/>
            <w:szCs w:val="24"/>
            <w:u w:val="single"/>
          </w:rPr>
          <w:t>https://www.academia.edu/download/125282662/cashflow_management_and_financial_performance_of_selected_listed_companies_in_Nigeria.pdf</w:t>
        </w:r>
      </w:hyperlink>
    </w:p>
    <w:p w14:paraId="0A61F7FB" w14:textId="77777777" w:rsidR="00541AD4" w:rsidRPr="00C3122E" w:rsidRDefault="00541AD4" w:rsidP="00541AD4">
      <w:pPr>
        <w:spacing w:before="240" w:after="240" w:line="360" w:lineRule="auto"/>
        <w:jc w:val="both"/>
        <w:rPr>
          <w:rFonts w:eastAsia="Times New Roman"/>
          <w:color w:val="1155CC"/>
          <w:sz w:val="24"/>
          <w:szCs w:val="24"/>
          <w:u w:val="single"/>
        </w:rPr>
      </w:pPr>
      <w:r w:rsidRPr="00C3122E">
        <w:rPr>
          <w:rFonts w:eastAsia="Times New Roman"/>
          <w:sz w:val="24"/>
          <w:szCs w:val="24"/>
        </w:rPr>
        <w:t xml:space="preserve">Putri, K.A.T.M., Wiryanata, W. and Tuwi, I.W., (2024) ‘Implementation of Procurement with Just in Time Method at the Stones Legian Bali Autograph Collection Hotels’, </w:t>
      </w:r>
      <w:r w:rsidRPr="00C3122E">
        <w:rPr>
          <w:rFonts w:eastAsia="Times New Roman"/>
          <w:i/>
          <w:iCs/>
          <w:sz w:val="24"/>
          <w:szCs w:val="24"/>
        </w:rPr>
        <w:t>Indonesian Journal of Banking and Financial Technology</w:t>
      </w:r>
      <w:r w:rsidRPr="00C3122E">
        <w:rPr>
          <w:rFonts w:eastAsia="Times New Roman"/>
          <w:sz w:val="24"/>
          <w:szCs w:val="24"/>
        </w:rPr>
        <w:t xml:space="preserve">, </w:t>
      </w:r>
      <w:r w:rsidRPr="00C3122E">
        <w:rPr>
          <w:rFonts w:eastAsia="Times New Roman"/>
          <w:i/>
          <w:iCs/>
          <w:sz w:val="24"/>
          <w:szCs w:val="24"/>
        </w:rPr>
        <w:t>2</w:t>
      </w:r>
      <w:r w:rsidRPr="00C3122E">
        <w:rPr>
          <w:rFonts w:eastAsia="Times New Roman"/>
          <w:sz w:val="24"/>
          <w:szCs w:val="24"/>
        </w:rPr>
        <w:t>(4), pp.347-360.</w:t>
      </w:r>
      <w:hyperlink r:id="rId57">
        <w:r w:rsidRPr="00C3122E">
          <w:rPr>
            <w:rFonts w:eastAsia="Times New Roman"/>
            <w:sz w:val="24"/>
            <w:szCs w:val="24"/>
          </w:rPr>
          <w:t xml:space="preserve"> </w:t>
        </w:r>
      </w:hyperlink>
      <w:hyperlink r:id="rId58">
        <w:r w:rsidRPr="00C3122E">
          <w:rPr>
            <w:rFonts w:eastAsia="Times New Roman"/>
            <w:color w:val="1155CC"/>
            <w:sz w:val="24"/>
            <w:szCs w:val="24"/>
            <w:u w:val="single"/>
          </w:rPr>
          <w:t>https://pdfs.semanticscholar.org/d032/c8a79e7a17e69b7258300e2dfb407d80ff4d.pdf</w:t>
        </w:r>
      </w:hyperlink>
    </w:p>
    <w:p w14:paraId="6B72FC86" w14:textId="77777777" w:rsidR="00541AD4" w:rsidRPr="00C3122E" w:rsidRDefault="00541AD4" w:rsidP="00541AD4">
      <w:pPr>
        <w:pStyle w:val="NormalWeb"/>
        <w:spacing w:before="240" w:beforeAutospacing="0" w:after="240" w:afterAutospacing="0" w:line="360" w:lineRule="auto"/>
        <w:jc w:val="both"/>
        <w:rPr>
          <w:rFonts w:ascii="Arial" w:hAnsi="Arial" w:cs="Arial"/>
        </w:rPr>
      </w:pPr>
      <w:r w:rsidRPr="00C3122E">
        <w:rPr>
          <w:rFonts w:ascii="Arial" w:hAnsi="Arial" w:cs="Arial"/>
          <w:color w:val="222222"/>
          <w:shd w:val="clear" w:color="auto" w:fill="FFFFFF"/>
        </w:rPr>
        <w:t>Rodrigues, G.J., (2024). ‘Accor: financial forecasting and valuation’.</w:t>
      </w:r>
      <w:r w:rsidRPr="00C3122E">
        <w:rPr>
          <w:rFonts w:ascii="Arial" w:hAnsi="Arial" w:cs="Arial"/>
          <w:color w:val="000000"/>
        </w:rPr>
        <w:t xml:space="preserve"> </w:t>
      </w:r>
      <w:hyperlink r:id="rId59" w:history="1">
        <w:r w:rsidRPr="00C3122E">
          <w:rPr>
            <w:rStyle w:val="Hyperlink"/>
            <w:rFonts w:ascii="Arial" w:hAnsi="Arial" w:cs="Arial"/>
            <w:color w:val="1155CC"/>
          </w:rPr>
          <w:t>https://run.unl.pt/bitstreams/cea4e337-b7b7-4ce4-92b0-06ec7848345d/download</w:t>
        </w:r>
      </w:hyperlink>
    </w:p>
    <w:p w14:paraId="354E7E31" w14:textId="77777777" w:rsidR="00541AD4" w:rsidRPr="00C3122E" w:rsidRDefault="00541AD4" w:rsidP="00541AD4">
      <w:pPr>
        <w:spacing w:before="240" w:after="240" w:line="360" w:lineRule="auto"/>
        <w:jc w:val="both"/>
        <w:rPr>
          <w:rFonts w:eastAsia="Times New Roman"/>
          <w:color w:val="1155CC"/>
          <w:sz w:val="24"/>
          <w:szCs w:val="24"/>
          <w:u w:val="single"/>
        </w:rPr>
      </w:pPr>
      <w:r w:rsidRPr="00C3122E">
        <w:rPr>
          <w:rFonts w:eastAsia="Times New Roman"/>
          <w:sz w:val="24"/>
          <w:szCs w:val="24"/>
        </w:rPr>
        <w:t xml:space="preserve">Roy, P., Rossi, M., Salloum, C., Jarrar, H. and Ghose, B., (2025) ‘Working capital management efficiency in large firms during crisis: implications for community-based enterprises’, </w:t>
      </w:r>
      <w:r w:rsidRPr="00C3122E">
        <w:rPr>
          <w:rFonts w:eastAsia="Times New Roman"/>
          <w:i/>
          <w:iCs/>
          <w:sz w:val="24"/>
          <w:szCs w:val="24"/>
        </w:rPr>
        <w:t>Journal of Enterprising Communities: People and Places in the Global Economy</w:t>
      </w:r>
      <w:r w:rsidRPr="00C3122E">
        <w:rPr>
          <w:rFonts w:eastAsia="Times New Roman"/>
          <w:sz w:val="24"/>
          <w:szCs w:val="24"/>
        </w:rPr>
        <w:t xml:space="preserve">, </w:t>
      </w:r>
      <w:r w:rsidRPr="00C3122E">
        <w:rPr>
          <w:rFonts w:eastAsia="Times New Roman"/>
          <w:i/>
          <w:iCs/>
          <w:sz w:val="24"/>
          <w:szCs w:val="24"/>
        </w:rPr>
        <w:t>19</w:t>
      </w:r>
      <w:r w:rsidRPr="00C3122E">
        <w:rPr>
          <w:rFonts w:eastAsia="Times New Roman"/>
          <w:sz w:val="24"/>
          <w:szCs w:val="24"/>
        </w:rPr>
        <w:t>(3), pp.485-509.</w:t>
      </w:r>
      <w:hyperlink r:id="rId60">
        <w:r w:rsidRPr="00C3122E">
          <w:rPr>
            <w:rFonts w:eastAsia="Times New Roman"/>
            <w:sz w:val="24"/>
            <w:szCs w:val="24"/>
          </w:rPr>
          <w:t xml:space="preserve"> </w:t>
        </w:r>
      </w:hyperlink>
      <w:hyperlink r:id="rId61">
        <w:r w:rsidRPr="00C3122E">
          <w:rPr>
            <w:rFonts w:eastAsia="Times New Roman"/>
            <w:color w:val="1155CC"/>
            <w:sz w:val="24"/>
            <w:szCs w:val="24"/>
            <w:u w:val="single"/>
          </w:rPr>
          <w:t>https://www.researchgate.net/profile/Prasenjit-Roy-3/publication/388756887_Working_capital_management_efficiency_in_large_firms_during_crisis_implications_for_community-based_enterprises/links/67ac22d5645ef274a47af7b5/Working-capital-management-efficiency-in-large-firms-during-crisis-implications-for-community-based-enterprises.pdf</w:t>
        </w:r>
      </w:hyperlink>
    </w:p>
    <w:p w14:paraId="1F4BEBA7" w14:textId="77777777" w:rsidR="00541AD4" w:rsidRPr="00C3122E" w:rsidRDefault="00541AD4" w:rsidP="00541AD4">
      <w:pPr>
        <w:spacing w:before="240" w:after="240" w:line="360" w:lineRule="auto"/>
        <w:jc w:val="both"/>
        <w:rPr>
          <w:rFonts w:eastAsia="Times New Roman"/>
          <w:color w:val="1155CC"/>
          <w:sz w:val="24"/>
          <w:szCs w:val="24"/>
          <w:u w:val="single"/>
        </w:rPr>
      </w:pPr>
      <w:r w:rsidRPr="00C3122E">
        <w:rPr>
          <w:rFonts w:eastAsia="Times New Roman"/>
          <w:sz w:val="24"/>
          <w:szCs w:val="24"/>
        </w:rPr>
        <w:t xml:space="preserve">Seighali, M. and Moradi, M., (2022) ‘Application of Liquidity Ratios in Predicting Corporate Financial Crisis; Comparison of Support Vector Machine Model and Neural Network in Cement Industry’, </w:t>
      </w:r>
      <w:r w:rsidRPr="00C3122E">
        <w:rPr>
          <w:rFonts w:eastAsia="Times New Roman"/>
          <w:i/>
          <w:iCs/>
          <w:sz w:val="24"/>
          <w:szCs w:val="24"/>
        </w:rPr>
        <w:t>Transactions on Data Analysis in Social Science</w:t>
      </w:r>
      <w:r w:rsidRPr="00C3122E">
        <w:rPr>
          <w:rFonts w:eastAsia="Times New Roman"/>
          <w:sz w:val="24"/>
          <w:szCs w:val="24"/>
        </w:rPr>
        <w:t xml:space="preserve">, </w:t>
      </w:r>
      <w:r w:rsidRPr="00C3122E">
        <w:rPr>
          <w:rFonts w:eastAsia="Times New Roman"/>
          <w:i/>
          <w:iCs/>
          <w:sz w:val="24"/>
          <w:szCs w:val="24"/>
        </w:rPr>
        <w:t>4</w:t>
      </w:r>
      <w:r w:rsidRPr="00C3122E">
        <w:rPr>
          <w:rFonts w:eastAsia="Times New Roman"/>
          <w:sz w:val="24"/>
          <w:szCs w:val="24"/>
        </w:rPr>
        <w:t>(1), pp.1-8.</w:t>
      </w:r>
      <w:hyperlink r:id="rId62">
        <w:r w:rsidRPr="00C3122E">
          <w:rPr>
            <w:rFonts w:eastAsia="Times New Roman"/>
            <w:sz w:val="24"/>
            <w:szCs w:val="24"/>
          </w:rPr>
          <w:t xml:space="preserve"> </w:t>
        </w:r>
      </w:hyperlink>
      <w:hyperlink r:id="rId63">
        <w:r w:rsidRPr="00C3122E">
          <w:rPr>
            <w:rFonts w:eastAsia="Times New Roman"/>
            <w:color w:val="1155CC"/>
            <w:sz w:val="24"/>
            <w:szCs w:val="24"/>
            <w:u w:val="single"/>
          </w:rPr>
          <w:t>https://www.researchgate.net/profile/Hong-Nguyen-Thi-Xuan/publication/379179878_The_Effect_of_COVID-19_Pandemic_on_Financial_Performance_of_Firms_Empirical_Evidence_from_Vietnamese_Logistics_Enterprises/links/65fdadbef3b56b5b2d216e48/The-Effect-of-COVID-19-Pandemic-on-Financial-Performance-of-Firms-Empirical-Evidence-from-Vietnamese-Logistics-Enterprises.pdf</w:t>
        </w:r>
      </w:hyperlink>
    </w:p>
    <w:p w14:paraId="3E9C34F1" w14:textId="77777777" w:rsidR="00541AD4" w:rsidRPr="00C3122E" w:rsidRDefault="00541AD4" w:rsidP="00541AD4">
      <w:pPr>
        <w:spacing w:before="240" w:after="240" w:line="360" w:lineRule="auto"/>
        <w:jc w:val="both"/>
        <w:rPr>
          <w:rFonts w:eastAsia="Times New Roman"/>
          <w:color w:val="1155CC"/>
          <w:sz w:val="24"/>
          <w:szCs w:val="24"/>
          <w:u w:val="single"/>
        </w:rPr>
      </w:pPr>
      <w:r w:rsidRPr="00C3122E">
        <w:rPr>
          <w:rFonts w:eastAsia="Times New Roman"/>
          <w:sz w:val="24"/>
          <w:szCs w:val="24"/>
        </w:rPr>
        <w:t xml:space="preserve">Susellawati, S., Sari, D.P., Nabella, S.D. and Fadlilah, A.H., (2022) ‘The effect of profitability, liquidity, leverage, and activity ratios on dividend policy in manufacturing companies in the food and beverage industry sector listed on the Indonesia Stock Exchange in the 2016-2020 period’, </w:t>
      </w:r>
      <w:r w:rsidRPr="00C3122E">
        <w:rPr>
          <w:rFonts w:eastAsia="Times New Roman"/>
          <w:i/>
          <w:iCs/>
          <w:sz w:val="24"/>
          <w:szCs w:val="24"/>
        </w:rPr>
        <w:t>Jurnal Mantik</w:t>
      </w:r>
      <w:r w:rsidRPr="00C3122E">
        <w:rPr>
          <w:rFonts w:eastAsia="Times New Roman"/>
          <w:sz w:val="24"/>
          <w:szCs w:val="24"/>
        </w:rPr>
        <w:t xml:space="preserve">, </w:t>
      </w:r>
      <w:r w:rsidRPr="00C3122E">
        <w:rPr>
          <w:rFonts w:eastAsia="Times New Roman"/>
          <w:i/>
          <w:iCs/>
          <w:sz w:val="24"/>
          <w:szCs w:val="24"/>
        </w:rPr>
        <w:t>6</w:t>
      </w:r>
      <w:r w:rsidRPr="00C3122E">
        <w:rPr>
          <w:rFonts w:eastAsia="Times New Roman"/>
          <w:sz w:val="24"/>
          <w:szCs w:val="24"/>
        </w:rPr>
        <w:t>(2), pp.141-152.</w:t>
      </w:r>
      <w:hyperlink r:id="rId64">
        <w:r w:rsidRPr="00C3122E">
          <w:rPr>
            <w:rFonts w:eastAsia="Times New Roman"/>
            <w:sz w:val="24"/>
            <w:szCs w:val="24"/>
          </w:rPr>
          <w:t xml:space="preserve"> </w:t>
        </w:r>
      </w:hyperlink>
      <w:hyperlink r:id="rId65">
        <w:r w:rsidRPr="00C3122E">
          <w:rPr>
            <w:rFonts w:eastAsia="Times New Roman"/>
            <w:color w:val="1155CC"/>
            <w:sz w:val="24"/>
            <w:szCs w:val="24"/>
            <w:u w:val="single"/>
          </w:rPr>
          <w:t>https://www.researchgate.net/profile/Septa-Nabella/publication/371806850_The_Effect_of_Profitability_Liquidity_Leverage_and_Activity_Ratios_on_Dividend_Policy_in_Manufacturing_Companies_in_the_Food_and_Beverage_Industry_Sector_Listed_on_the_Indonesia_Stock_Exchange_in_the_/links/6495e2458de7ed28ba4eecd5/The-Effect-of-Profitability-Liquidity-Leverage-</w:t>
        </w:r>
        <w:r w:rsidRPr="00C3122E">
          <w:rPr>
            <w:rFonts w:eastAsia="Times New Roman"/>
            <w:color w:val="1155CC"/>
            <w:sz w:val="24"/>
            <w:szCs w:val="24"/>
            <w:u w:val="single"/>
          </w:rPr>
          <w:lastRenderedPageBreak/>
          <w:t>and-Activity-Ratios-on-Dividend-Policy-in-Manufacturing-Companies-in-the-Food-and-Beverage-Industry-Sector-Listed-on-the-Indonesia-Stock-Exchange-in-t.pdf</w:t>
        </w:r>
      </w:hyperlink>
    </w:p>
    <w:p w14:paraId="09A7E223" w14:textId="77777777" w:rsidR="00541AD4" w:rsidRPr="00C3122E" w:rsidRDefault="00541AD4" w:rsidP="00541AD4">
      <w:pPr>
        <w:pStyle w:val="NormalWeb"/>
        <w:spacing w:before="240" w:beforeAutospacing="0" w:after="240" w:afterAutospacing="0" w:line="360" w:lineRule="auto"/>
        <w:jc w:val="both"/>
        <w:rPr>
          <w:rFonts w:ascii="Arial" w:hAnsi="Arial" w:cs="Arial"/>
        </w:rPr>
      </w:pPr>
      <w:r w:rsidRPr="00C3122E">
        <w:rPr>
          <w:rFonts w:ascii="Arial" w:hAnsi="Arial" w:cs="Arial"/>
          <w:color w:val="222222"/>
          <w:shd w:val="clear" w:color="auto" w:fill="FFFFFF"/>
        </w:rPr>
        <w:t xml:space="preserve">Xu, J., Haris, M. and Liu, F., (2023). ‘Intellectual capital efficiency and firms' financial performance based on business life cycle’. </w:t>
      </w:r>
      <w:r w:rsidRPr="00C3122E">
        <w:rPr>
          <w:rFonts w:ascii="Arial" w:hAnsi="Arial" w:cs="Arial"/>
          <w:i/>
          <w:iCs/>
          <w:color w:val="222222"/>
          <w:shd w:val="clear" w:color="auto" w:fill="FFFFFF"/>
        </w:rPr>
        <w:t>Journal of Intellectual Capital</w:t>
      </w:r>
      <w:r w:rsidRPr="00C3122E">
        <w:rPr>
          <w:rFonts w:ascii="Arial" w:hAnsi="Arial" w:cs="Arial"/>
          <w:color w:val="222222"/>
          <w:shd w:val="clear" w:color="auto" w:fill="FFFFFF"/>
        </w:rPr>
        <w:t xml:space="preserve">, </w:t>
      </w:r>
      <w:r w:rsidRPr="00C3122E">
        <w:rPr>
          <w:rFonts w:ascii="Arial" w:hAnsi="Arial" w:cs="Arial"/>
          <w:i/>
          <w:iCs/>
          <w:color w:val="222222"/>
          <w:shd w:val="clear" w:color="auto" w:fill="FFFFFF"/>
        </w:rPr>
        <w:t>24</w:t>
      </w:r>
      <w:r w:rsidRPr="00C3122E">
        <w:rPr>
          <w:rFonts w:ascii="Arial" w:hAnsi="Arial" w:cs="Arial"/>
          <w:color w:val="222222"/>
          <w:shd w:val="clear" w:color="auto" w:fill="FFFFFF"/>
        </w:rPr>
        <w:t>(3), pp.653-682.</w:t>
      </w:r>
      <w:r w:rsidRPr="00C3122E">
        <w:rPr>
          <w:rFonts w:ascii="Arial" w:hAnsi="Arial" w:cs="Arial"/>
          <w:color w:val="000000"/>
        </w:rPr>
        <w:t xml:space="preserve"> </w:t>
      </w:r>
      <w:hyperlink r:id="rId66" w:history="1">
        <w:r w:rsidRPr="00C3122E">
          <w:rPr>
            <w:rStyle w:val="Hyperlink"/>
            <w:rFonts w:ascii="Arial" w:hAnsi="Arial" w:cs="Arial"/>
            <w:color w:val="1155CC"/>
          </w:rPr>
          <w:t>https://www.researchgate.net/profile/Jian-Xu-65/publication/359170616_Intellectual_capital_efficiency_and_firms'_financial_performance_based_on_business_life_cycle/links/622c4b3c97401151d212a4bb/Intellectual-capital-efficiency-and-firms-financial-performance-based-on-business-life-cycle.pdf?origin=journalDetail&amp;_tp=eyJwYWdlIjoiam91cm5hbERldGFpbCJ9</w:t>
        </w:r>
      </w:hyperlink>
    </w:p>
    <w:p w14:paraId="089B115D" w14:textId="77777777" w:rsidR="00541AD4" w:rsidRPr="00C3122E" w:rsidRDefault="00541AD4" w:rsidP="00541AD4">
      <w:pPr>
        <w:pStyle w:val="NormalWeb"/>
        <w:spacing w:before="240" w:beforeAutospacing="0" w:after="240" w:afterAutospacing="0" w:line="360" w:lineRule="auto"/>
        <w:jc w:val="both"/>
        <w:rPr>
          <w:rFonts w:ascii="Arial" w:hAnsi="Arial" w:cs="Arial"/>
        </w:rPr>
      </w:pPr>
      <w:r w:rsidRPr="00C3122E">
        <w:rPr>
          <w:rFonts w:ascii="Arial" w:hAnsi="Arial" w:cs="Arial"/>
          <w:color w:val="222222"/>
          <w:shd w:val="clear" w:color="auto" w:fill="FFFFFF"/>
        </w:rPr>
        <w:t xml:space="preserve">Zhang, Y., Zhou, T., Qiao, H. and Li, T., (2026). ‘Ethical issues in AI-generated texts: A systematic review and analysis’. </w:t>
      </w:r>
      <w:r w:rsidRPr="00C3122E">
        <w:rPr>
          <w:rFonts w:ascii="Arial" w:hAnsi="Arial" w:cs="Arial"/>
          <w:i/>
          <w:iCs/>
          <w:color w:val="222222"/>
          <w:shd w:val="clear" w:color="auto" w:fill="FFFFFF"/>
        </w:rPr>
        <w:t>International Journal of Human–Computer Interaction</w:t>
      </w:r>
      <w:r w:rsidRPr="00C3122E">
        <w:rPr>
          <w:rFonts w:ascii="Arial" w:hAnsi="Arial" w:cs="Arial"/>
          <w:color w:val="222222"/>
          <w:shd w:val="clear" w:color="auto" w:fill="FFFFFF"/>
        </w:rPr>
        <w:t xml:space="preserve">, </w:t>
      </w:r>
      <w:r w:rsidRPr="00C3122E">
        <w:rPr>
          <w:rFonts w:ascii="Arial" w:hAnsi="Arial" w:cs="Arial"/>
          <w:i/>
          <w:iCs/>
          <w:color w:val="222222"/>
          <w:shd w:val="clear" w:color="auto" w:fill="FFFFFF"/>
        </w:rPr>
        <w:t>42</w:t>
      </w:r>
      <w:r w:rsidRPr="00C3122E">
        <w:rPr>
          <w:rFonts w:ascii="Arial" w:hAnsi="Arial" w:cs="Arial"/>
          <w:color w:val="222222"/>
          <w:shd w:val="clear" w:color="auto" w:fill="FFFFFF"/>
        </w:rPr>
        <w:t>(4), pp.2586-2613.</w:t>
      </w:r>
      <w:r w:rsidRPr="00C3122E">
        <w:rPr>
          <w:rFonts w:ascii="Arial" w:hAnsi="Arial" w:cs="Arial"/>
          <w:color w:val="000000"/>
        </w:rPr>
        <w:t xml:space="preserve"> </w:t>
      </w:r>
      <w:hyperlink r:id="rId67" w:history="1">
        <w:r w:rsidRPr="00C3122E">
          <w:rPr>
            <w:rStyle w:val="Hyperlink"/>
            <w:rFonts w:ascii="Arial" w:hAnsi="Arial" w:cs="Arial"/>
            <w:color w:val="1155CC"/>
          </w:rPr>
          <w:t>https://www.tandfonline.com/doi/abs/10.1080/10447318.2025.2530071</w:t>
        </w:r>
      </w:hyperlink>
    </w:p>
    <w:p w14:paraId="3FF5DC8D" w14:textId="77777777" w:rsidR="00541AD4" w:rsidRPr="00C3122E" w:rsidRDefault="00541AD4" w:rsidP="00541AD4">
      <w:pPr>
        <w:spacing w:before="240" w:after="240" w:line="360" w:lineRule="auto"/>
        <w:jc w:val="both"/>
        <w:rPr>
          <w:rFonts w:eastAsia="Times New Roman"/>
          <w:color w:val="1155CC"/>
          <w:sz w:val="24"/>
          <w:szCs w:val="24"/>
          <w:u w:val="single"/>
        </w:rPr>
      </w:pPr>
      <w:r w:rsidRPr="00C3122E">
        <w:rPr>
          <w:rFonts w:eastAsia="Times New Roman"/>
          <w:sz w:val="24"/>
          <w:szCs w:val="24"/>
        </w:rPr>
        <w:t xml:space="preserve">Zhong, Y. and Moon, H.C., (2022) ‘Investigating customer behavior of using contactless payment in China: A comparative study of facial recognition payment and mobile QR-code payment’, </w:t>
      </w:r>
      <w:r w:rsidRPr="00C3122E">
        <w:rPr>
          <w:rFonts w:eastAsia="Times New Roman"/>
          <w:i/>
          <w:iCs/>
          <w:sz w:val="24"/>
          <w:szCs w:val="24"/>
        </w:rPr>
        <w:t>Sustainability</w:t>
      </w:r>
      <w:r w:rsidRPr="00C3122E">
        <w:rPr>
          <w:rFonts w:eastAsia="Times New Roman"/>
          <w:sz w:val="24"/>
          <w:szCs w:val="24"/>
        </w:rPr>
        <w:t xml:space="preserve">, </w:t>
      </w:r>
      <w:r w:rsidRPr="00C3122E">
        <w:rPr>
          <w:rFonts w:eastAsia="Times New Roman"/>
          <w:i/>
          <w:iCs/>
          <w:sz w:val="24"/>
          <w:szCs w:val="24"/>
        </w:rPr>
        <w:t>14</w:t>
      </w:r>
      <w:r w:rsidRPr="00C3122E">
        <w:rPr>
          <w:rFonts w:eastAsia="Times New Roman"/>
          <w:sz w:val="24"/>
          <w:szCs w:val="24"/>
        </w:rPr>
        <w:t>(12), p.7150.</w:t>
      </w:r>
      <w:hyperlink r:id="rId68">
        <w:r w:rsidRPr="00C3122E">
          <w:rPr>
            <w:rFonts w:eastAsia="Times New Roman"/>
            <w:sz w:val="24"/>
            <w:szCs w:val="24"/>
          </w:rPr>
          <w:t xml:space="preserve"> </w:t>
        </w:r>
      </w:hyperlink>
      <w:hyperlink r:id="rId69">
        <w:r w:rsidRPr="00C3122E">
          <w:rPr>
            <w:rFonts w:eastAsia="Times New Roman"/>
            <w:color w:val="1155CC"/>
            <w:sz w:val="24"/>
            <w:szCs w:val="24"/>
            <w:u w:val="single"/>
          </w:rPr>
          <w:t>https://www.mdpi.com/2071-1050/14/12/7150</w:t>
        </w:r>
      </w:hyperlink>
    </w:p>
    <w:p w14:paraId="2C513490" w14:textId="4814D4DF" w:rsidR="0067581A" w:rsidRPr="00415C43" w:rsidRDefault="0067581A" w:rsidP="00541AD4">
      <w:pPr>
        <w:spacing w:after="240" w:line="360" w:lineRule="auto"/>
        <w:jc w:val="both"/>
        <w:rPr>
          <w:rFonts w:eastAsia="Times New Roman"/>
          <w:sz w:val="24"/>
          <w:szCs w:val="24"/>
        </w:rPr>
      </w:pPr>
      <w:r w:rsidRPr="00415C43">
        <w:rPr>
          <w:rFonts w:eastAsia="Times New Roman"/>
          <w:sz w:val="24"/>
          <w:szCs w:val="24"/>
        </w:rPr>
        <w:br w:type="page"/>
      </w:r>
    </w:p>
    <w:p w14:paraId="767A0CD7" w14:textId="570954C0" w:rsidR="0067581A" w:rsidRPr="00415C43" w:rsidRDefault="0067581A" w:rsidP="00541AD4">
      <w:pPr>
        <w:pStyle w:val="Heading1"/>
        <w:spacing w:after="240"/>
      </w:pPr>
      <w:bookmarkStart w:id="27" w:name="_Toc236327972"/>
      <w:r w:rsidRPr="00415C43">
        <w:lastRenderedPageBreak/>
        <w:t>Appendices</w:t>
      </w:r>
      <w:bookmarkEnd w:id="27"/>
      <w:r w:rsidRPr="00415C43">
        <w:t xml:space="preserve"> </w:t>
      </w:r>
    </w:p>
    <w:p w14:paraId="3C9EF683" w14:textId="4544ABA7" w:rsidR="0067581A" w:rsidRPr="00415C43" w:rsidRDefault="0067581A" w:rsidP="00541AD4">
      <w:pPr>
        <w:pStyle w:val="Heading2"/>
        <w:spacing w:after="240"/>
      </w:pPr>
      <w:bookmarkStart w:id="28" w:name="_Toc236327973"/>
      <w:r w:rsidRPr="00415C43">
        <w:t>Appendix A: Raio Calculation</w:t>
      </w:r>
      <w:bookmarkEnd w:id="28"/>
      <w:r w:rsidRPr="00415C43">
        <w:t xml:space="preserve"> </w:t>
      </w:r>
    </w:p>
    <w:tbl>
      <w:tblPr>
        <w:tblStyle w:val="TableGrid"/>
        <w:tblW w:w="5000" w:type="pct"/>
        <w:tblLook w:val="04A0" w:firstRow="1" w:lastRow="0" w:firstColumn="1" w:lastColumn="0" w:noHBand="0" w:noVBand="1"/>
      </w:tblPr>
      <w:tblGrid>
        <w:gridCol w:w="2397"/>
        <w:gridCol w:w="3280"/>
        <w:gridCol w:w="678"/>
        <w:gridCol w:w="666"/>
        <w:gridCol w:w="666"/>
        <w:gridCol w:w="666"/>
        <w:gridCol w:w="666"/>
      </w:tblGrid>
      <w:tr w:rsidR="0067581A" w:rsidRPr="00415C43" w14:paraId="2586D504" w14:textId="77777777" w:rsidTr="0067581A">
        <w:trPr>
          <w:trHeight w:val="300"/>
        </w:trPr>
        <w:tc>
          <w:tcPr>
            <w:tcW w:w="1066" w:type="pct"/>
            <w:noWrap/>
            <w:hideMark/>
          </w:tcPr>
          <w:p w14:paraId="08999250" w14:textId="77777777" w:rsidR="0067581A" w:rsidRPr="00415C43" w:rsidRDefault="0067581A" w:rsidP="00541AD4">
            <w:pPr>
              <w:spacing w:after="240" w:line="360" w:lineRule="auto"/>
              <w:rPr>
                <w:rFonts w:eastAsia="Times New Roman"/>
                <w:b/>
                <w:bCs/>
                <w:color w:val="000000"/>
                <w:sz w:val="24"/>
                <w:szCs w:val="24"/>
                <w:lang w:val="en-US"/>
              </w:rPr>
            </w:pPr>
            <w:r w:rsidRPr="00415C43">
              <w:rPr>
                <w:rFonts w:eastAsia="Times New Roman"/>
                <w:b/>
                <w:bCs/>
                <w:color w:val="000000"/>
                <w:sz w:val="24"/>
                <w:szCs w:val="24"/>
                <w:lang w:val="en-US"/>
              </w:rPr>
              <w:t>A. Profitability Ratios</w:t>
            </w:r>
          </w:p>
        </w:tc>
        <w:tc>
          <w:tcPr>
            <w:tcW w:w="1544" w:type="pct"/>
            <w:noWrap/>
            <w:hideMark/>
          </w:tcPr>
          <w:p w14:paraId="068EB094" w14:textId="77777777" w:rsidR="0067581A" w:rsidRPr="00415C43" w:rsidRDefault="0067581A" w:rsidP="00541AD4">
            <w:pPr>
              <w:spacing w:after="240" w:line="360" w:lineRule="auto"/>
              <w:rPr>
                <w:rFonts w:eastAsia="Times New Roman"/>
                <w:b/>
                <w:bCs/>
                <w:color w:val="000000"/>
                <w:sz w:val="24"/>
                <w:szCs w:val="24"/>
                <w:lang w:val="en-US"/>
              </w:rPr>
            </w:pPr>
            <w:r w:rsidRPr="00415C43">
              <w:rPr>
                <w:rFonts w:eastAsia="Times New Roman"/>
                <w:b/>
                <w:bCs/>
                <w:color w:val="000000"/>
                <w:sz w:val="24"/>
                <w:szCs w:val="24"/>
                <w:lang w:val="en-US"/>
              </w:rPr>
              <w:t>Formula</w:t>
            </w:r>
          </w:p>
        </w:tc>
        <w:tc>
          <w:tcPr>
            <w:tcW w:w="478" w:type="pct"/>
            <w:noWrap/>
            <w:hideMark/>
          </w:tcPr>
          <w:p w14:paraId="2B18C302" w14:textId="77777777" w:rsidR="0067581A" w:rsidRPr="00415C43" w:rsidRDefault="0067581A" w:rsidP="00541AD4">
            <w:pPr>
              <w:spacing w:after="240" w:line="360" w:lineRule="auto"/>
              <w:jc w:val="center"/>
              <w:rPr>
                <w:rFonts w:eastAsia="Times New Roman"/>
                <w:b/>
                <w:bCs/>
                <w:i/>
                <w:iCs/>
                <w:color w:val="000000"/>
                <w:sz w:val="24"/>
                <w:szCs w:val="24"/>
                <w:lang w:val="en-US"/>
              </w:rPr>
            </w:pPr>
            <w:r w:rsidRPr="00415C43">
              <w:rPr>
                <w:rFonts w:eastAsia="Times New Roman"/>
                <w:b/>
                <w:bCs/>
                <w:i/>
                <w:iCs/>
                <w:color w:val="000000"/>
                <w:sz w:val="24"/>
                <w:szCs w:val="24"/>
                <w:lang w:val="en-US"/>
              </w:rPr>
              <w:t>2021</w:t>
            </w:r>
          </w:p>
        </w:tc>
        <w:tc>
          <w:tcPr>
            <w:tcW w:w="478" w:type="pct"/>
            <w:noWrap/>
            <w:hideMark/>
          </w:tcPr>
          <w:p w14:paraId="6FFDE1C4" w14:textId="77777777" w:rsidR="0067581A" w:rsidRPr="00415C43" w:rsidRDefault="0067581A" w:rsidP="00541AD4">
            <w:pPr>
              <w:spacing w:after="240" w:line="360" w:lineRule="auto"/>
              <w:jc w:val="center"/>
              <w:rPr>
                <w:rFonts w:eastAsia="Times New Roman"/>
                <w:b/>
                <w:bCs/>
                <w:i/>
                <w:iCs/>
                <w:color w:val="000000"/>
                <w:sz w:val="24"/>
                <w:szCs w:val="24"/>
                <w:lang w:val="en-US"/>
              </w:rPr>
            </w:pPr>
            <w:r w:rsidRPr="00415C43">
              <w:rPr>
                <w:rFonts w:eastAsia="Times New Roman"/>
                <w:b/>
                <w:bCs/>
                <w:i/>
                <w:iCs/>
                <w:color w:val="000000"/>
                <w:sz w:val="24"/>
                <w:szCs w:val="24"/>
                <w:lang w:val="en-US"/>
              </w:rPr>
              <w:t>2022</w:t>
            </w:r>
          </w:p>
        </w:tc>
        <w:tc>
          <w:tcPr>
            <w:tcW w:w="478" w:type="pct"/>
            <w:noWrap/>
            <w:hideMark/>
          </w:tcPr>
          <w:p w14:paraId="79CB0553" w14:textId="77777777" w:rsidR="0067581A" w:rsidRPr="00415C43" w:rsidRDefault="0067581A" w:rsidP="00541AD4">
            <w:pPr>
              <w:spacing w:after="240" w:line="360" w:lineRule="auto"/>
              <w:jc w:val="center"/>
              <w:rPr>
                <w:rFonts w:eastAsia="Times New Roman"/>
                <w:b/>
                <w:bCs/>
                <w:i/>
                <w:iCs/>
                <w:color w:val="000000"/>
                <w:sz w:val="24"/>
                <w:szCs w:val="24"/>
                <w:lang w:val="en-US"/>
              </w:rPr>
            </w:pPr>
            <w:r w:rsidRPr="00415C43">
              <w:rPr>
                <w:rFonts w:eastAsia="Times New Roman"/>
                <w:b/>
                <w:bCs/>
                <w:i/>
                <w:iCs/>
                <w:color w:val="000000"/>
                <w:sz w:val="24"/>
                <w:szCs w:val="24"/>
                <w:lang w:val="en-US"/>
              </w:rPr>
              <w:t>2023</w:t>
            </w:r>
          </w:p>
        </w:tc>
        <w:tc>
          <w:tcPr>
            <w:tcW w:w="478" w:type="pct"/>
            <w:noWrap/>
            <w:hideMark/>
          </w:tcPr>
          <w:p w14:paraId="7C983B5B" w14:textId="77777777" w:rsidR="0067581A" w:rsidRPr="00415C43" w:rsidRDefault="0067581A" w:rsidP="00541AD4">
            <w:pPr>
              <w:spacing w:after="240" w:line="360" w:lineRule="auto"/>
              <w:jc w:val="center"/>
              <w:rPr>
                <w:rFonts w:eastAsia="Times New Roman"/>
                <w:b/>
                <w:bCs/>
                <w:i/>
                <w:iCs/>
                <w:color w:val="000000"/>
                <w:sz w:val="24"/>
                <w:szCs w:val="24"/>
                <w:lang w:val="en-US"/>
              </w:rPr>
            </w:pPr>
            <w:r w:rsidRPr="00415C43">
              <w:rPr>
                <w:rFonts w:eastAsia="Times New Roman"/>
                <w:b/>
                <w:bCs/>
                <w:i/>
                <w:iCs/>
                <w:color w:val="000000"/>
                <w:sz w:val="24"/>
                <w:szCs w:val="24"/>
                <w:lang w:val="en-US"/>
              </w:rPr>
              <w:t>2024</w:t>
            </w:r>
          </w:p>
        </w:tc>
        <w:tc>
          <w:tcPr>
            <w:tcW w:w="478" w:type="pct"/>
            <w:noWrap/>
            <w:hideMark/>
          </w:tcPr>
          <w:p w14:paraId="772A1C26" w14:textId="77777777" w:rsidR="0067581A" w:rsidRPr="00415C43" w:rsidRDefault="0067581A" w:rsidP="00541AD4">
            <w:pPr>
              <w:spacing w:after="240" w:line="360" w:lineRule="auto"/>
              <w:jc w:val="center"/>
              <w:rPr>
                <w:rFonts w:eastAsia="Times New Roman"/>
                <w:b/>
                <w:bCs/>
                <w:i/>
                <w:iCs/>
                <w:color w:val="000000"/>
                <w:sz w:val="24"/>
                <w:szCs w:val="24"/>
                <w:lang w:val="en-US"/>
              </w:rPr>
            </w:pPr>
            <w:r w:rsidRPr="00415C43">
              <w:rPr>
                <w:rFonts w:eastAsia="Times New Roman"/>
                <w:b/>
                <w:bCs/>
                <w:i/>
                <w:iCs/>
                <w:color w:val="000000"/>
                <w:sz w:val="24"/>
                <w:szCs w:val="24"/>
                <w:lang w:val="en-US"/>
              </w:rPr>
              <w:t>2025</w:t>
            </w:r>
          </w:p>
        </w:tc>
      </w:tr>
      <w:tr w:rsidR="0067581A" w:rsidRPr="00415C43" w14:paraId="1F6408F1" w14:textId="77777777" w:rsidTr="0067581A">
        <w:trPr>
          <w:trHeight w:val="300"/>
        </w:trPr>
        <w:tc>
          <w:tcPr>
            <w:tcW w:w="1066" w:type="pct"/>
            <w:noWrap/>
            <w:hideMark/>
          </w:tcPr>
          <w:p w14:paraId="40A6D3FE" w14:textId="77777777" w:rsidR="0067581A" w:rsidRPr="00415C43" w:rsidRDefault="0067581A" w:rsidP="00541AD4">
            <w:pPr>
              <w:spacing w:after="240" w:line="360" w:lineRule="auto"/>
              <w:rPr>
                <w:rFonts w:eastAsia="Times New Roman"/>
                <w:color w:val="000000"/>
                <w:sz w:val="24"/>
                <w:szCs w:val="24"/>
                <w:lang w:val="en-US"/>
              </w:rPr>
            </w:pPr>
            <w:r w:rsidRPr="00415C43">
              <w:rPr>
                <w:rFonts w:eastAsia="Times New Roman"/>
                <w:color w:val="000000"/>
                <w:sz w:val="24"/>
                <w:szCs w:val="24"/>
                <w:lang w:val="en-US"/>
              </w:rPr>
              <w:t>Gross Profit Margin</w:t>
            </w:r>
          </w:p>
        </w:tc>
        <w:tc>
          <w:tcPr>
            <w:tcW w:w="1544" w:type="pct"/>
            <w:noWrap/>
            <w:hideMark/>
          </w:tcPr>
          <w:p w14:paraId="5B1F936F" w14:textId="77777777" w:rsidR="0067581A" w:rsidRPr="00415C43" w:rsidRDefault="0067581A" w:rsidP="00541AD4">
            <w:pPr>
              <w:spacing w:after="240" w:line="360" w:lineRule="auto"/>
              <w:rPr>
                <w:rFonts w:eastAsia="Times New Roman"/>
                <w:color w:val="000000"/>
                <w:sz w:val="24"/>
                <w:szCs w:val="24"/>
                <w:lang w:val="en-US"/>
              </w:rPr>
            </w:pPr>
            <w:r w:rsidRPr="00415C43">
              <w:rPr>
                <w:rFonts w:eastAsia="Times New Roman"/>
                <w:color w:val="000000"/>
                <w:sz w:val="24"/>
                <w:szCs w:val="24"/>
                <w:lang w:val="en-US"/>
              </w:rPr>
              <w:t>Gross Profit / Revenue</w:t>
            </w:r>
          </w:p>
        </w:tc>
        <w:tc>
          <w:tcPr>
            <w:tcW w:w="478" w:type="pct"/>
            <w:noWrap/>
            <w:hideMark/>
          </w:tcPr>
          <w:p w14:paraId="6567F332"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0.03</w:t>
            </w:r>
          </w:p>
        </w:tc>
        <w:tc>
          <w:tcPr>
            <w:tcW w:w="478" w:type="pct"/>
            <w:noWrap/>
            <w:hideMark/>
          </w:tcPr>
          <w:p w14:paraId="5FE9B841"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0.17</w:t>
            </w:r>
          </w:p>
        </w:tc>
        <w:tc>
          <w:tcPr>
            <w:tcW w:w="478" w:type="pct"/>
            <w:noWrap/>
            <w:hideMark/>
          </w:tcPr>
          <w:p w14:paraId="244E6F74"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0.21</w:t>
            </w:r>
          </w:p>
        </w:tc>
        <w:tc>
          <w:tcPr>
            <w:tcW w:w="478" w:type="pct"/>
            <w:noWrap/>
            <w:hideMark/>
          </w:tcPr>
          <w:p w14:paraId="701686CF"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0.21</w:t>
            </w:r>
          </w:p>
        </w:tc>
        <w:tc>
          <w:tcPr>
            <w:tcW w:w="478" w:type="pct"/>
            <w:noWrap/>
            <w:hideMark/>
          </w:tcPr>
          <w:p w14:paraId="2B3EB2F4"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0.22</w:t>
            </w:r>
          </w:p>
        </w:tc>
      </w:tr>
      <w:tr w:rsidR="0067581A" w:rsidRPr="00415C43" w14:paraId="792430E9" w14:textId="77777777" w:rsidTr="0067581A">
        <w:trPr>
          <w:trHeight w:val="300"/>
        </w:trPr>
        <w:tc>
          <w:tcPr>
            <w:tcW w:w="1066" w:type="pct"/>
            <w:noWrap/>
            <w:hideMark/>
          </w:tcPr>
          <w:p w14:paraId="5BB7D845" w14:textId="77777777" w:rsidR="0067581A" w:rsidRPr="00415C43" w:rsidRDefault="0067581A" w:rsidP="00541AD4">
            <w:pPr>
              <w:spacing w:after="240" w:line="360" w:lineRule="auto"/>
              <w:rPr>
                <w:rFonts w:eastAsia="Times New Roman"/>
                <w:color w:val="000000"/>
                <w:sz w:val="24"/>
                <w:szCs w:val="24"/>
                <w:lang w:val="en-US"/>
              </w:rPr>
            </w:pPr>
            <w:r w:rsidRPr="00415C43">
              <w:rPr>
                <w:rFonts w:eastAsia="Times New Roman"/>
                <w:color w:val="000000"/>
                <w:sz w:val="24"/>
                <w:szCs w:val="24"/>
                <w:lang w:val="en-US"/>
              </w:rPr>
              <w:t>Operating Margin</w:t>
            </w:r>
          </w:p>
        </w:tc>
        <w:tc>
          <w:tcPr>
            <w:tcW w:w="1544" w:type="pct"/>
            <w:noWrap/>
            <w:hideMark/>
          </w:tcPr>
          <w:p w14:paraId="36F0BD49" w14:textId="77777777" w:rsidR="0067581A" w:rsidRPr="00415C43" w:rsidRDefault="0067581A" w:rsidP="00541AD4">
            <w:pPr>
              <w:spacing w:after="240" w:line="360" w:lineRule="auto"/>
              <w:rPr>
                <w:rFonts w:eastAsia="Times New Roman"/>
                <w:color w:val="000000"/>
                <w:sz w:val="24"/>
                <w:szCs w:val="24"/>
                <w:lang w:val="en-US"/>
              </w:rPr>
            </w:pPr>
            <w:r w:rsidRPr="00415C43">
              <w:rPr>
                <w:rFonts w:eastAsia="Times New Roman"/>
                <w:color w:val="000000"/>
                <w:sz w:val="24"/>
                <w:szCs w:val="24"/>
                <w:lang w:val="en-US"/>
              </w:rPr>
              <w:t>EBIT / Revenue</w:t>
            </w:r>
          </w:p>
        </w:tc>
        <w:tc>
          <w:tcPr>
            <w:tcW w:w="478" w:type="pct"/>
            <w:noWrap/>
            <w:hideMark/>
          </w:tcPr>
          <w:p w14:paraId="4C9A7AC7"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-0.10</w:t>
            </w:r>
          </w:p>
        </w:tc>
        <w:tc>
          <w:tcPr>
            <w:tcW w:w="478" w:type="pct"/>
            <w:noWrap/>
            <w:hideMark/>
          </w:tcPr>
          <w:p w14:paraId="5D64F54A"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0.11</w:t>
            </w:r>
          </w:p>
        </w:tc>
        <w:tc>
          <w:tcPr>
            <w:tcW w:w="478" w:type="pct"/>
            <w:noWrap/>
            <w:hideMark/>
          </w:tcPr>
          <w:p w14:paraId="0522FF4A"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0.14</w:t>
            </w:r>
          </w:p>
        </w:tc>
        <w:tc>
          <w:tcPr>
            <w:tcW w:w="478" w:type="pct"/>
            <w:noWrap/>
            <w:hideMark/>
          </w:tcPr>
          <w:p w14:paraId="2AA86079"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0.14</w:t>
            </w:r>
          </w:p>
        </w:tc>
        <w:tc>
          <w:tcPr>
            <w:tcW w:w="478" w:type="pct"/>
            <w:noWrap/>
            <w:hideMark/>
          </w:tcPr>
          <w:p w14:paraId="1889CA57"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0.15</w:t>
            </w:r>
          </w:p>
        </w:tc>
      </w:tr>
      <w:tr w:rsidR="0067581A" w:rsidRPr="00415C43" w14:paraId="600CEF6B" w14:textId="77777777" w:rsidTr="0067581A">
        <w:trPr>
          <w:trHeight w:val="300"/>
        </w:trPr>
        <w:tc>
          <w:tcPr>
            <w:tcW w:w="1066" w:type="pct"/>
            <w:noWrap/>
            <w:hideMark/>
          </w:tcPr>
          <w:p w14:paraId="7C755B85" w14:textId="77777777" w:rsidR="0067581A" w:rsidRPr="00415C43" w:rsidRDefault="0067581A" w:rsidP="00541AD4">
            <w:pPr>
              <w:spacing w:after="240" w:line="360" w:lineRule="auto"/>
              <w:rPr>
                <w:rFonts w:eastAsia="Times New Roman"/>
                <w:color w:val="000000"/>
                <w:sz w:val="24"/>
                <w:szCs w:val="24"/>
                <w:lang w:val="en-US"/>
              </w:rPr>
            </w:pPr>
            <w:r w:rsidRPr="00415C43">
              <w:rPr>
                <w:rFonts w:eastAsia="Times New Roman"/>
                <w:color w:val="000000"/>
                <w:sz w:val="24"/>
                <w:szCs w:val="24"/>
                <w:lang w:val="en-US"/>
              </w:rPr>
              <w:t>EBITDA Margin</w:t>
            </w:r>
          </w:p>
        </w:tc>
        <w:tc>
          <w:tcPr>
            <w:tcW w:w="1544" w:type="pct"/>
            <w:noWrap/>
            <w:hideMark/>
          </w:tcPr>
          <w:p w14:paraId="3D44E757" w14:textId="77777777" w:rsidR="0067581A" w:rsidRPr="00415C43" w:rsidRDefault="0067581A" w:rsidP="00541AD4">
            <w:pPr>
              <w:spacing w:after="240" w:line="360" w:lineRule="auto"/>
              <w:rPr>
                <w:rFonts w:eastAsia="Times New Roman"/>
                <w:color w:val="000000"/>
                <w:sz w:val="24"/>
                <w:szCs w:val="24"/>
                <w:lang w:val="en-US"/>
              </w:rPr>
            </w:pPr>
            <w:r w:rsidRPr="00415C43">
              <w:rPr>
                <w:rFonts w:eastAsia="Times New Roman"/>
                <w:color w:val="000000"/>
                <w:sz w:val="24"/>
                <w:szCs w:val="24"/>
                <w:lang w:val="en-US"/>
              </w:rPr>
              <w:t>EBITDA / Revenue</w:t>
            </w:r>
          </w:p>
        </w:tc>
        <w:tc>
          <w:tcPr>
            <w:tcW w:w="478" w:type="pct"/>
            <w:noWrap/>
            <w:hideMark/>
          </w:tcPr>
          <w:p w14:paraId="176BCF59"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-0.03</w:t>
            </w:r>
          </w:p>
        </w:tc>
        <w:tc>
          <w:tcPr>
            <w:tcW w:w="478" w:type="pct"/>
            <w:noWrap/>
            <w:hideMark/>
          </w:tcPr>
          <w:p w14:paraId="1DFE3B89"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0.14</w:t>
            </w:r>
          </w:p>
        </w:tc>
        <w:tc>
          <w:tcPr>
            <w:tcW w:w="478" w:type="pct"/>
            <w:noWrap/>
            <w:hideMark/>
          </w:tcPr>
          <w:p w14:paraId="3D3EC512"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0.18</w:t>
            </w:r>
          </w:p>
        </w:tc>
        <w:tc>
          <w:tcPr>
            <w:tcW w:w="478" w:type="pct"/>
            <w:noWrap/>
            <w:hideMark/>
          </w:tcPr>
          <w:p w14:paraId="2C1B1643"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0.18</w:t>
            </w:r>
          </w:p>
        </w:tc>
        <w:tc>
          <w:tcPr>
            <w:tcW w:w="478" w:type="pct"/>
            <w:noWrap/>
            <w:hideMark/>
          </w:tcPr>
          <w:p w14:paraId="2631D033"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0.19</w:t>
            </w:r>
          </w:p>
        </w:tc>
      </w:tr>
      <w:tr w:rsidR="0067581A" w:rsidRPr="00415C43" w14:paraId="6D2F631C" w14:textId="77777777" w:rsidTr="0067581A">
        <w:trPr>
          <w:trHeight w:val="300"/>
        </w:trPr>
        <w:tc>
          <w:tcPr>
            <w:tcW w:w="1066" w:type="pct"/>
            <w:noWrap/>
            <w:hideMark/>
          </w:tcPr>
          <w:p w14:paraId="6B49D33B" w14:textId="77777777" w:rsidR="0067581A" w:rsidRPr="00415C43" w:rsidRDefault="0067581A" w:rsidP="00541AD4">
            <w:pPr>
              <w:spacing w:after="240" w:line="360" w:lineRule="auto"/>
              <w:rPr>
                <w:rFonts w:eastAsia="Times New Roman"/>
                <w:color w:val="000000"/>
                <w:sz w:val="24"/>
                <w:szCs w:val="24"/>
                <w:lang w:val="en-US"/>
              </w:rPr>
            </w:pPr>
            <w:r w:rsidRPr="00415C43">
              <w:rPr>
                <w:rFonts w:eastAsia="Times New Roman"/>
                <w:color w:val="000000"/>
                <w:sz w:val="24"/>
                <w:szCs w:val="24"/>
                <w:lang w:val="en-US"/>
              </w:rPr>
              <w:t>Pre-Tax Profit Margin</w:t>
            </w:r>
          </w:p>
        </w:tc>
        <w:tc>
          <w:tcPr>
            <w:tcW w:w="1544" w:type="pct"/>
            <w:noWrap/>
            <w:hideMark/>
          </w:tcPr>
          <w:p w14:paraId="0A3965D7" w14:textId="77777777" w:rsidR="0067581A" w:rsidRPr="00415C43" w:rsidRDefault="0067581A" w:rsidP="00541AD4">
            <w:pPr>
              <w:spacing w:after="240" w:line="360" w:lineRule="auto"/>
              <w:rPr>
                <w:rFonts w:eastAsia="Times New Roman"/>
                <w:color w:val="000000"/>
                <w:sz w:val="24"/>
                <w:szCs w:val="24"/>
                <w:lang w:val="en-US"/>
              </w:rPr>
            </w:pPr>
            <w:r w:rsidRPr="00415C43">
              <w:rPr>
                <w:rFonts w:eastAsia="Times New Roman"/>
                <w:color w:val="000000"/>
                <w:sz w:val="24"/>
                <w:szCs w:val="24"/>
                <w:lang w:val="en-US"/>
              </w:rPr>
              <w:t>Pre-Tax Income / Revenue</w:t>
            </w:r>
          </w:p>
        </w:tc>
        <w:tc>
          <w:tcPr>
            <w:tcW w:w="478" w:type="pct"/>
            <w:noWrap/>
            <w:hideMark/>
          </w:tcPr>
          <w:p w14:paraId="57048FB1"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-0.02</w:t>
            </w:r>
          </w:p>
        </w:tc>
        <w:tc>
          <w:tcPr>
            <w:tcW w:w="478" w:type="pct"/>
            <w:noWrap/>
            <w:hideMark/>
          </w:tcPr>
          <w:p w14:paraId="6509680B"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0.11</w:t>
            </w:r>
          </w:p>
        </w:tc>
        <w:tc>
          <w:tcPr>
            <w:tcW w:w="478" w:type="pct"/>
            <w:noWrap/>
            <w:hideMark/>
          </w:tcPr>
          <w:p w14:paraId="34E959AB"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0.13</w:t>
            </w:r>
          </w:p>
        </w:tc>
        <w:tc>
          <w:tcPr>
            <w:tcW w:w="478" w:type="pct"/>
            <w:noWrap/>
            <w:hideMark/>
          </w:tcPr>
          <w:p w14:paraId="7721CFA2"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0.15</w:t>
            </w:r>
          </w:p>
        </w:tc>
        <w:tc>
          <w:tcPr>
            <w:tcW w:w="478" w:type="pct"/>
            <w:noWrap/>
            <w:hideMark/>
          </w:tcPr>
          <w:p w14:paraId="672763DF"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0.12</w:t>
            </w:r>
          </w:p>
        </w:tc>
      </w:tr>
      <w:tr w:rsidR="0067581A" w:rsidRPr="00415C43" w14:paraId="7C5936E5" w14:textId="77777777" w:rsidTr="0067581A">
        <w:trPr>
          <w:trHeight w:val="300"/>
        </w:trPr>
        <w:tc>
          <w:tcPr>
            <w:tcW w:w="1066" w:type="pct"/>
            <w:noWrap/>
            <w:hideMark/>
          </w:tcPr>
          <w:p w14:paraId="4DFA281A" w14:textId="77777777" w:rsidR="0067581A" w:rsidRPr="00415C43" w:rsidRDefault="0067581A" w:rsidP="00541AD4">
            <w:pPr>
              <w:spacing w:after="240" w:line="360" w:lineRule="auto"/>
              <w:rPr>
                <w:rFonts w:eastAsia="Times New Roman"/>
                <w:color w:val="000000"/>
                <w:sz w:val="24"/>
                <w:szCs w:val="24"/>
                <w:lang w:val="en-US"/>
              </w:rPr>
            </w:pPr>
            <w:r w:rsidRPr="00415C43">
              <w:rPr>
                <w:rFonts w:eastAsia="Times New Roman"/>
                <w:color w:val="000000"/>
                <w:sz w:val="24"/>
                <w:szCs w:val="24"/>
                <w:lang w:val="en-US"/>
              </w:rPr>
              <w:t>Net Profit Margin</w:t>
            </w:r>
          </w:p>
        </w:tc>
        <w:tc>
          <w:tcPr>
            <w:tcW w:w="1544" w:type="pct"/>
            <w:noWrap/>
            <w:hideMark/>
          </w:tcPr>
          <w:p w14:paraId="10E13BE6" w14:textId="77777777" w:rsidR="0067581A" w:rsidRPr="00415C43" w:rsidRDefault="0067581A" w:rsidP="00541AD4">
            <w:pPr>
              <w:spacing w:after="240" w:line="360" w:lineRule="auto"/>
              <w:rPr>
                <w:rFonts w:eastAsia="Times New Roman"/>
                <w:color w:val="000000"/>
                <w:sz w:val="24"/>
                <w:szCs w:val="24"/>
                <w:lang w:val="en-US"/>
              </w:rPr>
            </w:pPr>
            <w:r w:rsidRPr="00415C43">
              <w:rPr>
                <w:rFonts w:eastAsia="Times New Roman"/>
                <w:color w:val="000000"/>
                <w:sz w:val="24"/>
                <w:szCs w:val="24"/>
                <w:lang w:val="en-US"/>
              </w:rPr>
              <w:t>Net Income / Revenue</w:t>
            </w:r>
          </w:p>
        </w:tc>
        <w:tc>
          <w:tcPr>
            <w:tcW w:w="478" w:type="pct"/>
            <w:noWrap/>
            <w:hideMark/>
          </w:tcPr>
          <w:p w14:paraId="2BC3A0DA"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0.04</w:t>
            </w:r>
          </w:p>
        </w:tc>
        <w:tc>
          <w:tcPr>
            <w:tcW w:w="478" w:type="pct"/>
            <w:noWrap/>
            <w:hideMark/>
          </w:tcPr>
          <w:p w14:paraId="0AFE8AD0"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0.10</w:t>
            </w:r>
          </w:p>
        </w:tc>
        <w:tc>
          <w:tcPr>
            <w:tcW w:w="478" w:type="pct"/>
            <w:noWrap/>
            <w:hideMark/>
          </w:tcPr>
          <w:p w14:paraId="62200934"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0.13</w:t>
            </w:r>
          </w:p>
        </w:tc>
        <w:tc>
          <w:tcPr>
            <w:tcW w:w="478" w:type="pct"/>
            <w:noWrap/>
            <w:hideMark/>
          </w:tcPr>
          <w:p w14:paraId="020E0036"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0.11</w:t>
            </w:r>
          </w:p>
        </w:tc>
        <w:tc>
          <w:tcPr>
            <w:tcW w:w="478" w:type="pct"/>
            <w:noWrap/>
            <w:hideMark/>
          </w:tcPr>
          <w:p w14:paraId="6E2AD5CE"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0.08</w:t>
            </w:r>
          </w:p>
        </w:tc>
      </w:tr>
      <w:tr w:rsidR="0067581A" w:rsidRPr="00415C43" w14:paraId="4C4A16ED" w14:textId="77777777" w:rsidTr="0067581A">
        <w:trPr>
          <w:trHeight w:val="300"/>
        </w:trPr>
        <w:tc>
          <w:tcPr>
            <w:tcW w:w="1066" w:type="pct"/>
            <w:noWrap/>
            <w:hideMark/>
          </w:tcPr>
          <w:p w14:paraId="059BF817" w14:textId="77777777" w:rsidR="0067581A" w:rsidRPr="00415C43" w:rsidRDefault="0067581A" w:rsidP="00541AD4">
            <w:pPr>
              <w:spacing w:after="240" w:line="360" w:lineRule="auto"/>
              <w:rPr>
                <w:rFonts w:eastAsia="Times New Roman"/>
                <w:color w:val="000000"/>
                <w:sz w:val="24"/>
                <w:szCs w:val="24"/>
                <w:lang w:val="en-US"/>
              </w:rPr>
            </w:pPr>
            <w:r w:rsidRPr="00415C43">
              <w:rPr>
                <w:rFonts w:eastAsia="Times New Roman"/>
                <w:color w:val="000000"/>
                <w:sz w:val="24"/>
                <w:szCs w:val="24"/>
                <w:lang w:val="en-US"/>
              </w:rPr>
              <w:t>Return on Assets (ROA)</w:t>
            </w:r>
          </w:p>
        </w:tc>
        <w:tc>
          <w:tcPr>
            <w:tcW w:w="1544" w:type="pct"/>
            <w:noWrap/>
            <w:hideMark/>
          </w:tcPr>
          <w:p w14:paraId="4B893870" w14:textId="77777777" w:rsidR="0067581A" w:rsidRPr="00415C43" w:rsidRDefault="0067581A" w:rsidP="00541AD4">
            <w:pPr>
              <w:spacing w:after="240" w:line="360" w:lineRule="auto"/>
              <w:rPr>
                <w:rFonts w:eastAsia="Times New Roman"/>
                <w:color w:val="000000"/>
                <w:sz w:val="24"/>
                <w:szCs w:val="24"/>
                <w:lang w:val="en-US"/>
              </w:rPr>
            </w:pPr>
            <w:r w:rsidRPr="00415C43">
              <w:rPr>
                <w:rFonts w:eastAsia="Times New Roman"/>
                <w:color w:val="000000"/>
                <w:sz w:val="24"/>
                <w:szCs w:val="24"/>
                <w:lang w:val="en-US"/>
              </w:rPr>
              <w:t>Net Income / Total Assets</w:t>
            </w:r>
          </w:p>
        </w:tc>
        <w:tc>
          <w:tcPr>
            <w:tcW w:w="478" w:type="pct"/>
            <w:noWrap/>
            <w:hideMark/>
          </w:tcPr>
          <w:p w14:paraId="6A46EF5C"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0.01</w:t>
            </w:r>
          </w:p>
        </w:tc>
        <w:tc>
          <w:tcPr>
            <w:tcW w:w="478" w:type="pct"/>
            <w:noWrap/>
            <w:hideMark/>
          </w:tcPr>
          <w:p w14:paraId="3E5991FC"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0.05</w:t>
            </w:r>
          </w:p>
        </w:tc>
        <w:tc>
          <w:tcPr>
            <w:tcW w:w="478" w:type="pct"/>
            <w:noWrap/>
            <w:hideMark/>
          </w:tcPr>
          <w:p w14:paraId="0D424A2A"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0.07</w:t>
            </w:r>
          </w:p>
        </w:tc>
        <w:tc>
          <w:tcPr>
            <w:tcW w:w="478" w:type="pct"/>
            <w:noWrap/>
            <w:hideMark/>
          </w:tcPr>
          <w:p w14:paraId="4323EA06"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0.07</w:t>
            </w:r>
          </w:p>
        </w:tc>
        <w:tc>
          <w:tcPr>
            <w:tcW w:w="478" w:type="pct"/>
            <w:noWrap/>
            <w:hideMark/>
          </w:tcPr>
          <w:p w14:paraId="53D5CDEE"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0.05</w:t>
            </w:r>
          </w:p>
        </w:tc>
      </w:tr>
      <w:tr w:rsidR="0067581A" w:rsidRPr="00415C43" w14:paraId="487858E9" w14:textId="77777777" w:rsidTr="0067581A">
        <w:trPr>
          <w:trHeight w:val="315"/>
        </w:trPr>
        <w:tc>
          <w:tcPr>
            <w:tcW w:w="1066" w:type="pct"/>
            <w:noWrap/>
            <w:hideMark/>
          </w:tcPr>
          <w:p w14:paraId="515E586A" w14:textId="77777777" w:rsidR="0067581A" w:rsidRPr="00415C43" w:rsidRDefault="0067581A" w:rsidP="00541AD4">
            <w:pPr>
              <w:spacing w:after="240" w:line="360" w:lineRule="auto"/>
              <w:rPr>
                <w:rFonts w:eastAsia="Times New Roman"/>
                <w:color w:val="000000"/>
                <w:sz w:val="24"/>
                <w:szCs w:val="24"/>
                <w:lang w:val="en-US"/>
              </w:rPr>
            </w:pPr>
            <w:r w:rsidRPr="00415C43">
              <w:rPr>
                <w:rFonts w:eastAsia="Times New Roman"/>
                <w:color w:val="000000"/>
                <w:sz w:val="24"/>
                <w:szCs w:val="24"/>
                <w:lang w:val="en-US"/>
              </w:rPr>
              <w:t>Return on Equity (ROE)</w:t>
            </w:r>
          </w:p>
        </w:tc>
        <w:tc>
          <w:tcPr>
            <w:tcW w:w="1544" w:type="pct"/>
            <w:noWrap/>
            <w:hideMark/>
          </w:tcPr>
          <w:p w14:paraId="2B72BDF0" w14:textId="77777777" w:rsidR="0067581A" w:rsidRPr="00415C43" w:rsidRDefault="0067581A" w:rsidP="00541AD4">
            <w:pPr>
              <w:spacing w:after="240" w:line="360" w:lineRule="auto"/>
              <w:rPr>
                <w:rFonts w:eastAsia="Times New Roman"/>
                <w:color w:val="000000"/>
                <w:sz w:val="24"/>
                <w:szCs w:val="24"/>
                <w:lang w:val="en-US"/>
              </w:rPr>
            </w:pPr>
            <w:r w:rsidRPr="00415C43">
              <w:rPr>
                <w:rFonts w:eastAsia="Times New Roman"/>
                <w:color w:val="000000"/>
                <w:sz w:val="24"/>
                <w:szCs w:val="24"/>
                <w:lang w:val="en-US"/>
              </w:rPr>
              <w:t>Net Income / Shareholders' Equity</w:t>
            </w:r>
          </w:p>
        </w:tc>
        <w:tc>
          <w:tcPr>
            <w:tcW w:w="478" w:type="pct"/>
            <w:noWrap/>
            <w:hideMark/>
          </w:tcPr>
          <w:p w14:paraId="6BED7B73"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0.03</w:t>
            </w:r>
          </w:p>
        </w:tc>
        <w:tc>
          <w:tcPr>
            <w:tcW w:w="478" w:type="pct"/>
            <w:noWrap/>
            <w:hideMark/>
          </w:tcPr>
          <w:p w14:paraId="10A5CDC3"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0.14</w:t>
            </w:r>
          </w:p>
        </w:tc>
        <w:tc>
          <w:tcPr>
            <w:tcW w:w="478" w:type="pct"/>
            <w:noWrap/>
            <w:hideMark/>
          </w:tcPr>
          <w:p w14:paraId="43D3635E"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0.22</w:t>
            </w:r>
          </w:p>
        </w:tc>
        <w:tc>
          <w:tcPr>
            <w:tcW w:w="478" w:type="pct"/>
            <w:noWrap/>
            <w:hideMark/>
          </w:tcPr>
          <w:p w14:paraId="1F97E976"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0.22</w:t>
            </w:r>
          </w:p>
        </w:tc>
        <w:tc>
          <w:tcPr>
            <w:tcW w:w="478" w:type="pct"/>
            <w:noWrap/>
            <w:hideMark/>
          </w:tcPr>
          <w:p w14:paraId="21E42551"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0.16</w:t>
            </w:r>
          </w:p>
        </w:tc>
      </w:tr>
    </w:tbl>
    <w:p w14:paraId="77B6F72D" w14:textId="77777777" w:rsidR="0067581A" w:rsidRPr="00415C43" w:rsidRDefault="0067581A" w:rsidP="00541AD4">
      <w:pPr>
        <w:spacing w:after="240" w:line="360" w:lineRule="auto"/>
        <w:jc w:val="both"/>
        <w:rPr>
          <w:rFonts w:eastAsia="Times New Roman"/>
          <w:sz w:val="24"/>
          <w:szCs w:val="24"/>
        </w:rPr>
      </w:pPr>
    </w:p>
    <w:p w14:paraId="0E1B86F7" w14:textId="57F02873" w:rsidR="0067581A" w:rsidRPr="00415C43" w:rsidRDefault="0067581A" w:rsidP="00541AD4">
      <w:pPr>
        <w:spacing w:after="240" w:line="360" w:lineRule="auto"/>
        <w:jc w:val="center"/>
        <w:rPr>
          <w:rFonts w:eastAsia="Times New Roman"/>
          <w:sz w:val="24"/>
          <w:szCs w:val="24"/>
        </w:rPr>
      </w:pPr>
      <w:r w:rsidRPr="00415C43">
        <w:rPr>
          <w:noProof/>
          <w:sz w:val="24"/>
          <w:szCs w:val="24"/>
          <w:lang w:val="en-US"/>
        </w:rPr>
        <w:lastRenderedPageBreak/>
        <w:drawing>
          <wp:inline distT="0" distB="0" distL="0" distR="0" wp14:anchorId="334CB8AB" wp14:editId="6EA6BFC7">
            <wp:extent cx="4572000" cy="2743200"/>
            <wp:effectExtent l="0" t="0" r="0" b="0"/>
            <wp:docPr id="1217234118" name="Chart 1">
              <a:extLst xmlns:a="http://schemas.openxmlformats.org/drawingml/2006/main">
                <a:ext uri="{FF2B5EF4-FFF2-40B4-BE49-F238E27FC236}">
                  <a16:creationId xmlns:a16="http://schemas.microsoft.com/office/drawing/2014/main" id="{93CCE1EF-5296-119A-DA24-B8F7A9A7C56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0"/>
              </a:graphicData>
            </a:graphic>
          </wp:inline>
        </w:drawing>
      </w:r>
    </w:p>
    <w:p w14:paraId="49B6259C" w14:textId="3B5BA3AB" w:rsidR="0067581A" w:rsidRPr="00415C43" w:rsidRDefault="0067581A" w:rsidP="00541AD4">
      <w:pPr>
        <w:spacing w:after="240" w:line="360" w:lineRule="auto"/>
        <w:jc w:val="center"/>
        <w:rPr>
          <w:rFonts w:eastAsia="Times New Roman"/>
          <w:sz w:val="24"/>
          <w:szCs w:val="24"/>
        </w:rPr>
      </w:pPr>
      <w:r w:rsidRPr="00415C43">
        <w:rPr>
          <w:noProof/>
          <w:sz w:val="24"/>
          <w:szCs w:val="24"/>
          <w:lang w:val="en-US"/>
        </w:rPr>
        <w:drawing>
          <wp:inline distT="0" distB="0" distL="0" distR="0" wp14:anchorId="45A2984F" wp14:editId="1A1D28DD">
            <wp:extent cx="4572000" cy="2743200"/>
            <wp:effectExtent l="0" t="0" r="0" b="0"/>
            <wp:docPr id="862196552" name="Chart 1">
              <a:extLst xmlns:a="http://schemas.openxmlformats.org/drawingml/2006/main">
                <a:ext uri="{FF2B5EF4-FFF2-40B4-BE49-F238E27FC236}">
                  <a16:creationId xmlns:a16="http://schemas.microsoft.com/office/drawing/2014/main" id="{694A9A6D-28F7-828F-B16C-66B66C03B64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1"/>
              </a:graphicData>
            </a:graphic>
          </wp:inline>
        </w:drawing>
      </w:r>
    </w:p>
    <w:tbl>
      <w:tblPr>
        <w:tblStyle w:val="TableGrid"/>
        <w:tblW w:w="5000" w:type="pct"/>
        <w:tblLook w:val="04A0" w:firstRow="1" w:lastRow="0" w:firstColumn="1" w:lastColumn="0" w:noHBand="0" w:noVBand="1"/>
      </w:tblPr>
      <w:tblGrid>
        <w:gridCol w:w="1718"/>
        <w:gridCol w:w="4016"/>
        <w:gridCol w:w="657"/>
        <w:gridCol w:w="657"/>
        <w:gridCol w:w="657"/>
        <w:gridCol w:w="657"/>
        <w:gridCol w:w="657"/>
      </w:tblGrid>
      <w:tr w:rsidR="0067581A" w:rsidRPr="00415C43" w14:paraId="22876A56" w14:textId="77777777" w:rsidTr="0067581A">
        <w:trPr>
          <w:trHeight w:val="300"/>
        </w:trPr>
        <w:tc>
          <w:tcPr>
            <w:tcW w:w="930" w:type="pct"/>
            <w:noWrap/>
            <w:hideMark/>
          </w:tcPr>
          <w:p w14:paraId="54E27568" w14:textId="77777777" w:rsidR="0067581A" w:rsidRPr="00415C43" w:rsidRDefault="0067581A" w:rsidP="00541AD4">
            <w:pPr>
              <w:spacing w:after="240" w:line="360" w:lineRule="auto"/>
              <w:rPr>
                <w:rFonts w:eastAsia="Times New Roman"/>
                <w:b/>
                <w:bCs/>
                <w:color w:val="000000"/>
                <w:sz w:val="24"/>
                <w:szCs w:val="24"/>
                <w:lang w:val="en-US"/>
              </w:rPr>
            </w:pPr>
            <w:r w:rsidRPr="00415C43">
              <w:rPr>
                <w:rFonts w:eastAsia="Times New Roman"/>
                <w:b/>
                <w:bCs/>
                <w:color w:val="000000"/>
                <w:sz w:val="24"/>
                <w:szCs w:val="24"/>
                <w:lang w:val="en-US"/>
              </w:rPr>
              <w:t>B. Liquidity Ratios</w:t>
            </w:r>
          </w:p>
        </w:tc>
        <w:tc>
          <w:tcPr>
            <w:tcW w:w="1987" w:type="pct"/>
            <w:noWrap/>
            <w:hideMark/>
          </w:tcPr>
          <w:p w14:paraId="0EBEEA1B" w14:textId="77777777" w:rsidR="0067581A" w:rsidRPr="00415C43" w:rsidRDefault="0067581A" w:rsidP="00541AD4">
            <w:pPr>
              <w:spacing w:after="240" w:line="360" w:lineRule="auto"/>
              <w:rPr>
                <w:rFonts w:eastAsia="Times New Roman"/>
                <w:b/>
                <w:bCs/>
                <w:color w:val="000000"/>
                <w:sz w:val="24"/>
                <w:szCs w:val="24"/>
                <w:lang w:val="en-US"/>
              </w:rPr>
            </w:pPr>
            <w:r w:rsidRPr="00415C43">
              <w:rPr>
                <w:rFonts w:eastAsia="Times New Roman"/>
                <w:b/>
                <w:bCs/>
                <w:color w:val="000000"/>
                <w:sz w:val="24"/>
                <w:szCs w:val="24"/>
                <w:lang w:val="en-US"/>
              </w:rPr>
              <w:t>Formula</w:t>
            </w:r>
          </w:p>
        </w:tc>
        <w:tc>
          <w:tcPr>
            <w:tcW w:w="417" w:type="pct"/>
            <w:noWrap/>
            <w:hideMark/>
          </w:tcPr>
          <w:p w14:paraId="4D27C0AF" w14:textId="77777777" w:rsidR="0067581A" w:rsidRPr="00415C43" w:rsidRDefault="0067581A" w:rsidP="00541AD4">
            <w:pPr>
              <w:spacing w:after="240" w:line="360" w:lineRule="auto"/>
              <w:jc w:val="center"/>
              <w:rPr>
                <w:rFonts w:eastAsia="Times New Roman"/>
                <w:b/>
                <w:bCs/>
                <w:i/>
                <w:iCs/>
                <w:color w:val="000000"/>
                <w:sz w:val="24"/>
                <w:szCs w:val="24"/>
                <w:lang w:val="en-US"/>
              </w:rPr>
            </w:pPr>
            <w:r w:rsidRPr="00415C43">
              <w:rPr>
                <w:rFonts w:eastAsia="Times New Roman"/>
                <w:b/>
                <w:bCs/>
                <w:i/>
                <w:iCs/>
                <w:color w:val="000000"/>
                <w:sz w:val="24"/>
                <w:szCs w:val="24"/>
                <w:lang w:val="en-US"/>
              </w:rPr>
              <w:t>2021</w:t>
            </w:r>
          </w:p>
        </w:tc>
        <w:tc>
          <w:tcPr>
            <w:tcW w:w="417" w:type="pct"/>
            <w:noWrap/>
            <w:hideMark/>
          </w:tcPr>
          <w:p w14:paraId="0917E03B" w14:textId="77777777" w:rsidR="0067581A" w:rsidRPr="00415C43" w:rsidRDefault="0067581A" w:rsidP="00541AD4">
            <w:pPr>
              <w:spacing w:after="240" w:line="360" w:lineRule="auto"/>
              <w:jc w:val="center"/>
              <w:rPr>
                <w:rFonts w:eastAsia="Times New Roman"/>
                <w:b/>
                <w:bCs/>
                <w:i/>
                <w:iCs/>
                <w:color w:val="000000"/>
                <w:sz w:val="24"/>
                <w:szCs w:val="24"/>
                <w:lang w:val="en-US"/>
              </w:rPr>
            </w:pPr>
            <w:r w:rsidRPr="00415C43">
              <w:rPr>
                <w:rFonts w:eastAsia="Times New Roman"/>
                <w:b/>
                <w:bCs/>
                <w:i/>
                <w:iCs/>
                <w:color w:val="000000"/>
                <w:sz w:val="24"/>
                <w:szCs w:val="24"/>
                <w:lang w:val="en-US"/>
              </w:rPr>
              <w:t>2022</w:t>
            </w:r>
          </w:p>
        </w:tc>
        <w:tc>
          <w:tcPr>
            <w:tcW w:w="417" w:type="pct"/>
            <w:noWrap/>
            <w:hideMark/>
          </w:tcPr>
          <w:p w14:paraId="7401E510" w14:textId="77777777" w:rsidR="0067581A" w:rsidRPr="00415C43" w:rsidRDefault="0067581A" w:rsidP="00541AD4">
            <w:pPr>
              <w:spacing w:after="240" w:line="360" w:lineRule="auto"/>
              <w:jc w:val="center"/>
              <w:rPr>
                <w:rFonts w:eastAsia="Times New Roman"/>
                <w:b/>
                <w:bCs/>
                <w:i/>
                <w:iCs/>
                <w:color w:val="000000"/>
                <w:sz w:val="24"/>
                <w:szCs w:val="24"/>
                <w:lang w:val="en-US"/>
              </w:rPr>
            </w:pPr>
            <w:r w:rsidRPr="00415C43">
              <w:rPr>
                <w:rFonts w:eastAsia="Times New Roman"/>
                <w:b/>
                <w:bCs/>
                <w:i/>
                <w:iCs/>
                <w:color w:val="000000"/>
                <w:sz w:val="24"/>
                <w:szCs w:val="24"/>
                <w:lang w:val="en-US"/>
              </w:rPr>
              <w:t>2023</w:t>
            </w:r>
          </w:p>
        </w:tc>
        <w:tc>
          <w:tcPr>
            <w:tcW w:w="417" w:type="pct"/>
            <w:noWrap/>
            <w:hideMark/>
          </w:tcPr>
          <w:p w14:paraId="07BD8868" w14:textId="77777777" w:rsidR="0067581A" w:rsidRPr="00415C43" w:rsidRDefault="0067581A" w:rsidP="00541AD4">
            <w:pPr>
              <w:spacing w:after="240" w:line="360" w:lineRule="auto"/>
              <w:jc w:val="center"/>
              <w:rPr>
                <w:rFonts w:eastAsia="Times New Roman"/>
                <w:b/>
                <w:bCs/>
                <w:i/>
                <w:iCs/>
                <w:color w:val="000000"/>
                <w:sz w:val="24"/>
                <w:szCs w:val="24"/>
                <w:lang w:val="en-US"/>
              </w:rPr>
            </w:pPr>
            <w:r w:rsidRPr="00415C43">
              <w:rPr>
                <w:rFonts w:eastAsia="Times New Roman"/>
                <w:b/>
                <w:bCs/>
                <w:i/>
                <w:iCs/>
                <w:color w:val="000000"/>
                <w:sz w:val="24"/>
                <w:szCs w:val="24"/>
                <w:lang w:val="en-US"/>
              </w:rPr>
              <w:t>2024</w:t>
            </w:r>
          </w:p>
        </w:tc>
        <w:tc>
          <w:tcPr>
            <w:tcW w:w="417" w:type="pct"/>
            <w:noWrap/>
            <w:hideMark/>
          </w:tcPr>
          <w:p w14:paraId="0D26BF59" w14:textId="77777777" w:rsidR="0067581A" w:rsidRPr="00415C43" w:rsidRDefault="0067581A" w:rsidP="00541AD4">
            <w:pPr>
              <w:spacing w:after="240" w:line="360" w:lineRule="auto"/>
              <w:jc w:val="center"/>
              <w:rPr>
                <w:rFonts w:eastAsia="Times New Roman"/>
                <w:b/>
                <w:bCs/>
                <w:i/>
                <w:iCs/>
                <w:color w:val="000000"/>
                <w:sz w:val="24"/>
                <w:szCs w:val="24"/>
                <w:lang w:val="en-US"/>
              </w:rPr>
            </w:pPr>
            <w:r w:rsidRPr="00415C43">
              <w:rPr>
                <w:rFonts w:eastAsia="Times New Roman"/>
                <w:b/>
                <w:bCs/>
                <w:i/>
                <w:iCs/>
                <w:color w:val="000000"/>
                <w:sz w:val="24"/>
                <w:szCs w:val="24"/>
                <w:lang w:val="en-US"/>
              </w:rPr>
              <w:t>2025</w:t>
            </w:r>
          </w:p>
        </w:tc>
      </w:tr>
      <w:tr w:rsidR="0067581A" w:rsidRPr="00415C43" w14:paraId="30A5F285" w14:textId="77777777" w:rsidTr="0067581A">
        <w:trPr>
          <w:trHeight w:val="300"/>
        </w:trPr>
        <w:tc>
          <w:tcPr>
            <w:tcW w:w="930" w:type="pct"/>
            <w:noWrap/>
            <w:hideMark/>
          </w:tcPr>
          <w:p w14:paraId="40073724" w14:textId="77777777" w:rsidR="0067581A" w:rsidRPr="00415C43" w:rsidRDefault="0067581A" w:rsidP="00541AD4">
            <w:pPr>
              <w:spacing w:after="240" w:line="360" w:lineRule="auto"/>
              <w:rPr>
                <w:rFonts w:eastAsia="Times New Roman"/>
                <w:color w:val="000000"/>
                <w:sz w:val="24"/>
                <w:szCs w:val="24"/>
                <w:lang w:val="en-US"/>
              </w:rPr>
            </w:pPr>
            <w:r w:rsidRPr="00415C43">
              <w:rPr>
                <w:rFonts w:eastAsia="Times New Roman"/>
                <w:color w:val="000000"/>
                <w:sz w:val="24"/>
                <w:szCs w:val="24"/>
                <w:lang w:val="en-US"/>
              </w:rPr>
              <w:t>Current Ratio</w:t>
            </w:r>
          </w:p>
        </w:tc>
        <w:tc>
          <w:tcPr>
            <w:tcW w:w="1987" w:type="pct"/>
            <w:noWrap/>
            <w:hideMark/>
          </w:tcPr>
          <w:p w14:paraId="6FDB2802" w14:textId="77777777" w:rsidR="0067581A" w:rsidRPr="00415C43" w:rsidRDefault="0067581A" w:rsidP="00541AD4">
            <w:pPr>
              <w:spacing w:after="240" w:line="360" w:lineRule="auto"/>
              <w:rPr>
                <w:rFonts w:eastAsia="Times New Roman"/>
                <w:color w:val="000000"/>
                <w:sz w:val="24"/>
                <w:szCs w:val="24"/>
                <w:lang w:val="en-US"/>
              </w:rPr>
            </w:pPr>
            <w:r w:rsidRPr="00415C43">
              <w:rPr>
                <w:rFonts w:eastAsia="Times New Roman"/>
                <w:color w:val="000000"/>
                <w:sz w:val="24"/>
                <w:szCs w:val="24"/>
                <w:lang w:val="en-US"/>
              </w:rPr>
              <w:t>Current Assets / Current Liabilities</w:t>
            </w:r>
          </w:p>
        </w:tc>
        <w:tc>
          <w:tcPr>
            <w:tcW w:w="417" w:type="pct"/>
            <w:noWrap/>
            <w:hideMark/>
          </w:tcPr>
          <w:p w14:paraId="459ABCF4"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0.006</w:t>
            </w:r>
          </w:p>
        </w:tc>
        <w:tc>
          <w:tcPr>
            <w:tcW w:w="417" w:type="pct"/>
            <w:noWrap/>
            <w:hideMark/>
          </w:tcPr>
          <w:p w14:paraId="5C4FA997"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0.004</w:t>
            </w:r>
          </w:p>
        </w:tc>
        <w:tc>
          <w:tcPr>
            <w:tcW w:w="417" w:type="pct"/>
            <w:noWrap/>
            <w:hideMark/>
          </w:tcPr>
          <w:p w14:paraId="7729F499"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0.006</w:t>
            </w:r>
          </w:p>
        </w:tc>
        <w:tc>
          <w:tcPr>
            <w:tcW w:w="417" w:type="pct"/>
            <w:noWrap/>
            <w:hideMark/>
          </w:tcPr>
          <w:p w14:paraId="1F997D42"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0.005</w:t>
            </w:r>
          </w:p>
        </w:tc>
        <w:tc>
          <w:tcPr>
            <w:tcW w:w="417" w:type="pct"/>
            <w:noWrap/>
            <w:hideMark/>
          </w:tcPr>
          <w:p w14:paraId="5E670133"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0.005</w:t>
            </w:r>
          </w:p>
        </w:tc>
      </w:tr>
      <w:tr w:rsidR="0067581A" w:rsidRPr="00415C43" w14:paraId="7386D3F5" w14:textId="77777777" w:rsidTr="0067581A">
        <w:trPr>
          <w:trHeight w:val="300"/>
        </w:trPr>
        <w:tc>
          <w:tcPr>
            <w:tcW w:w="930" w:type="pct"/>
            <w:noWrap/>
            <w:hideMark/>
          </w:tcPr>
          <w:p w14:paraId="6955AEDB" w14:textId="77777777" w:rsidR="0067581A" w:rsidRPr="00415C43" w:rsidRDefault="0067581A" w:rsidP="00541AD4">
            <w:pPr>
              <w:spacing w:after="240" w:line="360" w:lineRule="auto"/>
              <w:rPr>
                <w:rFonts w:eastAsia="Times New Roman"/>
                <w:color w:val="000000"/>
                <w:sz w:val="24"/>
                <w:szCs w:val="24"/>
                <w:lang w:val="en-US"/>
              </w:rPr>
            </w:pPr>
            <w:r w:rsidRPr="00415C43">
              <w:rPr>
                <w:rFonts w:eastAsia="Times New Roman"/>
                <w:color w:val="000000"/>
                <w:sz w:val="24"/>
                <w:szCs w:val="24"/>
                <w:lang w:val="en-US"/>
              </w:rPr>
              <w:t>Cash Ratio</w:t>
            </w:r>
          </w:p>
        </w:tc>
        <w:tc>
          <w:tcPr>
            <w:tcW w:w="1987" w:type="pct"/>
            <w:noWrap/>
            <w:hideMark/>
          </w:tcPr>
          <w:p w14:paraId="1721FFE5" w14:textId="77777777" w:rsidR="0067581A" w:rsidRPr="00415C43" w:rsidRDefault="0067581A" w:rsidP="00541AD4">
            <w:pPr>
              <w:spacing w:after="240" w:line="360" w:lineRule="auto"/>
              <w:rPr>
                <w:rFonts w:eastAsia="Times New Roman"/>
                <w:color w:val="000000"/>
                <w:sz w:val="24"/>
                <w:szCs w:val="24"/>
                <w:lang w:val="en-US"/>
              </w:rPr>
            </w:pPr>
            <w:r w:rsidRPr="00415C43">
              <w:rPr>
                <w:rFonts w:eastAsia="Times New Roman"/>
                <w:color w:val="000000"/>
                <w:sz w:val="24"/>
                <w:szCs w:val="24"/>
                <w:lang w:val="en-US"/>
              </w:rPr>
              <w:t>Cash / Current Liabilities</w:t>
            </w:r>
          </w:p>
        </w:tc>
        <w:tc>
          <w:tcPr>
            <w:tcW w:w="417" w:type="pct"/>
            <w:noWrap/>
            <w:hideMark/>
          </w:tcPr>
          <w:p w14:paraId="0E62C318"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-0.022</w:t>
            </w:r>
          </w:p>
        </w:tc>
        <w:tc>
          <w:tcPr>
            <w:tcW w:w="417" w:type="pct"/>
            <w:noWrap/>
            <w:hideMark/>
          </w:tcPr>
          <w:p w14:paraId="7DE32D75"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0.044</w:t>
            </w:r>
          </w:p>
        </w:tc>
        <w:tc>
          <w:tcPr>
            <w:tcW w:w="417" w:type="pct"/>
            <w:noWrap/>
            <w:hideMark/>
          </w:tcPr>
          <w:p w14:paraId="0F53D51F"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0.059</w:t>
            </w:r>
          </w:p>
        </w:tc>
        <w:tc>
          <w:tcPr>
            <w:tcW w:w="417" w:type="pct"/>
            <w:noWrap/>
            <w:hideMark/>
          </w:tcPr>
          <w:p w14:paraId="1E23C43B"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0.061</w:t>
            </w:r>
          </w:p>
        </w:tc>
        <w:tc>
          <w:tcPr>
            <w:tcW w:w="417" w:type="pct"/>
            <w:noWrap/>
            <w:hideMark/>
          </w:tcPr>
          <w:p w14:paraId="5D2BC73A"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0.069</w:t>
            </w:r>
          </w:p>
        </w:tc>
      </w:tr>
      <w:tr w:rsidR="0067581A" w:rsidRPr="00415C43" w14:paraId="75E58D37" w14:textId="77777777" w:rsidTr="0067581A">
        <w:trPr>
          <w:trHeight w:val="315"/>
        </w:trPr>
        <w:tc>
          <w:tcPr>
            <w:tcW w:w="930" w:type="pct"/>
            <w:noWrap/>
            <w:hideMark/>
          </w:tcPr>
          <w:p w14:paraId="167E60AF" w14:textId="77777777" w:rsidR="0067581A" w:rsidRPr="00415C43" w:rsidRDefault="0067581A" w:rsidP="00541AD4">
            <w:pPr>
              <w:spacing w:after="240" w:line="360" w:lineRule="auto"/>
              <w:rPr>
                <w:rFonts w:eastAsia="Times New Roman"/>
                <w:color w:val="000000"/>
                <w:sz w:val="24"/>
                <w:szCs w:val="24"/>
                <w:lang w:val="en-US"/>
              </w:rPr>
            </w:pPr>
            <w:r w:rsidRPr="00415C43">
              <w:rPr>
                <w:rFonts w:eastAsia="Times New Roman"/>
                <w:color w:val="000000"/>
                <w:sz w:val="24"/>
                <w:szCs w:val="24"/>
                <w:lang w:val="en-US"/>
              </w:rPr>
              <w:lastRenderedPageBreak/>
              <w:t>Working Capital Ratio</w:t>
            </w:r>
          </w:p>
        </w:tc>
        <w:tc>
          <w:tcPr>
            <w:tcW w:w="1987" w:type="pct"/>
            <w:noWrap/>
            <w:hideMark/>
          </w:tcPr>
          <w:p w14:paraId="094FC4A9" w14:textId="77777777" w:rsidR="0067581A" w:rsidRPr="00415C43" w:rsidRDefault="0067581A" w:rsidP="00541AD4">
            <w:pPr>
              <w:spacing w:after="240" w:line="360" w:lineRule="auto"/>
              <w:rPr>
                <w:rFonts w:eastAsia="Times New Roman"/>
                <w:color w:val="000000"/>
                <w:sz w:val="24"/>
                <w:szCs w:val="24"/>
                <w:lang w:val="en-US"/>
              </w:rPr>
            </w:pPr>
            <w:r w:rsidRPr="00415C43">
              <w:rPr>
                <w:rFonts w:eastAsia="Times New Roman"/>
                <w:color w:val="000000"/>
                <w:sz w:val="24"/>
                <w:szCs w:val="24"/>
                <w:lang w:val="en-US"/>
              </w:rPr>
              <w:t>(Current Assets - Current Liabilities) / Current Liabilities</w:t>
            </w:r>
          </w:p>
        </w:tc>
        <w:tc>
          <w:tcPr>
            <w:tcW w:w="417" w:type="pct"/>
            <w:noWrap/>
            <w:hideMark/>
          </w:tcPr>
          <w:p w14:paraId="54384BE1"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-0.994</w:t>
            </w:r>
          </w:p>
        </w:tc>
        <w:tc>
          <w:tcPr>
            <w:tcW w:w="417" w:type="pct"/>
            <w:noWrap/>
            <w:hideMark/>
          </w:tcPr>
          <w:p w14:paraId="0EC3D154"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-0.996</w:t>
            </w:r>
          </w:p>
        </w:tc>
        <w:tc>
          <w:tcPr>
            <w:tcW w:w="417" w:type="pct"/>
            <w:noWrap/>
            <w:hideMark/>
          </w:tcPr>
          <w:p w14:paraId="09424E26"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-0.994</w:t>
            </w:r>
          </w:p>
        </w:tc>
        <w:tc>
          <w:tcPr>
            <w:tcW w:w="417" w:type="pct"/>
            <w:noWrap/>
            <w:hideMark/>
          </w:tcPr>
          <w:p w14:paraId="4FBCB7FC"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-0.995</w:t>
            </w:r>
          </w:p>
        </w:tc>
        <w:tc>
          <w:tcPr>
            <w:tcW w:w="417" w:type="pct"/>
            <w:noWrap/>
            <w:hideMark/>
          </w:tcPr>
          <w:p w14:paraId="15EB1085"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-0.995</w:t>
            </w:r>
          </w:p>
        </w:tc>
      </w:tr>
    </w:tbl>
    <w:p w14:paraId="563EC3B6" w14:textId="77777777" w:rsidR="0067581A" w:rsidRPr="00415C43" w:rsidRDefault="0067581A" w:rsidP="00541AD4">
      <w:pPr>
        <w:spacing w:after="240" w:line="360" w:lineRule="auto"/>
        <w:jc w:val="both"/>
        <w:rPr>
          <w:rFonts w:eastAsia="Times New Roman"/>
          <w:sz w:val="24"/>
          <w:szCs w:val="24"/>
        </w:rPr>
      </w:pPr>
    </w:p>
    <w:p w14:paraId="3442CA09" w14:textId="6430CCA9" w:rsidR="0067581A" w:rsidRPr="00415C43" w:rsidRDefault="0067581A" w:rsidP="00541AD4">
      <w:pPr>
        <w:spacing w:after="240" w:line="360" w:lineRule="auto"/>
        <w:jc w:val="center"/>
        <w:rPr>
          <w:rFonts w:eastAsia="Times New Roman"/>
          <w:sz w:val="24"/>
          <w:szCs w:val="24"/>
        </w:rPr>
      </w:pPr>
      <w:r w:rsidRPr="00415C43">
        <w:rPr>
          <w:noProof/>
          <w:sz w:val="24"/>
          <w:szCs w:val="24"/>
          <w:lang w:val="en-US"/>
        </w:rPr>
        <w:drawing>
          <wp:inline distT="0" distB="0" distL="0" distR="0" wp14:anchorId="3F286A6D" wp14:editId="37AA4B34">
            <wp:extent cx="4572000" cy="2743200"/>
            <wp:effectExtent l="0" t="0" r="0" b="0"/>
            <wp:docPr id="1761419541" name="Chart 1">
              <a:extLst xmlns:a="http://schemas.openxmlformats.org/drawingml/2006/main">
                <a:ext uri="{FF2B5EF4-FFF2-40B4-BE49-F238E27FC236}">
                  <a16:creationId xmlns:a16="http://schemas.microsoft.com/office/drawing/2014/main" id="{F475AA1C-56BB-BD1B-3EAF-2E678CDB18E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2"/>
              </a:graphicData>
            </a:graphic>
          </wp:inline>
        </w:drawing>
      </w:r>
    </w:p>
    <w:p w14:paraId="79791C43" w14:textId="42ACA4CD" w:rsidR="0067581A" w:rsidRPr="00415C43" w:rsidRDefault="0067581A" w:rsidP="00541AD4">
      <w:pPr>
        <w:spacing w:after="240" w:line="360" w:lineRule="auto"/>
        <w:jc w:val="center"/>
        <w:rPr>
          <w:rFonts w:eastAsia="Times New Roman"/>
          <w:sz w:val="24"/>
          <w:szCs w:val="24"/>
        </w:rPr>
      </w:pPr>
      <w:r w:rsidRPr="00415C43">
        <w:rPr>
          <w:noProof/>
          <w:sz w:val="24"/>
          <w:szCs w:val="24"/>
          <w:lang w:val="en-US"/>
        </w:rPr>
        <w:drawing>
          <wp:inline distT="0" distB="0" distL="0" distR="0" wp14:anchorId="743B2D34" wp14:editId="0AA00AF2">
            <wp:extent cx="4572000" cy="2743200"/>
            <wp:effectExtent l="0" t="0" r="0" b="0"/>
            <wp:docPr id="1229271722" name="Chart 1">
              <a:extLst xmlns:a="http://schemas.openxmlformats.org/drawingml/2006/main">
                <a:ext uri="{FF2B5EF4-FFF2-40B4-BE49-F238E27FC236}">
                  <a16:creationId xmlns:a16="http://schemas.microsoft.com/office/drawing/2014/main" id="{E8C79670-7A3B-1EB7-10F2-D8B9E22B6CF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3"/>
              </a:graphicData>
            </a:graphic>
          </wp:inline>
        </w:drawing>
      </w:r>
    </w:p>
    <w:tbl>
      <w:tblPr>
        <w:tblStyle w:val="TableGrid"/>
        <w:tblW w:w="5000" w:type="pct"/>
        <w:tblLook w:val="04A0" w:firstRow="1" w:lastRow="0" w:firstColumn="1" w:lastColumn="0" w:noHBand="0" w:noVBand="1"/>
      </w:tblPr>
      <w:tblGrid>
        <w:gridCol w:w="2175"/>
        <w:gridCol w:w="2954"/>
        <w:gridCol w:w="847"/>
        <w:gridCol w:w="847"/>
        <w:gridCol w:w="732"/>
        <w:gridCol w:w="732"/>
        <w:gridCol w:w="732"/>
      </w:tblGrid>
      <w:tr w:rsidR="0067581A" w:rsidRPr="00415C43" w14:paraId="7A643446" w14:textId="77777777" w:rsidTr="0067581A">
        <w:trPr>
          <w:trHeight w:val="300"/>
        </w:trPr>
        <w:tc>
          <w:tcPr>
            <w:tcW w:w="1066" w:type="pct"/>
            <w:noWrap/>
            <w:hideMark/>
          </w:tcPr>
          <w:p w14:paraId="04FDCE1D" w14:textId="77777777" w:rsidR="0067581A" w:rsidRPr="00415C43" w:rsidRDefault="0067581A" w:rsidP="00541AD4">
            <w:pPr>
              <w:spacing w:after="240" w:line="360" w:lineRule="auto"/>
              <w:rPr>
                <w:rFonts w:eastAsia="Times New Roman"/>
                <w:b/>
                <w:bCs/>
                <w:color w:val="000000"/>
                <w:sz w:val="24"/>
                <w:szCs w:val="24"/>
                <w:lang w:val="en-US"/>
              </w:rPr>
            </w:pPr>
            <w:r w:rsidRPr="00415C43">
              <w:rPr>
                <w:rFonts w:eastAsia="Times New Roman"/>
                <w:b/>
                <w:bCs/>
                <w:color w:val="000000"/>
                <w:sz w:val="24"/>
                <w:szCs w:val="24"/>
                <w:lang w:val="en-US"/>
              </w:rPr>
              <w:t>C. Efficiency Ratios</w:t>
            </w:r>
          </w:p>
        </w:tc>
        <w:tc>
          <w:tcPr>
            <w:tcW w:w="1544" w:type="pct"/>
            <w:noWrap/>
            <w:hideMark/>
          </w:tcPr>
          <w:p w14:paraId="17D8E1F0" w14:textId="77777777" w:rsidR="0067581A" w:rsidRPr="00415C43" w:rsidRDefault="0067581A" w:rsidP="00541AD4">
            <w:pPr>
              <w:spacing w:after="240" w:line="360" w:lineRule="auto"/>
              <w:rPr>
                <w:rFonts w:eastAsia="Times New Roman"/>
                <w:b/>
                <w:bCs/>
                <w:color w:val="000000"/>
                <w:sz w:val="24"/>
                <w:szCs w:val="24"/>
                <w:lang w:val="en-US"/>
              </w:rPr>
            </w:pPr>
            <w:r w:rsidRPr="00415C43">
              <w:rPr>
                <w:rFonts w:eastAsia="Times New Roman"/>
                <w:b/>
                <w:bCs/>
                <w:color w:val="000000"/>
                <w:sz w:val="24"/>
                <w:szCs w:val="24"/>
                <w:lang w:val="en-US"/>
              </w:rPr>
              <w:t>Formula</w:t>
            </w:r>
          </w:p>
        </w:tc>
        <w:tc>
          <w:tcPr>
            <w:tcW w:w="478" w:type="pct"/>
            <w:noWrap/>
            <w:hideMark/>
          </w:tcPr>
          <w:p w14:paraId="76607EE3" w14:textId="77777777" w:rsidR="0067581A" w:rsidRPr="00415C43" w:rsidRDefault="0067581A" w:rsidP="00541AD4">
            <w:pPr>
              <w:spacing w:after="240" w:line="360" w:lineRule="auto"/>
              <w:jc w:val="center"/>
              <w:rPr>
                <w:rFonts w:eastAsia="Times New Roman"/>
                <w:b/>
                <w:bCs/>
                <w:i/>
                <w:iCs/>
                <w:color w:val="000000"/>
                <w:sz w:val="24"/>
                <w:szCs w:val="24"/>
                <w:lang w:val="en-US"/>
              </w:rPr>
            </w:pPr>
            <w:r w:rsidRPr="00415C43">
              <w:rPr>
                <w:rFonts w:eastAsia="Times New Roman"/>
                <w:b/>
                <w:bCs/>
                <w:i/>
                <w:iCs/>
                <w:color w:val="000000"/>
                <w:sz w:val="24"/>
                <w:szCs w:val="24"/>
                <w:lang w:val="en-US"/>
              </w:rPr>
              <w:t>2021</w:t>
            </w:r>
          </w:p>
        </w:tc>
        <w:tc>
          <w:tcPr>
            <w:tcW w:w="478" w:type="pct"/>
            <w:noWrap/>
            <w:hideMark/>
          </w:tcPr>
          <w:p w14:paraId="6EF0CE56" w14:textId="77777777" w:rsidR="0067581A" w:rsidRPr="00415C43" w:rsidRDefault="0067581A" w:rsidP="00541AD4">
            <w:pPr>
              <w:spacing w:after="240" w:line="360" w:lineRule="auto"/>
              <w:jc w:val="center"/>
              <w:rPr>
                <w:rFonts w:eastAsia="Times New Roman"/>
                <w:b/>
                <w:bCs/>
                <w:i/>
                <w:iCs/>
                <w:color w:val="000000"/>
                <w:sz w:val="24"/>
                <w:szCs w:val="24"/>
                <w:lang w:val="en-US"/>
              </w:rPr>
            </w:pPr>
            <w:r w:rsidRPr="00415C43">
              <w:rPr>
                <w:rFonts w:eastAsia="Times New Roman"/>
                <w:b/>
                <w:bCs/>
                <w:i/>
                <w:iCs/>
                <w:color w:val="000000"/>
                <w:sz w:val="24"/>
                <w:szCs w:val="24"/>
                <w:lang w:val="en-US"/>
              </w:rPr>
              <w:t>2022</w:t>
            </w:r>
          </w:p>
        </w:tc>
        <w:tc>
          <w:tcPr>
            <w:tcW w:w="478" w:type="pct"/>
            <w:noWrap/>
            <w:hideMark/>
          </w:tcPr>
          <w:p w14:paraId="2728AD75" w14:textId="77777777" w:rsidR="0067581A" w:rsidRPr="00415C43" w:rsidRDefault="0067581A" w:rsidP="00541AD4">
            <w:pPr>
              <w:spacing w:after="240" w:line="360" w:lineRule="auto"/>
              <w:jc w:val="center"/>
              <w:rPr>
                <w:rFonts w:eastAsia="Times New Roman"/>
                <w:b/>
                <w:bCs/>
                <w:i/>
                <w:iCs/>
                <w:color w:val="000000"/>
                <w:sz w:val="24"/>
                <w:szCs w:val="24"/>
                <w:lang w:val="en-US"/>
              </w:rPr>
            </w:pPr>
            <w:r w:rsidRPr="00415C43">
              <w:rPr>
                <w:rFonts w:eastAsia="Times New Roman"/>
                <w:b/>
                <w:bCs/>
                <w:i/>
                <w:iCs/>
                <w:color w:val="000000"/>
                <w:sz w:val="24"/>
                <w:szCs w:val="24"/>
                <w:lang w:val="en-US"/>
              </w:rPr>
              <w:t>2023</w:t>
            </w:r>
          </w:p>
        </w:tc>
        <w:tc>
          <w:tcPr>
            <w:tcW w:w="478" w:type="pct"/>
            <w:noWrap/>
            <w:hideMark/>
          </w:tcPr>
          <w:p w14:paraId="5E9330DA" w14:textId="77777777" w:rsidR="0067581A" w:rsidRPr="00415C43" w:rsidRDefault="0067581A" w:rsidP="00541AD4">
            <w:pPr>
              <w:spacing w:after="240" w:line="360" w:lineRule="auto"/>
              <w:jc w:val="center"/>
              <w:rPr>
                <w:rFonts w:eastAsia="Times New Roman"/>
                <w:b/>
                <w:bCs/>
                <w:i/>
                <w:iCs/>
                <w:color w:val="000000"/>
                <w:sz w:val="24"/>
                <w:szCs w:val="24"/>
                <w:lang w:val="en-US"/>
              </w:rPr>
            </w:pPr>
            <w:r w:rsidRPr="00415C43">
              <w:rPr>
                <w:rFonts w:eastAsia="Times New Roman"/>
                <w:b/>
                <w:bCs/>
                <w:i/>
                <w:iCs/>
                <w:color w:val="000000"/>
                <w:sz w:val="24"/>
                <w:szCs w:val="24"/>
                <w:lang w:val="en-US"/>
              </w:rPr>
              <w:t>2024</w:t>
            </w:r>
          </w:p>
        </w:tc>
        <w:tc>
          <w:tcPr>
            <w:tcW w:w="478" w:type="pct"/>
            <w:noWrap/>
            <w:hideMark/>
          </w:tcPr>
          <w:p w14:paraId="4FC602BF" w14:textId="77777777" w:rsidR="0067581A" w:rsidRPr="00415C43" w:rsidRDefault="0067581A" w:rsidP="00541AD4">
            <w:pPr>
              <w:spacing w:after="240" w:line="360" w:lineRule="auto"/>
              <w:jc w:val="center"/>
              <w:rPr>
                <w:rFonts w:eastAsia="Times New Roman"/>
                <w:b/>
                <w:bCs/>
                <w:i/>
                <w:iCs/>
                <w:color w:val="000000"/>
                <w:sz w:val="24"/>
                <w:szCs w:val="24"/>
                <w:lang w:val="en-US"/>
              </w:rPr>
            </w:pPr>
            <w:r w:rsidRPr="00415C43">
              <w:rPr>
                <w:rFonts w:eastAsia="Times New Roman"/>
                <w:b/>
                <w:bCs/>
                <w:i/>
                <w:iCs/>
                <w:color w:val="000000"/>
                <w:sz w:val="24"/>
                <w:szCs w:val="24"/>
                <w:lang w:val="en-US"/>
              </w:rPr>
              <w:t>2025</w:t>
            </w:r>
          </w:p>
        </w:tc>
      </w:tr>
      <w:tr w:rsidR="0067581A" w:rsidRPr="00415C43" w14:paraId="64ECBFFA" w14:textId="77777777" w:rsidTr="0067581A">
        <w:trPr>
          <w:trHeight w:val="300"/>
        </w:trPr>
        <w:tc>
          <w:tcPr>
            <w:tcW w:w="1066" w:type="pct"/>
            <w:noWrap/>
            <w:hideMark/>
          </w:tcPr>
          <w:p w14:paraId="713647EE" w14:textId="77777777" w:rsidR="0067581A" w:rsidRPr="00415C43" w:rsidRDefault="0067581A" w:rsidP="00541AD4">
            <w:pPr>
              <w:spacing w:after="240" w:line="360" w:lineRule="auto"/>
              <w:rPr>
                <w:rFonts w:eastAsia="Times New Roman"/>
                <w:color w:val="000000"/>
                <w:sz w:val="24"/>
                <w:szCs w:val="24"/>
                <w:lang w:val="en-US"/>
              </w:rPr>
            </w:pPr>
            <w:r w:rsidRPr="00415C43">
              <w:rPr>
                <w:rFonts w:eastAsia="Times New Roman"/>
                <w:color w:val="000000"/>
                <w:sz w:val="24"/>
                <w:szCs w:val="24"/>
                <w:lang w:val="en-US"/>
              </w:rPr>
              <w:t>Total Asset Turnover</w:t>
            </w:r>
          </w:p>
        </w:tc>
        <w:tc>
          <w:tcPr>
            <w:tcW w:w="1544" w:type="pct"/>
            <w:noWrap/>
            <w:hideMark/>
          </w:tcPr>
          <w:p w14:paraId="4A7261E2" w14:textId="77777777" w:rsidR="0067581A" w:rsidRPr="00415C43" w:rsidRDefault="0067581A" w:rsidP="00541AD4">
            <w:pPr>
              <w:spacing w:after="240" w:line="360" w:lineRule="auto"/>
              <w:rPr>
                <w:rFonts w:eastAsia="Times New Roman"/>
                <w:color w:val="000000"/>
                <w:sz w:val="24"/>
                <w:szCs w:val="24"/>
                <w:lang w:val="en-US"/>
              </w:rPr>
            </w:pPr>
            <w:r w:rsidRPr="00415C43">
              <w:rPr>
                <w:rFonts w:eastAsia="Times New Roman"/>
                <w:color w:val="000000"/>
                <w:sz w:val="24"/>
                <w:szCs w:val="24"/>
                <w:lang w:val="en-US"/>
              </w:rPr>
              <w:t>Revenue / Total Assets</w:t>
            </w:r>
          </w:p>
        </w:tc>
        <w:tc>
          <w:tcPr>
            <w:tcW w:w="478" w:type="pct"/>
            <w:noWrap/>
            <w:hideMark/>
          </w:tcPr>
          <w:p w14:paraId="2121EEA6"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0.29</w:t>
            </w:r>
          </w:p>
        </w:tc>
        <w:tc>
          <w:tcPr>
            <w:tcW w:w="478" w:type="pct"/>
            <w:noWrap/>
            <w:hideMark/>
          </w:tcPr>
          <w:p w14:paraId="2DCD1E16"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0.52</w:t>
            </w:r>
          </w:p>
        </w:tc>
        <w:tc>
          <w:tcPr>
            <w:tcW w:w="478" w:type="pct"/>
            <w:noWrap/>
            <w:hideMark/>
          </w:tcPr>
          <w:p w14:paraId="31080C48"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0.60</w:t>
            </w:r>
          </w:p>
        </w:tc>
        <w:tc>
          <w:tcPr>
            <w:tcW w:w="478" w:type="pct"/>
            <w:noWrap/>
            <w:hideMark/>
          </w:tcPr>
          <w:p w14:paraId="1CCBFB47"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0.62</w:t>
            </w:r>
          </w:p>
        </w:tc>
        <w:tc>
          <w:tcPr>
            <w:tcW w:w="478" w:type="pct"/>
            <w:noWrap/>
            <w:hideMark/>
          </w:tcPr>
          <w:p w14:paraId="58739374"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0.63</w:t>
            </w:r>
          </w:p>
        </w:tc>
      </w:tr>
      <w:tr w:rsidR="0067581A" w:rsidRPr="00415C43" w14:paraId="79B44768" w14:textId="77777777" w:rsidTr="0067581A">
        <w:trPr>
          <w:trHeight w:val="300"/>
        </w:trPr>
        <w:tc>
          <w:tcPr>
            <w:tcW w:w="1066" w:type="pct"/>
            <w:noWrap/>
            <w:hideMark/>
          </w:tcPr>
          <w:p w14:paraId="698DB6CE" w14:textId="77777777" w:rsidR="0067581A" w:rsidRPr="00415C43" w:rsidRDefault="0067581A" w:rsidP="00541AD4">
            <w:pPr>
              <w:spacing w:after="240" w:line="360" w:lineRule="auto"/>
              <w:rPr>
                <w:rFonts w:eastAsia="Times New Roman"/>
                <w:color w:val="000000"/>
                <w:sz w:val="24"/>
                <w:szCs w:val="24"/>
                <w:lang w:val="en-US"/>
              </w:rPr>
            </w:pPr>
            <w:r w:rsidRPr="00415C43">
              <w:rPr>
                <w:rFonts w:eastAsia="Times New Roman"/>
                <w:color w:val="000000"/>
                <w:sz w:val="24"/>
                <w:szCs w:val="24"/>
                <w:lang w:val="en-US"/>
              </w:rPr>
              <w:lastRenderedPageBreak/>
              <w:t>Receivable Turnover</w:t>
            </w:r>
          </w:p>
        </w:tc>
        <w:tc>
          <w:tcPr>
            <w:tcW w:w="1544" w:type="pct"/>
            <w:noWrap/>
            <w:hideMark/>
          </w:tcPr>
          <w:p w14:paraId="7CAAE6A2" w14:textId="77777777" w:rsidR="0067581A" w:rsidRPr="00415C43" w:rsidRDefault="0067581A" w:rsidP="00541AD4">
            <w:pPr>
              <w:spacing w:after="240" w:line="360" w:lineRule="auto"/>
              <w:rPr>
                <w:rFonts w:eastAsia="Times New Roman"/>
                <w:color w:val="000000"/>
                <w:sz w:val="24"/>
                <w:szCs w:val="24"/>
                <w:lang w:val="en-US"/>
              </w:rPr>
            </w:pPr>
            <w:r w:rsidRPr="00415C43">
              <w:rPr>
                <w:rFonts w:eastAsia="Times New Roman"/>
                <w:color w:val="000000"/>
                <w:sz w:val="24"/>
                <w:szCs w:val="24"/>
                <w:lang w:val="en-US"/>
              </w:rPr>
              <w:t>Revenue / Receivables</w:t>
            </w:r>
          </w:p>
        </w:tc>
        <w:tc>
          <w:tcPr>
            <w:tcW w:w="478" w:type="pct"/>
            <w:noWrap/>
            <w:hideMark/>
          </w:tcPr>
          <w:p w14:paraId="435EC0F9"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1.32</w:t>
            </w:r>
          </w:p>
        </w:tc>
        <w:tc>
          <w:tcPr>
            <w:tcW w:w="478" w:type="pct"/>
            <w:noWrap/>
            <w:hideMark/>
          </w:tcPr>
          <w:p w14:paraId="251DEE7E"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2.57</w:t>
            </w:r>
          </w:p>
        </w:tc>
        <w:tc>
          <w:tcPr>
            <w:tcW w:w="478" w:type="pct"/>
            <w:noWrap/>
            <w:hideMark/>
          </w:tcPr>
          <w:p w14:paraId="0853300B"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3.94</w:t>
            </w:r>
          </w:p>
        </w:tc>
        <w:tc>
          <w:tcPr>
            <w:tcW w:w="478" w:type="pct"/>
            <w:noWrap/>
            <w:hideMark/>
          </w:tcPr>
          <w:p w14:paraId="7A66C86B"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4.51</w:t>
            </w:r>
          </w:p>
        </w:tc>
        <w:tc>
          <w:tcPr>
            <w:tcW w:w="478" w:type="pct"/>
            <w:noWrap/>
            <w:hideMark/>
          </w:tcPr>
          <w:p w14:paraId="5423BA70"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4.68</w:t>
            </w:r>
          </w:p>
        </w:tc>
      </w:tr>
      <w:tr w:rsidR="0067581A" w:rsidRPr="00415C43" w14:paraId="123C6AB1" w14:textId="77777777" w:rsidTr="0067581A">
        <w:trPr>
          <w:trHeight w:val="300"/>
        </w:trPr>
        <w:tc>
          <w:tcPr>
            <w:tcW w:w="1066" w:type="pct"/>
            <w:noWrap/>
            <w:hideMark/>
          </w:tcPr>
          <w:p w14:paraId="14245021" w14:textId="77777777" w:rsidR="0067581A" w:rsidRPr="00415C43" w:rsidRDefault="0067581A" w:rsidP="00541AD4">
            <w:pPr>
              <w:spacing w:after="240" w:line="360" w:lineRule="auto"/>
              <w:rPr>
                <w:rFonts w:eastAsia="Times New Roman"/>
                <w:color w:val="000000"/>
                <w:sz w:val="24"/>
                <w:szCs w:val="24"/>
                <w:lang w:val="en-US"/>
              </w:rPr>
            </w:pPr>
            <w:r w:rsidRPr="00415C43">
              <w:rPr>
                <w:rFonts w:eastAsia="Times New Roman"/>
                <w:color w:val="000000"/>
                <w:sz w:val="24"/>
                <w:szCs w:val="24"/>
                <w:lang w:val="en-US"/>
              </w:rPr>
              <w:t>Receivable Days</w:t>
            </w:r>
          </w:p>
        </w:tc>
        <w:tc>
          <w:tcPr>
            <w:tcW w:w="1544" w:type="pct"/>
            <w:noWrap/>
            <w:hideMark/>
          </w:tcPr>
          <w:p w14:paraId="5022B277" w14:textId="77777777" w:rsidR="0067581A" w:rsidRPr="00415C43" w:rsidRDefault="0067581A" w:rsidP="00541AD4">
            <w:pPr>
              <w:spacing w:after="240" w:line="360" w:lineRule="auto"/>
              <w:rPr>
                <w:rFonts w:eastAsia="Times New Roman"/>
                <w:color w:val="000000"/>
                <w:sz w:val="24"/>
                <w:szCs w:val="24"/>
                <w:lang w:val="en-US"/>
              </w:rPr>
            </w:pPr>
            <w:r w:rsidRPr="00415C43">
              <w:rPr>
                <w:rFonts w:eastAsia="Times New Roman"/>
                <w:color w:val="000000"/>
                <w:sz w:val="24"/>
                <w:szCs w:val="24"/>
                <w:lang w:val="en-US"/>
              </w:rPr>
              <w:t>(Receivables / Revenue) *365</w:t>
            </w:r>
          </w:p>
        </w:tc>
        <w:tc>
          <w:tcPr>
            <w:tcW w:w="478" w:type="pct"/>
            <w:noWrap/>
            <w:hideMark/>
          </w:tcPr>
          <w:p w14:paraId="5E256D13"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275.90</w:t>
            </w:r>
          </w:p>
        </w:tc>
        <w:tc>
          <w:tcPr>
            <w:tcW w:w="478" w:type="pct"/>
            <w:noWrap/>
            <w:hideMark/>
          </w:tcPr>
          <w:p w14:paraId="5CD656AE"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141.97</w:t>
            </w:r>
          </w:p>
        </w:tc>
        <w:tc>
          <w:tcPr>
            <w:tcW w:w="478" w:type="pct"/>
            <w:noWrap/>
            <w:hideMark/>
          </w:tcPr>
          <w:p w14:paraId="25C836D1"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92.62</w:t>
            </w:r>
          </w:p>
        </w:tc>
        <w:tc>
          <w:tcPr>
            <w:tcW w:w="478" w:type="pct"/>
            <w:noWrap/>
            <w:hideMark/>
          </w:tcPr>
          <w:p w14:paraId="0CEBAF18"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81.00</w:t>
            </w:r>
          </w:p>
        </w:tc>
        <w:tc>
          <w:tcPr>
            <w:tcW w:w="478" w:type="pct"/>
            <w:noWrap/>
            <w:hideMark/>
          </w:tcPr>
          <w:p w14:paraId="48A8E3EA"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78.00</w:t>
            </w:r>
          </w:p>
        </w:tc>
      </w:tr>
      <w:tr w:rsidR="0067581A" w:rsidRPr="00415C43" w14:paraId="5ED6520A" w14:textId="77777777" w:rsidTr="0067581A">
        <w:trPr>
          <w:trHeight w:val="315"/>
        </w:trPr>
        <w:tc>
          <w:tcPr>
            <w:tcW w:w="1066" w:type="pct"/>
            <w:noWrap/>
            <w:hideMark/>
          </w:tcPr>
          <w:p w14:paraId="32D5C43F" w14:textId="77777777" w:rsidR="0067581A" w:rsidRPr="00415C43" w:rsidRDefault="0067581A" w:rsidP="00541AD4">
            <w:pPr>
              <w:spacing w:after="240" w:line="360" w:lineRule="auto"/>
              <w:rPr>
                <w:rFonts w:eastAsia="Times New Roman"/>
                <w:color w:val="000000"/>
                <w:sz w:val="24"/>
                <w:szCs w:val="24"/>
                <w:lang w:val="en-US"/>
              </w:rPr>
            </w:pPr>
            <w:r w:rsidRPr="00415C43">
              <w:rPr>
                <w:rFonts w:eastAsia="Times New Roman"/>
                <w:color w:val="000000"/>
                <w:sz w:val="24"/>
                <w:szCs w:val="24"/>
                <w:lang w:val="en-US"/>
              </w:rPr>
              <w:t>Fixed Asset Turnover</w:t>
            </w:r>
          </w:p>
        </w:tc>
        <w:tc>
          <w:tcPr>
            <w:tcW w:w="1544" w:type="pct"/>
            <w:noWrap/>
            <w:hideMark/>
          </w:tcPr>
          <w:p w14:paraId="4DD6645A" w14:textId="77777777" w:rsidR="0067581A" w:rsidRPr="00415C43" w:rsidRDefault="0067581A" w:rsidP="00541AD4">
            <w:pPr>
              <w:spacing w:after="240" w:line="360" w:lineRule="auto"/>
              <w:rPr>
                <w:rFonts w:eastAsia="Times New Roman"/>
                <w:color w:val="000000"/>
                <w:sz w:val="24"/>
                <w:szCs w:val="24"/>
                <w:lang w:val="en-US"/>
              </w:rPr>
            </w:pPr>
            <w:r w:rsidRPr="00415C43">
              <w:rPr>
                <w:rFonts w:eastAsia="Times New Roman"/>
                <w:color w:val="000000"/>
                <w:sz w:val="24"/>
                <w:szCs w:val="24"/>
                <w:lang w:val="en-US"/>
              </w:rPr>
              <w:t>Revenue / PP&amp;E</w:t>
            </w:r>
          </w:p>
        </w:tc>
        <w:tc>
          <w:tcPr>
            <w:tcW w:w="478" w:type="pct"/>
            <w:noWrap/>
            <w:hideMark/>
          </w:tcPr>
          <w:p w14:paraId="34D4A4C4"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0.72</w:t>
            </w:r>
          </w:p>
        </w:tc>
        <w:tc>
          <w:tcPr>
            <w:tcW w:w="478" w:type="pct"/>
            <w:noWrap/>
            <w:hideMark/>
          </w:tcPr>
          <w:p w14:paraId="5CC1C566"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1.18</w:t>
            </w:r>
          </w:p>
        </w:tc>
        <w:tc>
          <w:tcPr>
            <w:tcW w:w="478" w:type="pct"/>
            <w:noWrap/>
            <w:hideMark/>
          </w:tcPr>
          <w:p w14:paraId="10BEBDDD"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1.82</w:t>
            </w:r>
          </w:p>
        </w:tc>
        <w:tc>
          <w:tcPr>
            <w:tcW w:w="478" w:type="pct"/>
            <w:noWrap/>
            <w:hideMark/>
          </w:tcPr>
          <w:p w14:paraId="008678AB"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1.89</w:t>
            </w:r>
          </w:p>
        </w:tc>
        <w:tc>
          <w:tcPr>
            <w:tcW w:w="478" w:type="pct"/>
            <w:noWrap/>
            <w:hideMark/>
          </w:tcPr>
          <w:p w14:paraId="41CFE022"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1.94</w:t>
            </w:r>
          </w:p>
        </w:tc>
      </w:tr>
    </w:tbl>
    <w:p w14:paraId="2061A899" w14:textId="77777777" w:rsidR="0067581A" w:rsidRPr="00415C43" w:rsidRDefault="0067581A" w:rsidP="00541AD4">
      <w:pPr>
        <w:spacing w:after="240" w:line="360" w:lineRule="auto"/>
        <w:jc w:val="both"/>
        <w:rPr>
          <w:rFonts w:eastAsia="Times New Roman"/>
          <w:sz w:val="24"/>
          <w:szCs w:val="24"/>
        </w:rPr>
      </w:pPr>
    </w:p>
    <w:p w14:paraId="1C7C3240" w14:textId="741AA60E" w:rsidR="0067581A" w:rsidRPr="00415C43" w:rsidRDefault="0067581A" w:rsidP="00541AD4">
      <w:pPr>
        <w:spacing w:after="240" w:line="360" w:lineRule="auto"/>
        <w:jc w:val="center"/>
        <w:rPr>
          <w:rFonts w:eastAsia="Times New Roman"/>
          <w:sz w:val="24"/>
          <w:szCs w:val="24"/>
        </w:rPr>
      </w:pPr>
      <w:r w:rsidRPr="00415C43">
        <w:rPr>
          <w:noProof/>
          <w:sz w:val="24"/>
          <w:szCs w:val="24"/>
          <w:lang w:val="en-US"/>
        </w:rPr>
        <w:drawing>
          <wp:inline distT="0" distB="0" distL="0" distR="0" wp14:anchorId="3D615ED2" wp14:editId="0BACA834">
            <wp:extent cx="4572000" cy="2743200"/>
            <wp:effectExtent l="0" t="0" r="0" b="0"/>
            <wp:docPr id="593403923" name="Chart 1">
              <a:extLst xmlns:a="http://schemas.openxmlformats.org/drawingml/2006/main">
                <a:ext uri="{FF2B5EF4-FFF2-40B4-BE49-F238E27FC236}">
                  <a16:creationId xmlns:a16="http://schemas.microsoft.com/office/drawing/2014/main" id="{8D94BB63-8BF1-0BFB-A2F1-5980207110B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4"/>
              </a:graphicData>
            </a:graphic>
          </wp:inline>
        </w:drawing>
      </w:r>
    </w:p>
    <w:p w14:paraId="3A643DAF" w14:textId="34A09DB0" w:rsidR="0067581A" w:rsidRPr="00415C43" w:rsidRDefault="0067581A" w:rsidP="00541AD4">
      <w:pPr>
        <w:spacing w:after="240" w:line="360" w:lineRule="auto"/>
        <w:jc w:val="center"/>
        <w:rPr>
          <w:rFonts w:eastAsia="Times New Roman"/>
          <w:sz w:val="24"/>
          <w:szCs w:val="24"/>
        </w:rPr>
      </w:pPr>
      <w:r w:rsidRPr="00415C43">
        <w:rPr>
          <w:noProof/>
          <w:sz w:val="24"/>
          <w:szCs w:val="24"/>
          <w:lang w:val="en-US"/>
        </w:rPr>
        <w:drawing>
          <wp:inline distT="0" distB="0" distL="0" distR="0" wp14:anchorId="10CE48B3" wp14:editId="7555C8B8">
            <wp:extent cx="4572000" cy="2743200"/>
            <wp:effectExtent l="0" t="0" r="0" b="0"/>
            <wp:docPr id="522167679" name="Chart 1">
              <a:extLst xmlns:a="http://schemas.openxmlformats.org/drawingml/2006/main">
                <a:ext uri="{FF2B5EF4-FFF2-40B4-BE49-F238E27FC236}">
                  <a16:creationId xmlns:a16="http://schemas.microsoft.com/office/drawing/2014/main" id="{49EB2BC4-362B-8731-EF69-A8DA645E308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5"/>
              </a:graphicData>
            </a:graphic>
          </wp:inline>
        </w:drawing>
      </w:r>
    </w:p>
    <w:tbl>
      <w:tblPr>
        <w:tblStyle w:val="TableGrid"/>
        <w:tblW w:w="5000" w:type="pct"/>
        <w:tblLook w:val="04A0" w:firstRow="1" w:lastRow="0" w:firstColumn="1" w:lastColumn="0" w:noHBand="0" w:noVBand="1"/>
      </w:tblPr>
      <w:tblGrid>
        <w:gridCol w:w="2996"/>
        <w:gridCol w:w="2893"/>
        <w:gridCol w:w="626"/>
        <w:gridCol w:w="626"/>
        <w:gridCol w:w="626"/>
        <w:gridCol w:w="626"/>
        <w:gridCol w:w="626"/>
      </w:tblGrid>
      <w:tr w:rsidR="0067581A" w:rsidRPr="00415C43" w14:paraId="7C78B896" w14:textId="77777777" w:rsidTr="0067581A">
        <w:trPr>
          <w:trHeight w:val="300"/>
        </w:trPr>
        <w:tc>
          <w:tcPr>
            <w:tcW w:w="1289" w:type="pct"/>
            <w:noWrap/>
            <w:hideMark/>
          </w:tcPr>
          <w:p w14:paraId="04E20B41" w14:textId="77777777" w:rsidR="0067581A" w:rsidRPr="00415C43" w:rsidRDefault="0067581A" w:rsidP="00541AD4">
            <w:pPr>
              <w:spacing w:after="240" w:line="360" w:lineRule="auto"/>
              <w:rPr>
                <w:rFonts w:eastAsia="Times New Roman"/>
                <w:b/>
                <w:bCs/>
                <w:color w:val="000000"/>
                <w:sz w:val="24"/>
                <w:szCs w:val="24"/>
                <w:lang w:val="en-US"/>
              </w:rPr>
            </w:pPr>
            <w:r w:rsidRPr="00415C43">
              <w:rPr>
                <w:rFonts w:eastAsia="Times New Roman"/>
                <w:b/>
                <w:bCs/>
                <w:color w:val="000000"/>
                <w:sz w:val="24"/>
                <w:szCs w:val="24"/>
                <w:lang w:val="en-US"/>
              </w:rPr>
              <w:lastRenderedPageBreak/>
              <w:t>D. Gearing Ratios</w:t>
            </w:r>
          </w:p>
        </w:tc>
        <w:tc>
          <w:tcPr>
            <w:tcW w:w="1457" w:type="pct"/>
            <w:noWrap/>
            <w:hideMark/>
          </w:tcPr>
          <w:p w14:paraId="6ED66B84" w14:textId="77777777" w:rsidR="0067581A" w:rsidRPr="00415C43" w:rsidRDefault="0067581A" w:rsidP="00541AD4">
            <w:pPr>
              <w:spacing w:after="240" w:line="360" w:lineRule="auto"/>
              <w:rPr>
                <w:rFonts w:eastAsia="Times New Roman"/>
                <w:b/>
                <w:bCs/>
                <w:color w:val="000000"/>
                <w:sz w:val="24"/>
                <w:szCs w:val="24"/>
                <w:lang w:val="en-US"/>
              </w:rPr>
            </w:pPr>
            <w:r w:rsidRPr="00415C43">
              <w:rPr>
                <w:rFonts w:eastAsia="Times New Roman"/>
                <w:b/>
                <w:bCs/>
                <w:color w:val="000000"/>
                <w:sz w:val="24"/>
                <w:szCs w:val="24"/>
                <w:lang w:val="en-US"/>
              </w:rPr>
              <w:t>Formula</w:t>
            </w:r>
          </w:p>
        </w:tc>
        <w:tc>
          <w:tcPr>
            <w:tcW w:w="451" w:type="pct"/>
            <w:noWrap/>
            <w:hideMark/>
          </w:tcPr>
          <w:p w14:paraId="32E79BEB" w14:textId="77777777" w:rsidR="0067581A" w:rsidRPr="00415C43" w:rsidRDefault="0067581A" w:rsidP="00541AD4">
            <w:pPr>
              <w:spacing w:after="240" w:line="360" w:lineRule="auto"/>
              <w:jc w:val="center"/>
              <w:rPr>
                <w:rFonts w:eastAsia="Times New Roman"/>
                <w:b/>
                <w:bCs/>
                <w:i/>
                <w:iCs/>
                <w:color w:val="000000"/>
                <w:sz w:val="24"/>
                <w:szCs w:val="24"/>
                <w:lang w:val="en-US"/>
              </w:rPr>
            </w:pPr>
            <w:r w:rsidRPr="00415C43">
              <w:rPr>
                <w:rFonts w:eastAsia="Times New Roman"/>
                <w:b/>
                <w:bCs/>
                <w:i/>
                <w:iCs/>
                <w:color w:val="000000"/>
                <w:sz w:val="24"/>
                <w:szCs w:val="24"/>
                <w:lang w:val="en-US"/>
              </w:rPr>
              <w:t>2021</w:t>
            </w:r>
          </w:p>
        </w:tc>
        <w:tc>
          <w:tcPr>
            <w:tcW w:w="451" w:type="pct"/>
            <w:noWrap/>
            <w:hideMark/>
          </w:tcPr>
          <w:p w14:paraId="7A554EAC" w14:textId="77777777" w:rsidR="0067581A" w:rsidRPr="00415C43" w:rsidRDefault="0067581A" w:rsidP="00541AD4">
            <w:pPr>
              <w:spacing w:after="240" w:line="360" w:lineRule="auto"/>
              <w:jc w:val="center"/>
              <w:rPr>
                <w:rFonts w:eastAsia="Times New Roman"/>
                <w:b/>
                <w:bCs/>
                <w:i/>
                <w:iCs/>
                <w:color w:val="000000"/>
                <w:sz w:val="24"/>
                <w:szCs w:val="24"/>
                <w:lang w:val="en-US"/>
              </w:rPr>
            </w:pPr>
            <w:r w:rsidRPr="00415C43">
              <w:rPr>
                <w:rFonts w:eastAsia="Times New Roman"/>
                <w:b/>
                <w:bCs/>
                <w:i/>
                <w:iCs/>
                <w:color w:val="000000"/>
                <w:sz w:val="24"/>
                <w:szCs w:val="24"/>
                <w:lang w:val="en-US"/>
              </w:rPr>
              <w:t>2022</w:t>
            </w:r>
          </w:p>
        </w:tc>
        <w:tc>
          <w:tcPr>
            <w:tcW w:w="451" w:type="pct"/>
            <w:noWrap/>
            <w:hideMark/>
          </w:tcPr>
          <w:p w14:paraId="35B8278D" w14:textId="77777777" w:rsidR="0067581A" w:rsidRPr="00415C43" w:rsidRDefault="0067581A" w:rsidP="00541AD4">
            <w:pPr>
              <w:spacing w:after="240" w:line="360" w:lineRule="auto"/>
              <w:jc w:val="center"/>
              <w:rPr>
                <w:rFonts w:eastAsia="Times New Roman"/>
                <w:b/>
                <w:bCs/>
                <w:i/>
                <w:iCs/>
                <w:color w:val="000000"/>
                <w:sz w:val="24"/>
                <w:szCs w:val="24"/>
                <w:lang w:val="en-US"/>
              </w:rPr>
            </w:pPr>
            <w:r w:rsidRPr="00415C43">
              <w:rPr>
                <w:rFonts w:eastAsia="Times New Roman"/>
                <w:b/>
                <w:bCs/>
                <w:i/>
                <w:iCs/>
                <w:color w:val="000000"/>
                <w:sz w:val="24"/>
                <w:szCs w:val="24"/>
                <w:lang w:val="en-US"/>
              </w:rPr>
              <w:t>2023</w:t>
            </w:r>
          </w:p>
        </w:tc>
        <w:tc>
          <w:tcPr>
            <w:tcW w:w="451" w:type="pct"/>
            <w:noWrap/>
            <w:hideMark/>
          </w:tcPr>
          <w:p w14:paraId="74D22ADB" w14:textId="77777777" w:rsidR="0067581A" w:rsidRPr="00415C43" w:rsidRDefault="0067581A" w:rsidP="00541AD4">
            <w:pPr>
              <w:spacing w:after="240" w:line="360" w:lineRule="auto"/>
              <w:jc w:val="center"/>
              <w:rPr>
                <w:rFonts w:eastAsia="Times New Roman"/>
                <w:b/>
                <w:bCs/>
                <w:i/>
                <w:iCs/>
                <w:color w:val="000000"/>
                <w:sz w:val="24"/>
                <w:szCs w:val="24"/>
                <w:lang w:val="en-US"/>
              </w:rPr>
            </w:pPr>
            <w:r w:rsidRPr="00415C43">
              <w:rPr>
                <w:rFonts w:eastAsia="Times New Roman"/>
                <w:b/>
                <w:bCs/>
                <w:i/>
                <w:iCs/>
                <w:color w:val="000000"/>
                <w:sz w:val="24"/>
                <w:szCs w:val="24"/>
                <w:lang w:val="en-US"/>
              </w:rPr>
              <w:t>2024</w:t>
            </w:r>
          </w:p>
        </w:tc>
        <w:tc>
          <w:tcPr>
            <w:tcW w:w="451" w:type="pct"/>
            <w:noWrap/>
            <w:hideMark/>
          </w:tcPr>
          <w:p w14:paraId="3DC2FD35" w14:textId="77777777" w:rsidR="0067581A" w:rsidRPr="00415C43" w:rsidRDefault="0067581A" w:rsidP="00541AD4">
            <w:pPr>
              <w:spacing w:after="240" w:line="360" w:lineRule="auto"/>
              <w:jc w:val="center"/>
              <w:rPr>
                <w:rFonts w:eastAsia="Times New Roman"/>
                <w:b/>
                <w:bCs/>
                <w:i/>
                <w:iCs/>
                <w:color w:val="000000"/>
                <w:sz w:val="24"/>
                <w:szCs w:val="24"/>
                <w:lang w:val="en-US"/>
              </w:rPr>
            </w:pPr>
            <w:r w:rsidRPr="00415C43">
              <w:rPr>
                <w:rFonts w:eastAsia="Times New Roman"/>
                <w:b/>
                <w:bCs/>
                <w:i/>
                <w:iCs/>
                <w:color w:val="000000"/>
                <w:sz w:val="24"/>
                <w:szCs w:val="24"/>
                <w:lang w:val="en-US"/>
              </w:rPr>
              <w:t>2025</w:t>
            </w:r>
          </w:p>
        </w:tc>
      </w:tr>
      <w:tr w:rsidR="0067581A" w:rsidRPr="00415C43" w14:paraId="3E2FA3D9" w14:textId="77777777" w:rsidTr="0067581A">
        <w:trPr>
          <w:trHeight w:val="300"/>
        </w:trPr>
        <w:tc>
          <w:tcPr>
            <w:tcW w:w="1289" w:type="pct"/>
            <w:noWrap/>
            <w:hideMark/>
          </w:tcPr>
          <w:p w14:paraId="3E4E46A2" w14:textId="77777777" w:rsidR="0067581A" w:rsidRPr="00415C43" w:rsidRDefault="0067581A" w:rsidP="00541AD4">
            <w:pPr>
              <w:spacing w:after="240" w:line="360" w:lineRule="auto"/>
              <w:rPr>
                <w:rFonts w:eastAsia="Times New Roman"/>
                <w:color w:val="000000"/>
                <w:sz w:val="24"/>
                <w:szCs w:val="24"/>
                <w:lang w:val="en-US"/>
              </w:rPr>
            </w:pPr>
            <w:r w:rsidRPr="00415C43">
              <w:rPr>
                <w:rFonts w:eastAsia="Times New Roman"/>
                <w:color w:val="000000"/>
                <w:sz w:val="24"/>
                <w:szCs w:val="24"/>
                <w:lang w:val="en-US"/>
              </w:rPr>
              <w:t>Equity Ratio</w:t>
            </w:r>
          </w:p>
        </w:tc>
        <w:tc>
          <w:tcPr>
            <w:tcW w:w="1457" w:type="pct"/>
            <w:noWrap/>
            <w:hideMark/>
          </w:tcPr>
          <w:p w14:paraId="5BF87D4E" w14:textId="77777777" w:rsidR="0067581A" w:rsidRPr="00415C43" w:rsidRDefault="0067581A" w:rsidP="00541AD4">
            <w:pPr>
              <w:spacing w:after="240" w:line="360" w:lineRule="auto"/>
              <w:rPr>
                <w:rFonts w:eastAsia="Times New Roman"/>
                <w:color w:val="000000"/>
                <w:sz w:val="24"/>
                <w:szCs w:val="24"/>
                <w:lang w:val="en-US"/>
              </w:rPr>
            </w:pPr>
            <w:r w:rsidRPr="00415C43">
              <w:rPr>
                <w:rFonts w:eastAsia="Times New Roman"/>
                <w:color w:val="000000"/>
                <w:sz w:val="24"/>
                <w:szCs w:val="24"/>
                <w:lang w:val="en-US"/>
              </w:rPr>
              <w:t>Equity / Total Assets</w:t>
            </w:r>
          </w:p>
        </w:tc>
        <w:tc>
          <w:tcPr>
            <w:tcW w:w="451" w:type="pct"/>
            <w:noWrap/>
            <w:hideMark/>
          </w:tcPr>
          <w:p w14:paraId="66EC0BF9"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0.34</w:t>
            </w:r>
          </w:p>
        </w:tc>
        <w:tc>
          <w:tcPr>
            <w:tcW w:w="451" w:type="pct"/>
            <w:noWrap/>
            <w:hideMark/>
          </w:tcPr>
          <w:p w14:paraId="08944C37"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0.36</w:t>
            </w:r>
          </w:p>
        </w:tc>
        <w:tc>
          <w:tcPr>
            <w:tcW w:w="451" w:type="pct"/>
            <w:noWrap/>
            <w:hideMark/>
          </w:tcPr>
          <w:p w14:paraId="3C3C9E04"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0.33</w:t>
            </w:r>
          </w:p>
        </w:tc>
        <w:tc>
          <w:tcPr>
            <w:tcW w:w="451" w:type="pct"/>
            <w:noWrap/>
            <w:hideMark/>
          </w:tcPr>
          <w:p w14:paraId="7C86D697"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0.31</w:t>
            </w:r>
          </w:p>
        </w:tc>
        <w:tc>
          <w:tcPr>
            <w:tcW w:w="451" w:type="pct"/>
            <w:noWrap/>
            <w:hideMark/>
          </w:tcPr>
          <w:p w14:paraId="5BE36893"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0.31</w:t>
            </w:r>
          </w:p>
        </w:tc>
      </w:tr>
      <w:tr w:rsidR="0067581A" w:rsidRPr="00415C43" w14:paraId="3F3DE2F9" w14:textId="77777777" w:rsidTr="0067581A">
        <w:trPr>
          <w:trHeight w:val="315"/>
        </w:trPr>
        <w:tc>
          <w:tcPr>
            <w:tcW w:w="1289" w:type="pct"/>
            <w:noWrap/>
            <w:hideMark/>
          </w:tcPr>
          <w:p w14:paraId="44AD8A82" w14:textId="77777777" w:rsidR="0067581A" w:rsidRPr="00415C43" w:rsidRDefault="0067581A" w:rsidP="00541AD4">
            <w:pPr>
              <w:spacing w:after="240" w:line="360" w:lineRule="auto"/>
              <w:rPr>
                <w:rFonts w:eastAsia="Times New Roman"/>
                <w:color w:val="000000"/>
                <w:sz w:val="24"/>
                <w:szCs w:val="24"/>
                <w:lang w:val="en-US"/>
              </w:rPr>
            </w:pPr>
            <w:r w:rsidRPr="00415C43">
              <w:rPr>
                <w:rFonts w:eastAsia="Times New Roman"/>
                <w:color w:val="000000"/>
                <w:sz w:val="24"/>
                <w:szCs w:val="24"/>
                <w:lang w:val="en-US"/>
              </w:rPr>
              <w:t>Financial Leverage</w:t>
            </w:r>
          </w:p>
        </w:tc>
        <w:tc>
          <w:tcPr>
            <w:tcW w:w="1457" w:type="pct"/>
            <w:noWrap/>
            <w:hideMark/>
          </w:tcPr>
          <w:p w14:paraId="50A76C6D" w14:textId="77777777" w:rsidR="0067581A" w:rsidRPr="00415C43" w:rsidRDefault="0067581A" w:rsidP="00541AD4">
            <w:pPr>
              <w:spacing w:after="240" w:line="360" w:lineRule="auto"/>
              <w:rPr>
                <w:rFonts w:eastAsia="Times New Roman"/>
                <w:color w:val="000000"/>
                <w:sz w:val="24"/>
                <w:szCs w:val="24"/>
                <w:lang w:val="en-US"/>
              </w:rPr>
            </w:pPr>
            <w:r w:rsidRPr="00415C43">
              <w:rPr>
                <w:rFonts w:eastAsia="Times New Roman"/>
                <w:color w:val="000000"/>
                <w:sz w:val="24"/>
                <w:szCs w:val="24"/>
                <w:lang w:val="en-US"/>
              </w:rPr>
              <w:t>Total Assets / Equity</w:t>
            </w:r>
          </w:p>
        </w:tc>
        <w:tc>
          <w:tcPr>
            <w:tcW w:w="451" w:type="pct"/>
            <w:noWrap/>
            <w:hideMark/>
          </w:tcPr>
          <w:p w14:paraId="41F76B36"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2.92</w:t>
            </w:r>
          </w:p>
        </w:tc>
        <w:tc>
          <w:tcPr>
            <w:tcW w:w="451" w:type="pct"/>
            <w:noWrap/>
            <w:hideMark/>
          </w:tcPr>
          <w:p w14:paraId="4BD8D9BF"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2.78</w:t>
            </w:r>
          </w:p>
        </w:tc>
        <w:tc>
          <w:tcPr>
            <w:tcW w:w="451" w:type="pct"/>
            <w:noWrap/>
            <w:hideMark/>
          </w:tcPr>
          <w:p w14:paraId="59265A23"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3.00</w:t>
            </w:r>
          </w:p>
        </w:tc>
        <w:tc>
          <w:tcPr>
            <w:tcW w:w="451" w:type="pct"/>
            <w:noWrap/>
            <w:hideMark/>
          </w:tcPr>
          <w:p w14:paraId="2F5CE42E"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3.22</w:t>
            </w:r>
          </w:p>
        </w:tc>
        <w:tc>
          <w:tcPr>
            <w:tcW w:w="451" w:type="pct"/>
            <w:noWrap/>
            <w:hideMark/>
          </w:tcPr>
          <w:p w14:paraId="19AA8F08"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3.22</w:t>
            </w:r>
          </w:p>
        </w:tc>
      </w:tr>
      <w:tr w:rsidR="0067581A" w:rsidRPr="00415C43" w14:paraId="0652897B" w14:textId="77777777" w:rsidTr="0067581A">
        <w:trPr>
          <w:trHeight w:val="315"/>
        </w:trPr>
        <w:tc>
          <w:tcPr>
            <w:tcW w:w="1289" w:type="pct"/>
            <w:noWrap/>
            <w:hideMark/>
          </w:tcPr>
          <w:p w14:paraId="443945B8" w14:textId="77777777" w:rsidR="0067581A" w:rsidRPr="00415C43" w:rsidRDefault="0067581A" w:rsidP="00541AD4">
            <w:pPr>
              <w:spacing w:after="240" w:line="360" w:lineRule="auto"/>
              <w:rPr>
                <w:rFonts w:eastAsia="Times New Roman"/>
                <w:color w:val="000000"/>
                <w:sz w:val="24"/>
                <w:szCs w:val="24"/>
                <w:lang w:val="en-US"/>
              </w:rPr>
            </w:pPr>
            <w:r w:rsidRPr="00415C43">
              <w:rPr>
                <w:rFonts w:eastAsia="Times New Roman"/>
                <w:color w:val="000000"/>
                <w:sz w:val="24"/>
                <w:szCs w:val="24"/>
                <w:lang w:val="en-US"/>
              </w:rPr>
              <w:t>Long-Term Assets to Total Assets</w:t>
            </w:r>
          </w:p>
        </w:tc>
        <w:tc>
          <w:tcPr>
            <w:tcW w:w="1457" w:type="pct"/>
            <w:noWrap/>
            <w:hideMark/>
          </w:tcPr>
          <w:p w14:paraId="643486D2" w14:textId="77777777" w:rsidR="0067581A" w:rsidRPr="00415C43" w:rsidRDefault="0067581A" w:rsidP="00541AD4">
            <w:pPr>
              <w:spacing w:after="240" w:line="360" w:lineRule="auto"/>
              <w:rPr>
                <w:rFonts w:eastAsia="Times New Roman"/>
                <w:color w:val="000000"/>
                <w:sz w:val="24"/>
                <w:szCs w:val="24"/>
                <w:lang w:val="en-US"/>
              </w:rPr>
            </w:pPr>
            <w:r w:rsidRPr="00415C43">
              <w:rPr>
                <w:rFonts w:eastAsia="Times New Roman"/>
                <w:color w:val="000000"/>
                <w:sz w:val="24"/>
                <w:szCs w:val="24"/>
                <w:lang w:val="en-US"/>
              </w:rPr>
              <w:t>Long-Term Assets / Total Assets</w:t>
            </w:r>
          </w:p>
        </w:tc>
        <w:tc>
          <w:tcPr>
            <w:tcW w:w="451" w:type="pct"/>
            <w:noWrap/>
            <w:hideMark/>
          </w:tcPr>
          <w:p w14:paraId="4E252478"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0.08</w:t>
            </w:r>
          </w:p>
        </w:tc>
        <w:tc>
          <w:tcPr>
            <w:tcW w:w="451" w:type="pct"/>
            <w:noWrap/>
            <w:hideMark/>
          </w:tcPr>
          <w:p w14:paraId="01F4E4F1"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0.07</w:t>
            </w:r>
          </w:p>
        </w:tc>
        <w:tc>
          <w:tcPr>
            <w:tcW w:w="451" w:type="pct"/>
            <w:noWrap/>
            <w:hideMark/>
          </w:tcPr>
          <w:p w14:paraId="2AFFA0C2"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0.08</w:t>
            </w:r>
          </w:p>
        </w:tc>
        <w:tc>
          <w:tcPr>
            <w:tcW w:w="451" w:type="pct"/>
            <w:noWrap/>
            <w:hideMark/>
          </w:tcPr>
          <w:p w14:paraId="2BC6F697"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0.09</w:t>
            </w:r>
          </w:p>
        </w:tc>
        <w:tc>
          <w:tcPr>
            <w:tcW w:w="451" w:type="pct"/>
            <w:noWrap/>
            <w:hideMark/>
          </w:tcPr>
          <w:p w14:paraId="0AEECD9C"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0.11</w:t>
            </w:r>
          </w:p>
        </w:tc>
      </w:tr>
    </w:tbl>
    <w:p w14:paraId="5E1F483A" w14:textId="77777777" w:rsidR="0067581A" w:rsidRPr="00415C43" w:rsidRDefault="0067581A" w:rsidP="00541AD4">
      <w:pPr>
        <w:spacing w:after="240" w:line="360" w:lineRule="auto"/>
        <w:jc w:val="both"/>
        <w:rPr>
          <w:rFonts w:eastAsia="Times New Roman"/>
          <w:sz w:val="24"/>
          <w:szCs w:val="24"/>
        </w:rPr>
      </w:pPr>
    </w:p>
    <w:p w14:paraId="2E1C3167" w14:textId="6E86523D" w:rsidR="0067581A" w:rsidRPr="00415C43" w:rsidRDefault="0067581A" w:rsidP="00541AD4">
      <w:pPr>
        <w:spacing w:after="240" w:line="360" w:lineRule="auto"/>
        <w:jc w:val="center"/>
        <w:rPr>
          <w:rFonts w:eastAsia="Times New Roman"/>
          <w:sz w:val="24"/>
          <w:szCs w:val="24"/>
        </w:rPr>
      </w:pPr>
      <w:r w:rsidRPr="00415C43">
        <w:rPr>
          <w:noProof/>
          <w:sz w:val="24"/>
          <w:szCs w:val="24"/>
          <w:lang w:val="en-US"/>
        </w:rPr>
        <w:drawing>
          <wp:inline distT="0" distB="0" distL="0" distR="0" wp14:anchorId="320DE4B3" wp14:editId="5A0B684A">
            <wp:extent cx="4572000" cy="2743200"/>
            <wp:effectExtent l="0" t="0" r="0" b="0"/>
            <wp:docPr id="587016685" name="Chart 1">
              <a:extLst xmlns:a="http://schemas.openxmlformats.org/drawingml/2006/main">
                <a:ext uri="{FF2B5EF4-FFF2-40B4-BE49-F238E27FC236}">
                  <a16:creationId xmlns:a16="http://schemas.microsoft.com/office/drawing/2014/main" id="{F4A2355C-3470-E675-09B4-FEDEFC875C2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6"/>
              </a:graphicData>
            </a:graphic>
          </wp:inline>
        </w:drawing>
      </w:r>
    </w:p>
    <w:tbl>
      <w:tblPr>
        <w:tblW w:w="5000" w:type="pct"/>
        <w:tblLook w:val="04A0" w:firstRow="1" w:lastRow="0" w:firstColumn="1" w:lastColumn="0" w:noHBand="0" w:noVBand="1"/>
      </w:tblPr>
      <w:tblGrid>
        <w:gridCol w:w="2530"/>
        <w:gridCol w:w="3174"/>
        <w:gridCol w:w="661"/>
        <w:gridCol w:w="661"/>
        <w:gridCol w:w="661"/>
        <w:gridCol w:w="661"/>
        <w:gridCol w:w="661"/>
      </w:tblGrid>
      <w:tr w:rsidR="0067581A" w:rsidRPr="00415C43" w14:paraId="74FD112D" w14:textId="77777777" w:rsidTr="0067581A">
        <w:trPr>
          <w:trHeight w:val="300"/>
        </w:trPr>
        <w:tc>
          <w:tcPr>
            <w:tcW w:w="1345" w:type="pct"/>
            <w:tcBorders>
              <w:top w:val="single" w:sz="8" w:space="0" w:color="auto"/>
              <w:left w:val="single" w:sz="8" w:space="0" w:color="auto"/>
              <w:bottom w:val="single" w:sz="4" w:space="0" w:color="auto"/>
              <w:right w:val="single" w:sz="4" w:space="0" w:color="auto"/>
            </w:tcBorders>
            <w:noWrap/>
            <w:vAlign w:val="bottom"/>
            <w:hideMark/>
          </w:tcPr>
          <w:p w14:paraId="438DD940" w14:textId="77777777" w:rsidR="0067581A" w:rsidRPr="00415C43" w:rsidRDefault="0067581A" w:rsidP="00541AD4">
            <w:pPr>
              <w:spacing w:after="240" w:line="360" w:lineRule="auto"/>
              <w:rPr>
                <w:rFonts w:eastAsia="Times New Roman"/>
                <w:b/>
                <w:bCs/>
                <w:color w:val="000000"/>
                <w:sz w:val="24"/>
                <w:szCs w:val="24"/>
                <w:lang w:val="en-US"/>
              </w:rPr>
            </w:pPr>
            <w:r w:rsidRPr="00415C43">
              <w:rPr>
                <w:rFonts w:eastAsia="Times New Roman"/>
                <w:b/>
                <w:bCs/>
                <w:color w:val="000000"/>
                <w:sz w:val="24"/>
                <w:szCs w:val="24"/>
                <w:lang w:val="en-US"/>
              </w:rPr>
              <w:t>E. Investment Ratios</w:t>
            </w:r>
          </w:p>
        </w:tc>
        <w:tc>
          <w:tcPr>
            <w:tcW w:w="1791" w:type="pct"/>
            <w:tcBorders>
              <w:top w:val="single" w:sz="8" w:space="0" w:color="auto"/>
              <w:left w:val="nil"/>
              <w:bottom w:val="single" w:sz="4" w:space="0" w:color="auto"/>
              <w:right w:val="single" w:sz="4" w:space="0" w:color="auto"/>
            </w:tcBorders>
            <w:noWrap/>
            <w:vAlign w:val="bottom"/>
            <w:hideMark/>
          </w:tcPr>
          <w:p w14:paraId="33D455C0" w14:textId="77777777" w:rsidR="0067581A" w:rsidRPr="00415C43" w:rsidRDefault="0067581A" w:rsidP="00541AD4">
            <w:pPr>
              <w:spacing w:after="240" w:line="360" w:lineRule="auto"/>
              <w:rPr>
                <w:rFonts w:eastAsia="Times New Roman"/>
                <w:b/>
                <w:bCs/>
                <w:color w:val="000000"/>
                <w:sz w:val="24"/>
                <w:szCs w:val="24"/>
                <w:lang w:val="en-US"/>
              </w:rPr>
            </w:pPr>
            <w:r w:rsidRPr="00415C43">
              <w:rPr>
                <w:rFonts w:eastAsia="Times New Roman"/>
                <w:b/>
                <w:bCs/>
                <w:color w:val="000000"/>
                <w:sz w:val="24"/>
                <w:szCs w:val="24"/>
                <w:lang w:val="en-US"/>
              </w:rPr>
              <w:t>Formula</w:t>
            </w:r>
          </w:p>
        </w:tc>
        <w:tc>
          <w:tcPr>
            <w:tcW w:w="373" w:type="pct"/>
            <w:tcBorders>
              <w:top w:val="single" w:sz="8" w:space="0" w:color="auto"/>
              <w:left w:val="nil"/>
              <w:bottom w:val="single" w:sz="4" w:space="0" w:color="auto"/>
              <w:right w:val="single" w:sz="4" w:space="0" w:color="auto"/>
            </w:tcBorders>
            <w:noWrap/>
            <w:vAlign w:val="bottom"/>
            <w:hideMark/>
          </w:tcPr>
          <w:p w14:paraId="73EA76FF" w14:textId="77777777" w:rsidR="0067581A" w:rsidRPr="00415C43" w:rsidRDefault="0067581A" w:rsidP="00541AD4">
            <w:pPr>
              <w:spacing w:after="240" w:line="360" w:lineRule="auto"/>
              <w:jc w:val="center"/>
              <w:rPr>
                <w:rFonts w:eastAsia="Times New Roman"/>
                <w:b/>
                <w:bCs/>
                <w:i/>
                <w:iCs/>
                <w:color w:val="000000"/>
                <w:sz w:val="24"/>
                <w:szCs w:val="24"/>
                <w:lang w:val="en-US"/>
              </w:rPr>
            </w:pPr>
            <w:r w:rsidRPr="00415C43">
              <w:rPr>
                <w:rFonts w:eastAsia="Times New Roman"/>
                <w:b/>
                <w:bCs/>
                <w:i/>
                <w:iCs/>
                <w:color w:val="000000"/>
                <w:sz w:val="24"/>
                <w:szCs w:val="24"/>
                <w:lang w:val="en-US"/>
              </w:rPr>
              <w:t>2021</w:t>
            </w:r>
          </w:p>
        </w:tc>
        <w:tc>
          <w:tcPr>
            <w:tcW w:w="373" w:type="pct"/>
            <w:tcBorders>
              <w:top w:val="single" w:sz="8" w:space="0" w:color="auto"/>
              <w:left w:val="nil"/>
              <w:bottom w:val="single" w:sz="4" w:space="0" w:color="auto"/>
              <w:right w:val="single" w:sz="4" w:space="0" w:color="auto"/>
            </w:tcBorders>
            <w:noWrap/>
            <w:vAlign w:val="bottom"/>
            <w:hideMark/>
          </w:tcPr>
          <w:p w14:paraId="04E40316" w14:textId="77777777" w:rsidR="0067581A" w:rsidRPr="00415C43" w:rsidRDefault="0067581A" w:rsidP="00541AD4">
            <w:pPr>
              <w:spacing w:after="240" w:line="360" w:lineRule="auto"/>
              <w:jc w:val="center"/>
              <w:rPr>
                <w:rFonts w:eastAsia="Times New Roman"/>
                <w:b/>
                <w:bCs/>
                <w:i/>
                <w:iCs/>
                <w:color w:val="000000"/>
                <w:sz w:val="24"/>
                <w:szCs w:val="24"/>
                <w:lang w:val="en-US"/>
              </w:rPr>
            </w:pPr>
            <w:r w:rsidRPr="00415C43">
              <w:rPr>
                <w:rFonts w:eastAsia="Times New Roman"/>
                <w:b/>
                <w:bCs/>
                <w:i/>
                <w:iCs/>
                <w:color w:val="000000"/>
                <w:sz w:val="24"/>
                <w:szCs w:val="24"/>
                <w:lang w:val="en-US"/>
              </w:rPr>
              <w:t>2022</w:t>
            </w:r>
          </w:p>
        </w:tc>
        <w:tc>
          <w:tcPr>
            <w:tcW w:w="373" w:type="pct"/>
            <w:tcBorders>
              <w:top w:val="single" w:sz="8" w:space="0" w:color="auto"/>
              <w:left w:val="nil"/>
              <w:bottom w:val="single" w:sz="4" w:space="0" w:color="auto"/>
              <w:right w:val="single" w:sz="4" w:space="0" w:color="auto"/>
            </w:tcBorders>
            <w:noWrap/>
            <w:vAlign w:val="bottom"/>
            <w:hideMark/>
          </w:tcPr>
          <w:p w14:paraId="3A570C94" w14:textId="77777777" w:rsidR="0067581A" w:rsidRPr="00415C43" w:rsidRDefault="0067581A" w:rsidP="00541AD4">
            <w:pPr>
              <w:spacing w:after="240" w:line="360" w:lineRule="auto"/>
              <w:jc w:val="center"/>
              <w:rPr>
                <w:rFonts w:eastAsia="Times New Roman"/>
                <w:b/>
                <w:bCs/>
                <w:i/>
                <w:iCs/>
                <w:color w:val="000000"/>
                <w:sz w:val="24"/>
                <w:szCs w:val="24"/>
                <w:lang w:val="en-US"/>
              </w:rPr>
            </w:pPr>
            <w:r w:rsidRPr="00415C43">
              <w:rPr>
                <w:rFonts w:eastAsia="Times New Roman"/>
                <w:b/>
                <w:bCs/>
                <w:i/>
                <w:iCs/>
                <w:color w:val="000000"/>
                <w:sz w:val="24"/>
                <w:szCs w:val="24"/>
                <w:lang w:val="en-US"/>
              </w:rPr>
              <w:t>2023</w:t>
            </w:r>
          </w:p>
        </w:tc>
        <w:tc>
          <w:tcPr>
            <w:tcW w:w="373" w:type="pct"/>
            <w:tcBorders>
              <w:top w:val="single" w:sz="8" w:space="0" w:color="auto"/>
              <w:left w:val="nil"/>
              <w:bottom w:val="single" w:sz="4" w:space="0" w:color="auto"/>
              <w:right w:val="single" w:sz="4" w:space="0" w:color="auto"/>
            </w:tcBorders>
            <w:noWrap/>
            <w:vAlign w:val="bottom"/>
            <w:hideMark/>
          </w:tcPr>
          <w:p w14:paraId="388A5C56" w14:textId="77777777" w:rsidR="0067581A" w:rsidRPr="00415C43" w:rsidRDefault="0067581A" w:rsidP="00541AD4">
            <w:pPr>
              <w:spacing w:after="240" w:line="360" w:lineRule="auto"/>
              <w:jc w:val="center"/>
              <w:rPr>
                <w:rFonts w:eastAsia="Times New Roman"/>
                <w:b/>
                <w:bCs/>
                <w:i/>
                <w:iCs/>
                <w:color w:val="000000"/>
                <w:sz w:val="24"/>
                <w:szCs w:val="24"/>
                <w:lang w:val="en-US"/>
              </w:rPr>
            </w:pPr>
            <w:r w:rsidRPr="00415C43">
              <w:rPr>
                <w:rFonts w:eastAsia="Times New Roman"/>
                <w:b/>
                <w:bCs/>
                <w:i/>
                <w:iCs/>
                <w:color w:val="000000"/>
                <w:sz w:val="24"/>
                <w:szCs w:val="24"/>
                <w:lang w:val="en-US"/>
              </w:rPr>
              <w:t>2024</w:t>
            </w:r>
          </w:p>
        </w:tc>
        <w:tc>
          <w:tcPr>
            <w:tcW w:w="373" w:type="pct"/>
            <w:tcBorders>
              <w:top w:val="single" w:sz="8" w:space="0" w:color="auto"/>
              <w:left w:val="nil"/>
              <w:bottom w:val="single" w:sz="4" w:space="0" w:color="auto"/>
              <w:right w:val="single" w:sz="8" w:space="0" w:color="auto"/>
            </w:tcBorders>
            <w:noWrap/>
            <w:vAlign w:val="bottom"/>
            <w:hideMark/>
          </w:tcPr>
          <w:p w14:paraId="2F052F87" w14:textId="77777777" w:rsidR="0067581A" w:rsidRPr="00415C43" w:rsidRDefault="0067581A" w:rsidP="00541AD4">
            <w:pPr>
              <w:spacing w:after="240" w:line="360" w:lineRule="auto"/>
              <w:jc w:val="center"/>
              <w:rPr>
                <w:rFonts w:eastAsia="Times New Roman"/>
                <w:b/>
                <w:bCs/>
                <w:i/>
                <w:iCs/>
                <w:color w:val="000000"/>
                <w:sz w:val="24"/>
                <w:szCs w:val="24"/>
                <w:lang w:val="en-US"/>
              </w:rPr>
            </w:pPr>
            <w:r w:rsidRPr="00415C43">
              <w:rPr>
                <w:rFonts w:eastAsia="Times New Roman"/>
                <w:b/>
                <w:bCs/>
                <w:i/>
                <w:iCs/>
                <w:color w:val="000000"/>
                <w:sz w:val="24"/>
                <w:szCs w:val="24"/>
                <w:lang w:val="en-US"/>
              </w:rPr>
              <w:t>2025</w:t>
            </w:r>
          </w:p>
        </w:tc>
      </w:tr>
      <w:tr w:rsidR="0067581A" w:rsidRPr="00415C43" w14:paraId="7EE69D3E" w14:textId="77777777" w:rsidTr="0067581A">
        <w:trPr>
          <w:trHeight w:val="315"/>
        </w:trPr>
        <w:tc>
          <w:tcPr>
            <w:tcW w:w="1345" w:type="pct"/>
            <w:tcBorders>
              <w:top w:val="nil"/>
              <w:left w:val="single" w:sz="8" w:space="0" w:color="auto"/>
              <w:bottom w:val="single" w:sz="8" w:space="0" w:color="auto"/>
              <w:right w:val="single" w:sz="4" w:space="0" w:color="auto"/>
            </w:tcBorders>
            <w:noWrap/>
            <w:vAlign w:val="bottom"/>
            <w:hideMark/>
          </w:tcPr>
          <w:p w14:paraId="2B88E1F6" w14:textId="77777777" w:rsidR="0067581A" w:rsidRPr="00415C43" w:rsidRDefault="0067581A" w:rsidP="00541AD4">
            <w:pPr>
              <w:spacing w:after="240" w:line="360" w:lineRule="auto"/>
              <w:rPr>
                <w:rFonts w:eastAsia="Times New Roman"/>
                <w:color w:val="000000"/>
                <w:sz w:val="24"/>
                <w:szCs w:val="24"/>
                <w:lang w:val="en-US"/>
              </w:rPr>
            </w:pPr>
            <w:r w:rsidRPr="00415C43">
              <w:rPr>
                <w:rFonts w:eastAsia="Times New Roman"/>
                <w:color w:val="000000"/>
                <w:sz w:val="24"/>
                <w:szCs w:val="24"/>
                <w:lang w:val="en-US"/>
              </w:rPr>
              <w:t>Earnings per Share (EPS)</w:t>
            </w:r>
          </w:p>
        </w:tc>
        <w:tc>
          <w:tcPr>
            <w:tcW w:w="1791" w:type="pct"/>
            <w:tcBorders>
              <w:top w:val="nil"/>
              <w:left w:val="nil"/>
              <w:bottom w:val="single" w:sz="8" w:space="0" w:color="auto"/>
              <w:right w:val="single" w:sz="4" w:space="0" w:color="auto"/>
            </w:tcBorders>
            <w:noWrap/>
            <w:vAlign w:val="bottom"/>
            <w:hideMark/>
          </w:tcPr>
          <w:p w14:paraId="3D516286" w14:textId="77777777" w:rsidR="0067581A" w:rsidRPr="00415C43" w:rsidRDefault="0067581A" w:rsidP="00541AD4">
            <w:pPr>
              <w:spacing w:after="240" w:line="360" w:lineRule="auto"/>
              <w:rPr>
                <w:rFonts w:eastAsia="Times New Roman"/>
                <w:color w:val="000000"/>
                <w:sz w:val="24"/>
                <w:szCs w:val="24"/>
                <w:lang w:val="en-US"/>
              </w:rPr>
            </w:pPr>
            <w:r w:rsidRPr="00415C43">
              <w:rPr>
                <w:rFonts w:eastAsia="Times New Roman"/>
                <w:color w:val="000000"/>
                <w:sz w:val="24"/>
                <w:szCs w:val="24"/>
                <w:lang w:val="en-US"/>
              </w:rPr>
              <w:t>Net Income / Shares Outstanding</w:t>
            </w:r>
          </w:p>
        </w:tc>
        <w:tc>
          <w:tcPr>
            <w:tcW w:w="373" w:type="pct"/>
            <w:tcBorders>
              <w:top w:val="nil"/>
              <w:left w:val="nil"/>
              <w:bottom w:val="single" w:sz="8" w:space="0" w:color="auto"/>
              <w:right w:val="single" w:sz="4" w:space="0" w:color="auto"/>
            </w:tcBorders>
            <w:noWrap/>
            <w:vAlign w:val="bottom"/>
            <w:hideMark/>
          </w:tcPr>
          <w:p w14:paraId="763D8572"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0.02</w:t>
            </w:r>
          </w:p>
        </w:tc>
        <w:tc>
          <w:tcPr>
            <w:tcW w:w="373" w:type="pct"/>
            <w:tcBorders>
              <w:top w:val="nil"/>
              <w:left w:val="nil"/>
              <w:bottom w:val="single" w:sz="8" w:space="0" w:color="auto"/>
              <w:right w:val="single" w:sz="4" w:space="0" w:color="auto"/>
            </w:tcBorders>
            <w:noWrap/>
            <w:vAlign w:val="bottom"/>
            <w:hideMark/>
          </w:tcPr>
          <w:p w14:paraId="31354D4B"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0.07</w:t>
            </w:r>
          </w:p>
        </w:tc>
        <w:tc>
          <w:tcPr>
            <w:tcW w:w="373" w:type="pct"/>
            <w:tcBorders>
              <w:top w:val="nil"/>
              <w:left w:val="nil"/>
              <w:bottom w:val="single" w:sz="8" w:space="0" w:color="auto"/>
              <w:right w:val="single" w:sz="4" w:space="0" w:color="auto"/>
            </w:tcBorders>
            <w:noWrap/>
            <w:vAlign w:val="bottom"/>
            <w:hideMark/>
          </w:tcPr>
          <w:p w14:paraId="64E2F8DB"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0.12</w:t>
            </w:r>
          </w:p>
        </w:tc>
        <w:tc>
          <w:tcPr>
            <w:tcW w:w="373" w:type="pct"/>
            <w:tcBorders>
              <w:top w:val="nil"/>
              <w:left w:val="nil"/>
              <w:bottom w:val="single" w:sz="8" w:space="0" w:color="auto"/>
              <w:right w:val="single" w:sz="4" w:space="0" w:color="auto"/>
            </w:tcBorders>
            <w:noWrap/>
            <w:vAlign w:val="bottom"/>
            <w:hideMark/>
          </w:tcPr>
          <w:p w14:paraId="7271D5C1"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0.11</w:t>
            </w:r>
          </w:p>
        </w:tc>
        <w:tc>
          <w:tcPr>
            <w:tcW w:w="373" w:type="pct"/>
            <w:tcBorders>
              <w:top w:val="nil"/>
              <w:left w:val="nil"/>
              <w:bottom w:val="single" w:sz="8" w:space="0" w:color="auto"/>
              <w:right w:val="single" w:sz="8" w:space="0" w:color="auto"/>
            </w:tcBorders>
            <w:noWrap/>
            <w:vAlign w:val="bottom"/>
            <w:hideMark/>
          </w:tcPr>
          <w:p w14:paraId="1422320B"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0.10</w:t>
            </w:r>
          </w:p>
        </w:tc>
      </w:tr>
    </w:tbl>
    <w:p w14:paraId="0E38C54D" w14:textId="77777777" w:rsidR="0067581A" w:rsidRPr="00415C43" w:rsidRDefault="0067581A" w:rsidP="00541AD4">
      <w:pPr>
        <w:spacing w:after="240" w:line="360" w:lineRule="auto"/>
        <w:jc w:val="both"/>
        <w:rPr>
          <w:rFonts w:eastAsia="Times New Roman"/>
          <w:sz w:val="24"/>
          <w:szCs w:val="24"/>
        </w:rPr>
      </w:pPr>
    </w:p>
    <w:p w14:paraId="09756324" w14:textId="49E74A01" w:rsidR="0067581A" w:rsidRPr="00415C43" w:rsidRDefault="0067581A" w:rsidP="00541AD4">
      <w:pPr>
        <w:spacing w:after="240" w:line="360" w:lineRule="auto"/>
        <w:jc w:val="center"/>
        <w:rPr>
          <w:rFonts w:eastAsia="Times New Roman"/>
          <w:sz w:val="24"/>
          <w:szCs w:val="24"/>
        </w:rPr>
      </w:pPr>
      <w:r w:rsidRPr="00415C43">
        <w:rPr>
          <w:noProof/>
          <w:sz w:val="24"/>
          <w:szCs w:val="24"/>
          <w:lang w:val="en-US"/>
        </w:rPr>
        <w:lastRenderedPageBreak/>
        <w:drawing>
          <wp:inline distT="0" distB="0" distL="0" distR="0" wp14:anchorId="490ED7F0" wp14:editId="597EE847">
            <wp:extent cx="4572000" cy="2743200"/>
            <wp:effectExtent l="0" t="0" r="0" b="0"/>
            <wp:docPr id="1031910686" name="Chart 1">
              <a:extLst xmlns:a="http://schemas.openxmlformats.org/drawingml/2006/main">
                <a:ext uri="{FF2B5EF4-FFF2-40B4-BE49-F238E27FC236}">
                  <a16:creationId xmlns:a16="http://schemas.microsoft.com/office/drawing/2014/main" id="{942EA5DA-1227-0B7F-C1C2-45E02696F0D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7"/>
              </a:graphicData>
            </a:graphic>
          </wp:inline>
        </w:drawing>
      </w:r>
    </w:p>
    <w:tbl>
      <w:tblPr>
        <w:tblW w:w="5000" w:type="pct"/>
        <w:tblLook w:val="04A0" w:firstRow="1" w:lastRow="0" w:firstColumn="1" w:lastColumn="0" w:noHBand="0" w:noVBand="1"/>
      </w:tblPr>
      <w:tblGrid>
        <w:gridCol w:w="3065"/>
        <w:gridCol w:w="2562"/>
        <w:gridCol w:w="686"/>
        <w:gridCol w:w="674"/>
        <w:gridCol w:w="674"/>
        <w:gridCol w:w="674"/>
        <w:gridCol w:w="674"/>
      </w:tblGrid>
      <w:tr w:rsidR="0067581A" w:rsidRPr="00415C43" w14:paraId="5E66FF98" w14:textId="77777777" w:rsidTr="0067581A">
        <w:trPr>
          <w:trHeight w:val="300"/>
        </w:trPr>
        <w:tc>
          <w:tcPr>
            <w:tcW w:w="1228" w:type="pct"/>
            <w:tcBorders>
              <w:top w:val="single" w:sz="8" w:space="0" w:color="auto"/>
              <w:left w:val="single" w:sz="8" w:space="0" w:color="auto"/>
              <w:bottom w:val="single" w:sz="4" w:space="0" w:color="auto"/>
              <w:right w:val="single" w:sz="4" w:space="0" w:color="auto"/>
            </w:tcBorders>
            <w:noWrap/>
            <w:vAlign w:val="bottom"/>
            <w:hideMark/>
          </w:tcPr>
          <w:p w14:paraId="328F2FC0" w14:textId="77777777" w:rsidR="0067581A" w:rsidRPr="00415C43" w:rsidRDefault="0067581A" w:rsidP="00541AD4">
            <w:pPr>
              <w:spacing w:after="240" w:line="360" w:lineRule="auto"/>
              <w:rPr>
                <w:rFonts w:eastAsia="Times New Roman"/>
                <w:b/>
                <w:bCs/>
                <w:color w:val="000000"/>
                <w:sz w:val="24"/>
                <w:szCs w:val="24"/>
                <w:lang w:val="en-US"/>
              </w:rPr>
            </w:pPr>
            <w:r w:rsidRPr="00415C43">
              <w:rPr>
                <w:rFonts w:eastAsia="Times New Roman"/>
                <w:b/>
                <w:bCs/>
                <w:color w:val="000000"/>
                <w:sz w:val="24"/>
                <w:szCs w:val="24"/>
                <w:lang w:val="en-US"/>
              </w:rPr>
              <w:t>F. Cash Flow Ratios</w:t>
            </w:r>
          </w:p>
        </w:tc>
        <w:tc>
          <w:tcPr>
            <w:tcW w:w="1480" w:type="pct"/>
            <w:tcBorders>
              <w:top w:val="single" w:sz="8" w:space="0" w:color="auto"/>
              <w:left w:val="nil"/>
              <w:bottom w:val="single" w:sz="4" w:space="0" w:color="auto"/>
              <w:right w:val="single" w:sz="4" w:space="0" w:color="auto"/>
            </w:tcBorders>
            <w:noWrap/>
            <w:vAlign w:val="bottom"/>
            <w:hideMark/>
          </w:tcPr>
          <w:p w14:paraId="3A27AE18" w14:textId="77777777" w:rsidR="0067581A" w:rsidRPr="00415C43" w:rsidRDefault="0067581A" w:rsidP="00541AD4">
            <w:pPr>
              <w:spacing w:after="240" w:line="360" w:lineRule="auto"/>
              <w:rPr>
                <w:rFonts w:eastAsia="Times New Roman"/>
                <w:b/>
                <w:bCs/>
                <w:color w:val="000000"/>
                <w:sz w:val="24"/>
                <w:szCs w:val="24"/>
                <w:lang w:val="en-US"/>
              </w:rPr>
            </w:pPr>
            <w:r w:rsidRPr="00415C43">
              <w:rPr>
                <w:rFonts w:eastAsia="Times New Roman"/>
                <w:b/>
                <w:bCs/>
                <w:color w:val="000000"/>
                <w:sz w:val="24"/>
                <w:szCs w:val="24"/>
                <w:lang w:val="en-US"/>
              </w:rPr>
              <w:t>Formula</w:t>
            </w:r>
          </w:p>
        </w:tc>
        <w:tc>
          <w:tcPr>
            <w:tcW w:w="458" w:type="pct"/>
            <w:tcBorders>
              <w:top w:val="single" w:sz="8" w:space="0" w:color="auto"/>
              <w:left w:val="nil"/>
              <w:bottom w:val="single" w:sz="4" w:space="0" w:color="auto"/>
              <w:right w:val="single" w:sz="4" w:space="0" w:color="auto"/>
            </w:tcBorders>
            <w:noWrap/>
            <w:vAlign w:val="bottom"/>
            <w:hideMark/>
          </w:tcPr>
          <w:p w14:paraId="1F4EA44A" w14:textId="77777777" w:rsidR="0067581A" w:rsidRPr="00415C43" w:rsidRDefault="0067581A" w:rsidP="00541AD4">
            <w:pPr>
              <w:spacing w:after="240" w:line="360" w:lineRule="auto"/>
              <w:jc w:val="center"/>
              <w:rPr>
                <w:rFonts w:eastAsia="Times New Roman"/>
                <w:b/>
                <w:bCs/>
                <w:i/>
                <w:iCs/>
                <w:color w:val="000000"/>
                <w:sz w:val="24"/>
                <w:szCs w:val="24"/>
                <w:lang w:val="en-US"/>
              </w:rPr>
            </w:pPr>
            <w:r w:rsidRPr="00415C43">
              <w:rPr>
                <w:rFonts w:eastAsia="Times New Roman"/>
                <w:b/>
                <w:bCs/>
                <w:i/>
                <w:iCs/>
                <w:color w:val="000000"/>
                <w:sz w:val="24"/>
                <w:szCs w:val="24"/>
                <w:lang w:val="en-US"/>
              </w:rPr>
              <w:t>2021</w:t>
            </w:r>
          </w:p>
        </w:tc>
        <w:tc>
          <w:tcPr>
            <w:tcW w:w="458" w:type="pct"/>
            <w:tcBorders>
              <w:top w:val="single" w:sz="8" w:space="0" w:color="auto"/>
              <w:left w:val="nil"/>
              <w:bottom w:val="single" w:sz="4" w:space="0" w:color="auto"/>
              <w:right w:val="single" w:sz="4" w:space="0" w:color="auto"/>
            </w:tcBorders>
            <w:noWrap/>
            <w:vAlign w:val="bottom"/>
            <w:hideMark/>
          </w:tcPr>
          <w:p w14:paraId="27016EFF" w14:textId="77777777" w:rsidR="0067581A" w:rsidRPr="00415C43" w:rsidRDefault="0067581A" w:rsidP="00541AD4">
            <w:pPr>
              <w:spacing w:after="240" w:line="360" w:lineRule="auto"/>
              <w:jc w:val="center"/>
              <w:rPr>
                <w:rFonts w:eastAsia="Times New Roman"/>
                <w:b/>
                <w:bCs/>
                <w:i/>
                <w:iCs/>
                <w:color w:val="000000"/>
                <w:sz w:val="24"/>
                <w:szCs w:val="24"/>
                <w:lang w:val="en-US"/>
              </w:rPr>
            </w:pPr>
            <w:r w:rsidRPr="00415C43">
              <w:rPr>
                <w:rFonts w:eastAsia="Times New Roman"/>
                <w:b/>
                <w:bCs/>
                <w:i/>
                <w:iCs/>
                <w:color w:val="000000"/>
                <w:sz w:val="24"/>
                <w:szCs w:val="24"/>
                <w:lang w:val="en-US"/>
              </w:rPr>
              <w:t>2022</w:t>
            </w:r>
          </w:p>
        </w:tc>
        <w:tc>
          <w:tcPr>
            <w:tcW w:w="458" w:type="pct"/>
            <w:tcBorders>
              <w:top w:val="single" w:sz="8" w:space="0" w:color="auto"/>
              <w:left w:val="nil"/>
              <w:bottom w:val="single" w:sz="4" w:space="0" w:color="auto"/>
              <w:right w:val="single" w:sz="4" w:space="0" w:color="auto"/>
            </w:tcBorders>
            <w:noWrap/>
            <w:vAlign w:val="bottom"/>
            <w:hideMark/>
          </w:tcPr>
          <w:p w14:paraId="7D0BE461" w14:textId="77777777" w:rsidR="0067581A" w:rsidRPr="00415C43" w:rsidRDefault="0067581A" w:rsidP="00541AD4">
            <w:pPr>
              <w:spacing w:after="240" w:line="360" w:lineRule="auto"/>
              <w:jc w:val="center"/>
              <w:rPr>
                <w:rFonts w:eastAsia="Times New Roman"/>
                <w:b/>
                <w:bCs/>
                <w:i/>
                <w:iCs/>
                <w:color w:val="000000"/>
                <w:sz w:val="24"/>
                <w:szCs w:val="24"/>
                <w:lang w:val="en-US"/>
              </w:rPr>
            </w:pPr>
            <w:r w:rsidRPr="00415C43">
              <w:rPr>
                <w:rFonts w:eastAsia="Times New Roman"/>
                <w:b/>
                <w:bCs/>
                <w:i/>
                <w:iCs/>
                <w:color w:val="000000"/>
                <w:sz w:val="24"/>
                <w:szCs w:val="24"/>
                <w:lang w:val="en-US"/>
              </w:rPr>
              <w:t>2023</w:t>
            </w:r>
          </w:p>
        </w:tc>
        <w:tc>
          <w:tcPr>
            <w:tcW w:w="458" w:type="pct"/>
            <w:tcBorders>
              <w:top w:val="single" w:sz="8" w:space="0" w:color="auto"/>
              <w:left w:val="nil"/>
              <w:bottom w:val="single" w:sz="4" w:space="0" w:color="auto"/>
              <w:right w:val="single" w:sz="4" w:space="0" w:color="auto"/>
            </w:tcBorders>
            <w:noWrap/>
            <w:vAlign w:val="bottom"/>
            <w:hideMark/>
          </w:tcPr>
          <w:p w14:paraId="4C4562D6" w14:textId="77777777" w:rsidR="0067581A" w:rsidRPr="00415C43" w:rsidRDefault="0067581A" w:rsidP="00541AD4">
            <w:pPr>
              <w:spacing w:after="240" w:line="360" w:lineRule="auto"/>
              <w:jc w:val="center"/>
              <w:rPr>
                <w:rFonts w:eastAsia="Times New Roman"/>
                <w:b/>
                <w:bCs/>
                <w:i/>
                <w:iCs/>
                <w:color w:val="000000"/>
                <w:sz w:val="24"/>
                <w:szCs w:val="24"/>
                <w:lang w:val="en-US"/>
              </w:rPr>
            </w:pPr>
            <w:r w:rsidRPr="00415C43">
              <w:rPr>
                <w:rFonts w:eastAsia="Times New Roman"/>
                <w:b/>
                <w:bCs/>
                <w:i/>
                <w:iCs/>
                <w:color w:val="000000"/>
                <w:sz w:val="24"/>
                <w:szCs w:val="24"/>
                <w:lang w:val="en-US"/>
              </w:rPr>
              <w:t>2024</w:t>
            </w:r>
          </w:p>
        </w:tc>
        <w:tc>
          <w:tcPr>
            <w:tcW w:w="458" w:type="pct"/>
            <w:tcBorders>
              <w:top w:val="single" w:sz="8" w:space="0" w:color="auto"/>
              <w:left w:val="nil"/>
              <w:bottom w:val="single" w:sz="4" w:space="0" w:color="auto"/>
              <w:right w:val="single" w:sz="8" w:space="0" w:color="auto"/>
            </w:tcBorders>
            <w:noWrap/>
            <w:vAlign w:val="bottom"/>
            <w:hideMark/>
          </w:tcPr>
          <w:p w14:paraId="1CED807D" w14:textId="77777777" w:rsidR="0067581A" w:rsidRPr="00415C43" w:rsidRDefault="0067581A" w:rsidP="00541AD4">
            <w:pPr>
              <w:spacing w:after="240" w:line="360" w:lineRule="auto"/>
              <w:jc w:val="center"/>
              <w:rPr>
                <w:rFonts w:eastAsia="Times New Roman"/>
                <w:b/>
                <w:bCs/>
                <w:i/>
                <w:iCs/>
                <w:color w:val="000000"/>
                <w:sz w:val="24"/>
                <w:szCs w:val="24"/>
                <w:lang w:val="en-US"/>
              </w:rPr>
            </w:pPr>
            <w:r w:rsidRPr="00415C43">
              <w:rPr>
                <w:rFonts w:eastAsia="Times New Roman"/>
                <w:b/>
                <w:bCs/>
                <w:i/>
                <w:iCs/>
                <w:color w:val="000000"/>
                <w:sz w:val="24"/>
                <w:szCs w:val="24"/>
                <w:lang w:val="en-US"/>
              </w:rPr>
              <w:t>2025</w:t>
            </w:r>
          </w:p>
        </w:tc>
      </w:tr>
      <w:tr w:rsidR="0067581A" w:rsidRPr="00415C43" w14:paraId="2DD2B307" w14:textId="77777777" w:rsidTr="0067581A">
        <w:trPr>
          <w:trHeight w:val="300"/>
        </w:trPr>
        <w:tc>
          <w:tcPr>
            <w:tcW w:w="1228" w:type="pct"/>
            <w:tcBorders>
              <w:top w:val="nil"/>
              <w:left w:val="single" w:sz="8" w:space="0" w:color="auto"/>
              <w:bottom w:val="single" w:sz="4" w:space="0" w:color="auto"/>
              <w:right w:val="single" w:sz="4" w:space="0" w:color="auto"/>
            </w:tcBorders>
            <w:noWrap/>
            <w:vAlign w:val="bottom"/>
            <w:hideMark/>
          </w:tcPr>
          <w:p w14:paraId="30684F4C" w14:textId="77777777" w:rsidR="0067581A" w:rsidRPr="00415C43" w:rsidRDefault="0067581A" w:rsidP="00541AD4">
            <w:pPr>
              <w:spacing w:after="240" w:line="360" w:lineRule="auto"/>
              <w:rPr>
                <w:rFonts w:eastAsia="Times New Roman"/>
                <w:color w:val="000000"/>
                <w:sz w:val="24"/>
                <w:szCs w:val="24"/>
                <w:lang w:val="en-US"/>
              </w:rPr>
            </w:pPr>
            <w:r w:rsidRPr="00415C43">
              <w:rPr>
                <w:rFonts w:eastAsia="Times New Roman"/>
                <w:color w:val="000000"/>
                <w:sz w:val="24"/>
                <w:szCs w:val="24"/>
                <w:lang w:val="en-US"/>
              </w:rPr>
              <w:t>Operating Cash Flow Margin</w:t>
            </w:r>
          </w:p>
        </w:tc>
        <w:tc>
          <w:tcPr>
            <w:tcW w:w="1480" w:type="pct"/>
            <w:tcBorders>
              <w:top w:val="nil"/>
              <w:left w:val="nil"/>
              <w:bottom w:val="single" w:sz="4" w:space="0" w:color="auto"/>
              <w:right w:val="single" w:sz="4" w:space="0" w:color="auto"/>
            </w:tcBorders>
            <w:noWrap/>
            <w:vAlign w:val="bottom"/>
            <w:hideMark/>
          </w:tcPr>
          <w:p w14:paraId="2CB6F1B9" w14:textId="77777777" w:rsidR="0067581A" w:rsidRPr="00415C43" w:rsidRDefault="0067581A" w:rsidP="00541AD4">
            <w:pPr>
              <w:spacing w:after="240" w:line="360" w:lineRule="auto"/>
              <w:rPr>
                <w:rFonts w:eastAsia="Times New Roman"/>
                <w:color w:val="000000"/>
                <w:sz w:val="24"/>
                <w:szCs w:val="24"/>
                <w:lang w:val="en-US"/>
              </w:rPr>
            </w:pPr>
            <w:r w:rsidRPr="00415C43">
              <w:rPr>
                <w:rFonts w:eastAsia="Times New Roman"/>
                <w:color w:val="000000"/>
                <w:sz w:val="24"/>
                <w:szCs w:val="24"/>
                <w:lang w:val="en-US"/>
              </w:rPr>
              <w:t>CFO / Revenue</w:t>
            </w:r>
          </w:p>
        </w:tc>
        <w:tc>
          <w:tcPr>
            <w:tcW w:w="458" w:type="pct"/>
            <w:tcBorders>
              <w:top w:val="nil"/>
              <w:left w:val="nil"/>
              <w:bottom w:val="single" w:sz="4" w:space="0" w:color="auto"/>
              <w:right w:val="single" w:sz="4" w:space="0" w:color="auto"/>
            </w:tcBorders>
            <w:noWrap/>
            <w:vAlign w:val="bottom"/>
            <w:hideMark/>
          </w:tcPr>
          <w:p w14:paraId="01641B41"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-0.11</w:t>
            </w:r>
          </w:p>
        </w:tc>
        <w:tc>
          <w:tcPr>
            <w:tcW w:w="458" w:type="pct"/>
            <w:tcBorders>
              <w:top w:val="nil"/>
              <w:left w:val="nil"/>
              <w:bottom w:val="single" w:sz="4" w:space="0" w:color="auto"/>
              <w:right w:val="single" w:sz="4" w:space="0" w:color="auto"/>
            </w:tcBorders>
            <w:noWrap/>
            <w:vAlign w:val="bottom"/>
            <w:hideMark/>
          </w:tcPr>
          <w:p w14:paraId="7876464E"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0.12</w:t>
            </w:r>
          </w:p>
        </w:tc>
        <w:tc>
          <w:tcPr>
            <w:tcW w:w="458" w:type="pct"/>
            <w:tcBorders>
              <w:top w:val="nil"/>
              <w:left w:val="nil"/>
              <w:bottom w:val="single" w:sz="4" w:space="0" w:color="auto"/>
              <w:right w:val="single" w:sz="4" w:space="0" w:color="auto"/>
            </w:tcBorders>
            <w:noWrap/>
            <w:vAlign w:val="bottom"/>
            <w:hideMark/>
          </w:tcPr>
          <w:p w14:paraId="6C74194B"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0.13</w:t>
            </w:r>
          </w:p>
        </w:tc>
        <w:tc>
          <w:tcPr>
            <w:tcW w:w="458" w:type="pct"/>
            <w:tcBorders>
              <w:top w:val="nil"/>
              <w:left w:val="nil"/>
              <w:bottom w:val="single" w:sz="4" w:space="0" w:color="auto"/>
              <w:right w:val="single" w:sz="4" w:space="0" w:color="auto"/>
            </w:tcBorders>
            <w:noWrap/>
            <w:vAlign w:val="bottom"/>
            <w:hideMark/>
          </w:tcPr>
          <w:p w14:paraId="3CFB3A79"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0.13</w:t>
            </w:r>
          </w:p>
        </w:tc>
        <w:tc>
          <w:tcPr>
            <w:tcW w:w="458" w:type="pct"/>
            <w:tcBorders>
              <w:top w:val="nil"/>
              <w:left w:val="nil"/>
              <w:bottom w:val="single" w:sz="4" w:space="0" w:color="auto"/>
              <w:right w:val="single" w:sz="8" w:space="0" w:color="auto"/>
            </w:tcBorders>
            <w:noWrap/>
            <w:vAlign w:val="bottom"/>
            <w:hideMark/>
          </w:tcPr>
          <w:p w14:paraId="0CFF00E9"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0.14</w:t>
            </w:r>
          </w:p>
        </w:tc>
      </w:tr>
      <w:tr w:rsidR="0067581A" w:rsidRPr="00415C43" w14:paraId="3BEFCF84" w14:textId="77777777" w:rsidTr="0067581A">
        <w:trPr>
          <w:trHeight w:val="300"/>
        </w:trPr>
        <w:tc>
          <w:tcPr>
            <w:tcW w:w="1228" w:type="pct"/>
            <w:tcBorders>
              <w:top w:val="nil"/>
              <w:left w:val="single" w:sz="8" w:space="0" w:color="auto"/>
              <w:bottom w:val="single" w:sz="4" w:space="0" w:color="auto"/>
              <w:right w:val="single" w:sz="4" w:space="0" w:color="auto"/>
            </w:tcBorders>
            <w:noWrap/>
            <w:vAlign w:val="bottom"/>
            <w:hideMark/>
          </w:tcPr>
          <w:p w14:paraId="072AD8DB" w14:textId="77777777" w:rsidR="0067581A" w:rsidRPr="00415C43" w:rsidRDefault="0067581A" w:rsidP="00541AD4">
            <w:pPr>
              <w:spacing w:after="240" w:line="360" w:lineRule="auto"/>
              <w:rPr>
                <w:rFonts w:eastAsia="Times New Roman"/>
                <w:color w:val="000000"/>
                <w:sz w:val="24"/>
                <w:szCs w:val="24"/>
                <w:lang w:val="en-US"/>
              </w:rPr>
            </w:pPr>
            <w:r w:rsidRPr="00415C43">
              <w:rPr>
                <w:rFonts w:eastAsia="Times New Roman"/>
                <w:color w:val="000000"/>
                <w:sz w:val="24"/>
                <w:szCs w:val="24"/>
                <w:lang w:val="en-US"/>
              </w:rPr>
              <w:t>Operating Cash Flow to Assets</w:t>
            </w:r>
          </w:p>
        </w:tc>
        <w:tc>
          <w:tcPr>
            <w:tcW w:w="1480" w:type="pct"/>
            <w:tcBorders>
              <w:top w:val="nil"/>
              <w:left w:val="nil"/>
              <w:bottom w:val="single" w:sz="4" w:space="0" w:color="auto"/>
              <w:right w:val="single" w:sz="4" w:space="0" w:color="auto"/>
            </w:tcBorders>
            <w:noWrap/>
            <w:vAlign w:val="bottom"/>
            <w:hideMark/>
          </w:tcPr>
          <w:p w14:paraId="11CDFDB6" w14:textId="77777777" w:rsidR="0067581A" w:rsidRPr="00415C43" w:rsidRDefault="0067581A" w:rsidP="00541AD4">
            <w:pPr>
              <w:spacing w:after="240" w:line="360" w:lineRule="auto"/>
              <w:rPr>
                <w:rFonts w:eastAsia="Times New Roman"/>
                <w:color w:val="000000"/>
                <w:sz w:val="24"/>
                <w:szCs w:val="24"/>
                <w:lang w:val="en-US"/>
              </w:rPr>
            </w:pPr>
            <w:r w:rsidRPr="00415C43">
              <w:rPr>
                <w:rFonts w:eastAsia="Times New Roman"/>
                <w:color w:val="000000"/>
                <w:sz w:val="24"/>
                <w:szCs w:val="24"/>
                <w:lang w:val="en-US"/>
              </w:rPr>
              <w:t>CFO / Total Assets</w:t>
            </w:r>
          </w:p>
        </w:tc>
        <w:tc>
          <w:tcPr>
            <w:tcW w:w="458" w:type="pct"/>
            <w:tcBorders>
              <w:top w:val="nil"/>
              <w:left w:val="nil"/>
              <w:bottom w:val="single" w:sz="4" w:space="0" w:color="auto"/>
              <w:right w:val="single" w:sz="4" w:space="0" w:color="auto"/>
            </w:tcBorders>
            <w:noWrap/>
            <w:vAlign w:val="bottom"/>
            <w:hideMark/>
          </w:tcPr>
          <w:p w14:paraId="268AF2C8"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-0.03</w:t>
            </w:r>
          </w:p>
        </w:tc>
        <w:tc>
          <w:tcPr>
            <w:tcW w:w="458" w:type="pct"/>
            <w:tcBorders>
              <w:top w:val="nil"/>
              <w:left w:val="nil"/>
              <w:bottom w:val="single" w:sz="4" w:space="0" w:color="auto"/>
              <w:right w:val="single" w:sz="4" w:space="0" w:color="auto"/>
            </w:tcBorders>
            <w:noWrap/>
            <w:vAlign w:val="bottom"/>
            <w:hideMark/>
          </w:tcPr>
          <w:p w14:paraId="3B9096F5"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0.06</w:t>
            </w:r>
          </w:p>
        </w:tc>
        <w:tc>
          <w:tcPr>
            <w:tcW w:w="458" w:type="pct"/>
            <w:tcBorders>
              <w:top w:val="nil"/>
              <w:left w:val="nil"/>
              <w:bottom w:val="single" w:sz="4" w:space="0" w:color="auto"/>
              <w:right w:val="single" w:sz="4" w:space="0" w:color="auto"/>
            </w:tcBorders>
            <w:noWrap/>
            <w:vAlign w:val="bottom"/>
            <w:hideMark/>
          </w:tcPr>
          <w:p w14:paraId="34FC069A"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0.08</w:t>
            </w:r>
          </w:p>
        </w:tc>
        <w:tc>
          <w:tcPr>
            <w:tcW w:w="458" w:type="pct"/>
            <w:tcBorders>
              <w:top w:val="nil"/>
              <w:left w:val="nil"/>
              <w:bottom w:val="single" w:sz="4" w:space="0" w:color="auto"/>
              <w:right w:val="single" w:sz="4" w:space="0" w:color="auto"/>
            </w:tcBorders>
            <w:noWrap/>
            <w:vAlign w:val="bottom"/>
            <w:hideMark/>
          </w:tcPr>
          <w:p w14:paraId="4396145E"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0.08</w:t>
            </w:r>
          </w:p>
        </w:tc>
        <w:tc>
          <w:tcPr>
            <w:tcW w:w="458" w:type="pct"/>
            <w:tcBorders>
              <w:top w:val="nil"/>
              <w:left w:val="nil"/>
              <w:bottom w:val="single" w:sz="4" w:space="0" w:color="auto"/>
              <w:right w:val="single" w:sz="8" w:space="0" w:color="auto"/>
            </w:tcBorders>
            <w:noWrap/>
            <w:vAlign w:val="bottom"/>
            <w:hideMark/>
          </w:tcPr>
          <w:p w14:paraId="6F982C7E"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0.09</w:t>
            </w:r>
          </w:p>
        </w:tc>
      </w:tr>
      <w:tr w:rsidR="0067581A" w:rsidRPr="00415C43" w14:paraId="44958FBC" w14:textId="77777777" w:rsidTr="0067581A">
        <w:trPr>
          <w:trHeight w:val="300"/>
        </w:trPr>
        <w:tc>
          <w:tcPr>
            <w:tcW w:w="1228" w:type="pct"/>
            <w:tcBorders>
              <w:top w:val="nil"/>
              <w:left w:val="single" w:sz="8" w:space="0" w:color="auto"/>
              <w:bottom w:val="single" w:sz="4" w:space="0" w:color="auto"/>
              <w:right w:val="single" w:sz="4" w:space="0" w:color="auto"/>
            </w:tcBorders>
            <w:noWrap/>
            <w:vAlign w:val="bottom"/>
            <w:hideMark/>
          </w:tcPr>
          <w:p w14:paraId="79F8CA99" w14:textId="77777777" w:rsidR="0067581A" w:rsidRPr="00415C43" w:rsidRDefault="0067581A" w:rsidP="00541AD4">
            <w:pPr>
              <w:spacing w:after="240" w:line="360" w:lineRule="auto"/>
              <w:rPr>
                <w:rFonts w:eastAsia="Times New Roman"/>
                <w:color w:val="000000"/>
                <w:sz w:val="24"/>
                <w:szCs w:val="24"/>
                <w:lang w:val="en-US"/>
              </w:rPr>
            </w:pPr>
            <w:r w:rsidRPr="00415C43">
              <w:rPr>
                <w:rFonts w:eastAsia="Times New Roman"/>
                <w:color w:val="000000"/>
                <w:sz w:val="24"/>
                <w:szCs w:val="24"/>
                <w:lang w:val="en-US"/>
              </w:rPr>
              <w:t>Cash Flow to Current Liabilities</w:t>
            </w:r>
          </w:p>
        </w:tc>
        <w:tc>
          <w:tcPr>
            <w:tcW w:w="1480" w:type="pct"/>
            <w:tcBorders>
              <w:top w:val="nil"/>
              <w:left w:val="nil"/>
              <w:bottom w:val="single" w:sz="4" w:space="0" w:color="auto"/>
              <w:right w:val="single" w:sz="4" w:space="0" w:color="auto"/>
            </w:tcBorders>
            <w:noWrap/>
            <w:vAlign w:val="bottom"/>
            <w:hideMark/>
          </w:tcPr>
          <w:p w14:paraId="58815301" w14:textId="77777777" w:rsidR="0067581A" w:rsidRPr="00415C43" w:rsidRDefault="0067581A" w:rsidP="00541AD4">
            <w:pPr>
              <w:spacing w:after="240" w:line="360" w:lineRule="auto"/>
              <w:rPr>
                <w:rFonts w:eastAsia="Times New Roman"/>
                <w:color w:val="000000"/>
                <w:sz w:val="24"/>
                <w:szCs w:val="24"/>
                <w:lang w:val="en-US"/>
              </w:rPr>
            </w:pPr>
            <w:r w:rsidRPr="00415C43">
              <w:rPr>
                <w:rFonts w:eastAsia="Times New Roman"/>
                <w:color w:val="000000"/>
                <w:sz w:val="24"/>
                <w:szCs w:val="24"/>
                <w:lang w:val="en-US"/>
              </w:rPr>
              <w:t>CFO / Current Liabilities</w:t>
            </w:r>
          </w:p>
        </w:tc>
        <w:tc>
          <w:tcPr>
            <w:tcW w:w="458" w:type="pct"/>
            <w:tcBorders>
              <w:top w:val="nil"/>
              <w:left w:val="nil"/>
              <w:bottom w:val="single" w:sz="4" w:space="0" w:color="auto"/>
              <w:right w:val="single" w:sz="4" w:space="0" w:color="auto"/>
            </w:tcBorders>
            <w:noWrap/>
            <w:vAlign w:val="bottom"/>
            <w:hideMark/>
          </w:tcPr>
          <w:p w14:paraId="745A3E47"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-0.02</w:t>
            </w:r>
          </w:p>
        </w:tc>
        <w:tc>
          <w:tcPr>
            <w:tcW w:w="458" w:type="pct"/>
            <w:tcBorders>
              <w:top w:val="nil"/>
              <w:left w:val="nil"/>
              <w:bottom w:val="single" w:sz="4" w:space="0" w:color="auto"/>
              <w:right w:val="single" w:sz="4" w:space="0" w:color="auto"/>
            </w:tcBorders>
            <w:noWrap/>
            <w:vAlign w:val="bottom"/>
            <w:hideMark/>
          </w:tcPr>
          <w:p w14:paraId="45141FBB"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0.04</w:t>
            </w:r>
          </w:p>
        </w:tc>
        <w:tc>
          <w:tcPr>
            <w:tcW w:w="458" w:type="pct"/>
            <w:tcBorders>
              <w:top w:val="nil"/>
              <w:left w:val="nil"/>
              <w:bottom w:val="single" w:sz="4" w:space="0" w:color="auto"/>
              <w:right w:val="single" w:sz="4" w:space="0" w:color="auto"/>
            </w:tcBorders>
            <w:noWrap/>
            <w:vAlign w:val="bottom"/>
            <w:hideMark/>
          </w:tcPr>
          <w:p w14:paraId="30121F2D"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0.06</w:t>
            </w:r>
          </w:p>
        </w:tc>
        <w:tc>
          <w:tcPr>
            <w:tcW w:w="458" w:type="pct"/>
            <w:tcBorders>
              <w:top w:val="nil"/>
              <w:left w:val="nil"/>
              <w:bottom w:val="single" w:sz="4" w:space="0" w:color="auto"/>
              <w:right w:val="single" w:sz="4" w:space="0" w:color="auto"/>
            </w:tcBorders>
            <w:noWrap/>
            <w:vAlign w:val="bottom"/>
            <w:hideMark/>
          </w:tcPr>
          <w:p w14:paraId="4242DDCF"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0.06</w:t>
            </w:r>
          </w:p>
        </w:tc>
        <w:tc>
          <w:tcPr>
            <w:tcW w:w="458" w:type="pct"/>
            <w:tcBorders>
              <w:top w:val="nil"/>
              <w:left w:val="nil"/>
              <w:bottom w:val="single" w:sz="4" w:space="0" w:color="auto"/>
              <w:right w:val="single" w:sz="8" w:space="0" w:color="auto"/>
            </w:tcBorders>
            <w:noWrap/>
            <w:vAlign w:val="bottom"/>
            <w:hideMark/>
          </w:tcPr>
          <w:p w14:paraId="1A442D96"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0.07</w:t>
            </w:r>
          </w:p>
        </w:tc>
      </w:tr>
      <w:tr w:rsidR="0067581A" w:rsidRPr="00415C43" w14:paraId="50A8AC7B" w14:textId="77777777" w:rsidTr="0067581A">
        <w:trPr>
          <w:trHeight w:val="315"/>
        </w:trPr>
        <w:tc>
          <w:tcPr>
            <w:tcW w:w="1228" w:type="pct"/>
            <w:tcBorders>
              <w:top w:val="nil"/>
              <w:left w:val="single" w:sz="8" w:space="0" w:color="auto"/>
              <w:bottom w:val="single" w:sz="8" w:space="0" w:color="auto"/>
              <w:right w:val="single" w:sz="4" w:space="0" w:color="auto"/>
            </w:tcBorders>
            <w:noWrap/>
            <w:vAlign w:val="bottom"/>
            <w:hideMark/>
          </w:tcPr>
          <w:p w14:paraId="38B7FAA3" w14:textId="77777777" w:rsidR="0067581A" w:rsidRPr="00415C43" w:rsidRDefault="0067581A" w:rsidP="00541AD4">
            <w:pPr>
              <w:spacing w:after="240" w:line="360" w:lineRule="auto"/>
              <w:rPr>
                <w:rFonts w:eastAsia="Times New Roman"/>
                <w:color w:val="000000"/>
                <w:sz w:val="24"/>
                <w:szCs w:val="24"/>
                <w:lang w:val="en-US"/>
              </w:rPr>
            </w:pPr>
            <w:r w:rsidRPr="00415C43">
              <w:rPr>
                <w:rFonts w:eastAsia="Times New Roman"/>
                <w:color w:val="000000"/>
                <w:sz w:val="24"/>
                <w:szCs w:val="24"/>
                <w:lang w:val="en-US"/>
              </w:rPr>
              <w:t>Net Cash Flow Ratio</w:t>
            </w:r>
          </w:p>
        </w:tc>
        <w:tc>
          <w:tcPr>
            <w:tcW w:w="1480" w:type="pct"/>
            <w:tcBorders>
              <w:top w:val="nil"/>
              <w:left w:val="nil"/>
              <w:bottom w:val="single" w:sz="8" w:space="0" w:color="auto"/>
              <w:right w:val="single" w:sz="4" w:space="0" w:color="auto"/>
            </w:tcBorders>
            <w:noWrap/>
            <w:vAlign w:val="bottom"/>
            <w:hideMark/>
          </w:tcPr>
          <w:p w14:paraId="051702CE" w14:textId="77777777" w:rsidR="0067581A" w:rsidRPr="00415C43" w:rsidRDefault="0067581A" w:rsidP="00541AD4">
            <w:pPr>
              <w:spacing w:after="240" w:line="360" w:lineRule="auto"/>
              <w:rPr>
                <w:rFonts w:eastAsia="Times New Roman"/>
                <w:color w:val="000000"/>
                <w:sz w:val="24"/>
                <w:szCs w:val="24"/>
                <w:lang w:val="en-US"/>
              </w:rPr>
            </w:pPr>
            <w:r w:rsidRPr="00415C43">
              <w:rPr>
                <w:rFonts w:eastAsia="Times New Roman"/>
                <w:color w:val="000000"/>
                <w:sz w:val="24"/>
                <w:szCs w:val="24"/>
                <w:lang w:val="en-US"/>
              </w:rPr>
              <w:t>Net Cash Flow / Revenue</w:t>
            </w:r>
          </w:p>
        </w:tc>
        <w:tc>
          <w:tcPr>
            <w:tcW w:w="458" w:type="pct"/>
            <w:tcBorders>
              <w:top w:val="nil"/>
              <w:left w:val="nil"/>
              <w:bottom w:val="single" w:sz="8" w:space="0" w:color="auto"/>
              <w:right w:val="single" w:sz="4" w:space="0" w:color="auto"/>
            </w:tcBorders>
            <w:noWrap/>
            <w:vAlign w:val="bottom"/>
            <w:hideMark/>
          </w:tcPr>
          <w:p w14:paraId="5ED3462A"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0.00</w:t>
            </w:r>
          </w:p>
        </w:tc>
        <w:tc>
          <w:tcPr>
            <w:tcW w:w="458" w:type="pct"/>
            <w:tcBorders>
              <w:top w:val="nil"/>
              <w:left w:val="nil"/>
              <w:bottom w:val="single" w:sz="8" w:space="0" w:color="auto"/>
              <w:right w:val="single" w:sz="4" w:space="0" w:color="auto"/>
            </w:tcBorders>
            <w:noWrap/>
            <w:vAlign w:val="bottom"/>
            <w:hideMark/>
          </w:tcPr>
          <w:p w14:paraId="6A37B556"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0.00</w:t>
            </w:r>
          </w:p>
        </w:tc>
        <w:tc>
          <w:tcPr>
            <w:tcW w:w="458" w:type="pct"/>
            <w:tcBorders>
              <w:top w:val="nil"/>
              <w:left w:val="nil"/>
              <w:bottom w:val="single" w:sz="8" w:space="0" w:color="auto"/>
              <w:right w:val="single" w:sz="4" w:space="0" w:color="auto"/>
            </w:tcBorders>
            <w:noWrap/>
            <w:vAlign w:val="bottom"/>
            <w:hideMark/>
          </w:tcPr>
          <w:p w14:paraId="76349CA6"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0.00</w:t>
            </w:r>
          </w:p>
        </w:tc>
        <w:tc>
          <w:tcPr>
            <w:tcW w:w="458" w:type="pct"/>
            <w:tcBorders>
              <w:top w:val="nil"/>
              <w:left w:val="nil"/>
              <w:bottom w:val="single" w:sz="8" w:space="0" w:color="auto"/>
              <w:right w:val="single" w:sz="4" w:space="0" w:color="auto"/>
            </w:tcBorders>
            <w:noWrap/>
            <w:vAlign w:val="bottom"/>
            <w:hideMark/>
          </w:tcPr>
          <w:p w14:paraId="5B6A8889"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0.00</w:t>
            </w:r>
          </w:p>
        </w:tc>
        <w:tc>
          <w:tcPr>
            <w:tcW w:w="458" w:type="pct"/>
            <w:tcBorders>
              <w:top w:val="nil"/>
              <w:left w:val="nil"/>
              <w:bottom w:val="single" w:sz="8" w:space="0" w:color="auto"/>
              <w:right w:val="single" w:sz="8" w:space="0" w:color="auto"/>
            </w:tcBorders>
            <w:noWrap/>
            <w:vAlign w:val="bottom"/>
            <w:hideMark/>
          </w:tcPr>
          <w:p w14:paraId="2104CFE8"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0.00</w:t>
            </w:r>
          </w:p>
        </w:tc>
      </w:tr>
    </w:tbl>
    <w:p w14:paraId="37A17CCF" w14:textId="77777777" w:rsidR="0067581A" w:rsidRPr="00415C43" w:rsidRDefault="0067581A" w:rsidP="00541AD4">
      <w:pPr>
        <w:spacing w:after="240" w:line="360" w:lineRule="auto"/>
        <w:jc w:val="both"/>
        <w:rPr>
          <w:rFonts w:eastAsia="Times New Roman"/>
          <w:sz w:val="24"/>
          <w:szCs w:val="24"/>
        </w:rPr>
      </w:pPr>
    </w:p>
    <w:p w14:paraId="74B098BE" w14:textId="1C57E4B2" w:rsidR="0067581A" w:rsidRPr="00415C43" w:rsidRDefault="0067581A" w:rsidP="00541AD4">
      <w:pPr>
        <w:spacing w:after="240" w:line="360" w:lineRule="auto"/>
        <w:jc w:val="center"/>
        <w:rPr>
          <w:rFonts w:eastAsia="Times New Roman"/>
          <w:sz w:val="24"/>
          <w:szCs w:val="24"/>
        </w:rPr>
      </w:pPr>
      <w:r w:rsidRPr="00415C43">
        <w:rPr>
          <w:noProof/>
          <w:sz w:val="24"/>
          <w:szCs w:val="24"/>
          <w:lang w:val="en-US"/>
        </w:rPr>
        <w:lastRenderedPageBreak/>
        <w:drawing>
          <wp:inline distT="0" distB="0" distL="0" distR="0" wp14:anchorId="72ED46CB" wp14:editId="13C1DA8D">
            <wp:extent cx="4572000" cy="2743200"/>
            <wp:effectExtent l="0" t="0" r="0" b="0"/>
            <wp:docPr id="114578690" name="Chart 1">
              <a:extLst xmlns:a="http://schemas.openxmlformats.org/drawingml/2006/main">
                <a:ext uri="{FF2B5EF4-FFF2-40B4-BE49-F238E27FC236}">
                  <a16:creationId xmlns:a16="http://schemas.microsoft.com/office/drawing/2014/main" id="{EAD12BCF-E768-DAD3-0900-8E8F2ED117D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8"/>
              </a:graphicData>
            </a:graphic>
          </wp:inline>
        </w:drawing>
      </w:r>
    </w:p>
    <w:p w14:paraId="1AE6E2CD" w14:textId="2697A139" w:rsidR="0067581A" w:rsidRPr="00415C43" w:rsidRDefault="0067581A" w:rsidP="00541AD4">
      <w:pPr>
        <w:spacing w:after="240" w:line="360" w:lineRule="auto"/>
        <w:rPr>
          <w:rFonts w:eastAsia="Times New Roman"/>
          <w:sz w:val="24"/>
          <w:szCs w:val="24"/>
        </w:rPr>
      </w:pPr>
      <w:r w:rsidRPr="00415C43">
        <w:rPr>
          <w:rFonts w:eastAsia="Times New Roman"/>
          <w:sz w:val="24"/>
          <w:szCs w:val="24"/>
        </w:rPr>
        <w:br w:type="page"/>
      </w:r>
    </w:p>
    <w:p w14:paraId="2210DDE0" w14:textId="54D11B4D" w:rsidR="0067581A" w:rsidRPr="00415C43" w:rsidRDefault="0067581A" w:rsidP="00541AD4">
      <w:pPr>
        <w:pStyle w:val="Heading2"/>
        <w:spacing w:after="240"/>
      </w:pPr>
      <w:bookmarkStart w:id="29" w:name="_Toc236327974"/>
      <w:r w:rsidRPr="00415C43">
        <w:lastRenderedPageBreak/>
        <w:t>Appendix B: Investment appraisal calculations</w:t>
      </w:r>
      <w:bookmarkEnd w:id="29"/>
    </w:p>
    <w:p w14:paraId="31BA1182" w14:textId="74BF9842" w:rsidR="0067581A" w:rsidRPr="00415C43" w:rsidRDefault="0067581A" w:rsidP="00541AD4">
      <w:pPr>
        <w:spacing w:after="240" w:line="360" w:lineRule="auto"/>
        <w:jc w:val="both"/>
        <w:rPr>
          <w:rFonts w:eastAsia="Times New Roman"/>
          <w:b/>
          <w:bCs/>
          <w:sz w:val="24"/>
          <w:szCs w:val="24"/>
        </w:rPr>
      </w:pPr>
      <w:r w:rsidRPr="00415C43">
        <w:rPr>
          <w:rFonts w:eastAsia="Times New Roman"/>
          <w:b/>
          <w:bCs/>
          <w:sz w:val="24"/>
          <w:szCs w:val="24"/>
        </w:rPr>
        <w:t>Project A</w:t>
      </w:r>
    </w:p>
    <w:tbl>
      <w:tblPr>
        <w:tblStyle w:val="TableGrid"/>
        <w:tblW w:w="5000" w:type="pct"/>
        <w:tblLook w:val="04A0" w:firstRow="1" w:lastRow="0" w:firstColumn="1" w:lastColumn="0" w:noHBand="0" w:noVBand="1"/>
      </w:tblPr>
      <w:tblGrid>
        <w:gridCol w:w="1803"/>
        <w:gridCol w:w="1804"/>
        <w:gridCol w:w="1804"/>
        <w:gridCol w:w="1804"/>
        <w:gridCol w:w="1804"/>
      </w:tblGrid>
      <w:tr w:rsidR="0067581A" w:rsidRPr="00415C43" w14:paraId="2EC7E6C2" w14:textId="77777777" w:rsidTr="0067581A">
        <w:trPr>
          <w:trHeight w:val="600"/>
        </w:trPr>
        <w:tc>
          <w:tcPr>
            <w:tcW w:w="1000" w:type="pct"/>
            <w:hideMark/>
          </w:tcPr>
          <w:p w14:paraId="597543E3" w14:textId="77777777" w:rsidR="0067581A" w:rsidRPr="00415C43" w:rsidRDefault="0067581A" w:rsidP="00541AD4">
            <w:pPr>
              <w:spacing w:after="240" w:line="360" w:lineRule="auto"/>
              <w:jc w:val="center"/>
              <w:rPr>
                <w:rFonts w:eastAsia="Times New Roman"/>
                <w:b/>
                <w:bCs/>
                <w:i/>
                <w:iCs/>
                <w:color w:val="000000"/>
                <w:sz w:val="24"/>
                <w:szCs w:val="24"/>
                <w:lang w:val="en-US"/>
              </w:rPr>
            </w:pPr>
            <w:r w:rsidRPr="00415C43">
              <w:rPr>
                <w:rFonts w:eastAsia="Times New Roman"/>
                <w:b/>
                <w:bCs/>
                <w:i/>
                <w:iCs/>
                <w:color w:val="000000"/>
                <w:sz w:val="24"/>
                <w:szCs w:val="24"/>
                <w:lang w:val="en-US"/>
              </w:rPr>
              <w:t>Year</w:t>
            </w:r>
          </w:p>
        </w:tc>
        <w:tc>
          <w:tcPr>
            <w:tcW w:w="1000" w:type="pct"/>
            <w:hideMark/>
          </w:tcPr>
          <w:p w14:paraId="02BA38FB" w14:textId="77777777" w:rsidR="0067581A" w:rsidRPr="00415C43" w:rsidRDefault="0067581A" w:rsidP="00541AD4">
            <w:pPr>
              <w:spacing w:after="240" w:line="360" w:lineRule="auto"/>
              <w:jc w:val="center"/>
              <w:rPr>
                <w:rFonts w:eastAsia="Times New Roman"/>
                <w:b/>
                <w:bCs/>
                <w:i/>
                <w:iCs/>
                <w:color w:val="000000"/>
                <w:sz w:val="24"/>
                <w:szCs w:val="24"/>
                <w:lang w:val="en-US"/>
              </w:rPr>
            </w:pPr>
            <w:r w:rsidRPr="00415C43">
              <w:rPr>
                <w:rFonts w:eastAsia="Times New Roman"/>
                <w:b/>
                <w:bCs/>
                <w:i/>
                <w:iCs/>
                <w:color w:val="000000"/>
                <w:sz w:val="24"/>
                <w:szCs w:val="24"/>
                <w:lang w:val="en-US"/>
              </w:rPr>
              <w:t>Net Cash Flow (£m)</w:t>
            </w:r>
          </w:p>
        </w:tc>
        <w:tc>
          <w:tcPr>
            <w:tcW w:w="1000" w:type="pct"/>
            <w:hideMark/>
          </w:tcPr>
          <w:p w14:paraId="3D289CAC" w14:textId="77777777" w:rsidR="0067581A" w:rsidRPr="00415C43" w:rsidRDefault="0067581A" w:rsidP="00541AD4">
            <w:pPr>
              <w:spacing w:after="240" w:line="360" w:lineRule="auto"/>
              <w:jc w:val="center"/>
              <w:rPr>
                <w:rFonts w:eastAsia="Times New Roman"/>
                <w:b/>
                <w:bCs/>
                <w:i/>
                <w:iCs/>
                <w:color w:val="000000"/>
                <w:sz w:val="24"/>
                <w:szCs w:val="24"/>
                <w:lang w:val="en-US"/>
              </w:rPr>
            </w:pPr>
            <w:r w:rsidRPr="00415C43">
              <w:rPr>
                <w:rFonts w:eastAsia="Times New Roman"/>
                <w:b/>
                <w:bCs/>
                <w:i/>
                <w:iCs/>
                <w:color w:val="000000"/>
                <w:sz w:val="24"/>
                <w:szCs w:val="24"/>
                <w:lang w:val="en-US"/>
              </w:rPr>
              <w:t>Discount Factor (8%)</w:t>
            </w:r>
          </w:p>
        </w:tc>
        <w:tc>
          <w:tcPr>
            <w:tcW w:w="1000" w:type="pct"/>
            <w:hideMark/>
          </w:tcPr>
          <w:p w14:paraId="5A0F41C2" w14:textId="77777777" w:rsidR="0067581A" w:rsidRPr="00415C43" w:rsidRDefault="0067581A" w:rsidP="00541AD4">
            <w:pPr>
              <w:spacing w:after="240" w:line="360" w:lineRule="auto"/>
              <w:jc w:val="center"/>
              <w:rPr>
                <w:rFonts w:eastAsia="Times New Roman"/>
                <w:b/>
                <w:bCs/>
                <w:i/>
                <w:iCs/>
                <w:color w:val="000000"/>
                <w:sz w:val="24"/>
                <w:szCs w:val="24"/>
                <w:lang w:val="en-US"/>
              </w:rPr>
            </w:pPr>
            <w:r w:rsidRPr="00415C43">
              <w:rPr>
                <w:rFonts w:eastAsia="Times New Roman"/>
                <w:b/>
                <w:bCs/>
                <w:i/>
                <w:iCs/>
                <w:color w:val="000000"/>
                <w:sz w:val="24"/>
                <w:szCs w:val="24"/>
                <w:lang w:val="en-US"/>
              </w:rPr>
              <w:t>Present Value (£m)</w:t>
            </w:r>
          </w:p>
        </w:tc>
        <w:tc>
          <w:tcPr>
            <w:tcW w:w="1000" w:type="pct"/>
            <w:hideMark/>
          </w:tcPr>
          <w:p w14:paraId="165AA711" w14:textId="77777777" w:rsidR="0067581A" w:rsidRPr="00415C43" w:rsidRDefault="0067581A" w:rsidP="00541AD4">
            <w:pPr>
              <w:spacing w:after="240" w:line="360" w:lineRule="auto"/>
              <w:jc w:val="center"/>
              <w:rPr>
                <w:rFonts w:eastAsia="Times New Roman"/>
                <w:b/>
                <w:bCs/>
                <w:i/>
                <w:iCs/>
                <w:color w:val="000000"/>
                <w:sz w:val="24"/>
                <w:szCs w:val="24"/>
                <w:lang w:val="en-US"/>
              </w:rPr>
            </w:pPr>
            <w:r w:rsidRPr="00415C43">
              <w:rPr>
                <w:rFonts w:eastAsia="Times New Roman"/>
                <w:b/>
                <w:bCs/>
                <w:i/>
                <w:iCs/>
                <w:color w:val="000000"/>
                <w:sz w:val="24"/>
                <w:szCs w:val="24"/>
                <w:lang w:val="en-US"/>
              </w:rPr>
              <w:t>Cumulative Cash Flow (£m)</w:t>
            </w:r>
          </w:p>
        </w:tc>
      </w:tr>
      <w:tr w:rsidR="0067581A" w:rsidRPr="00415C43" w14:paraId="288F7A65" w14:textId="77777777" w:rsidTr="0067581A">
        <w:trPr>
          <w:trHeight w:val="300"/>
        </w:trPr>
        <w:tc>
          <w:tcPr>
            <w:tcW w:w="1000" w:type="pct"/>
            <w:noWrap/>
            <w:hideMark/>
          </w:tcPr>
          <w:p w14:paraId="45EC6111" w14:textId="77777777" w:rsidR="0067581A" w:rsidRPr="00415C43" w:rsidRDefault="0067581A" w:rsidP="00541AD4">
            <w:pPr>
              <w:spacing w:after="240" w:line="360" w:lineRule="auto"/>
              <w:rPr>
                <w:rFonts w:eastAsia="Times New Roman"/>
                <w:color w:val="000000"/>
                <w:sz w:val="24"/>
                <w:szCs w:val="24"/>
                <w:lang w:val="en-US"/>
              </w:rPr>
            </w:pPr>
            <w:r w:rsidRPr="00415C43">
              <w:rPr>
                <w:rFonts w:eastAsia="Times New Roman"/>
                <w:color w:val="000000"/>
                <w:sz w:val="24"/>
                <w:szCs w:val="24"/>
                <w:lang w:val="en-US"/>
              </w:rPr>
              <w:t>0</w:t>
            </w:r>
          </w:p>
        </w:tc>
        <w:tc>
          <w:tcPr>
            <w:tcW w:w="1000" w:type="pct"/>
            <w:noWrap/>
            <w:hideMark/>
          </w:tcPr>
          <w:p w14:paraId="185492AF"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-50</w:t>
            </w:r>
          </w:p>
        </w:tc>
        <w:tc>
          <w:tcPr>
            <w:tcW w:w="1000" w:type="pct"/>
            <w:noWrap/>
            <w:hideMark/>
          </w:tcPr>
          <w:p w14:paraId="7F8BFE50"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1</w:t>
            </w:r>
          </w:p>
        </w:tc>
        <w:tc>
          <w:tcPr>
            <w:tcW w:w="1000" w:type="pct"/>
            <w:noWrap/>
            <w:hideMark/>
          </w:tcPr>
          <w:p w14:paraId="38A852DA"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-50</w:t>
            </w:r>
          </w:p>
        </w:tc>
        <w:tc>
          <w:tcPr>
            <w:tcW w:w="1000" w:type="pct"/>
            <w:noWrap/>
            <w:hideMark/>
          </w:tcPr>
          <w:p w14:paraId="2C7F3E8D"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-50</w:t>
            </w:r>
          </w:p>
        </w:tc>
      </w:tr>
      <w:tr w:rsidR="0067581A" w:rsidRPr="00415C43" w14:paraId="3DCCD510" w14:textId="77777777" w:rsidTr="0067581A">
        <w:trPr>
          <w:trHeight w:val="300"/>
        </w:trPr>
        <w:tc>
          <w:tcPr>
            <w:tcW w:w="1000" w:type="pct"/>
            <w:noWrap/>
            <w:hideMark/>
          </w:tcPr>
          <w:p w14:paraId="23573FFF" w14:textId="77777777" w:rsidR="0067581A" w:rsidRPr="00415C43" w:rsidRDefault="0067581A" w:rsidP="00541AD4">
            <w:pPr>
              <w:spacing w:after="240" w:line="360" w:lineRule="auto"/>
              <w:rPr>
                <w:rFonts w:eastAsia="Times New Roman"/>
                <w:color w:val="000000"/>
                <w:sz w:val="24"/>
                <w:szCs w:val="24"/>
                <w:lang w:val="en-US"/>
              </w:rPr>
            </w:pPr>
            <w:r w:rsidRPr="00415C43">
              <w:rPr>
                <w:rFonts w:eastAsia="Times New Roman"/>
                <w:color w:val="000000"/>
                <w:sz w:val="24"/>
                <w:szCs w:val="24"/>
                <w:lang w:val="en-US"/>
              </w:rPr>
              <w:t>1</w:t>
            </w:r>
          </w:p>
        </w:tc>
        <w:tc>
          <w:tcPr>
            <w:tcW w:w="1000" w:type="pct"/>
            <w:noWrap/>
            <w:hideMark/>
          </w:tcPr>
          <w:p w14:paraId="653EE22A"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10</w:t>
            </w:r>
          </w:p>
        </w:tc>
        <w:tc>
          <w:tcPr>
            <w:tcW w:w="1000" w:type="pct"/>
            <w:noWrap/>
            <w:hideMark/>
          </w:tcPr>
          <w:p w14:paraId="38775EDE"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0.090909091</w:t>
            </w:r>
          </w:p>
        </w:tc>
        <w:tc>
          <w:tcPr>
            <w:tcW w:w="1000" w:type="pct"/>
            <w:noWrap/>
            <w:hideMark/>
          </w:tcPr>
          <w:p w14:paraId="567F3CEB"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0.909090909</w:t>
            </w:r>
          </w:p>
        </w:tc>
        <w:tc>
          <w:tcPr>
            <w:tcW w:w="1000" w:type="pct"/>
            <w:noWrap/>
            <w:hideMark/>
          </w:tcPr>
          <w:p w14:paraId="6A50EE24"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-40</w:t>
            </w:r>
          </w:p>
        </w:tc>
      </w:tr>
      <w:tr w:rsidR="0067581A" w:rsidRPr="00415C43" w14:paraId="124545DE" w14:textId="77777777" w:rsidTr="0067581A">
        <w:trPr>
          <w:trHeight w:val="300"/>
        </w:trPr>
        <w:tc>
          <w:tcPr>
            <w:tcW w:w="1000" w:type="pct"/>
            <w:noWrap/>
            <w:hideMark/>
          </w:tcPr>
          <w:p w14:paraId="7616958F" w14:textId="77777777" w:rsidR="0067581A" w:rsidRPr="00415C43" w:rsidRDefault="0067581A" w:rsidP="00541AD4">
            <w:pPr>
              <w:spacing w:after="240" w:line="360" w:lineRule="auto"/>
              <w:rPr>
                <w:rFonts w:eastAsia="Times New Roman"/>
                <w:color w:val="000000"/>
                <w:sz w:val="24"/>
                <w:szCs w:val="24"/>
                <w:lang w:val="en-US"/>
              </w:rPr>
            </w:pPr>
            <w:r w:rsidRPr="00415C43">
              <w:rPr>
                <w:rFonts w:eastAsia="Times New Roman"/>
                <w:color w:val="000000"/>
                <w:sz w:val="24"/>
                <w:szCs w:val="24"/>
                <w:lang w:val="en-US"/>
              </w:rPr>
              <w:t>2</w:t>
            </w:r>
          </w:p>
        </w:tc>
        <w:tc>
          <w:tcPr>
            <w:tcW w:w="1000" w:type="pct"/>
            <w:noWrap/>
            <w:hideMark/>
          </w:tcPr>
          <w:p w14:paraId="5B748B7B"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12</w:t>
            </w:r>
          </w:p>
        </w:tc>
        <w:tc>
          <w:tcPr>
            <w:tcW w:w="1000" w:type="pct"/>
            <w:noWrap/>
            <w:hideMark/>
          </w:tcPr>
          <w:p w14:paraId="2117C354"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0.00591716</w:t>
            </w:r>
          </w:p>
        </w:tc>
        <w:tc>
          <w:tcPr>
            <w:tcW w:w="1000" w:type="pct"/>
            <w:noWrap/>
            <w:hideMark/>
          </w:tcPr>
          <w:p w14:paraId="27AD3898"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0.071005917</w:t>
            </w:r>
          </w:p>
        </w:tc>
        <w:tc>
          <w:tcPr>
            <w:tcW w:w="1000" w:type="pct"/>
            <w:noWrap/>
            <w:hideMark/>
          </w:tcPr>
          <w:p w14:paraId="3B60F935"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-28</w:t>
            </w:r>
          </w:p>
        </w:tc>
      </w:tr>
      <w:tr w:rsidR="0067581A" w:rsidRPr="00415C43" w14:paraId="2A5F967C" w14:textId="77777777" w:rsidTr="0067581A">
        <w:trPr>
          <w:trHeight w:val="300"/>
        </w:trPr>
        <w:tc>
          <w:tcPr>
            <w:tcW w:w="1000" w:type="pct"/>
            <w:noWrap/>
            <w:hideMark/>
          </w:tcPr>
          <w:p w14:paraId="06960070" w14:textId="77777777" w:rsidR="0067581A" w:rsidRPr="00415C43" w:rsidRDefault="0067581A" w:rsidP="00541AD4">
            <w:pPr>
              <w:spacing w:after="240" w:line="360" w:lineRule="auto"/>
              <w:rPr>
                <w:rFonts w:eastAsia="Times New Roman"/>
                <w:color w:val="000000"/>
                <w:sz w:val="24"/>
                <w:szCs w:val="24"/>
                <w:lang w:val="en-US"/>
              </w:rPr>
            </w:pPr>
            <w:r w:rsidRPr="00415C43">
              <w:rPr>
                <w:rFonts w:eastAsia="Times New Roman"/>
                <w:color w:val="000000"/>
                <w:sz w:val="24"/>
                <w:szCs w:val="24"/>
                <w:lang w:val="en-US"/>
              </w:rPr>
              <w:t>3</w:t>
            </w:r>
          </w:p>
        </w:tc>
        <w:tc>
          <w:tcPr>
            <w:tcW w:w="1000" w:type="pct"/>
            <w:noWrap/>
            <w:hideMark/>
          </w:tcPr>
          <w:p w14:paraId="439B714C"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14</w:t>
            </w:r>
          </w:p>
        </w:tc>
        <w:tc>
          <w:tcPr>
            <w:tcW w:w="1000" w:type="pct"/>
            <w:noWrap/>
            <w:hideMark/>
          </w:tcPr>
          <w:p w14:paraId="3D565BAF"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0.000296296</w:t>
            </w:r>
          </w:p>
        </w:tc>
        <w:tc>
          <w:tcPr>
            <w:tcW w:w="1000" w:type="pct"/>
            <w:noWrap/>
            <w:hideMark/>
          </w:tcPr>
          <w:p w14:paraId="350811B5"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0.004148148</w:t>
            </w:r>
          </w:p>
        </w:tc>
        <w:tc>
          <w:tcPr>
            <w:tcW w:w="1000" w:type="pct"/>
            <w:noWrap/>
            <w:hideMark/>
          </w:tcPr>
          <w:p w14:paraId="119C0B06"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-14</w:t>
            </w:r>
          </w:p>
        </w:tc>
      </w:tr>
      <w:tr w:rsidR="0067581A" w:rsidRPr="00415C43" w14:paraId="391FAC2C" w14:textId="77777777" w:rsidTr="0067581A">
        <w:trPr>
          <w:trHeight w:val="300"/>
        </w:trPr>
        <w:tc>
          <w:tcPr>
            <w:tcW w:w="1000" w:type="pct"/>
            <w:noWrap/>
            <w:hideMark/>
          </w:tcPr>
          <w:p w14:paraId="301CDA74" w14:textId="77777777" w:rsidR="0067581A" w:rsidRPr="00415C43" w:rsidRDefault="0067581A" w:rsidP="00541AD4">
            <w:pPr>
              <w:spacing w:after="240" w:line="360" w:lineRule="auto"/>
              <w:rPr>
                <w:rFonts w:eastAsia="Times New Roman"/>
                <w:color w:val="000000"/>
                <w:sz w:val="24"/>
                <w:szCs w:val="24"/>
                <w:lang w:val="en-US"/>
              </w:rPr>
            </w:pPr>
            <w:r w:rsidRPr="00415C43">
              <w:rPr>
                <w:rFonts w:eastAsia="Times New Roman"/>
                <w:color w:val="000000"/>
                <w:sz w:val="24"/>
                <w:szCs w:val="24"/>
                <w:lang w:val="en-US"/>
              </w:rPr>
              <w:t>4</w:t>
            </w:r>
          </w:p>
        </w:tc>
        <w:tc>
          <w:tcPr>
            <w:tcW w:w="1000" w:type="pct"/>
            <w:noWrap/>
            <w:hideMark/>
          </w:tcPr>
          <w:p w14:paraId="5DF571F3"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10</w:t>
            </w:r>
          </w:p>
        </w:tc>
        <w:tc>
          <w:tcPr>
            <w:tcW w:w="1000" w:type="pct"/>
            <w:noWrap/>
            <w:hideMark/>
          </w:tcPr>
          <w:p w14:paraId="2C216101"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6.83013E-05</w:t>
            </w:r>
          </w:p>
        </w:tc>
        <w:tc>
          <w:tcPr>
            <w:tcW w:w="1000" w:type="pct"/>
            <w:noWrap/>
            <w:hideMark/>
          </w:tcPr>
          <w:p w14:paraId="17932228"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0.000683013</w:t>
            </w:r>
          </w:p>
        </w:tc>
        <w:tc>
          <w:tcPr>
            <w:tcW w:w="1000" w:type="pct"/>
            <w:noWrap/>
            <w:hideMark/>
          </w:tcPr>
          <w:p w14:paraId="02921441"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-4</w:t>
            </w:r>
          </w:p>
        </w:tc>
      </w:tr>
      <w:tr w:rsidR="0067581A" w:rsidRPr="00415C43" w14:paraId="283E5B65" w14:textId="77777777" w:rsidTr="0067581A">
        <w:trPr>
          <w:trHeight w:val="300"/>
        </w:trPr>
        <w:tc>
          <w:tcPr>
            <w:tcW w:w="1000" w:type="pct"/>
            <w:noWrap/>
            <w:hideMark/>
          </w:tcPr>
          <w:p w14:paraId="0F1CF46C" w14:textId="77777777" w:rsidR="0067581A" w:rsidRPr="00415C43" w:rsidRDefault="0067581A" w:rsidP="00541AD4">
            <w:pPr>
              <w:spacing w:after="240" w:line="360" w:lineRule="auto"/>
              <w:rPr>
                <w:rFonts w:eastAsia="Times New Roman"/>
                <w:color w:val="000000"/>
                <w:sz w:val="24"/>
                <w:szCs w:val="24"/>
                <w:lang w:val="en-US"/>
              </w:rPr>
            </w:pPr>
            <w:r w:rsidRPr="00415C43">
              <w:rPr>
                <w:rFonts w:eastAsia="Times New Roman"/>
                <w:color w:val="000000"/>
                <w:sz w:val="24"/>
                <w:szCs w:val="24"/>
                <w:lang w:val="en-US"/>
              </w:rPr>
              <w:t>5</w:t>
            </w:r>
          </w:p>
        </w:tc>
        <w:tc>
          <w:tcPr>
            <w:tcW w:w="1000" w:type="pct"/>
            <w:noWrap/>
            <w:hideMark/>
          </w:tcPr>
          <w:p w14:paraId="64D994F2"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8</w:t>
            </w:r>
          </w:p>
        </w:tc>
        <w:tc>
          <w:tcPr>
            <w:tcW w:w="1000" w:type="pct"/>
            <w:noWrap/>
            <w:hideMark/>
          </w:tcPr>
          <w:p w14:paraId="0A33ED39"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1.69351E-05</w:t>
            </w:r>
          </w:p>
        </w:tc>
        <w:tc>
          <w:tcPr>
            <w:tcW w:w="1000" w:type="pct"/>
            <w:noWrap/>
            <w:hideMark/>
          </w:tcPr>
          <w:p w14:paraId="05204701"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0.000135481</w:t>
            </w:r>
          </w:p>
        </w:tc>
        <w:tc>
          <w:tcPr>
            <w:tcW w:w="1000" w:type="pct"/>
            <w:noWrap/>
            <w:hideMark/>
          </w:tcPr>
          <w:p w14:paraId="425093AE"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4</w:t>
            </w:r>
          </w:p>
        </w:tc>
      </w:tr>
      <w:tr w:rsidR="0067581A" w:rsidRPr="00415C43" w14:paraId="76FCBBCC" w14:textId="77777777" w:rsidTr="0067581A">
        <w:trPr>
          <w:trHeight w:val="300"/>
        </w:trPr>
        <w:tc>
          <w:tcPr>
            <w:tcW w:w="3000" w:type="pct"/>
            <w:gridSpan w:val="3"/>
            <w:noWrap/>
            <w:hideMark/>
          </w:tcPr>
          <w:p w14:paraId="7B44FBB8" w14:textId="77777777" w:rsidR="0067581A" w:rsidRPr="00415C43" w:rsidRDefault="0067581A" w:rsidP="00541AD4">
            <w:pPr>
              <w:spacing w:after="240" w:line="360" w:lineRule="auto"/>
              <w:rPr>
                <w:rFonts w:eastAsia="Times New Roman"/>
                <w:color w:val="000000"/>
                <w:sz w:val="24"/>
                <w:szCs w:val="24"/>
                <w:lang w:val="en-US"/>
              </w:rPr>
            </w:pPr>
            <w:r w:rsidRPr="00415C43">
              <w:rPr>
                <w:rFonts w:eastAsia="Times New Roman"/>
                <w:color w:val="000000"/>
                <w:sz w:val="24"/>
                <w:szCs w:val="24"/>
                <w:lang w:val="en-US"/>
              </w:rPr>
              <w:t>Total Present Value</w:t>
            </w:r>
          </w:p>
        </w:tc>
        <w:tc>
          <w:tcPr>
            <w:tcW w:w="2000" w:type="pct"/>
            <w:gridSpan w:val="2"/>
            <w:noWrap/>
            <w:hideMark/>
          </w:tcPr>
          <w:p w14:paraId="2079AD5E" w14:textId="77777777" w:rsidR="0067581A" w:rsidRPr="00415C43" w:rsidRDefault="0067581A" w:rsidP="00541AD4">
            <w:pPr>
              <w:spacing w:after="240" w:line="360" w:lineRule="auto"/>
              <w:rPr>
                <w:rFonts w:eastAsia="Times New Roman"/>
                <w:color w:val="000000"/>
                <w:sz w:val="24"/>
                <w:szCs w:val="24"/>
                <w:lang w:val="en-US"/>
              </w:rPr>
            </w:pPr>
            <w:r w:rsidRPr="00415C43">
              <w:rPr>
                <w:rFonts w:eastAsia="Times New Roman"/>
                <w:color w:val="000000"/>
                <w:sz w:val="24"/>
                <w:szCs w:val="24"/>
                <w:lang w:val="en-US"/>
              </w:rPr>
              <w:t>0.985063469</w:t>
            </w:r>
          </w:p>
        </w:tc>
      </w:tr>
      <w:tr w:rsidR="0067581A" w:rsidRPr="00415C43" w14:paraId="66386C98" w14:textId="77777777" w:rsidTr="0067581A">
        <w:trPr>
          <w:trHeight w:val="300"/>
        </w:trPr>
        <w:tc>
          <w:tcPr>
            <w:tcW w:w="4000" w:type="pct"/>
            <w:gridSpan w:val="4"/>
            <w:noWrap/>
            <w:hideMark/>
          </w:tcPr>
          <w:p w14:paraId="58BD7A58" w14:textId="77777777" w:rsidR="0067581A" w:rsidRPr="00415C43" w:rsidRDefault="0067581A" w:rsidP="00541AD4">
            <w:pPr>
              <w:spacing w:after="240" w:line="360" w:lineRule="auto"/>
              <w:rPr>
                <w:rFonts w:eastAsia="Times New Roman"/>
                <w:color w:val="000000"/>
                <w:sz w:val="24"/>
                <w:szCs w:val="24"/>
                <w:lang w:val="en-US"/>
              </w:rPr>
            </w:pPr>
            <w:r w:rsidRPr="00415C43">
              <w:rPr>
                <w:rFonts w:eastAsia="Times New Roman"/>
                <w:color w:val="000000"/>
                <w:sz w:val="24"/>
                <w:szCs w:val="24"/>
                <w:lang w:val="en-US"/>
              </w:rPr>
              <w:t>Payback Period</w:t>
            </w:r>
          </w:p>
        </w:tc>
        <w:tc>
          <w:tcPr>
            <w:tcW w:w="1000" w:type="pct"/>
            <w:noWrap/>
            <w:hideMark/>
          </w:tcPr>
          <w:p w14:paraId="780B57E9"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4.8</w:t>
            </w:r>
          </w:p>
        </w:tc>
      </w:tr>
      <w:tr w:rsidR="0067581A" w:rsidRPr="00415C43" w14:paraId="00CBA04B" w14:textId="77777777" w:rsidTr="0067581A">
        <w:trPr>
          <w:trHeight w:val="300"/>
        </w:trPr>
        <w:tc>
          <w:tcPr>
            <w:tcW w:w="4000" w:type="pct"/>
            <w:gridSpan w:val="4"/>
            <w:noWrap/>
            <w:hideMark/>
          </w:tcPr>
          <w:p w14:paraId="1DAAF33D" w14:textId="77777777" w:rsidR="0067581A" w:rsidRPr="00415C43" w:rsidRDefault="0067581A" w:rsidP="00541AD4">
            <w:pPr>
              <w:spacing w:after="240" w:line="360" w:lineRule="auto"/>
              <w:rPr>
                <w:rFonts w:eastAsia="Times New Roman"/>
                <w:color w:val="000000"/>
                <w:sz w:val="24"/>
                <w:szCs w:val="24"/>
                <w:lang w:val="en-US"/>
              </w:rPr>
            </w:pPr>
            <w:r w:rsidRPr="00415C43">
              <w:rPr>
                <w:rFonts w:eastAsia="Times New Roman"/>
                <w:color w:val="000000"/>
                <w:sz w:val="24"/>
                <w:szCs w:val="24"/>
                <w:lang w:val="en-US"/>
              </w:rPr>
              <w:t>Average Annual Profit</w:t>
            </w:r>
          </w:p>
        </w:tc>
        <w:tc>
          <w:tcPr>
            <w:tcW w:w="1000" w:type="pct"/>
            <w:noWrap/>
            <w:hideMark/>
          </w:tcPr>
          <w:p w14:paraId="424233D7"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10.8</w:t>
            </w:r>
          </w:p>
        </w:tc>
      </w:tr>
      <w:tr w:rsidR="0067581A" w:rsidRPr="00415C43" w14:paraId="145107B4" w14:textId="77777777" w:rsidTr="0067581A">
        <w:trPr>
          <w:trHeight w:val="300"/>
        </w:trPr>
        <w:tc>
          <w:tcPr>
            <w:tcW w:w="4000" w:type="pct"/>
            <w:gridSpan w:val="4"/>
            <w:noWrap/>
            <w:hideMark/>
          </w:tcPr>
          <w:p w14:paraId="1ED100EA" w14:textId="77777777" w:rsidR="0067581A" w:rsidRPr="00415C43" w:rsidRDefault="0067581A" w:rsidP="00541AD4">
            <w:pPr>
              <w:spacing w:after="240" w:line="360" w:lineRule="auto"/>
              <w:rPr>
                <w:rFonts w:eastAsia="Times New Roman"/>
                <w:color w:val="000000"/>
                <w:sz w:val="24"/>
                <w:szCs w:val="24"/>
                <w:lang w:val="en-US"/>
              </w:rPr>
            </w:pPr>
            <w:r w:rsidRPr="00415C43">
              <w:rPr>
                <w:rFonts w:eastAsia="Times New Roman"/>
                <w:color w:val="000000"/>
                <w:sz w:val="24"/>
                <w:szCs w:val="24"/>
                <w:lang w:val="en-US"/>
              </w:rPr>
              <w:t>ARR</w:t>
            </w:r>
          </w:p>
        </w:tc>
        <w:tc>
          <w:tcPr>
            <w:tcW w:w="1000" w:type="pct"/>
            <w:noWrap/>
            <w:hideMark/>
          </w:tcPr>
          <w:p w14:paraId="531CD62B"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21.6</w:t>
            </w:r>
          </w:p>
        </w:tc>
      </w:tr>
      <w:tr w:rsidR="0067581A" w:rsidRPr="00415C43" w14:paraId="1AC40932" w14:textId="77777777" w:rsidTr="0067581A">
        <w:trPr>
          <w:trHeight w:val="300"/>
        </w:trPr>
        <w:tc>
          <w:tcPr>
            <w:tcW w:w="4000" w:type="pct"/>
            <w:gridSpan w:val="4"/>
            <w:noWrap/>
            <w:hideMark/>
          </w:tcPr>
          <w:p w14:paraId="03A1388B" w14:textId="77777777" w:rsidR="0067581A" w:rsidRPr="00415C43" w:rsidRDefault="0067581A" w:rsidP="00541AD4">
            <w:pPr>
              <w:spacing w:after="240" w:line="360" w:lineRule="auto"/>
              <w:rPr>
                <w:rFonts w:eastAsia="Times New Roman"/>
                <w:color w:val="000000"/>
                <w:sz w:val="24"/>
                <w:szCs w:val="24"/>
                <w:lang w:val="en-US"/>
              </w:rPr>
            </w:pPr>
            <w:r w:rsidRPr="00415C43">
              <w:rPr>
                <w:rFonts w:eastAsia="Times New Roman"/>
                <w:color w:val="000000"/>
                <w:sz w:val="24"/>
                <w:szCs w:val="24"/>
                <w:lang w:val="en-US"/>
              </w:rPr>
              <w:t>NPV</w:t>
            </w:r>
          </w:p>
        </w:tc>
        <w:tc>
          <w:tcPr>
            <w:tcW w:w="1000" w:type="pct"/>
            <w:noWrap/>
            <w:hideMark/>
          </w:tcPr>
          <w:p w14:paraId="5B02F028"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FF0000"/>
                <w:sz w:val="24"/>
                <w:szCs w:val="24"/>
                <w:lang w:val="en-US"/>
              </w:rPr>
              <w:t>($6.54)</w:t>
            </w:r>
          </w:p>
        </w:tc>
      </w:tr>
      <w:tr w:rsidR="0067581A" w:rsidRPr="00415C43" w14:paraId="01200FB1" w14:textId="77777777" w:rsidTr="0067581A">
        <w:trPr>
          <w:trHeight w:val="300"/>
        </w:trPr>
        <w:tc>
          <w:tcPr>
            <w:tcW w:w="4000" w:type="pct"/>
            <w:gridSpan w:val="4"/>
            <w:noWrap/>
            <w:hideMark/>
          </w:tcPr>
          <w:p w14:paraId="6DA194C2" w14:textId="77777777" w:rsidR="0067581A" w:rsidRPr="00415C43" w:rsidRDefault="0067581A" w:rsidP="00541AD4">
            <w:pPr>
              <w:spacing w:after="240" w:line="360" w:lineRule="auto"/>
              <w:rPr>
                <w:rFonts w:eastAsia="Times New Roman"/>
                <w:color w:val="000000"/>
                <w:sz w:val="24"/>
                <w:szCs w:val="24"/>
                <w:lang w:val="en-US"/>
              </w:rPr>
            </w:pPr>
            <w:r w:rsidRPr="00415C43">
              <w:rPr>
                <w:rFonts w:eastAsia="Times New Roman"/>
                <w:color w:val="000000"/>
                <w:sz w:val="24"/>
                <w:szCs w:val="24"/>
                <w:lang w:val="en-US"/>
              </w:rPr>
              <w:t>Profitability Index</w:t>
            </w:r>
          </w:p>
        </w:tc>
        <w:tc>
          <w:tcPr>
            <w:tcW w:w="1000" w:type="pct"/>
            <w:noWrap/>
            <w:hideMark/>
          </w:tcPr>
          <w:p w14:paraId="6AD4CF42"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0.869118812</w:t>
            </w:r>
          </w:p>
        </w:tc>
      </w:tr>
      <w:tr w:rsidR="0067581A" w:rsidRPr="00415C43" w14:paraId="554AC093" w14:textId="77777777" w:rsidTr="0067581A">
        <w:trPr>
          <w:trHeight w:val="315"/>
        </w:trPr>
        <w:tc>
          <w:tcPr>
            <w:tcW w:w="4000" w:type="pct"/>
            <w:gridSpan w:val="4"/>
            <w:noWrap/>
            <w:hideMark/>
          </w:tcPr>
          <w:p w14:paraId="46069E64" w14:textId="77777777" w:rsidR="0067581A" w:rsidRPr="00415C43" w:rsidRDefault="0067581A" w:rsidP="00541AD4">
            <w:pPr>
              <w:spacing w:after="240" w:line="360" w:lineRule="auto"/>
              <w:rPr>
                <w:rFonts w:eastAsia="Times New Roman"/>
                <w:color w:val="000000"/>
                <w:sz w:val="24"/>
                <w:szCs w:val="24"/>
                <w:lang w:val="en-US"/>
              </w:rPr>
            </w:pPr>
            <w:r w:rsidRPr="00415C43">
              <w:rPr>
                <w:rFonts w:eastAsia="Times New Roman"/>
                <w:color w:val="000000"/>
                <w:sz w:val="24"/>
                <w:szCs w:val="24"/>
                <w:lang w:val="en-US"/>
              </w:rPr>
              <w:t>IRR</w:t>
            </w:r>
          </w:p>
        </w:tc>
        <w:tc>
          <w:tcPr>
            <w:tcW w:w="1000" w:type="pct"/>
            <w:noWrap/>
            <w:hideMark/>
          </w:tcPr>
          <w:p w14:paraId="06F738CD"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3%</w:t>
            </w:r>
          </w:p>
        </w:tc>
      </w:tr>
    </w:tbl>
    <w:p w14:paraId="5B5EFF6D" w14:textId="77777777" w:rsidR="0067581A" w:rsidRPr="00415C43" w:rsidRDefault="0067581A" w:rsidP="00541AD4">
      <w:pPr>
        <w:spacing w:after="240" w:line="360" w:lineRule="auto"/>
        <w:jc w:val="both"/>
        <w:rPr>
          <w:rFonts w:eastAsia="Times New Roman"/>
          <w:sz w:val="24"/>
          <w:szCs w:val="24"/>
        </w:rPr>
      </w:pPr>
    </w:p>
    <w:p w14:paraId="6BE3D4D6" w14:textId="27BF0174" w:rsidR="0067581A" w:rsidRPr="00415C43" w:rsidRDefault="0067581A" w:rsidP="00541AD4">
      <w:pPr>
        <w:spacing w:after="240" w:line="360" w:lineRule="auto"/>
        <w:jc w:val="both"/>
        <w:rPr>
          <w:rFonts w:eastAsia="Times New Roman"/>
          <w:b/>
          <w:bCs/>
          <w:sz w:val="24"/>
          <w:szCs w:val="24"/>
        </w:rPr>
      </w:pPr>
      <w:r w:rsidRPr="00415C43">
        <w:rPr>
          <w:rFonts w:eastAsia="Times New Roman"/>
          <w:b/>
          <w:bCs/>
          <w:sz w:val="24"/>
          <w:szCs w:val="24"/>
        </w:rPr>
        <w:t>Project B</w:t>
      </w:r>
    </w:p>
    <w:tbl>
      <w:tblPr>
        <w:tblStyle w:val="TableGrid"/>
        <w:tblW w:w="5000" w:type="pct"/>
        <w:tblLook w:val="04A0" w:firstRow="1" w:lastRow="0" w:firstColumn="1" w:lastColumn="0" w:noHBand="0" w:noVBand="1"/>
      </w:tblPr>
      <w:tblGrid>
        <w:gridCol w:w="1803"/>
        <w:gridCol w:w="1804"/>
        <w:gridCol w:w="1804"/>
        <w:gridCol w:w="1804"/>
        <w:gridCol w:w="1804"/>
      </w:tblGrid>
      <w:tr w:rsidR="0067581A" w:rsidRPr="00415C43" w14:paraId="252F90F3" w14:textId="77777777" w:rsidTr="0067581A">
        <w:trPr>
          <w:trHeight w:val="600"/>
        </w:trPr>
        <w:tc>
          <w:tcPr>
            <w:tcW w:w="1000" w:type="pct"/>
            <w:hideMark/>
          </w:tcPr>
          <w:p w14:paraId="4587F85D" w14:textId="77777777" w:rsidR="0067581A" w:rsidRPr="00415C43" w:rsidRDefault="0067581A" w:rsidP="00541AD4">
            <w:pPr>
              <w:spacing w:after="240" w:line="360" w:lineRule="auto"/>
              <w:jc w:val="center"/>
              <w:rPr>
                <w:rFonts w:eastAsia="Times New Roman"/>
                <w:b/>
                <w:bCs/>
                <w:i/>
                <w:iCs/>
                <w:color w:val="000000"/>
                <w:sz w:val="24"/>
                <w:szCs w:val="24"/>
                <w:lang w:val="en-US"/>
              </w:rPr>
            </w:pPr>
            <w:r w:rsidRPr="00415C43">
              <w:rPr>
                <w:rFonts w:eastAsia="Times New Roman"/>
                <w:b/>
                <w:bCs/>
                <w:i/>
                <w:iCs/>
                <w:color w:val="000000"/>
                <w:sz w:val="24"/>
                <w:szCs w:val="24"/>
                <w:lang w:val="en-US"/>
              </w:rPr>
              <w:lastRenderedPageBreak/>
              <w:t>Year</w:t>
            </w:r>
          </w:p>
        </w:tc>
        <w:tc>
          <w:tcPr>
            <w:tcW w:w="1000" w:type="pct"/>
            <w:hideMark/>
          </w:tcPr>
          <w:p w14:paraId="0C4FCFB8" w14:textId="77777777" w:rsidR="0067581A" w:rsidRPr="00415C43" w:rsidRDefault="0067581A" w:rsidP="00541AD4">
            <w:pPr>
              <w:spacing w:after="240" w:line="360" w:lineRule="auto"/>
              <w:jc w:val="center"/>
              <w:rPr>
                <w:rFonts w:eastAsia="Times New Roman"/>
                <w:b/>
                <w:bCs/>
                <w:i/>
                <w:iCs/>
                <w:color w:val="000000"/>
                <w:sz w:val="24"/>
                <w:szCs w:val="24"/>
                <w:lang w:val="en-US"/>
              </w:rPr>
            </w:pPr>
            <w:r w:rsidRPr="00415C43">
              <w:rPr>
                <w:rFonts w:eastAsia="Times New Roman"/>
                <w:b/>
                <w:bCs/>
                <w:i/>
                <w:iCs/>
                <w:color w:val="000000"/>
                <w:sz w:val="24"/>
                <w:szCs w:val="24"/>
                <w:lang w:val="en-US"/>
              </w:rPr>
              <w:t>Net Cash Flow (£m)</w:t>
            </w:r>
          </w:p>
        </w:tc>
        <w:tc>
          <w:tcPr>
            <w:tcW w:w="1000" w:type="pct"/>
            <w:hideMark/>
          </w:tcPr>
          <w:p w14:paraId="6CE087B4" w14:textId="77777777" w:rsidR="0067581A" w:rsidRPr="00415C43" w:rsidRDefault="0067581A" w:rsidP="00541AD4">
            <w:pPr>
              <w:spacing w:after="240" w:line="360" w:lineRule="auto"/>
              <w:jc w:val="center"/>
              <w:rPr>
                <w:rFonts w:eastAsia="Times New Roman"/>
                <w:b/>
                <w:bCs/>
                <w:i/>
                <w:iCs/>
                <w:color w:val="000000"/>
                <w:sz w:val="24"/>
                <w:szCs w:val="24"/>
                <w:lang w:val="en-US"/>
              </w:rPr>
            </w:pPr>
            <w:r w:rsidRPr="00415C43">
              <w:rPr>
                <w:rFonts w:eastAsia="Times New Roman"/>
                <w:b/>
                <w:bCs/>
                <w:i/>
                <w:iCs/>
                <w:color w:val="000000"/>
                <w:sz w:val="24"/>
                <w:szCs w:val="24"/>
                <w:lang w:val="en-US"/>
              </w:rPr>
              <w:t>Discount Factor (8%)</w:t>
            </w:r>
          </w:p>
        </w:tc>
        <w:tc>
          <w:tcPr>
            <w:tcW w:w="1000" w:type="pct"/>
            <w:hideMark/>
          </w:tcPr>
          <w:p w14:paraId="7CC2F7A1" w14:textId="77777777" w:rsidR="0067581A" w:rsidRPr="00415C43" w:rsidRDefault="0067581A" w:rsidP="00541AD4">
            <w:pPr>
              <w:spacing w:after="240" w:line="360" w:lineRule="auto"/>
              <w:jc w:val="center"/>
              <w:rPr>
                <w:rFonts w:eastAsia="Times New Roman"/>
                <w:b/>
                <w:bCs/>
                <w:i/>
                <w:iCs/>
                <w:color w:val="000000"/>
                <w:sz w:val="24"/>
                <w:szCs w:val="24"/>
                <w:lang w:val="en-US"/>
              </w:rPr>
            </w:pPr>
            <w:r w:rsidRPr="00415C43">
              <w:rPr>
                <w:rFonts w:eastAsia="Times New Roman"/>
                <w:b/>
                <w:bCs/>
                <w:i/>
                <w:iCs/>
                <w:color w:val="000000"/>
                <w:sz w:val="24"/>
                <w:szCs w:val="24"/>
                <w:lang w:val="en-US"/>
              </w:rPr>
              <w:t>Present Value (£m)</w:t>
            </w:r>
          </w:p>
        </w:tc>
        <w:tc>
          <w:tcPr>
            <w:tcW w:w="1000" w:type="pct"/>
            <w:hideMark/>
          </w:tcPr>
          <w:p w14:paraId="5EA2C36A" w14:textId="77777777" w:rsidR="0067581A" w:rsidRPr="00415C43" w:rsidRDefault="0067581A" w:rsidP="00541AD4">
            <w:pPr>
              <w:spacing w:after="240" w:line="360" w:lineRule="auto"/>
              <w:jc w:val="center"/>
              <w:rPr>
                <w:rFonts w:eastAsia="Times New Roman"/>
                <w:b/>
                <w:bCs/>
                <w:i/>
                <w:iCs/>
                <w:color w:val="000000"/>
                <w:sz w:val="24"/>
                <w:szCs w:val="24"/>
                <w:lang w:val="en-US"/>
              </w:rPr>
            </w:pPr>
            <w:r w:rsidRPr="00415C43">
              <w:rPr>
                <w:rFonts w:eastAsia="Times New Roman"/>
                <w:b/>
                <w:bCs/>
                <w:i/>
                <w:iCs/>
                <w:color w:val="000000"/>
                <w:sz w:val="24"/>
                <w:szCs w:val="24"/>
                <w:lang w:val="en-US"/>
              </w:rPr>
              <w:t>Cumulative Cash Flow (£m)</w:t>
            </w:r>
          </w:p>
        </w:tc>
      </w:tr>
      <w:tr w:rsidR="0067581A" w:rsidRPr="00415C43" w14:paraId="0BD896DE" w14:textId="77777777" w:rsidTr="0067581A">
        <w:trPr>
          <w:trHeight w:val="300"/>
        </w:trPr>
        <w:tc>
          <w:tcPr>
            <w:tcW w:w="1000" w:type="pct"/>
            <w:hideMark/>
          </w:tcPr>
          <w:p w14:paraId="2CD89325" w14:textId="77777777" w:rsidR="0067581A" w:rsidRPr="00415C43" w:rsidRDefault="0067581A" w:rsidP="00541AD4">
            <w:pPr>
              <w:spacing w:after="240" w:line="360" w:lineRule="auto"/>
              <w:rPr>
                <w:rFonts w:eastAsia="Times New Roman"/>
                <w:color w:val="000000"/>
                <w:sz w:val="24"/>
                <w:szCs w:val="24"/>
                <w:lang w:val="en-US"/>
              </w:rPr>
            </w:pPr>
            <w:r w:rsidRPr="00415C43">
              <w:rPr>
                <w:rFonts w:eastAsia="Times New Roman"/>
                <w:color w:val="000000"/>
                <w:sz w:val="24"/>
                <w:szCs w:val="24"/>
                <w:lang w:val="en-US"/>
              </w:rPr>
              <w:t>0</w:t>
            </w:r>
          </w:p>
        </w:tc>
        <w:tc>
          <w:tcPr>
            <w:tcW w:w="1000" w:type="pct"/>
            <w:hideMark/>
          </w:tcPr>
          <w:p w14:paraId="0B91B641"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-50</w:t>
            </w:r>
          </w:p>
        </w:tc>
        <w:tc>
          <w:tcPr>
            <w:tcW w:w="1000" w:type="pct"/>
            <w:hideMark/>
          </w:tcPr>
          <w:p w14:paraId="70099DD9"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1</w:t>
            </w:r>
          </w:p>
        </w:tc>
        <w:tc>
          <w:tcPr>
            <w:tcW w:w="1000" w:type="pct"/>
            <w:hideMark/>
          </w:tcPr>
          <w:p w14:paraId="3BF97D8D"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-50</w:t>
            </w:r>
          </w:p>
        </w:tc>
        <w:tc>
          <w:tcPr>
            <w:tcW w:w="1000" w:type="pct"/>
            <w:hideMark/>
          </w:tcPr>
          <w:p w14:paraId="6D525D77"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-50</w:t>
            </w:r>
          </w:p>
        </w:tc>
      </w:tr>
      <w:tr w:rsidR="0067581A" w:rsidRPr="00415C43" w14:paraId="0842D131" w14:textId="77777777" w:rsidTr="0067581A">
        <w:trPr>
          <w:trHeight w:val="300"/>
        </w:trPr>
        <w:tc>
          <w:tcPr>
            <w:tcW w:w="1000" w:type="pct"/>
            <w:hideMark/>
          </w:tcPr>
          <w:p w14:paraId="0F208736" w14:textId="77777777" w:rsidR="0067581A" w:rsidRPr="00415C43" w:rsidRDefault="0067581A" w:rsidP="00541AD4">
            <w:pPr>
              <w:spacing w:after="240" w:line="360" w:lineRule="auto"/>
              <w:rPr>
                <w:rFonts w:eastAsia="Times New Roman"/>
                <w:color w:val="000000"/>
                <w:sz w:val="24"/>
                <w:szCs w:val="24"/>
                <w:lang w:val="en-US"/>
              </w:rPr>
            </w:pPr>
            <w:r w:rsidRPr="00415C43">
              <w:rPr>
                <w:rFonts w:eastAsia="Times New Roman"/>
                <w:color w:val="000000"/>
                <w:sz w:val="24"/>
                <w:szCs w:val="24"/>
                <w:lang w:val="en-US"/>
              </w:rPr>
              <w:t>1</w:t>
            </w:r>
          </w:p>
        </w:tc>
        <w:tc>
          <w:tcPr>
            <w:tcW w:w="1000" w:type="pct"/>
            <w:hideMark/>
          </w:tcPr>
          <w:p w14:paraId="6DEFDDCF"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11</w:t>
            </w:r>
          </w:p>
        </w:tc>
        <w:tc>
          <w:tcPr>
            <w:tcW w:w="1000" w:type="pct"/>
            <w:hideMark/>
          </w:tcPr>
          <w:p w14:paraId="261D3B12"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0.083333333</w:t>
            </w:r>
          </w:p>
        </w:tc>
        <w:tc>
          <w:tcPr>
            <w:tcW w:w="1000" w:type="pct"/>
            <w:hideMark/>
          </w:tcPr>
          <w:p w14:paraId="4A6FF888"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0.916666667</w:t>
            </w:r>
          </w:p>
        </w:tc>
        <w:tc>
          <w:tcPr>
            <w:tcW w:w="1000" w:type="pct"/>
            <w:hideMark/>
          </w:tcPr>
          <w:p w14:paraId="449E4ED3"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-39</w:t>
            </w:r>
          </w:p>
        </w:tc>
      </w:tr>
      <w:tr w:rsidR="0067581A" w:rsidRPr="00415C43" w14:paraId="4080981C" w14:textId="77777777" w:rsidTr="0067581A">
        <w:trPr>
          <w:trHeight w:val="300"/>
        </w:trPr>
        <w:tc>
          <w:tcPr>
            <w:tcW w:w="1000" w:type="pct"/>
            <w:hideMark/>
          </w:tcPr>
          <w:p w14:paraId="066004CB" w14:textId="77777777" w:rsidR="0067581A" w:rsidRPr="00415C43" w:rsidRDefault="0067581A" w:rsidP="00541AD4">
            <w:pPr>
              <w:spacing w:after="240" w:line="360" w:lineRule="auto"/>
              <w:rPr>
                <w:rFonts w:eastAsia="Times New Roman"/>
                <w:color w:val="000000"/>
                <w:sz w:val="24"/>
                <w:szCs w:val="24"/>
                <w:lang w:val="en-US"/>
              </w:rPr>
            </w:pPr>
            <w:r w:rsidRPr="00415C43">
              <w:rPr>
                <w:rFonts w:eastAsia="Times New Roman"/>
                <w:color w:val="000000"/>
                <w:sz w:val="24"/>
                <w:szCs w:val="24"/>
                <w:lang w:val="en-US"/>
              </w:rPr>
              <w:t>2</w:t>
            </w:r>
          </w:p>
        </w:tc>
        <w:tc>
          <w:tcPr>
            <w:tcW w:w="1000" w:type="pct"/>
            <w:hideMark/>
          </w:tcPr>
          <w:p w14:paraId="2CA497DE"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11</w:t>
            </w:r>
          </w:p>
        </w:tc>
        <w:tc>
          <w:tcPr>
            <w:tcW w:w="1000" w:type="pct"/>
            <w:hideMark/>
          </w:tcPr>
          <w:p w14:paraId="4162FB5C"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0.006944444</w:t>
            </w:r>
          </w:p>
        </w:tc>
        <w:tc>
          <w:tcPr>
            <w:tcW w:w="1000" w:type="pct"/>
            <w:hideMark/>
          </w:tcPr>
          <w:p w14:paraId="0D51DEDA"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0.076388889</w:t>
            </w:r>
          </w:p>
        </w:tc>
        <w:tc>
          <w:tcPr>
            <w:tcW w:w="1000" w:type="pct"/>
            <w:hideMark/>
          </w:tcPr>
          <w:p w14:paraId="18DF104A"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-28</w:t>
            </w:r>
          </w:p>
        </w:tc>
      </w:tr>
      <w:tr w:rsidR="0067581A" w:rsidRPr="00415C43" w14:paraId="67B72A60" w14:textId="77777777" w:rsidTr="0067581A">
        <w:trPr>
          <w:trHeight w:val="300"/>
        </w:trPr>
        <w:tc>
          <w:tcPr>
            <w:tcW w:w="1000" w:type="pct"/>
            <w:hideMark/>
          </w:tcPr>
          <w:p w14:paraId="205850FA" w14:textId="77777777" w:rsidR="0067581A" w:rsidRPr="00415C43" w:rsidRDefault="0067581A" w:rsidP="00541AD4">
            <w:pPr>
              <w:spacing w:after="240" w:line="360" w:lineRule="auto"/>
              <w:rPr>
                <w:rFonts w:eastAsia="Times New Roman"/>
                <w:color w:val="000000"/>
                <w:sz w:val="24"/>
                <w:szCs w:val="24"/>
                <w:lang w:val="en-US"/>
              </w:rPr>
            </w:pPr>
            <w:r w:rsidRPr="00415C43">
              <w:rPr>
                <w:rFonts w:eastAsia="Times New Roman"/>
                <w:color w:val="000000"/>
                <w:sz w:val="24"/>
                <w:szCs w:val="24"/>
                <w:lang w:val="en-US"/>
              </w:rPr>
              <w:t>3</w:t>
            </w:r>
          </w:p>
        </w:tc>
        <w:tc>
          <w:tcPr>
            <w:tcW w:w="1000" w:type="pct"/>
            <w:hideMark/>
          </w:tcPr>
          <w:p w14:paraId="77274263"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11</w:t>
            </w:r>
          </w:p>
        </w:tc>
        <w:tc>
          <w:tcPr>
            <w:tcW w:w="1000" w:type="pct"/>
            <w:hideMark/>
          </w:tcPr>
          <w:p w14:paraId="382AB951"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0.000578704</w:t>
            </w:r>
          </w:p>
        </w:tc>
        <w:tc>
          <w:tcPr>
            <w:tcW w:w="1000" w:type="pct"/>
            <w:hideMark/>
          </w:tcPr>
          <w:p w14:paraId="5A141AE3"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0.006365741</w:t>
            </w:r>
          </w:p>
        </w:tc>
        <w:tc>
          <w:tcPr>
            <w:tcW w:w="1000" w:type="pct"/>
            <w:hideMark/>
          </w:tcPr>
          <w:p w14:paraId="505854B9"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-17</w:t>
            </w:r>
          </w:p>
        </w:tc>
      </w:tr>
      <w:tr w:rsidR="0067581A" w:rsidRPr="00415C43" w14:paraId="2897CCAF" w14:textId="77777777" w:rsidTr="0067581A">
        <w:trPr>
          <w:trHeight w:val="300"/>
        </w:trPr>
        <w:tc>
          <w:tcPr>
            <w:tcW w:w="1000" w:type="pct"/>
            <w:hideMark/>
          </w:tcPr>
          <w:p w14:paraId="78E197A9" w14:textId="77777777" w:rsidR="0067581A" w:rsidRPr="00415C43" w:rsidRDefault="0067581A" w:rsidP="00541AD4">
            <w:pPr>
              <w:spacing w:after="240" w:line="360" w:lineRule="auto"/>
              <w:rPr>
                <w:rFonts w:eastAsia="Times New Roman"/>
                <w:color w:val="000000"/>
                <w:sz w:val="24"/>
                <w:szCs w:val="24"/>
                <w:lang w:val="en-US"/>
              </w:rPr>
            </w:pPr>
            <w:r w:rsidRPr="00415C43">
              <w:rPr>
                <w:rFonts w:eastAsia="Times New Roman"/>
                <w:color w:val="000000"/>
                <w:sz w:val="24"/>
                <w:szCs w:val="24"/>
                <w:lang w:val="en-US"/>
              </w:rPr>
              <w:t>4</w:t>
            </w:r>
          </w:p>
        </w:tc>
        <w:tc>
          <w:tcPr>
            <w:tcW w:w="1000" w:type="pct"/>
            <w:hideMark/>
          </w:tcPr>
          <w:p w14:paraId="01843917"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11</w:t>
            </w:r>
          </w:p>
        </w:tc>
        <w:tc>
          <w:tcPr>
            <w:tcW w:w="1000" w:type="pct"/>
            <w:hideMark/>
          </w:tcPr>
          <w:p w14:paraId="488EE339"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4.82253E-05</w:t>
            </w:r>
          </w:p>
        </w:tc>
        <w:tc>
          <w:tcPr>
            <w:tcW w:w="1000" w:type="pct"/>
            <w:hideMark/>
          </w:tcPr>
          <w:p w14:paraId="2CAFE092"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0.000530478</w:t>
            </w:r>
          </w:p>
        </w:tc>
        <w:tc>
          <w:tcPr>
            <w:tcW w:w="1000" w:type="pct"/>
            <w:hideMark/>
          </w:tcPr>
          <w:p w14:paraId="7246FE54"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-6</w:t>
            </w:r>
          </w:p>
        </w:tc>
      </w:tr>
      <w:tr w:rsidR="0067581A" w:rsidRPr="00415C43" w14:paraId="36A877CF" w14:textId="77777777" w:rsidTr="0067581A">
        <w:trPr>
          <w:trHeight w:val="300"/>
        </w:trPr>
        <w:tc>
          <w:tcPr>
            <w:tcW w:w="1000" w:type="pct"/>
            <w:hideMark/>
          </w:tcPr>
          <w:p w14:paraId="62942C44" w14:textId="77777777" w:rsidR="0067581A" w:rsidRPr="00415C43" w:rsidRDefault="0067581A" w:rsidP="00541AD4">
            <w:pPr>
              <w:spacing w:after="240" w:line="360" w:lineRule="auto"/>
              <w:rPr>
                <w:rFonts w:eastAsia="Times New Roman"/>
                <w:color w:val="000000"/>
                <w:sz w:val="24"/>
                <w:szCs w:val="24"/>
                <w:lang w:val="en-US"/>
              </w:rPr>
            </w:pPr>
            <w:r w:rsidRPr="00415C43">
              <w:rPr>
                <w:rFonts w:eastAsia="Times New Roman"/>
                <w:color w:val="000000"/>
                <w:sz w:val="24"/>
                <w:szCs w:val="24"/>
                <w:lang w:val="en-US"/>
              </w:rPr>
              <w:t>5</w:t>
            </w:r>
          </w:p>
        </w:tc>
        <w:tc>
          <w:tcPr>
            <w:tcW w:w="1000" w:type="pct"/>
            <w:hideMark/>
          </w:tcPr>
          <w:p w14:paraId="69730C9C"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11</w:t>
            </w:r>
          </w:p>
        </w:tc>
        <w:tc>
          <w:tcPr>
            <w:tcW w:w="1000" w:type="pct"/>
            <w:hideMark/>
          </w:tcPr>
          <w:p w14:paraId="7DB7A9B0"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4.01878E-06</w:t>
            </w:r>
          </w:p>
        </w:tc>
        <w:tc>
          <w:tcPr>
            <w:tcW w:w="1000" w:type="pct"/>
            <w:hideMark/>
          </w:tcPr>
          <w:p w14:paraId="09F5D028"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4.42065E-05</w:t>
            </w:r>
          </w:p>
        </w:tc>
        <w:tc>
          <w:tcPr>
            <w:tcW w:w="1000" w:type="pct"/>
            <w:hideMark/>
          </w:tcPr>
          <w:p w14:paraId="363F54E4"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5</w:t>
            </w:r>
          </w:p>
        </w:tc>
      </w:tr>
      <w:tr w:rsidR="0067581A" w:rsidRPr="00415C43" w14:paraId="551C0151" w14:textId="77777777" w:rsidTr="0067581A">
        <w:trPr>
          <w:trHeight w:val="300"/>
        </w:trPr>
        <w:tc>
          <w:tcPr>
            <w:tcW w:w="3000" w:type="pct"/>
            <w:gridSpan w:val="3"/>
            <w:hideMark/>
          </w:tcPr>
          <w:p w14:paraId="780916E3" w14:textId="77777777" w:rsidR="0067581A" w:rsidRPr="00415C43" w:rsidRDefault="0067581A" w:rsidP="00541AD4">
            <w:pPr>
              <w:spacing w:after="240" w:line="360" w:lineRule="auto"/>
              <w:rPr>
                <w:rFonts w:eastAsia="Times New Roman"/>
                <w:color w:val="000000"/>
                <w:sz w:val="24"/>
                <w:szCs w:val="24"/>
                <w:lang w:val="en-US"/>
              </w:rPr>
            </w:pPr>
            <w:r w:rsidRPr="00415C43">
              <w:rPr>
                <w:rFonts w:eastAsia="Times New Roman"/>
                <w:color w:val="000000"/>
                <w:sz w:val="24"/>
                <w:szCs w:val="24"/>
                <w:lang w:val="en-US"/>
              </w:rPr>
              <w:t>Total Present Value</w:t>
            </w:r>
          </w:p>
        </w:tc>
        <w:tc>
          <w:tcPr>
            <w:tcW w:w="2000" w:type="pct"/>
            <w:gridSpan w:val="2"/>
            <w:hideMark/>
          </w:tcPr>
          <w:p w14:paraId="0FC008BD" w14:textId="77777777" w:rsidR="0067581A" w:rsidRPr="00415C43" w:rsidRDefault="0067581A" w:rsidP="00541AD4">
            <w:pPr>
              <w:spacing w:after="240" w:line="360" w:lineRule="auto"/>
              <w:rPr>
                <w:rFonts w:eastAsia="Times New Roman"/>
                <w:color w:val="000000"/>
                <w:sz w:val="24"/>
                <w:szCs w:val="24"/>
                <w:lang w:val="en-US"/>
              </w:rPr>
            </w:pPr>
            <w:r w:rsidRPr="00415C43">
              <w:rPr>
                <w:rFonts w:eastAsia="Times New Roman"/>
                <w:color w:val="000000"/>
                <w:sz w:val="24"/>
                <w:szCs w:val="24"/>
                <w:lang w:val="en-US"/>
              </w:rPr>
              <w:t>0.999995981</w:t>
            </w:r>
          </w:p>
        </w:tc>
      </w:tr>
      <w:tr w:rsidR="0067581A" w:rsidRPr="00415C43" w14:paraId="08ED6E32" w14:textId="77777777" w:rsidTr="0067581A">
        <w:trPr>
          <w:trHeight w:val="300"/>
        </w:trPr>
        <w:tc>
          <w:tcPr>
            <w:tcW w:w="4000" w:type="pct"/>
            <w:gridSpan w:val="4"/>
            <w:hideMark/>
          </w:tcPr>
          <w:p w14:paraId="2E6B6548" w14:textId="77777777" w:rsidR="0067581A" w:rsidRPr="00415C43" w:rsidRDefault="0067581A" w:rsidP="00541AD4">
            <w:pPr>
              <w:spacing w:after="240" w:line="360" w:lineRule="auto"/>
              <w:rPr>
                <w:rFonts w:eastAsia="Times New Roman"/>
                <w:color w:val="000000"/>
                <w:sz w:val="24"/>
                <w:szCs w:val="24"/>
                <w:lang w:val="en-US"/>
              </w:rPr>
            </w:pPr>
            <w:r w:rsidRPr="00415C43">
              <w:rPr>
                <w:rFonts w:eastAsia="Times New Roman"/>
                <w:color w:val="000000"/>
                <w:sz w:val="24"/>
                <w:szCs w:val="24"/>
                <w:lang w:val="en-US"/>
              </w:rPr>
              <w:t>Payback Period</w:t>
            </w:r>
          </w:p>
        </w:tc>
        <w:tc>
          <w:tcPr>
            <w:tcW w:w="1000" w:type="pct"/>
            <w:hideMark/>
          </w:tcPr>
          <w:p w14:paraId="6919415D"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5</w:t>
            </w:r>
          </w:p>
        </w:tc>
      </w:tr>
      <w:tr w:rsidR="0067581A" w:rsidRPr="00415C43" w14:paraId="5DF8E134" w14:textId="77777777" w:rsidTr="0067581A">
        <w:trPr>
          <w:trHeight w:val="300"/>
        </w:trPr>
        <w:tc>
          <w:tcPr>
            <w:tcW w:w="4000" w:type="pct"/>
            <w:gridSpan w:val="4"/>
            <w:hideMark/>
          </w:tcPr>
          <w:p w14:paraId="17A92CBD" w14:textId="77777777" w:rsidR="0067581A" w:rsidRPr="00415C43" w:rsidRDefault="0067581A" w:rsidP="00541AD4">
            <w:pPr>
              <w:spacing w:after="240" w:line="360" w:lineRule="auto"/>
              <w:rPr>
                <w:rFonts w:eastAsia="Times New Roman"/>
                <w:color w:val="000000"/>
                <w:sz w:val="24"/>
                <w:szCs w:val="24"/>
                <w:lang w:val="en-US"/>
              </w:rPr>
            </w:pPr>
            <w:r w:rsidRPr="00415C43">
              <w:rPr>
                <w:rFonts w:eastAsia="Times New Roman"/>
                <w:color w:val="000000"/>
                <w:sz w:val="24"/>
                <w:szCs w:val="24"/>
                <w:lang w:val="en-US"/>
              </w:rPr>
              <w:t>Average Annual Profit</w:t>
            </w:r>
          </w:p>
        </w:tc>
        <w:tc>
          <w:tcPr>
            <w:tcW w:w="1000" w:type="pct"/>
            <w:hideMark/>
          </w:tcPr>
          <w:p w14:paraId="50260775"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11</w:t>
            </w:r>
          </w:p>
        </w:tc>
      </w:tr>
      <w:tr w:rsidR="0067581A" w:rsidRPr="00415C43" w14:paraId="4EB3DD78" w14:textId="77777777" w:rsidTr="0067581A">
        <w:trPr>
          <w:trHeight w:val="300"/>
        </w:trPr>
        <w:tc>
          <w:tcPr>
            <w:tcW w:w="4000" w:type="pct"/>
            <w:gridSpan w:val="4"/>
            <w:hideMark/>
          </w:tcPr>
          <w:p w14:paraId="2FE46F98" w14:textId="77777777" w:rsidR="0067581A" w:rsidRPr="00415C43" w:rsidRDefault="0067581A" w:rsidP="00541AD4">
            <w:pPr>
              <w:spacing w:after="240" w:line="360" w:lineRule="auto"/>
              <w:rPr>
                <w:rFonts w:eastAsia="Times New Roman"/>
                <w:color w:val="000000"/>
                <w:sz w:val="24"/>
                <w:szCs w:val="24"/>
                <w:lang w:val="en-US"/>
              </w:rPr>
            </w:pPr>
            <w:r w:rsidRPr="00415C43">
              <w:rPr>
                <w:rFonts w:eastAsia="Times New Roman"/>
                <w:color w:val="000000"/>
                <w:sz w:val="24"/>
                <w:szCs w:val="24"/>
                <w:lang w:val="en-US"/>
              </w:rPr>
              <w:t>ARR</w:t>
            </w:r>
          </w:p>
        </w:tc>
        <w:tc>
          <w:tcPr>
            <w:tcW w:w="1000" w:type="pct"/>
            <w:hideMark/>
          </w:tcPr>
          <w:p w14:paraId="6999DCAE"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22</w:t>
            </w:r>
          </w:p>
        </w:tc>
      </w:tr>
      <w:tr w:rsidR="0067581A" w:rsidRPr="00415C43" w14:paraId="25901CD2" w14:textId="77777777" w:rsidTr="0067581A">
        <w:trPr>
          <w:trHeight w:val="300"/>
        </w:trPr>
        <w:tc>
          <w:tcPr>
            <w:tcW w:w="4000" w:type="pct"/>
            <w:gridSpan w:val="4"/>
            <w:hideMark/>
          </w:tcPr>
          <w:p w14:paraId="654431C3" w14:textId="77777777" w:rsidR="0067581A" w:rsidRPr="00415C43" w:rsidRDefault="0067581A" w:rsidP="00541AD4">
            <w:pPr>
              <w:spacing w:after="240" w:line="360" w:lineRule="auto"/>
              <w:rPr>
                <w:rFonts w:eastAsia="Times New Roman"/>
                <w:color w:val="000000"/>
                <w:sz w:val="24"/>
                <w:szCs w:val="24"/>
                <w:lang w:val="en-US"/>
              </w:rPr>
            </w:pPr>
            <w:r w:rsidRPr="00415C43">
              <w:rPr>
                <w:rFonts w:eastAsia="Times New Roman"/>
                <w:color w:val="000000"/>
                <w:sz w:val="24"/>
                <w:szCs w:val="24"/>
                <w:lang w:val="en-US"/>
              </w:rPr>
              <w:t>NPV</w:t>
            </w:r>
          </w:p>
        </w:tc>
        <w:tc>
          <w:tcPr>
            <w:tcW w:w="1000" w:type="pct"/>
            <w:hideMark/>
          </w:tcPr>
          <w:p w14:paraId="0435F8A2"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FF0000"/>
                <w:sz w:val="24"/>
                <w:szCs w:val="24"/>
                <w:lang w:val="en-US"/>
              </w:rPr>
              <w:t>($6.08)</w:t>
            </w:r>
          </w:p>
        </w:tc>
      </w:tr>
      <w:tr w:rsidR="0067581A" w:rsidRPr="00415C43" w14:paraId="794713A0" w14:textId="77777777" w:rsidTr="0067581A">
        <w:trPr>
          <w:trHeight w:val="300"/>
        </w:trPr>
        <w:tc>
          <w:tcPr>
            <w:tcW w:w="4000" w:type="pct"/>
            <w:gridSpan w:val="4"/>
            <w:hideMark/>
          </w:tcPr>
          <w:p w14:paraId="24AE6015" w14:textId="77777777" w:rsidR="0067581A" w:rsidRPr="00415C43" w:rsidRDefault="0067581A" w:rsidP="00541AD4">
            <w:pPr>
              <w:spacing w:after="240" w:line="360" w:lineRule="auto"/>
              <w:rPr>
                <w:rFonts w:eastAsia="Times New Roman"/>
                <w:color w:val="000000"/>
                <w:sz w:val="24"/>
                <w:szCs w:val="24"/>
                <w:lang w:val="en-US"/>
              </w:rPr>
            </w:pPr>
            <w:r w:rsidRPr="00415C43">
              <w:rPr>
                <w:rFonts w:eastAsia="Times New Roman"/>
                <w:color w:val="000000"/>
                <w:sz w:val="24"/>
                <w:szCs w:val="24"/>
                <w:lang w:val="en-US"/>
              </w:rPr>
              <w:t>Profitability Index</w:t>
            </w:r>
          </w:p>
        </w:tc>
        <w:tc>
          <w:tcPr>
            <w:tcW w:w="1000" w:type="pct"/>
            <w:hideMark/>
          </w:tcPr>
          <w:p w14:paraId="50A8DD85"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0.878396208</w:t>
            </w:r>
          </w:p>
        </w:tc>
      </w:tr>
      <w:tr w:rsidR="0067581A" w:rsidRPr="00415C43" w14:paraId="2AC907F2" w14:textId="77777777" w:rsidTr="0067581A">
        <w:trPr>
          <w:trHeight w:val="315"/>
        </w:trPr>
        <w:tc>
          <w:tcPr>
            <w:tcW w:w="4000" w:type="pct"/>
            <w:gridSpan w:val="4"/>
            <w:hideMark/>
          </w:tcPr>
          <w:p w14:paraId="36C8D8F0" w14:textId="77777777" w:rsidR="0067581A" w:rsidRPr="00415C43" w:rsidRDefault="0067581A" w:rsidP="00541AD4">
            <w:pPr>
              <w:spacing w:after="240" w:line="360" w:lineRule="auto"/>
              <w:rPr>
                <w:rFonts w:eastAsia="Times New Roman"/>
                <w:color w:val="000000"/>
                <w:sz w:val="24"/>
                <w:szCs w:val="24"/>
                <w:lang w:val="en-US"/>
              </w:rPr>
            </w:pPr>
            <w:r w:rsidRPr="00415C43">
              <w:rPr>
                <w:rFonts w:eastAsia="Times New Roman"/>
                <w:color w:val="000000"/>
                <w:sz w:val="24"/>
                <w:szCs w:val="24"/>
                <w:lang w:val="en-US"/>
              </w:rPr>
              <w:t>IRR</w:t>
            </w:r>
          </w:p>
        </w:tc>
        <w:tc>
          <w:tcPr>
            <w:tcW w:w="1000" w:type="pct"/>
            <w:hideMark/>
          </w:tcPr>
          <w:p w14:paraId="523733BF"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3%</w:t>
            </w:r>
          </w:p>
        </w:tc>
      </w:tr>
    </w:tbl>
    <w:p w14:paraId="66184FB8" w14:textId="77777777" w:rsidR="0067581A" w:rsidRPr="00415C43" w:rsidRDefault="0067581A" w:rsidP="00541AD4">
      <w:pPr>
        <w:spacing w:after="240" w:line="360" w:lineRule="auto"/>
        <w:jc w:val="both"/>
        <w:rPr>
          <w:rFonts w:eastAsia="Times New Roman"/>
          <w:sz w:val="24"/>
          <w:szCs w:val="24"/>
        </w:rPr>
      </w:pPr>
    </w:p>
    <w:p w14:paraId="0AA5506F" w14:textId="6DDA3AAE" w:rsidR="0067581A" w:rsidRPr="00415C43" w:rsidRDefault="0067581A" w:rsidP="00541AD4">
      <w:pPr>
        <w:spacing w:after="240" w:line="360" w:lineRule="auto"/>
        <w:jc w:val="both"/>
        <w:rPr>
          <w:rFonts w:eastAsia="Times New Roman"/>
          <w:b/>
          <w:bCs/>
          <w:sz w:val="24"/>
          <w:szCs w:val="24"/>
        </w:rPr>
      </w:pPr>
      <w:r w:rsidRPr="00415C43">
        <w:rPr>
          <w:rFonts w:eastAsia="Times New Roman"/>
          <w:b/>
          <w:bCs/>
          <w:sz w:val="24"/>
          <w:szCs w:val="24"/>
        </w:rPr>
        <w:t>Project C</w:t>
      </w:r>
    </w:p>
    <w:tbl>
      <w:tblPr>
        <w:tblStyle w:val="TableGrid"/>
        <w:tblW w:w="5000" w:type="pct"/>
        <w:tblLook w:val="04A0" w:firstRow="1" w:lastRow="0" w:firstColumn="1" w:lastColumn="0" w:noHBand="0" w:noVBand="1"/>
      </w:tblPr>
      <w:tblGrid>
        <w:gridCol w:w="1803"/>
        <w:gridCol w:w="1804"/>
        <w:gridCol w:w="1804"/>
        <w:gridCol w:w="1804"/>
        <w:gridCol w:w="1804"/>
      </w:tblGrid>
      <w:tr w:rsidR="0067581A" w:rsidRPr="00415C43" w14:paraId="40BFAC00" w14:textId="77777777" w:rsidTr="0067581A">
        <w:trPr>
          <w:trHeight w:val="600"/>
        </w:trPr>
        <w:tc>
          <w:tcPr>
            <w:tcW w:w="1000" w:type="pct"/>
            <w:hideMark/>
          </w:tcPr>
          <w:p w14:paraId="47890EB9" w14:textId="77777777" w:rsidR="0067581A" w:rsidRPr="00415C43" w:rsidRDefault="0067581A" w:rsidP="00541AD4">
            <w:pPr>
              <w:spacing w:after="240" w:line="360" w:lineRule="auto"/>
              <w:jc w:val="center"/>
              <w:rPr>
                <w:rFonts w:eastAsia="Times New Roman"/>
                <w:b/>
                <w:bCs/>
                <w:i/>
                <w:iCs/>
                <w:color w:val="000000"/>
                <w:sz w:val="24"/>
                <w:szCs w:val="24"/>
                <w:lang w:val="en-US"/>
              </w:rPr>
            </w:pPr>
            <w:r w:rsidRPr="00415C43">
              <w:rPr>
                <w:rFonts w:eastAsia="Times New Roman"/>
                <w:b/>
                <w:bCs/>
                <w:i/>
                <w:iCs/>
                <w:color w:val="000000"/>
                <w:sz w:val="24"/>
                <w:szCs w:val="24"/>
                <w:lang w:val="en-US"/>
              </w:rPr>
              <w:t>Year</w:t>
            </w:r>
          </w:p>
        </w:tc>
        <w:tc>
          <w:tcPr>
            <w:tcW w:w="1000" w:type="pct"/>
            <w:hideMark/>
          </w:tcPr>
          <w:p w14:paraId="7006ADFD" w14:textId="77777777" w:rsidR="0067581A" w:rsidRPr="00415C43" w:rsidRDefault="0067581A" w:rsidP="00541AD4">
            <w:pPr>
              <w:spacing w:after="240" w:line="360" w:lineRule="auto"/>
              <w:jc w:val="center"/>
              <w:rPr>
                <w:rFonts w:eastAsia="Times New Roman"/>
                <w:b/>
                <w:bCs/>
                <w:i/>
                <w:iCs/>
                <w:color w:val="000000"/>
                <w:sz w:val="24"/>
                <w:szCs w:val="24"/>
                <w:lang w:val="en-US"/>
              </w:rPr>
            </w:pPr>
            <w:r w:rsidRPr="00415C43">
              <w:rPr>
                <w:rFonts w:eastAsia="Times New Roman"/>
                <w:b/>
                <w:bCs/>
                <w:i/>
                <w:iCs/>
                <w:color w:val="000000"/>
                <w:sz w:val="24"/>
                <w:szCs w:val="24"/>
                <w:lang w:val="en-US"/>
              </w:rPr>
              <w:t>Net Cash Flow (£m)</w:t>
            </w:r>
          </w:p>
        </w:tc>
        <w:tc>
          <w:tcPr>
            <w:tcW w:w="1000" w:type="pct"/>
            <w:hideMark/>
          </w:tcPr>
          <w:p w14:paraId="4B4DBA7F" w14:textId="77777777" w:rsidR="0067581A" w:rsidRPr="00415C43" w:rsidRDefault="0067581A" w:rsidP="00541AD4">
            <w:pPr>
              <w:spacing w:after="240" w:line="360" w:lineRule="auto"/>
              <w:jc w:val="center"/>
              <w:rPr>
                <w:rFonts w:eastAsia="Times New Roman"/>
                <w:b/>
                <w:bCs/>
                <w:i/>
                <w:iCs/>
                <w:color w:val="000000"/>
                <w:sz w:val="24"/>
                <w:szCs w:val="24"/>
                <w:lang w:val="en-US"/>
              </w:rPr>
            </w:pPr>
            <w:r w:rsidRPr="00415C43">
              <w:rPr>
                <w:rFonts w:eastAsia="Times New Roman"/>
                <w:b/>
                <w:bCs/>
                <w:i/>
                <w:iCs/>
                <w:color w:val="000000"/>
                <w:sz w:val="24"/>
                <w:szCs w:val="24"/>
                <w:lang w:val="en-US"/>
              </w:rPr>
              <w:t>Discount Factor (8%)</w:t>
            </w:r>
          </w:p>
        </w:tc>
        <w:tc>
          <w:tcPr>
            <w:tcW w:w="1000" w:type="pct"/>
            <w:hideMark/>
          </w:tcPr>
          <w:p w14:paraId="7FF87013" w14:textId="77777777" w:rsidR="0067581A" w:rsidRPr="00415C43" w:rsidRDefault="0067581A" w:rsidP="00541AD4">
            <w:pPr>
              <w:spacing w:after="240" w:line="360" w:lineRule="auto"/>
              <w:jc w:val="center"/>
              <w:rPr>
                <w:rFonts w:eastAsia="Times New Roman"/>
                <w:b/>
                <w:bCs/>
                <w:i/>
                <w:iCs/>
                <w:color w:val="000000"/>
                <w:sz w:val="24"/>
                <w:szCs w:val="24"/>
                <w:lang w:val="en-US"/>
              </w:rPr>
            </w:pPr>
            <w:r w:rsidRPr="00415C43">
              <w:rPr>
                <w:rFonts w:eastAsia="Times New Roman"/>
                <w:b/>
                <w:bCs/>
                <w:i/>
                <w:iCs/>
                <w:color w:val="000000"/>
                <w:sz w:val="24"/>
                <w:szCs w:val="24"/>
                <w:lang w:val="en-US"/>
              </w:rPr>
              <w:t>Present Value (£m)</w:t>
            </w:r>
          </w:p>
        </w:tc>
        <w:tc>
          <w:tcPr>
            <w:tcW w:w="1000" w:type="pct"/>
            <w:hideMark/>
          </w:tcPr>
          <w:p w14:paraId="78F09637" w14:textId="77777777" w:rsidR="0067581A" w:rsidRPr="00415C43" w:rsidRDefault="0067581A" w:rsidP="00541AD4">
            <w:pPr>
              <w:spacing w:after="240" w:line="360" w:lineRule="auto"/>
              <w:jc w:val="center"/>
              <w:rPr>
                <w:rFonts w:eastAsia="Times New Roman"/>
                <w:b/>
                <w:bCs/>
                <w:i/>
                <w:iCs/>
                <w:color w:val="000000"/>
                <w:sz w:val="24"/>
                <w:szCs w:val="24"/>
                <w:lang w:val="en-US"/>
              </w:rPr>
            </w:pPr>
            <w:r w:rsidRPr="00415C43">
              <w:rPr>
                <w:rFonts w:eastAsia="Times New Roman"/>
                <w:b/>
                <w:bCs/>
                <w:i/>
                <w:iCs/>
                <w:color w:val="000000"/>
                <w:sz w:val="24"/>
                <w:szCs w:val="24"/>
                <w:lang w:val="en-US"/>
              </w:rPr>
              <w:t>Cumulative Cash Flow (£m)</w:t>
            </w:r>
          </w:p>
        </w:tc>
      </w:tr>
      <w:tr w:rsidR="0067581A" w:rsidRPr="00415C43" w14:paraId="70798697" w14:textId="77777777" w:rsidTr="0067581A">
        <w:trPr>
          <w:trHeight w:val="300"/>
        </w:trPr>
        <w:tc>
          <w:tcPr>
            <w:tcW w:w="1000" w:type="pct"/>
            <w:noWrap/>
            <w:hideMark/>
          </w:tcPr>
          <w:p w14:paraId="143644C2" w14:textId="77777777" w:rsidR="0067581A" w:rsidRPr="00415C43" w:rsidRDefault="0067581A" w:rsidP="00541AD4">
            <w:pPr>
              <w:spacing w:after="240" w:line="360" w:lineRule="auto"/>
              <w:rPr>
                <w:rFonts w:eastAsia="Times New Roman"/>
                <w:color w:val="000000"/>
                <w:sz w:val="24"/>
                <w:szCs w:val="24"/>
                <w:lang w:val="en-US"/>
              </w:rPr>
            </w:pPr>
            <w:r w:rsidRPr="00415C43">
              <w:rPr>
                <w:rFonts w:eastAsia="Times New Roman"/>
                <w:color w:val="000000"/>
                <w:sz w:val="24"/>
                <w:szCs w:val="24"/>
                <w:lang w:val="en-US"/>
              </w:rPr>
              <w:t>0</w:t>
            </w:r>
          </w:p>
        </w:tc>
        <w:tc>
          <w:tcPr>
            <w:tcW w:w="1000" w:type="pct"/>
            <w:noWrap/>
            <w:hideMark/>
          </w:tcPr>
          <w:p w14:paraId="00F88845"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-50</w:t>
            </w:r>
          </w:p>
        </w:tc>
        <w:tc>
          <w:tcPr>
            <w:tcW w:w="1000" w:type="pct"/>
            <w:noWrap/>
            <w:hideMark/>
          </w:tcPr>
          <w:p w14:paraId="59905E9C"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1</w:t>
            </w:r>
          </w:p>
        </w:tc>
        <w:tc>
          <w:tcPr>
            <w:tcW w:w="1000" w:type="pct"/>
            <w:noWrap/>
            <w:hideMark/>
          </w:tcPr>
          <w:p w14:paraId="128A7293"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-50</w:t>
            </w:r>
          </w:p>
        </w:tc>
        <w:tc>
          <w:tcPr>
            <w:tcW w:w="1000" w:type="pct"/>
            <w:noWrap/>
            <w:hideMark/>
          </w:tcPr>
          <w:p w14:paraId="645A1F8E"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-50</w:t>
            </w:r>
          </w:p>
        </w:tc>
      </w:tr>
      <w:tr w:rsidR="0067581A" w:rsidRPr="00415C43" w14:paraId="0434A569" w14:textId="77777777" w:rsidTr="0067581A">
        <w:trPr>
          <w:trHeight w:val="300"/>
        </w:trPr>
        <w:tc>
          <w:tcPr>
            <w:tcW w:w="1000" w:type="pct"/>
            <w:noWrap/>
            <w:hideMark/>
          </w:tcPr>
          <w:p w14:paraId="012D404D" w14:textId="77777777" w:rsidR="0067581A" w:rsidRPr="00415C43" w:rsidRDefault="0067581A" w:rsidP="00541AD4">
            <w:pPr>
              <w:spacing w:after="240" w:line="360" w:lineRule="auto"/>
              <w:rPr>
                <w:rFonts w:eastAsia="Times New Roman"/>
                <w:color w:val="000000"/>
                <w:sz w:val="24"/>
                <w:szCs w:val="24"/>
                <w:lang w:val="en-US"/>
              </w:rPr>
            </w:pPr>
            <w:r w:rsidRPr="00415C43">
              <w:rPr>
                <w:rFonts w:eastAsia="Times New Roman"/>
                <w:color w:val="000000"/>
                <w:sz w:val="24"/>
                <w:szCs w:val="24"/>
                <w:lang w:val="en-US"/>
              </w:rPr>
              <w:lastRenderedPageBreak/>
              <w:t>1</w:t>
            </w:r>
          </w:p>
        </w:tc>
        <w:tc>
          <w:tcPr>
            <w:tcW w:w="1000" w:type="pct"/>
            <w:noWrap/>
            <w:hideMark/>
          </w:tcPr>
          <w:p w14:paraId="40087DC0"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5</w:t>
            </w:r>
          </w:p>
        </w:tc>
        <w:tc>
          <w:tcPr>
            <w:tcW w:w="1000" w:type="pct"/>
            <w:noWrap/>
            <w:hideMark/>
          </w:tcPr>
          <w:p w14:paraId="20CCF5EF"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0.166666667</w:t>
            </w:r>
          </w:p>
        </w:tc>
        <w:tc>
          <w:tcPr>
            <w:tcW w:w="1000" w:type="pct"/>
            <w:noWrap/>
            <w:hideMark/>
          </w:tcPr>
          <w:p w14:paraId="7203A631"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0.833333333</w:t>
            </w:r>
          </w:p>
        </w:tc>
        <w:tc>
          <w:tcPr>
            <w:tcW w:w="1000" w:type="pct"/>
            <w:noWrap/>
            <w:hideMark/>
          </w:tcPr>
          <w:p w14:paraId="110B93E0"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-45</w:t>
            </w:r>
          </w:p>
        </w:tc>
      </w:tr>
      <w:tr w:rsidR="0067581A" w:rsidRPr="00415C43" w14:paraId="79751D57" w14:textId="77777777" w:rsidTr="0067581A">
        <w:trPr>
          <w:trHeight w:val="300"/>
        </w:trPr>
        <w:tc>
          <w:tcPr>
            <w:tcW w:w="1000" w:type="pct"/>
            <w:noWrap/>
            <w:hideMark/>
          </w:tcPr>
          <w:p w14:paraId="72BA66FD" w14:textId="77777777" w:rsidR="0067581A" w:rsidRPr="00415C43" w:rsidRDefault="0067581A" w:rsidP="00541AD4">
            <w:pPr>
              <w:spacing w:after="240" w:line="360" w:lineRule="auto"/>
              <w:rPr>
                <w:rFonts w:eastAsia="Times New Roman"/>
                <w:color w:val="000000"/>
                <w:sz w:val="24"/>
                <w:szCs w:val="24"/>
                <w:lang w:val="en-US"/>
              </w:rPr>
            </w:pPr>
            <w:r w:rsidRPr="00415C43">
              <w:rPr>
                <w:rFonts w:eastAsia="Times New Roman"/>
                <w:color w:val="000000"/>
                <w:sz w:val="24"/>
                <w:szCs w:val="24"/>
                <w:lang w:val="en-US"/>
              </w:rPr>
              <w:t>2</w:t>
            </w:r>
          </w:p>
        </w:tc>
        <w:tc>
          <w:tcPr>
            <w:tcW w:w="1000" w:type="pct"/>
            <w:noWrap/>
            <w:hideMark/>
          </w:tcPr>
          <w:p w14:paraId="740DDA70"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10</w:t>
            </w:r>
          </w:p>
        </w:tc>
        <w:tc>
          <w:tcPr>
            <w:tcW w:w="1000" w:type="pct"/>
            <w:noWrap/>
            <w:hideMark/>
          </w:tcPr>
          <w:p w14:paraId="5281F57F"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0.008264463</w:t>
            </w:r>
          </w:p>
        </w:tc>
        <w:tc>
          <w:tcPr>
            <w:tcW w:w="1000" w:type="pct"/>
            <w:noWrap/>
            <w:hideMark/>
          </w:tcPr>
          <w:p w14:paraId="5EB3D7E3"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0.082644628</w:t>
            </w:r>
          </w:p>
        </w:tc>
        <w:tc>
          <w:tcPr>
            <w:tcW w:w="1000" w:type="pct"/>
            <w:noWrap/>
            <w:hideMark/>
          </w:tcPr>
          <w:p w14:paraId="346DF5A2"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-35</w:t>
            </w:r>
          </w:p>
        </w:tc>
      </w:tr>
      <w:tr w:rsidR="0067581A" w:rsidRPr="00415C43" w14:paraId="5DE49992" w14:textId="77777777" w:rsidTr="0067581A">
        <w:trPr>
          <w:trHeight w:val="300"/>
        </w:trPr>
        <w:tc>
          <w:tcPr>
            <w:tcW w:w="1000" w:type="pct"/>
            <w:noWrap/>
            <w:hideMark/>
          </w:tcPr>
          <w:p w14:paraId="1CF39C7A" w14:textId="77777777" w:rsidR="0067581A" w:rsidRPr="00415C43" w:rsidRDefault="0067581A" w:rsidP="00541AD4">
            <w:pPr>
              <w:spacing w:after="240" w:line="360" w:lineRule="auto"/>
              <w:rPr>
                <w:rFonts w:eastAsia="Times New Roman"/>
                <w:color w:val="000000"/>
                <w:sz w:val="24"/>
                <w:szCs w:val="24"/>
                <w:lang w:val="en-US"/>
              </w:rPr>
            </w:pPr>
            <w:r w:rsidRPr="00415C43">
              <w:rPr>
                <w:rFonts w:eastAsia="Times New Roman"/>
                <w:color w:val="000000"/>
                <w:sz w:val="24"/>
                <w:szCs w:val="24"/>
                <w:lang w:val="en-US"/>
              </w:rPr>
              <w:t>3</w:t>
            </w:r>
          </w:p>
        </w:tc>
        <w:tc>
          <w:tcPr>
            <w:tcW w:w="1000" w:type="pct"/>
            <w:noWrap/>
            <w:hideMark/>
          </w:tcPr>
          <w:p w14:paraId="48C6B030"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20</w:t>
            </w:r>
          </w:p>
        </w:tc>
        <w:tc>
          <w:tcPr>
            <w:tcW w:w="1000" w:type="pct"/>
            <w:noWrap/>
            <w:hideMark/>
          </w:tcPr>
          <w:p w14:paraId="0962004D"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0.00010798</w:t>
            </w:r>
          </w:p>
        </w:tc>
        <w:tc>
          <w:tcPr>
            <w:tcW w:w="1000" w:type="pct"/>
            <w:noWrap/>
            <w:hideMark/>
          </w:tcPr>
          <w:p w14:paraId="0FB23BCE"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0.002159594</w:t>
            </w:r>
          </w:p>
        </w:tc>
        <w:tc>
          <w:tcPr>
            <w:tcW w:w="1000" w:type="pct"/>
            <w:noWrap/>
            <w:hideMark/>
          </w:tcPr>
          <w:p w14:paraId="43ACF94B"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-15</w:t>
            </w:r>
          </w:p>
        </w:tc>
      </w:tr>
      <w:tr w:rsidR="0067581A" w:rsidRPr="00415C43" w14:paraId="62FBB232" w14:textId="77777777" w:rsidTr="0067581A">
        <w:trPr>
          <w:trHeight w:val="300"/>
        </w:trPr>
        <w:tc>
          <w:tcPr>
            <w:tcW w:w="1000" w:type="pct"/>
            <w:noWrap/>
            <w:hideMark/>
          </w:tcPr>
          <w:p w14:paraId="25E46263" w14:textId="77777777" w:rsidR="0067581A" w:rsidRPr="00415C43" w:rsidRDefault="0067581A" w:rsidP="00541AD4">
            <w:pPr>
              <w:spacing w:after="240" w:line="360" w:lineRule="auto"/>
              <w:rPr>
                <w:rFonts w:eastAsia="Times New Roman"/>
                <w:color w:val="000000"/>
                <w:sz w:val="24"/>
                <w:szCs w:val="24"/>
                <w:lang w:val="en-US"/>
              </w:rPr>
            </w:pPr>
            <w:r w:rsidRPr="00415C43">
              <w:rPr>
                <w:rFonts w:eastAsia="Times New Roman"/>
                <w:color w:val="000000"/>
                <w:sz w:val="24"/>
                <w:szCs w:val="24"/>
                <w:lang w:val="en-US"/>
              </w:rPr>
              <w:t>4</w:t>
            </w:r>
          </w:p>
        </w:tc>
        <w:tc>
          <w:tcPr>
            <w:tcW w:w="1000" w:type="pct"/>
            <w:noWrap/>
            <w:hideMark/>
          </w:tcPr>
          <w:p w14:paraId="459F3C77"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25</w:t>
            </w:r>
          </w:p>
        </w:tc>
        <w:tc>
          <w:tcPr>
            <w:tcW w:w="1000" w:type="pct"/>
            <w:noWrap/>
            <w:hideMark/>
          </w:tcPr>
          <w:p w14:paraId="08DF8C88"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2.1883E-06</w:t>
            </w:r>
          </w:p>
        </w:tc>
        <w:tc>
          <w:tcPr>
            <w:tcW w:w="1000" w:type="pct"/>
            <w:noWrap/>
            <w:hideMark/>
          </w:tcPr>
          <w:p w14:paraId="031EF515"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5.47075E-05</w:t>
            </w:r>
          </w:p>
        </w:tc>
        <w:tc>
          <w:tcPr>
            <w:tcW w:w="1000" w:type="pct"/>
            <w:noWrap/>
            <w:hideMark/>
          </w:tcPr>
          <w:p w14:paraId="55ACD888"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10</w:t>
            </w:r>
          </w:p>
        </w:tc>
      </w:tr>
      <w:tr w:rsidR="0067581A" w:rsidRPr="00415C43" w14:paraId="49DE13EB" w14:textId="77777777" w:rsidTr="0067581A">
        <w:trPr>
          <w:trHeight w:val="300"/>
        </w:trPr>
        <w:tc>
          <w:tcPr>
            <w:tcW w:w="1000" w:type="pct"/>
            <w:noWrap/>
            <w:hideMark/>
          </w:tcPr>
          <w:p w14:paraId="6CF0225F" w14:textId="77777777" w:rsidR="0067581A" w:rsidRPr="00415C43" w:rsidRDefault="0067581A" w:rsidP="00541AD4">
            <w:pPr>
              <w:spacing w:after="240" w:line="360" w:lineRule="auto"/>
              <w:rPr>
                <w:rFonts w:eastAsia="Times New Roman"/>
                <w:color w:val="000000"/>
                <w:sz w:val="24"/>
                <w:szCs w:val="24"/>
                <w:lang w:val="en-US"/>
              </w:rPr>
            </w:pPr>
            <w:r w:rsidRPr="00415C43">
              <w:rPr>
                <w:rFonts w:eastAsia="Times New Roman"/>
                <w:color w:val="000000"/>
                <w:sz w:val="24"/>
                <w:szCs w:val="24"/>
                <w:lang w:val="en-US"/>
              </w:rPr>
              <w:t>5</w:t>
            </w:r>
          </w:p>
        </w:tc>
        <w:tc>
          <w:tcPr>
            <w:tcW w:w="1000" w:type="pct"/>
            <w:noWrap/>
            <w:hideMark/>
          </w:tcPr>
          <w:p w14:paraId="53637A2A"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5</w:t>
            </w:r>
          </w:p>
        </w:tc>
        <w:tc>
          <w:tcPr>
            <w:tcW w:w="1000" w:type="pct"/>
            <w:noWrap/>
            <w:hideMark/>
          </w:tcPr>
          <w:p w14:paraId="2A528D94"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0.000128601</w:t>
            </w:r>
          </w:p>
        </w:tc>
        <w:tc>
          <w:tcPr>
            <w:tcW w:w="1000" w:type="pct"/>
            <w:noWrap/>
            <w:hideMark/>
          </w:tcPr>
          <w:p w14:paraId="3C0E24F5"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0.000643004</w:t>
            </w:r>
          </w:p>
        </w:tc>
        <w:tc>
          <w:tcPr>
            <w:tcW w:w="1000" w:type="pct"/>
            <w:noWrap/>
            <w:hideMark/>
          </w:tcPr>
          <w:p w14:paraId="05AC9BB5"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15</w:t>
            </w:r>
          </w:p>
        </w:tc>
      </w:tr>
      <w:tr w:rsidR="0067581A" w:rsidRPr="00415C43" w14:paraId="56F32806" w14:textId="77777777" w:rsidTr="0067581A">
        <w:trPr>
          <w:trHeight w:val="300"/>
        </w:trPr>
        <w:tc>
          <w:tcPr>
            <w:tcW w:w="3000" w:type="pct"/>
            <w:gridSpan w:val="3"/>
            <w:noWrap/>
            <w:hideMark/>
          </w:tcPr>
          <w:p w14:paraId="67AEFBCE" w14:textId="77777777" w:rsidR="0067581A" w:rsidRPr="00415C43" w:rsidRDefault="0067581A" w:rsidP="00541AD4">
            <w:pPr>
              <w:spacing w:after="240" w:line="360" w:lineRule="auto"/>
              <w:rPr>
                <w:rFonts w:eastAsia="Times New Roman"/>
                <w:color w:val="000000"/>
                <w:sz w:val="24"/>
                <w:szCs w:val="24"/>
                <w:lang w:val="en-US"/>
              </w:rPr>
            </w:pPr>
            <w:r w:rsidRPr="00415C43">
              <w:rPr>
                <w:rFonts w:eastAsia="Times New Roman"/>
                <w:color w:val="000000"/>
                <w:sz w:val="24"/>
                <w:szCs w:val="24"/>
                <w:lang w:val="en-US"/>
              </w:rPr>
              <w:t>Total Present Value</w:t>
            </w:r>
          </w:p>
        </w:tc>
        <w:tc>
          <w:tcPr>
            <w:tcW w:w="2000" w:type="pct"/>
            <w:gridSpan w:val="2"/>
            <w:noWrap/>
            <w:hideMark/>
          </w:tcPr>
          <w:p w14:paraId="3EFEFB15" w14:textId="77777777" w:rsidR="0067581A" w:rsidRPr="00415C43" w:rsidRDefault="0067581A" w:rsidP="00541AD4">
            <w:pPr>
              <w:spacing w:after="240" w:line="360" w:lineRule="auto"/>
              <w:rPr>
                <w:rFonts w:eastAsia="Times New Roman"/>
                <w:color w:val="000000"/>
                <w:sz w:val="24"/>
                <w:szCs w:val="24"/>
                <w:lang w:val="en-US"/>
              </w:rPr>
            </w:pPr>
            <w:r w:rsidRPr="00415C43">
              <w:rPr>
                <w:rFonts w:eastAsia="Times New Roman"/>
                <w:color w:val="000000"/>
                <w:sz w:val="24"/>
                <w:szCs w:val="24"/>
                <w:lang w:val="en-US"/>
              </w:rPr>
              <w:t>0.918835267</w:t>
            </w:r>
          </w:p>
        </w:tc>
      </w:tr>
      <w:tr w:rsidR="0067581A" w:rsidRPr="00415C43" w14:paraId="567FF281" w14:textId="77777777" w:rsidTr="0067581A">
        <w:trPr>
          <w:trHeight w:val="300"/>
        </w:trPr>
        <w:tc>
          <w:tcPr>
            <w:tcW w:w="4000" w:type="pct"/>
            <w:gridSpan w:val="4"/>
            <w:noWrap/>
            <w:hideMark/>
          </w:tcPr>
          <w:p w14:paraId="49534E63" w14:textId="77777777" w:rsidR="0067581A" w:rsidRPr="00415C43" w:rsidRDefault="0067581A" w:rsidP="00541AD4">
            <w:pPr>
              <w:spacing w:after="240" w:line="360" w:lineRule="auto"/>
              <w:rPr>
                <w:rFonts w:eastAsia="Times New Roman"/>
                <w:color w:val="000000"/>
                <w:sz w:val="24"/>
                <w:szCs w:val="24"/>
                <w:lang w:val="en-US"/>
              </w:rPr>
            </w:pPr>
            <w:r w:rsidRPr="00415C43">
              <w:rPr>
                <w:rFonts w:eastAsia="Times New Roman"/>
                <w:color w:val="000000"/>
                <w:sz w:val="24"/>
                <w:szCs w:val="24"/>
                <w:lang w:val="en-US"/>
              </w:rPr>
              <w:t>Payback Period</w:t>
            </w:r>
          </w:p>
        </w:tc>
        <w:tc>
          <w:tcPr>
            <w:tcW w:w="1000" w:type="pct"/>
            <w:noWrap/>
            <w:hideMark/>
          </w:tcPr>
          <w:p w14:paraId="1BF30E80"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4.2</w:t>
            </w:r>
          </w:p>
        </w:tc>
      </w:tr>
      <w:tr w:rsidR="0067581A" w:rsidRPr="00415C43" w14:paraId="2AB384AF" w14:textId="77777777" w:rsidTr="0067581A">
        <w:trPr>
          <w:trHeight w:val="300"/>
        </w:trPr>
        <w:tc>
          <w:tcPr>
            <w:tcW w:w="4000" w:type="pct"/>
            <w:gridSpan w:val="4"/>
            <w:noWrap/>
            <w:hideMark/>
          </w:tcPr>
          <w:p w14:paraId="05872CF0" w14:textId="77777777" w:rsidR="0067581A" w:rsidRPr="00415C43" w:rsidRDefault="0067581A" w:rsidP="00541AD4">
            <w:pPr>
              <w:spacing w:after="240" w:line="360" w:lineRule="auto"/>
              <w:rPr>
                <w:rFonts w:eastAsia="Times New Roman"/>
                <w:color w:val="000000"/>
                <w:sz w:val="24"/>
                <w:szCs w:val="24"/>
                <w:lang w:val="en-US"/>
              </w:rPr>
            </w:pPr>
            <w:r w:rsidRPr="00415C43">
              <w:rPr>
                <w:rFonts w:eastAsia="Times New Roman"/>
                <w:color w:val="000000"/>
                <w:sz w:val="24"/>
                <w:szCs w:val="24"/>
                <w:lang w:val="en-US"/>
              </w:rPr>
              <w:t>Average Annual Profit</w:t>
            </w:r>
          </w:p>
        </w:tc>
        <w:tc>
          <w:tcPr>
            <w:tcW w:w="1000" w:type="pct"/>
            <w:noWrap/>
            <w:hideMark/>
          </w:tcPr>
          <w:p w14:paraId="2DD3A025"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13</w:t>
            </w:r>
          </w:p>
        </w:tc>
      </w:tr>
      <w:tr w:rsidR="0067581A" w:rsidRPr="00415C43" w14:paraId="0BC49463" w14:textId="77777777" w:rsidTr="0067581A">
        <w:trPr>
          <w:trHeight w:val="300"/>
        </w:trPr>
        <w:tc>
          <w:tcPr>
            <w:tcW w:w="4000" w:type="pct"/>
            <w:gridSpan w:val="4"/>
            <w:noWrap/>
            <w:hideMark/>
          </w:tcPr>
          <w:p w14:paraId="43F5EDDD" w14:textId="77777777" w:rsidR="0067581A" w:rsidRPr="00415C43" w:rsidRDefault="0067581A" w:rsidP="00541AD4">
            <w:pPr>
              <w:spacing w:after="240" w:line="360" w:lineRule="auto"/>
              <w:rPr>
                <w:rFonts w:eastAsia="Times New Roman"/>
                <w:color w:val="000000"/>
                <w:sz w:val="24"/>
                <w:szCs w:val="24"/>
                <w:lang w:val="en-US"/>
              </w:rPr>
            </w:pPr>
            <w:r w:rsidRPr="00415C43">
              <w:rPr>
                <w:rFonts w:eastAsia="Times New Roman"/>
                <w:color w:val="000000"/>
                <w:sz w:val="24"/>
                <w:szCs w:val="24"/>
                <w:lang w:val="en-US"/>
              </w:rPr>
              <w:t>ARR</w:t>
            </w:r>
          </w:p>
        </w:tc>
        <w:tc>
          <w:tcPr>
            <w:tcW w:w="1000" w:type="pct"/>
            <w:noWrap/>
            <w:hideMark/>
          </w:tcPr>
          <w:p w14:paraId="4CB30B48"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26</w:t>
            </w:r>
          </w:p>
        </w:tc>
      </w:tr>
      <w:tr w:rsidR="0067581A" w:rsidRPr="00415C43" w14:paraId="79678B0A" w14:textId="77777777" w:rsidTr="0067581A">
        <w:trPr>
          <w:trHeight w:val="300"/>
        </w:trPr>
        <w:tc>
          <w:tcPr>
            <w:tcW w:w="4000" w:type="pct"/>
            <w:gridSpan w:val="4"/>
            <w:noWrap/>
            <w:hideMark/>
          </w:tcPr>
          <w:p w14:paraId="0F7D5B88" w14:textId="77777777" w:rsidR="0067581A" w:rsidRPr="00415C43" w:rsidRDefault="0067581A" w:rsidP="00541AD4">
            <w:pPr>
              <w:spacing w:after="240" w:line="360" w:lineRule="auto"/>
              <w:rPr>
                <w:rFonts w:eastAsia="Times New Roman"/>
                <w:color w:val="000000"/>
                <w:sz w:val="24"/>
                <w:szCs w:val="24"/>
                <w:lang w:val="en-US"/>
              </w:rPr>
            </w:pPr>
            <w:r w:rsidRPr="00415C43">
              <w:rPr>
                <w:rFonts w:eastAsia="Times New Roman"/>
                <w:color w:val="000000"/>
                <w:sz w:val="24"/>
                <w:szCs w:val="24"/>
                <w:lang w:val="en-US"/>
              </w:rPr>
              <w:t>NPV</w:t>
            </w:r>
          </w:p>
        </w:tc>
        <w:tc>
          <w:tcPr>
            <w:tcW w:w="1000" w:type="pct"/>
            <w:noWrap/>
            <w:hideMark/>
          </w:tcPr>
          <w:p w14:paraId="572D2169"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 xml:space="preserve">$0.86 </w:t>
            </w:r>
          </w:p>
        </w:tc>
      </w:tr>
      <w:tr w:rsidR="0067581A" w:rsidRPr="00415C43" w14:paraId="3822C508" w14:textId="77777777" w:rsidTr="0067581A">
        <w:trPr>
          <w:trHeight w:val="300"/>
        </w:trPr>
        <w:tc>
          <w:tcPr>
            <w:tcW w:w="4000" w:type="pct"/>
            <w:gridSpan w:val="4"/>
            <w:noWrap/>
            <w:hideMark/>
          </w:tcPr>
          <w:p w14:paraId="144DECEE" w14:textId="77777777" w:rsidR="0067581A" w:rsidRPr="00415C43" w:rsidRDefault="0067581A" w:rsidP="00541AD4">
            <w:pPr>
              <w:spacing w:after="240" w:line="360" w:lineRule="auto"/>
              <w:rPr>
                <w:rFonts w:eastAsia="Times New Roman"/>
                <w:color w:val="000000"/>
                <w:sz w:val="24"/>
                <w:szCs w:val="24"/>
                <w:lang w:val="en-US"/>
              </w:rPr>
            </w:pPr>
            <w:r w:rsidRPr="00415C43">
              <w:rPr>
                <w:rFonts w:eastAsia="Times New Roman"/>
                <w:color w:val="000000"/>
                <w:sz w:val="24"/>
                <w:szCs w:val="24"/>
                <w:lang w:val="en-US"/>
              </w:rPr>
              <w:t>Profitability Index</w:t>
            </w:r>
          </w:p>
        </w:tc>
        <w:tc>
          <w:tcPr>
            <w:tcW w:w="1000" w:type="pct"/>
            <w:noWrap/>
            <w:hideMark/>
          </w:tcPr>
          <w:p w14:paraId="0C872854"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1.017166499</w:t>
            </w:r>
          </w:p>
        </w:tc>
      </w:tr>
      <w:tr w:rsidR="0067581A" w:rsidRPr="00415C43" w14:paraId="64B1927B" w14:textId="77777777" w:rsidTr="0067581A">
        <w:trPr>
          <w:trHeight w:val="315"/>
        </w:trPr>
        <w:tc>
          <w:tcPr>
            <w:tcW w:w="4000" w:type="pct"/>
            <w:gridSpan w:val="4"/>
            <w:noWrap/>
            <w:hideMark/>
          </w:tcPr>
          <w:p w14:paraId="28ED8552" w14:textId="77777777" w:rsidR="0067581A" w:rsidRPr="00415C43" w:rsidRDefault="0067581A" w:rsidP="00541AD4">
            <w:pPr>
              <w:spacing w:after="240" w:line="360" w:lineRule="auto"/>
              <w:rPr>
                <w:rFonts w:eastAsia="Times New Roman"/>
                <w:color w:val="000000"/>
                <w:sz w:val="24"/>
                <w:szCs w:val="24"/>
                <w:lang w:val="en-US"/>
              </w:rPr>
            </w:pPr>
            <w:r w:rsidRPr="00415C43">
              <w:rPr>
                <w:rFonts w:eastAsia="Times New Roman"/>
                <w:color w:val="000000"/>
                <w:sz w:val="24"/>
                <w:szCs w:val="24"/>
                <w:lang w:val="en-US"/>
              </w:rPr>
              <w:t>IRR</w:t>
            </w:r>
          </w:p>
        </w:tc>
        <w:tc>
          <w:tcPr>
            <w:tcW w:w="1000" w:type="pct"/>
            <w:noWrap/>
            <w:hideMark/>
          </w:tcPr>
          <w:p w14:paraId="3B206438" w14:textId="77777777" w:rsidR="0067581A" w:rsidRPr="00415C43" w:rsidRDefault="0067581A" w:rsidP="00541AD4">
            <w:pPr>
              <w:spacing w:after="240" w:line="360" w:lineRule="auto"/>
              <w:jc w:val="right"/>
              <w:rPr>
                <w:rFonts w:eastAsia="Times New Roman"/>
                <w:color w:val="000000"/>
                <w:sz w:val="24"/>
                <w:szCs w:val="24"/>
                <w:lang w:val="en-US"/>
              </w:rPr>
            </w:pPr>
            <w:r w:rsidRPr="00415C43">
              <w:rPr>
                <w:rFonts w:eastAsia="Times New Roman"/>
                <w:color w:val="000000"/>
                <w:sz w:val="24"/>
                <w:szCs w:val="24"/>
                <w:lang w:val="en-US"/>
              </w:rPr>
              <w:t>9%</w:t>
            </w:r>
          </w:p>
        </w:tc>
      </w:tr>
    </w:tbl>
    <w:p w14:paraId="7367C794" w14:textId="77777777" w:rsidR="0067581A" w:rsidRPr="00415C43" w:rsidRDefault="0067581A" w:rsidP="00541AD4">
      <w:pPr>
        <w:spacing w:after="240" w:line="360" w:lineRule="auto"/>
        <w:jc w:val="both"/>
        <w:rPr>
          <w:rFonts w:eastAsia="Times New Roman"/>
          <w:sz w:val="24"/>
          <w:szCs w:val="24"/>
        </w:rPr>
      </w:pPr>
    </w:p>
    <w:sectPr w:rsidR="0067581A" w:rsidRPr="00415C43" w:rsidSect="00DC5F37">
      <w:footerReference w:type="default" r:id="rId79"/>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D93EBE" w14:textId="77777777" w:rsidR="00430067" w:rsidRDefault="00430067" w:rsidP="00DC5F37">
      <w:pPr>
        <w:spacing w:line="240" w:lineRule="auto"/>
      </w:pPr>
      <w:r>
        <w:separator/>
      </w:r>
    </w:p>
  </w:endnote>
  <w:endnote w:type="continuationSeparator" w:id="0">
    <w:p w14:paraId="27EAD9FE" w14:textId="77777777" w:rsidR="00430067" w:rsidRDefault="00430067" w:rsidP="00DC5F3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DC7965E7-9039-4C89-9CF1-6DC442CA512B}"/>
  </w:font>
  <w:font w:name="Cambria">
    <w:panose1 w:val="02040503050406030204"/>
    <w:charset w:val="00"/>
    <w:family w:val="roman"/>
    <w:pitch w:val="variable"/>
    <w:sig w:usb0="E00006FF" w:usb1="420024FF" w:usb2="02000000" w:usb3="00000000" w:csb0="0000019F" w:csb1="00000000"/>
    <w:embedRegular r:id="rId2" w:fontKey="{82630E4C-A691-41DB-BEFC-3B907DA6C9C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0"/>
        <w:szCs w:val="20"/>
      </w:rPr>
      <w:id w:val="1293863733"/>
      <w:docPartObj>
        <w:docPartGallery w:val="Page Numbers (Bottom of Page)"/>
        <w:docPartUnique/>
      </w:docPartObj>
    </w:sdtPr>
    <w:sdtEndPr>
      <w:rPr>
        <w:noProof/>
      </w:rPr>
    </w:sdtEndPr>
    <w:sdtContent>
      <w:p w14:paraId="23C4148F" w14:textId="55FA86F7" w:rsidR="00DC5F37" w:rsidRPr="00DC5F37" w:rsidRDefault="00DC5F37">
        <w:pPr>
          <w:pStyle w:val="Footer"/>
          <w:jc w:val="right"/>
          <w:rPr>
            <w:rFonts w:ascii="Times New Roman" w:hAnsi="Times New Roman" w:cs="Times New Roman"/>
            <w:sz w:val="20"/>
            <w:szCs w:val="20"/>
          </w:rPr>
        </w:pPr>
        <w:r w:rsidRPr="00DC5F37">
          <w:rPr>
            <w:rFonts w:ascii="Times New Roman" w:hAnsi="Times New Roman" w:cs="Times New Roman"/>
            <w:sz w:val="20"/>
            <w:szCs w:val="20"/>
          </w:rPr>
          <w:fldChar w:fldCharType="begin"/>
        </w:r>
        <w:r w:rsidRPr="00DC5F37">
          <w:rPr>
            <w:rFonts w:ascii="Times New Roman" w:hAnsi="Times New Roman" w:cs="Times New Roman"/>
            <w:sz w:val="20"/>
            <w:szCs w:val="20"/>
          </w:rPr>
          <w:instrText xml:space="preserve"> PAGE   \* MERGEFORMAT </w:instrText>
        </w:r>
        <w:r w:rsidRPr="00DC5F37">
          <w:rPr>
            <w:rFonts w:ascii="Times New Roman" w:hAnsi="Times New Roman" w:cs="Times New Roman"/>
            <w:sz w:val="20"/>
            <w:szCs w:val="20"/>
          </w:rPr>
          <w:fldChar w:fldCharType="separate"/>
        </w:r>
        <w:r w:rsidR="00541AD4">
          <w:rPr>
            <w:rFonts w:ascii="Times New Roman" w:hAnsi="Times New Roman" w:cs="Times New Roman"/>
            <w:noProof/>
            <w:sz w:val="20"/>
            <w:szCs w:val="20"/>
          </w:rPr>
          <w:t>2</w:t>
        </w:r>
        <w:r w:rsidRPr="00DC5F37">
          <w:rPr>
            <w:rFonts w:ascii="Times New Roman" w:hAnsi="Times New Roman" w:cs="Times New Roman"/>
            <w:noProof/>
            <w:sz w:val="20"/>
            <w:szCs w:val="20"/>
          </w:rPr>
          <w:fldChar w:fldCharType="end"/>
        </w:r>
      </w:p>
    </w:sdtContent>
  </w:sdt>
  <w:p w14:paraId="53151C7B" w14:textId="77777777" w:rsidR="00DC5F37" w:rsidRDefault="00DC5F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742B3E" w14:textId="77777777" w:rsidR="00430067" w:rsidRDefault="00430067" w:rsidP="00DC5F37">
      <w:pPr>
        <w:spacing w:line="240" w:lineRule="auto"/>
      </w:pPr>
      <w:r>
        <w:separator/>
      </w:r>
    </w:p>
  </w:footnote>
  <w:footnote w:type="continuationSeparator" w:id="0">
    <w:p w14:paraId="56030E66" w14:textId="77777777" w:rsidR="00430067" w:rsidRDefault="00430067" w:rsidP="00DC5F3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53C5"/>
    <w:rsid w:val="00234B76"/>
    <w:rsid w:val="002A53C5"/>
    <w:rsid w:val="00312B15"/>
    <w:rsid w:val="00415C43"/>
    <w:rsid w:val="00430067"/>
    <w:rsid w:val="004F0197"/>
    <w:rsid w:val="00541AD4"/>
    <w:rsid w:val="0067581A"/>
    <w:rsid w:val="00696ED1"/>
    <w:rsid w:val="00720F7C"/>
    <w:rsid w:val="00A24D68"/>
    <w:rsid w:val="00AC7AB2"/>
    <w:rsid w:val="00C3122E"/>
    <w:rsid w:val="00DC5F37"/>
    <w:rsid w:val="00F808CD"/>
    <w:rsid w:val="00FC0D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E70FE4"/>
  <w15:docId w15:val="{CF6DE7E1-B031-4EC8-A9AE-72947A3FCA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415C43"/>
    <w:pPr>
      <w:keepNext/>
      <w:keepLines/>
      <w:spacing w:before="120" w:after="120" w:line="360" w:lineRule="auto"/>
      <w:jc w:val="both"/>
      <w:outlineLvl w:val="0"/>
    </w:pPr>
    <w:rPr>
      <w:b/>
      <w:sz w:val="28"/>
      <w:szCs w:val="40"/>
    </w:rPr>
  </w:style>
  <w:style w:type="paragraph" w:styleId="Heading2">
    <w:name w:val="heading 2"/>
    <w:basedOn w:val="Normal"/>
    <w:next w:val="Normal"/>
    <w:uiPriority w:val="9"/>
    <w:unhideWhenUsed/>
    <w:qFormat/>
    <w:rsid w:val="00415C43"/>
    <w:pPr>
      <w:keepNext/>
      <w:keepLines/>
      <w:spacing w:before="120" w:after="120" w:line="360" w:lineRule="auto"/>
      <w:jc w:val="both"/>
      <w:outlineLvl w:val="1"/>
    </w:pPr>
    <w:rPr>
      <w:b/>
      <w:sz w:val="26"/>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styleId="TableGrid">
    <w:name w:val="Table Grid"/>
    <w:basedOn w:val="TableNormal"/>
    <w:uiPriority w:val="39"/>
    <w:rsid w:val="0067581A"/>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7581A"/>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67581A"/>
    <w:pPr>
      <w:spacing w:after="100"/>
    </w:pPr>
  </w:style>
  <w:style w:type="paragraph" w:styleId="TOC2">
    <w:name w:val="toc 2"/>
    <w:basedOn w:val="Normal"/>
    <w:next w:val="Normal"/>
    <w:autoRedefine/>
    <w:uiPriority w:val="39"/>
    <w:unhideWhenUsed/>
    <w:rsid w:val="0067581A"/>
    <w:pPr>
      <w:spacing w:after="100"/>
      <w:ind w:left="220"/>
    </w:pPr>
  </w:style>
  <w:style w:type="character" w:styleId="Hyperlink">
    <w:name w:val="Hyperlink"/>
    <w:basedOn w:val="DefaultParagraphFont"/>
    <w:uiPriority w:val="99"/>
    <w:unhideWhenUsed/>
    <w:rsid w:val="0067581A"/>
    <w:rPr>
      <w:color w:val="0000FF" w:themeColor="hyperlink"/>
      <w:u w:val="single"/>
    </w:rPr>
  </w:style>
  <w:style w:type="paragraph" w:styleId="Header">
    <w:name w:val="header"/>
    <w:basedOn w:val="Normal"/>
    <w:link w:val="HeaderChar"/>
    <w:uiPriority w:val="99"/>
    <w:unhideWhenUsed/>
    <w:rsid w:val="00DC5F37"/>
    <w:pPr>
      <w:tabs>
        <w:tab w:val="center" w:pos="4680"/>
        <w:tab w:val="right" w:pos="9360"/>
      </w:tabs>
      <w:spacing w:line="240" w:lineRule="auto"/>
    </w:pPr>
  </w:style>
  <w:style w:type="character" w:customStyle="1" w:styleId="HeaderChar">
    <w:name w:val="Header Char"/>
    <w:basedOn w:val="DefaultParagraphFont"/>
    <w:link w:val="Header"/>
    <w:uiPriority w:val="99"/>
    <w:rsid w:val="00DC5F37"/>
  </w:style>
  <w:style w:type="paragraph" w:styleId="Footer">
    <w:name w:val="footer"/>
    <w:basedOn w:val="Normal"/>
    <w:link w:val="FooterChar"/>
    <w:uiPriority w:val="99"/>
    <w:unhideWhenUsed/>
    <w:rsid w:val="00DC5F37"/>
    <w:pPr>
      <w:tabs>
        <w:tab w:val="center" w:pos="4680"/>
        <w:tab w:val="right" w:pos="9360"/>
      </w:tabs>
      <w:spacing w:line="240" w:lineRule="auto"/>
    </w:pPr>
  </w:style>
  <w:style w:type="character" w:customStyle="1" w:styleId="FooterChar">
    <w:name w:val="Footer Char"/>
    <w:basedOn w:val="DefaultParagraphFont"/>
    <w:link w:val="Footer"/>
    <w:uiPriority w:val="99"/>
    <w:rsid w:val="00DC5F37"/>
  </w:style>
  <w:style w:type="paragraph" w:styleId="NormalWeb">
    <w:name w:val="Normal (Web)"/>
    <w:basedOn w:val="Normal"/>
    <w:uiPriority w:val="99"/>
    <w:semiHidden/>
    <w:unhideWhenUsed/>
    <w:rsid w:val="00C3122E"/>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29952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assets.group.accor.com/yrj0orc8tx24/7uQsZpYhpBNmqCKmIoQ2ae/2071dceae9cde78d5d9fd4d796aeaee4/ACCOR_RI_2023_MEL_UK.pdf" TargetMode="External"/><Relationship Id="rId21" Type="http://schemas.openxmlformats.org/officeDocument/2006/relationships/hyperlink" Target="https://journal.uii.ac.id/inCAF/article/download/32617/16184" TargetMode="External"/><Relationship Id="rId42" Type="http://schemas.openxmlformats.org/officeDocument/2006/relationships/hyperlink" Target="https://in.investing.com/equities/accor-financial-summary" TargetMode="External"/><Relationship Id="rId47" Type="http://schemas.openxmlformats.org/officeDocument/2006/relationships/hyperlink" Target="https://www.sciencedirect.com/science/article/pii/S219985312200720X" TargetMode="External"/><Relationship Id="rId63" Type="http://schemas.openxmlformats.org/officeDocument/2006/relationships/hyperlink" Target="https://www.researchgate.net/profile/Hong-Nguyen-Thi-Xuan/publication/379179878_The_Effect_of_COVID-19_Pandemic_on_Financial_Performance_of_Firms_Empirical_Evidence_from_Vietnamese_Logistics_Enterprises/links/65fdadbef3b56b5b2d216e48/The-Effect-of-COVID-19-Pandemic-on-Financial-Performance-of-Firms-Empirical-Evidence-from-Vietnamese-Logistics-Enterprises.pdf" TargetMode="External"/><Relationship Id="rId68" Type="http://schemas.openxmlformats.org/officeDocument/2006/relationships/hyperlink" Target="https://www.mdpi.com/2071-1050/14/12/7150" TargetMode="External"/><Relationship Id="rId16" Type="http://schemas.openxmlformats.org/officeDocument/2006/relationships/hyperlink" Target="https://www.researchgate.net/profile/Idowu-Adesoye/publication/359659590_THE_IMPACT_OF_RATIO_ANALYSIS_ON_INVESTMENT_DECISION_2016-2020/links/624705e221077329f2e83766/THE-IMPACT-OF-RATIO-ANALYSIS-ON-INVESTMENT-DECISION-2016-2020.pdf" TargetMode="External"/><Relationship Id="rId11" Type="http://schemas.openxmlformats.org/officeDocument/2006/relationships/hyperlink" Target="https://press.accor.com/full-year-2025-results-solid-results-above-2025-guidance/?lang=eng" TargetMode="External"/><Relationship Id="rId32" Type="http://schemas.openxmlformats.org/officeDocument/2006/relationships/hyperlink" Target="https://travel.economictimes.indiatimes.com/news/hospitality/accor-continues-recovery-as-travellers-emerge-from-covid-19-trough/95114963?next=1" TargetMode="External"/><Relationship Id="rId37" Type="http://schemas.openxmlformats.org/officeDocument/2006/relationships/hyperlink" Target="https://link.springer.com/content/pdf/10.1007/s11187-025-01046-x.pdf" TargetMode="External"/><Relationship Id="rId53" Type="http://schemas.openxmlformats.org/officeDocument/2006/relationships/hyperlink" Target="https://www.researchgate.net/profile/Kelvin-Adim-Mordi/publication/394032413_Financial_Flexibility_in_RD_Investment_A_Study_of_Operating_Cash_Flow_Earnings_before_Interest_and_Tax_and_Gearing_Ratio/links/68854a77253dcb78df887e25/Financial-Flexibility-in-R-D-Investment-A-Study-of-Operating-Cash-Flow-Earnings-before-Interest-and-Tax-and-Gearing-Ratio.pdf" TargetMode="External"/><Relationship Id="rId58" Type="http://schemas.openxmlformats.org/officeDocument/2006/relationships/hyperlink" Target="https://pdfs.semanticscholar.org/d032/c8a79e7a17e69b7258300e2dfb407d80ff4d.pdf" TargetMode="External"/><Relationship Id="rId74" Type="http://schemas.openxmlformats.org/officeDocument/2006/relationships/chart" Target="charts/chart5.xml"/><Relationship Id="rId79" Type="http://schemas.openxmlformats.org/officeDocument/2006/relationships/footer" Target="footer1.xml"/><Relationship Id="rId5" Type="http://schemas.openxmlformats.org/officeDocument/2006/relationships/footnotes" Target="footnotes.xml"/><Relationship Id="rId61" Type="http://schemas.openxmlformats.org/officeDocument/2006/relationships/hyperlink" Target="https://www.researchgate.net/profile/Prasenjit-Roy-3/publication/388756887_Working_capital_management_efficiency_in_large_firms_during_crisis_implications_for_community-based_enterprises/links/67ac22d5645ef274a47af7b5/Working-capital-management-efficiency-in-large-firms-during-crisis-implications-for-community-based-enterprises.pdf" TargetMode="External"/><Relationship Id="rId19" Type="http://schemas.openxmlformats.org/officeDocument/2006/relationships/hyperlink" Target="https://www.scienceopen.com/document_file/d45c41e2-5ed8-4376-b786-584f49af44e0/ScienceOpenPreprint/AI%20tools%20assisting%20in%20the%20proofreading%20and%20scientific%20review%20of%20research%20papers.pdf" TargetMode="External"/><Relationship Id="rId14" Type="http://schemas.openxmlformats.org/officeDocument/2006/relationships/hyperlink" Target="https://assets.group.accor.com/yrj0orc8tx24/7GKd4x98vALvGSU7A4t0Ow/cc011cfb875bb17f27220408ddf3b0ef/Availability-of-the-2025-Universal-Registration-Document-including-the-Annual-Financial-Report.pdf" TargetMode="External"/><Relationship Id="rId22" Type="http://schemas.openxmlformats.org/officeDocument/2006/relationships/hyperlink" Target="https://journal.uii.ac.id/inCAF/article/download/32617/16184" TargetMode="External"/><Relationship Id="rId27" Type="http://schemas.openxmlformats.org/officeDocument/2006/relationships/hyperlink" Target="https://assets.group.accor.com/yrj0orc8tx24/3T4W8eBWnheEwgRrPUynaH/e3675a64e596a1eb95f6f20a14474f0e/Accor-2024-Notes-to-Financial-Statements-vdef.pdf" TargetMode="External"/><Relationship Id="rId30" Type="http://schemas.openxmlformats.org/officeDocument/2006/relationships/hyperlink" Target="https://books.google.com/books?hl=en&amp;lr=&amp;id=nIiGEQAAQBAJ&amp;oi=fnd&amp;pg=PA2000&amp;dq=+the+financial+decisions+requires+to+closely+integrates+with+the+Environmental,+Social+and+Governance+(ESG)+commitments+of+Accor+through+profoundly+supporting+sustainable+hotel+operations,+diminishing+carbon+emissions+and+ultimately+fostering+responsible+employment+practices.+&amp;ots=1_JKN-jaCe&amp;sig=S0sTIaVaxRVVA1deaX4nSM0FNmg" TargetMode="External"/><Relationship Id="rId35" Type="http://schemas.openxmlformats.org/officeDocument/2006/relationships/hyperlink" Target="https://www.researchgate.net/profile/Lawrence-Emma/publication/388625506_Integrating_Sustainable_Financial_Strategies_for_Long-Term_Corporate_Growth_and_Stakeholder_Value/links/679f57ab645ef274a45eb698/Integrating-Sustainable-Financial-Strategies-for-Long-Term-Corporate-Growth-and-Stakeholder-Value.pdf" TargetMode="External"/><Relationship Id="rId43" Type="http://schemas.openxmlformats.org/officeDocument/2006/relationships/hyperlink" Target="https://in.investing.com/equities/accor-financial-summary" TargetMode="External"/><Relationship Id="rId48" Type="http://schemas.openxmlformats.org/officeDocument/2006/relationships/hyperlink" Target="https://www.researchgate.net/profile/Qiang-Ji-9/publication/357929095_Environmental_violations_refinancing_risk_and_the_corporate_bond_cost_in_China/links/61ea58fb9a753545e2e685a2/Environmental-violations-refinancing-risk-and-the-corporate-bond-cost-in-China.pdf" TargetMode="External"/><Relationship Id="rId56" Type="http://schemas.openxmlformats.org/officeDocument/2006/relationships/hyperlink" Target="https://www.academia.edu/download/125282662/cashflow_management_and_financial_performance_of_selected_listed_companies_in_Nigeria.pdf" TargetMode="External"/><Relationship Id="rId64" Type="http://schemas.openxmlformats.org/officeDocument/2006/relationships/hyperlink" Target="https://www.researchgate.net/profile/Septa-Nabella/publication/371806850_The_Effect_of_Profitability_Liquidity_Leverage_and_Activity_Ratios_on_Dividend_Policy_in_Manufacturing_Companies_in_the_Food_and_Beverage_Industry_Sector_Listed_on_the_Indonesia_Stock_Exchange_in_the_/links/6495e2458de7ed28ba4eecd5/The-Effect-of-Profitability-Liquidity-Leverage-and-Activity-Ratios-on-Dividend-Policy-in-Manufacturing-Companies-in-the-Food-and-Beverage-Industry-Sector-Listed-on-the-Indonesia-Stock-Exchange-in-t.pdf" TargetMode="External"/><Relationship Id="rId69" Type="http://schemas.openxmlformats.org/officeDocument/2006/relationships/hyperlink" Target="https://www.mdpi.com/2071-1050/14/12/7150" TargetMode="External"/><Relationship Id="rId77" Type="http://schemas.openxmlformats.org/officeDocument/2006/relationships/chart" Target="charts/chart8.xml"/><Relationship Id="rId8" Type="http://schemas.openxmlformats.org/officeDocument/2006/relationships/hyperlink" Target="https://assets.group.accor.com/yrj0orc8tx24/dwdklcBVai21ztMLgb3A5/9c5cee572414b86f8e59daecb0d80bdc/ACCOR_DEU2025_US_PDF_UA.pdf" TargetMode="External"/><Relationship Id="rId51" Type="http://schemas.openxmlformats.org/officeDocument/2006/relationships/hyperlink" Target="https://www.researchgate.net/profile/Marcin-Majka-2/publication/381402363_Understanding_Efficiency_Ratios/links/666b64b9de777205a32c2aa5/Understanding-Efficiency-Ratios.pdf" TargetMode="External"/><Relationship Id="rId72" Type="http://schemas.openxmlformats.org/officeDocument/2006/relationships/chart" Target="charts/chart3.xml"/><Relationship Id="rId80"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s://group.accor.com/en/news-stories/accor-full-year-2025-results" TargetMode="External"/><Relationship Id="rId17" Type="http://schemas.openxmlformats.org/officeDocument/2006/relationships/hyperlink" Target="https://www.researchgate.net/profile/Tanvir-Rahman-Akash/publication/382680751_Evaluating_financial_risk_management_in_corporation_financial_security_systems/links/6734882968de5e5a307503f8/Evaluating-financial-risk-management-in-corporation-financial-security-systems.pdf" TargetMode="External"/><Relationship Id="rId25" Type="http://schemas.openxmlformats.org/officeDocument/2006/relationships/hyperlink" Target="https://assets.group.accor.com/yrj0orc8tx24/7uQsZpYhpBNmqCKmIoQ2ae/2071dceae9cde78d5d9fd4d796aeaee4/ACCOR_RI_2023_MEL_UK.pdf" TargetMode="External"/><Relationship Id="rId33" Type="http://schemas.openxmlformats.org/officeDocument/2006/relationships/hyperlink" Target="https://travel.economictimes.indiatimes.com/news/hospitality/accor-continues-recovery-as-travellers-emerge-from-covid-19-trough/95114963?next=1" TargetMode="External"/><Relationship Id="rId38" Type="http://schemas.openxmlformats.org/officeDocument/2006/relationships/hyperlink" Target="http://u3isjournal.isvouga.pt/index.php/ijmcnm/article/viewFile/1209/554" TargetMode="External"/><Relationship Id="rId46" Type="http://schemas.openxmlformats.org/officeDocument/2006/relationships/hyperlink" Target="https://www.sciencedirect.com/science/article/pii/S219985312200720X" TargetMode="External"/><Relationship Id="rId59" Type="http://schemas.openxmlformats.org/officeDocument/2006/relationships/hyperlink" Target="https://run.unl.pt/bitstreams/cea4e337-b7b7-4ce4-92b0-06ec7848345d/download" TargetMode="External"/><Relationship Id="rId67" Type="http://schemas.openxmlformats.org/officeDocument/2006/relationships/hyperlink" Target="https://www.tandfonline.com/doi/abs/10.1080/10447318.2025.2530071" TargetMode="External"/><Relationship Id="rId20" Type="http://schemas.openxmlformats.org/officeDocument/2006/relationships/hyperlink" Target="https://www.apm.org.uk/resources/what-is-project-management/what-is-investment-appraisal-and-project-funding/" TargetMode="External"/><Relationship Id="rId41" Type="http://schemas.openxmlformats.org/officeDocument/2006/relationships/hyperlink" Target="https://www.researchgate.net/profile/Lolade-Hamzat/publication/391776111_Real-Time_Financial_Resilience_and_Debt_Optimization_for_Entrepreneurs_Tackling_Debt_Management_as_a_Financial_Health_Pandemic_and_Empowering_Small_Business_Growth_Through_Early_Detection_of_Financial/links/6826b14cdf0e3f544f54c00e/Real-Time-Financial-Resilience-and-Debt-Optimization-for-Entrepreneurs-Tackling-Debt-Management-as-a-Financial-Health-Pandemic-and-Empowering-Small-Business-Growth-Through-Early-Detection-of-Financial.pdf" TargetMode="External"/><Relationship Id="rId54" Type="http://schemas.openxmlformats.org/officeDocument/2006/relationships/hyperlink" Target="https://www.researchgate.net/profile/Kelvin-Adim-Mordi/publication/394032413_Financial_Flexibility_in_RD_Investment_A_Study_of_Operating_Cash_Flow_Earnings_before_Interest_and_Tax_and_Gearing_Ratio/links/68854a77253dcb78df887e25/Financial-Flexibility-in-R-D-Investment-A-Study-of-Operating-Cash-Flow-Earnings-before-Interest-and-Tax-and-Gearing-Ratio.pdf" TargetMode="External"/><Relationship Id="rId62" Type="http://schemas.openxmlformats.org/officeDocument/2006/relationships/hyperlink" Target="https://www.researchgate.net/profile/Hong-Nguyen-Thi-Xuan/publication/379179878_The_Effect_of_COVID-19_Pandemic_on_Financial_Performance_of_Firms_Empirical_Evidence_from_Vietnamese_Logistics_Enterprises/links/65fdadbef3b56b5b2d216e48/The-Effect-of-COVID-19-Pandemic-on-Financial-Performance-of-Firms-Empirical-Evidence-from-Vietnamese-Logistics-Enterprises.pdf" TargetMode="External"/><Relationship Id="rId70" Type="http://schemas.openxmlformats.org/officeDocument/2006/relationships/chart" Target="charts/chart1.xml"/><Relationship Id="rId75" Type="http://schemas.openxmlformats.org/officeDocument/2006/relationships/chart" Target="charts/chart6.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s://www.researchgate.net/profile/Idowu-Adesoye/publication/359659590_THE_IMPACT_OF_RATIO_ANALYSIS_ON_INVESTMENT_DECISION_2016-2020/links/624705e221077329f2e83766/THE-IMPACT-OF-RATIO-ANALYSIS-ON-INVESTMENT-DECISION-2016-2020.pdf" TargetMode="External"/><Relationship Id="rId23" Type="http://schemas.openxmlformats.org/officeDocument/2006/relationships/hyperlink" Target="https://thecrsss.com/index.php/Journal/article/download/204/225" TargetMode="External"/><Relationship Id="rId28" Type="http://schemas.openxmlformats.org/officeDocument/2006/relationships/hyperlink" Target="https://assets.group.accor.com/yrj0orc8tx24/3T4W8eBWnheEwgRrPUynaH/e3675a64e596a1eb95f6f20a14474f0e/Accor-2024-Notes-to-Financial-Statements-vdef.pdf" TargetMode="External"/><Relationship Id="rId36" Type="http://schemas.openxmlformats.org/officeDocument/2006/relationships/hyperlink" Target="https://link.springer.com/content/pdf/10.1007/s11187-025-01046-x.pdf" TargetMode="External"/><Relationship Id="rId49" Type="http://schemas.openxmlformats.org/officeDocument/2006/relationships/hyperlink" Target="https://www.researchgate.net/profile/Qiang-Ji-9/publication/357929095_Environmental_violations_refinancing_risk_and_the_corporate_bond_cost_in_China/links/61ea58fb9a753545e2e685a2/Environmental-violations-refinancing-risk-and-the-corporate-bond-cost-in-China.pdf" TargetMode="External"/><Relationship Id="rId57" Type="http://schemas.openxmlformats.org/officeDocument/2006/relationships/hyperlink" Target="https://pdfs.semanticscholar.org/d032/c8a79e7a17e69b7258300e2dfb407d80ff4d.pdf" TargetMode="External"/><Relationship Id="rId10" Type="http://schemas.openxmlformats.org/officeDocument/2006/relationships/hyperlink" Target="https://press.accor.com/full-year-2025-results-solid-results-above-2025-guidance/?lang=eng" TargetMode="External"/><Relationship Id="rId31" Type="http://schemas.openxmlformats.org/officeDocument/2006/relationships/hyperlink" Target="http://www.baltijapublishing.lv/omp/index.php/bp/catalog/download/596/16158/34067-1" TargetMode="External"/><Relationship Id="rId44" Type="http://schemas.openxmlformats.org/officeDocument/2006/relationships/hyperlink" Target="https://www.mdpi.com/2071-1050/16/14/5885" TargetMode="External"/><Relationship Id="rId52" Type="http://schemas.openxmlformats.org/officeDocument/2006/relationships/hyperlink" Target="https://www.researchgate.net/profile/Marcin-Majka-2/publication/381402363_Understanding_Efficiency_Ratios/links/666b64b9de777205a32c2aa5/Understanding-Efficiency-Ratios.pdf" TargetMode="External"/><Relationship Id="rId60" Type="http://schemas.openxmlformats.org/officeDocument/2006/relationships/hyperlink" Target="https://www.researchgate.net/profile/Prasenjit-Roy-3/publication/388756887_Working_capital_management_efficiency_in_large_firms_during_crisis_implications_for_community-based_enterprises/links/67ac22d5645ef274a47af7b5/Working-capital-management-efficiency-in-large-firms-during-crisis-implications-for-community-based-enterprises.pdf" TargetMode="External"/><Relationship Id="rId65" Type="http://schemas.openxmlformats.org/officeDocument/2006/relationships/hyperlink" Target="https://www.researchgate.net/profile/Septa-Nabella/publication/371806850_The_Effect_of_Profitability_Liquidity_Leverage_and_Activity_Ratios_on_Dividend_Policy_in_Manufacturing_Companies_in_the_Food_and_Beverage_Industry_Sector_Listed_on_the_Indonesia_Stock_Exchange_in_the_/links/6495e2458de7ed28ba4eecd5/The-Effect-of-Profitability-Liquidity-Leverage-and-Activity-Ratios-on-Dividend-Policy-in-Manufacturing-Companies-in-the-Food-and-Beverage-Industry-Sector-Listed-on-the-Indonesia-Stock-Exchange-in-t.pdf" TargetMode="External"/><Relationship Id="rId73" Type="http://schemas.openxmlformats.org/officeDocument/2006/relationships/chart" Target="charts/chart4.xml"/><Relationship Id="rId78" Type="http://schemas.openxmlformats.org/officeDocument/2006/relationships/chart" Target="charts/chart9.xml"/><Relationship Id="rId8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assets.group.accor.com/yrj0orc8tx24/dwdklcBVai21ztMLgb3A5/9c5cee572414b86f8e59daecb0d80bdc/ACCOR_DEU2025_US_PDF_UA.pdf" TargetMode="External"/><Relationship Id="rId13" Type="http://schemas.openxmlformats.org/officeDocument/2006/relationships/hyperlink" Target="https://group.accor.com/en/news-stories/accor-full-year-2025-results" TargetMode="External"/><Relationship Id="rId18" Type="http://schemas.openxmlformats.org/officeDocument/2006/relationships/hyperlink" Target="https://www.researchgate.net/profile/Tanvir-Rahman-Akash/publication/382680751_Evaluating_financial_risk_management_in_corporation_financial_security_systems/links/6734882968de5e5a307503f8/Evaluating-financial-risk-management-in-corporation-financial-security-systems.pdf" TargetMode="External"/><Relationship Id="rId39" Type="http://schemas.openxmlformats.org/officeDocument/2006/relationships/hyperlink" Target="https://reposit.nupp.edu.ua/files/original/19/13384/66502834570e63bbc36682a5d39b88fef55758ba.pdf" TargetMode="External"/><Relationship Id="rId34" Type="http://schemas.openxmlformats.org/officeDocument/2006/relationships/hyperlink" Target="https://www.researchgate.net/profile/Lawrence-Emma/publication/388625506_Integrating_Sustainable_Financial_Strategies_for_Long-Term_Corporate_Growth_and_Stakeholder_Value/links/679f57ab645ef274a45eb698/Integrating-Sustainable-Financial-Strategies-for-Long-Term-Corporate-Growth-and-Stakeholder-Value.pdf" TargetMode="External"/><Relationship Id="rId50" Type="http://schemas.openxmlformats.org/officeDocument/2006/relationships/hyperlink" Target="https://papers.ssrn.com/sol3/Delivery.cfm?abstractid=5462494" TargetMode="External"/><Relationship Id="rId55" Type="http://schemas.openxmlformats.org/officeDocument/2006/relationships/hyperlink" Target="https://www.academia.edu/download/125282662/cashflow_management_and_financial_performance_of_selected_listed_companies_in_Nigeria.pdf" TargetMode="External"/><Relationship Id="rId76" Type="http://schemas.openxmlformats.org/officeDocument/2006/relationships/chart" Target="charts/chart7.xml"/><Relationship Id="rId7" Type="http://schemas.openxmlformats.org/officeDocument/2006/relationships/image" Target="media/image1.png"/><Relationship Id="rId71" Type="http://schemas.openxmlformats.org/officeDocument/2006/relationships/chart" Target="charts/chart2.xml"/><Relationship Id="rId2" Type="http://schemas.openxmlformats.org/officeDocument/2006/relationships/styles" Target="styles.xml"/><Relationship Id="rId29" Type="http://schemas.openxmlformats.org/officeDocument/2006/relationships/hyperlink" Target="https://www.theseus.fi/bitstream/handle/10024/807521/Currency%20Fluctuatons%20and%20its%20Impact%27s%20on%20International%20Business.pdf?sequence=2" TargetMode="External"/><Relationship Id="rId24" Type="http://schemas.openxmlformats.org/officeDocument/2006/relationships/hyperlink" Target="https://www.researchgate.net/profile/Mohammed-Alaqad-3/publication/391189237_Evolution_of_AI_in_Interpretation_From_Traditional_Approaches_to_Real-Time_Solution/links/69a10168e8fd5476473b7a9f/Evolution-of-AI-in-Interpretation-From-Traditional-Approaches-to-Real-Time-Solution.pdf" TargetMode="External"/><Relationship Id="rId40" Type="http://schemas.openxmlformats.org/officeDocument/2006/relationships/hyperlink" Target="https://www.researchgate.net/profile/Lolade-Hamzat/publication/391776111_Real-Time_Financial_Resilience_and_Debt_Optimization_for_Entrepreneurs_Tackling_Debt_Management_as_a_Financial_Health_Pandemic_and_Empowering_Small_Business_Growth_Through_Early_Detection_of_Financial/links/6826b14cdf0e3f544f54c00e/Real-Time-Financial-Resilience-and-Debt-Optimization-for-Entrepreneurs-Tackling-Debt-Management-as-a-Financial-Health-Pandemic-and-Empowering-Small-Business-Growth-Through-Early-Detection-of-Financial.pdf" TargetMode="External"/><Relationship Id="rId45" Type="http://schemas.openxmlformats.org/officeDocument/2006/relationships/hyperlink" Target="https://www.mdpi.com/2071-1050/16/14/5885" TargetMode="External"/><Relationship Id="rId66" Type="http://schemas.openxmlformats.org/officeDocument/2006/relationships/hyperlink" Target="https://www.researchgate.net/profile/Jian-Xu-65/publication/359170616_Intellectual_capital_efficiency_and_firms'_financial_performance_based_on_business_life_cycle/links/622c4b3c97401151d212a4bb/Intellectual-capital-efficiency-and-firms-financial-performance-based-on-business-life-cycle.pdf?origin=journalDetail&amp;_tp=eyJwYWdlIjoiam91cm5hbERldGFpbCJ9"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charts/_rels/chart1.xml.rels><?xml version="1.0" encoding="UTF-8" standalone="yes"?>
<Relationships xmlns="http://schemas.openxmlformats.org/package/2006/relationships"><Relationship Id="rId3" Type="http://schemas.openxmlformats.org/officeDocument/2006/relationships/oleObject" Target="file:///E:\Class%20note\Kunj-Wales-Excel.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E:\Class%20note\Kunj-Wales-Excel.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E:\Class%20note\Kunj-Wales-Excel.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E:\Class%20note\Kunj-Wales-Excel.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E:\Class%20note\Kunj-Wales-Excel.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E:\Class%20note\Kunj-Wales-Excel.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E:\Class%20note\Kunj-Wales-Excel.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E:\Class%20note\Kunj-Wales-Excel.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E:\Class%20note\Kunj-Wales-Excel.xlsx" TargetMode="External"/><Relationship Id="rId2" Type="http://schemas.microsoft.com/office/2011/relationships/chartColorStyle" Target="colors9.xml"/><Relationship Id="rId1" Type="http://schemas.microsoft.com/office/2011/relationships/chartStyle" Target="style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en-US"/>
              <a:t>Gross Profit Margin</a:t>
            </a:r>
          </a:p>
        </c:rich>
      </c:tx>
      <c:overlay val="0"/>
      <c:spPr>
        <a:noFill/>
        <a:ln>
          <a:noFill/>
        </a:ln>
        <a:effectLst/>
      </c:spPr>
      <c:txPr>
        <a:bodyPr rot="0" spcFirstLastPara="1" vertOverflow="ellipsis" vert="horz" wrap="square" anchor="ctr" anchorCtr="1"/>
        <a:lstStyle/>
        <a:p>
          <a:pPr>
            <a:defRPr sz="1400" b="1"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lineChart>
        <c:grouping val="standard"/>
        <c:varyColors val="0"/>
        <c:ser>
          <c:idx val="0"/>
          <c:order val="0"/>
          <c:tx>
            <c:strRef>
              <c:f>Ratios!$H$2:$I$2</c:f>
              <c:strCache>
                <c:ptCount val="2"/>
                <c:pt idx="0">
                  <c:v>Gross Profit Margin</c:v>
                </c:pt>
                <c:pt idx="1">
                  <c:v>Gross Profit / Revenue</c:v>
                </c:pt>
              </c:strCache>
            </c:strRef>
          </c:tx>
          <c:spPr>
            <a:ln w="28575" cap="rnd">
              <a:solidFill>
                <a:schemeClr val="accent2"/>
              </a:solidFill>
              <a:round/>
            </a:ln>
            <a:effectLst/>
          </c:spPr>
          <c:marker>
            <c:symbol val="none"/>
          </c:marker>
          <c:dLbls>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Ratios!$J$1:$N$1</c:f>
              <c:numCache>
                <c:formatCode>General</c:formatCode>
                <c:ptCount val="5"/>
                <c:pt idx="0">
                  <c:v>2021</c:v>
                </c:pt>
                <c:pt idx="1">
                  <c:v>2022</c:v>
                </c:pt>
                <c:pt idx="2">
                  <c:v>2023</c:v>
                </c:pt>
                <c:pt idx="3">
                  <c:v>2024</c:v>
                </c:pt>
                <c:pt idx="4">
                  <c:v>2025</c:v>
                </c:pt>
              </c:numCache>
            </c:numRef>
          </c:cat>
          <c:val>
            <c:numRef>
              <c:f>Ratios!$J$2:$N$2</c:f>
              <c:numCache>
                <c:formatCode>0.00</c:formatCode>
                <c:ptCount val="5"/>
                <c:pt idx="0">
                  <c:v>2.7676950998185117E-2</c:v>
                </c:pt>
                <c:pt idx="1">
                  <c:v>0.17163825757575757</c:v>
                </c:pt>
                <c:pt idx="2">
                  <c:v>0.20945411392405064</c:v>
                </c:pt>
                <c:pt idx="3">
                  <c:v>0.21013200142704244</c:v>
                </c:pt>
                <c:pt idx="4">
                  <c:v>0.22397588224862564</c:v>
                </c:pt>
              </c:numCache>
            </c:numRef>
          </c:val>
          <c:smooth val="0"/>
          <c:extLst>
            <c:ext xmlns:c16="http://schemas.microsoft.com/office/drawing/2014/chart" uri="{C3380CC4-5D6E-409C-BE32-E72D297353CC}">
              <c16:uniqueId val="{00000000-D0FC-4652-8C36-F4E7CDAFCC8B}"/>
            </c:ext>
          </c:extLst>
        </c:ser>
        <c:dLbls>
          <c:dLblPos val="t"/>
          <c:showLegendKey val="0"/>
          <c:showVal val="1"/>
          <c:showCatName val="0"/>
          <c:showSerName val="0"/>
          <c:showPercent val="0"/>
          <c:showBubbleSize val="0"/>
        </c:dLbls>
        <c:smooth val="0"/>
        <c:axId val="1838196624"/>
        <c:axId val="1557922640"/>
      </c:lineChart>
      <c:catAx>
        <c:axId val="18381966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557922640"/>
        <c:crosses val="autoZero"/>
        <c:auto val="1"/>
        <c:lblAlgn val="ctr"/>
        <c:lblOffset val="100"/>
        <c:noMultiLvlLbl val="0"/>
      </c:catAx>
      <c:valAx>
        <c:axId val="1557922640"/>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83819662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en-US"/>
              <a:t>EBITDA Margin</a:t>
            </a:r>
          </a:p>
        </c:rich>
      </c:tx>
      <c:overlay val="0"/>
      <c:spPr>
        <a:noFill/>
        <a:ln>
          <a:noFill/>
        </a:ln>
        <a:effectLst/>
      </c:spPr>
      <c:txPr>
        <a:bodyPr rot="0" spcFirstLastPara="1" vertOverflow="ellipsis" vert="horz" wrap="square" anchor="ctr" anchorCtr="1"/>
        <a:lstStyle/>
        <a:p>
          <a:pPr>
            <a:defRPr sz="1400" b="1"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lineChart>
        <c:grouping val="standard"/>
        <c:varyColors val="0"/>
        <c:ser>
          <c:idx val="0"/>
          <c:order val="0"/>
          <c:tx>
            <c:strRef>
              <c:f>Ratios!$H$4:$I$4</c:f>
              <c:strCache>
                <c:ptCount val="2"/>
                <c:pt idx="0">
                  <c:v>EBITDA Margin</c:v>
                </c:pt>
                <c:pt idx="1">
                  <c:v>EBITDA / Revenue</c:v>
                </c:pt>
              </c:strCache>
            </c:strRef>
          </c:tx>
          <c:spPr>
            <a:ln w="28575" cap="rnd">
              <a:solidFill>
                <a:schemeClr val="accent1"/>
              </a:solidFill>
              <a:round/>
            </a:ln>
            <a:effectLst/>
          </c:spPr>
          <c:marker>
            <c:symbol val="none"/>
          </c:marker>
          <c:dLbls>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Ratios!$J$1:$N$1</c:f>
              <c:numCache>
                <c:formatCode>General</c:formatCode>
                <c:ptCount val="5"/>
                <c:pt idx="0">
                  <c:v>2021</c:v>
                </c:pt>
                <c:pt idx="1">
                  <c:v>2022</c:v>
                </c:pt>
                <c:pt idx="2">
                  <c:v>2023</c:v>
                </c:pt>
                <c:pt idx="3">
                  <c:v>2024</c:v>
                </c:pt>
                <c:pt idx="4">
                  <c:v>2025</c:v>
                </c:pt>
              </c:numCache>
            </c:numRef>
          </c:cat>
          <c:val>
            <c:numRef>
              <c:f>Ratios!$J$4:$N$4</c:f>
              <c:numCache>
                <c:formatCode>0.00</c:formatCode>
                <c:ptCount val="5"/>
                <c:pt idx="0">
                  <c:v>-2.9945553539019964E-2</c:v>
                </c:pt>
                <c:pt idx="1">
                  <c:v>0.14109848484848486</c:v>
                </c:pt>
                <c:pt idx="2">
                  <c:v>0.17879746835443039</c:v>
                </c:pt>
                <c:pt idx="3">
                  <c:v>0.17784516589368535</c:v>
                </c:pt>
                <c:pt idx="4">
                  <c:v>0.19099131051604895</c:v>
                </c:pt>
              </c:numCache>
            </c:numRef>
          </c:val>
          <c:smooth val="0"/>
          <c:extLst>
            <c:ext xmlns:c16="http://schemas.microsoft.com/office/drawing/2014/chart" uri="{C3380CC4-5D6E-409C-BE32-E72D297353CC}">
              <c16:uniqueId val="{00000000-643C-463C-A4BC-8E856CCC1FEF}"/>
            </c:ext>
          </c:extLst>
        </c:ser>
        <c:dLbls>
          <c:dLblPos val="t"/>
          <c:showLegendKey val="0"/>
          <c:showVal val="1"/>
          <c:showCatName val="0"/>
          <c:showSerName val="0"/>
          <c:showPercent val="0"/>
          <c:showBubbleSize val="0"/>
        </c:dLbls>
        <c:smooth val="0"/>
        <c:axId val="1541684960"/>
        <c:axId val="1557923600"/>
      </c:lineChart>
      <c:catAx>
        <c:axId val="15416849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557923600"/>
        <c:crosses val="autoZero"/>
        <c:auto val="1"/>
        <c:lblAlgn val="ctr"/>
        <c:lblOffset val="100"/>
        <c:noMultiLvlLbl val="0"/>
      </c:catAx>
      <c:valAx>
        <c:axId val="1557923600"/>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54168496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en-US" b="1"/>
              <a:t>Current Ratio</a:t>
            </a:r>
          </a:p>
        </c:rich>
      </c:tx>
      <c:overlay val="0"/>
      <c:spPr>
        <a:noFill/>
        <a:ln>
          <a:noFill/>
        </a:ln>
        <a:effectLst/>
      </c:spPr>
      <c:txPr>
        <a:bodyPr rot="0" spcFirstLastPara="1" vertOverflow="ellipsis" vert="horz" wrap="square" anchor="ctr" anchorCtr="1"/>
        <a:lstStyle/>
        <a:p>
          <a:pPr>
            <a:defRPr sz="1400" b="1"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lineChart>
        <c:grouping val="standard"/>
        <c:varyColors val="0"/>
        <c:ser>
          <c:idx val="0"/>
          <c:order val="0"/>
          <c:tx>
            <c:strRef>
              <c:f>Ratios!$H$11:$I$11</c:f>
              <c:strCache>
                <c:ptCount val="2"/>
                <c:pt idx="0">
                  <c:v>Current Ratio</c:v>
                </c:pt>
                <c:pt idx="1">
                  <c:v>Current Assets / Current Liabilities</c:v>
                </c:pt>
              </c:strCache>
            </c:strRef>
          </c:tx>
          <c:spPr>
            <a:ln w="28575" cap="rnd">
              <a:solidFill>
                <a:schemeClr val="accent1"/>
              </a:solidFill>
              <a:round/>
            </a:ln>
            <a:effectLst/>
          </c:spPr>
          <c:marker>
            <c:symbol val="none"/>
          </c:marker>
          <c:dLbls>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Ratios!$J$10:$N$10</c:f>
              <c:numCache>
                <c:formatCode>General</c:formatCode>
                <c:ptCount val="5"/>
                <c:pt idx="0">
                  <c:v>2021</c:v>
                </c:pt>
                <c:pt idx="1">
                  <c:v>2022</c:v>
                </c:pt>
                <c:pt idx="2">
                  <c:v>2023</c:v>
                </c:pt>
                <c:pt idx="3">
                  <c:v>2024</c:v>
                </c:pt>
                <c:pt idx="4">
                  <c:v>2025</c:v>
                </c:pt>
              </c:numCache>
            </c:numRef>
          </c:cat>
          <c:val>
            <c:numRef>
              <c:f>Ratios!$J$11:$N$11</c:f>
              <c:numCache>
                <c:formatCode>0.000</c:formatCode>
                <c:ptCount val="5"/>
                <c:pt idx="0">
                  <c:v>6.4072801560033426E-3</c:v>
                </c:pt>
                <c:pt idx="1">
                  <c:v>3.5003841885084949E-3</c:v>
                </c:pt>
                <c:pt idx="2">
                  <c:v>5.5027957752729209E-3</c:v>
                </c:pt>
                <c:pt idx="3">
                  <c:v>5.1422410218130545E-3</c:v>
                </c:pt>
                <c:pt idx="4">
                  <c:v>4.5980926430517714E-3</c:v>
                </c:pt>
              </c:numCache>
            </c:numRef>
          </c:val>
          <c:smooth val="0"/>
          <c:extLst>
            <c:ext xmlns:c16="http://schemas.microsoft.com/office/drawing/2014/chart" uri="{C3380CC4-5D6E-409C-BE32-E72D297353CC}">
              <c16:uniqueId val="{00000000-A3A1-4535-B6A8-B2FF71ED4132}"/>
            </c:ext>
          </c:extLst>
        </c:ser>
        <c:dLbls>
          <c:dLblPos val="t"/>
          <c:showLegendKey val="0"/>
          <c:showVal val="1"/>
          <c:showCatName val="0"/>
          <c:showSerName val="0"/>
          <c:showPercent val="0"/>
          <c:showBubbleSize val="0"/>
        </c:dLbls>
        <c:smooth val="0"/>
        <c:axId val="1573658304"/>
        <c:axId val="1557921200"/>
      </c:lineChart>
      <c:catAx>
        <c:axId val="15736583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557921200"/>
        <c:crosses val="autoZero"/>
        <c:auto val="1"/>
        <c:lblAlgn val="ctr"/>
        <c:lblOffset val="100"/>
        <c:noMultiLvlLbl val="0"/>
      </c:catAx>
      <c:valAx>
        <c:axId val="1557921200"/>
        <c:scaling>
          <c:orientation val="minMax"/>
        </c:scaling>
        <c:delete val="0"/>
        <c:axPos val="l"/>
        <c:majorGridlines>
          <c:spPr>
            <a:ln w="9525" cap="flat" cmpd="sng" algn="ctr">
              <a:solidFill>
                <a:schemeClr val="tx1">
                  <a:lumMod val="15000"/>
                  <a:lumOff val="85000"/>
                </a:schemeClr>
              </a:solidFill>
              <a:round/>
            </a:ln>
            <a:effectLst/>
          </c:spPr>
        </c:majorGridlines>
        <c:numFmt formatCode="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57365830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en-US"/>
              <a:t>Cash Ratio</a:t>
            </a:r>
          </a:p>
        </c:rich>
      </c:tx>
      <c:overlay val="0"/>
      <c:spPr>
        <a:noFill/>
        <a:ln>
          <a:noFill/>
        </a:ln>
        <a:effectLst/>
      </c:spPr>
      <c:txPr>
        <a:bodyPr rot="0" spcFirstLastPara="1" vertOverflow="ellipsis" vert="horz" wrap="square" anchor="ctr" anchorCtr="1"/>
        <a:lstStyle/>
        <a:p>
          <a:pPr>
            <a:defRPr sz="1400" b="1"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lineChart>
        <c:grouping val="standard"/>
        <c:varyColors val="0"/>
        <c:ser>
          <c:idx val="0"/>
          <c:order val="0"/>
          <c:tx>
            <c:strRef>
              <c:f>Ratios!$H$12:$I$12</c:f>
              <c:strCache>
                <c:ptCount val="2"/>
                <c:pt idx="0">
                  <c:v>Cash Ratio</c:v>
                </c:pt>
                <c:pt idx="1">
                  <c:v>Cash / Current Liabilities</c:v>
                </c:pt>
              </c:strCache>
            </c:strRef>
          </c:tx>
          <c:spPr>
            <a:ln w="28575" cap="rnd">
              <a:solidFill>
                <a:schemeClr val="accent1"/>
              </a:solidFill>
              <a:round/>
            </a:ln>
            <a:effectLst/>
          </c:spPr>
          <c:marker>
            <c:symbol val="none"/>
          </c:marker>
          <c:dLbls>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Ratios!$J$10:$N$10</c:f>
              <c:numCache>
                <c:formatCode>General</c:formatCode>
                <c:ptCount val="5"/>
                <c:pt idx="0">
                  <c:v>2021</c:v>
                </c:pt>
                <c:pt idx="1">
                  <c:v>2022</c:v>
                </c:pt>
                <c:pt idx="2">
                  <c:v>2023</c:v>
                </c:pt>
                <c:pt idx="3">
                  <c:v>2024</c:v>
                </c:pt>
                <c:pt idx="4">
                  <c:v>2025</c:v>
                </c:pt>
              </c:numCache>
            </c:numRef>
          </c:cat>
          <c:val>
            <c:numRef>
              <c:f>Ratios!$J$12:$N$12</c:f>
              <c:numCache>
                <c:formatCode>0.000</c:formatCode>
                <c:ptCount val="5"/>
                <c:pt idx="0">
                  <c:v>-2.2286191846968149E-2</c:v>
                </c:pt>
                <c:pt idx="1">
                  <c:v>4.3626739520191242E-2</c:v>
                </c:pt>
                <c:pt idx="2">
                  <c:v>5.9376941510606192E-2</c:v>
                </c:pt>
                <c:pt idx="3">
                  <c:v>6.0794559177241435E-2</c:v>
                </c:pt>
                <c:pt idx="4">
                  <c:v>6.8971389645776565E-2</c:v>
                </c:pt>
              </c:numCache>
            </c:numRef>
          </c:val>
          <c:smooth val="0"/>
          <c:extLst>
            <c:ext xmlns:c16="http://schemas.microsoft.com/office/drawing/2014/chart" uri="{C3380CC4-5D6E-409C-BE32-E72D297353CC}">
              <c16:uniqueId val="{00000000-4471-4EDA-BAC2-8CAEE02494EB}"/>
            </c:ext>
          </c:extLst>
        </c:ser>
        <c:dLbls>
          <c:dLblPos val="t"/>
          <c:showLegendKey val="0"/>
          <c:showVal val="1"/>
          <c:showCatName val="0"/>
          <c:showSerName val="0"/>
          <c:showPercent val="0"/>
          <c:showBubbleSize val="0"/>
        </c:dLbls>
        <c:smooth val="0"/>
        <c:axId val="1541681712"/>
        <c:axId val="1557962480"/>
      </c:lineChart>
      <c:catAx>
        <c:axId val="15416817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557962480"/>
        <c:crosses val="autoZero"/>
        <c:auto val="1"/>
        <c:lblAlgn val="ctr"/>
        <c:lblOffset val="100"/>
        <c:noMultiLvlLbl val="0"/>
      </c:catAx>
      <c:valAx>
        <c:axId val="1557962480"/>
        <c:scaling>
          <c:orientation val="minMax"/>
        </c:scaling>
        <c:delete val="0"/>
        <c:axPos val="l"/>
        <c:majorGridlines>
          <c:spPr>
            <a:ln w="9525" cap="flat" cmpd="sng" algn="ctr">
              <a:solidFill>
                <a:schemeClr val="tx1">
                  <a:lumMod val="15000"/>
                  <a:lumOff val="85000"/>
                </a:schemeClr>
              </a:solidFill>
              <a:round/>
            </a:ln>
            <a:effectLst/>
          </c:spPr>
        </c:majorGridlines>
        <c:numFmt formatCode="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54168171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en-US"/>
              <a:t>Total Asset Turnover</a:t>
            </a:r>
          </a:p>
        </c:rich>
      </c:tx>
      <c:overlay val="0"/>
      <c:spPr>
        <a:noFill/>
        <a:ln>
          <a:noFill/>
        </a:ln>
        <a:effectLst/>
      </c:spPr>
      <c:txPr>
        <a:bodyPr rot="0" spcFirstLastPara="1" vertOverflow="ellipsis" vert="horz" wrap="square" anchor="ctr" anchorCtr="1"/>
        <a:lstStyle/>
        <a:p>
          <a:pPr>
            <a:defRPr sz="1400" b="1"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lineChart>
        <c:grouping val="standard"/>
        <c:varyColors val="0"/>
        <c:ser>
          <c:idx val="0"/>
          <c:order val="0"/>
          <c:tx>
            <c:strRef>
              <c:f>Ratios!$H$16:$I$16</c:f>
              <c:strCache>
                <c:ptCount val="2"/>
                <c:pt idx="0">
                  <c:v>Total Asset Turnover</c:v>
                </c:pt>
                <c:pt idx="1">
                  <c:v>Revenue / Total Assets</c:v>
                </c:pt>
              </c:strCache>
            </c:strRef>
          </c:tx>
          <c:spPr>
            <a:ln w="28575" cap="rnd">
              <a:solidFill>
                <a:schemeClr val="accent1"/>
              </a:solidFill>
              <a:round/>
            </a:ln>
            <a:effectLst/>
          </c:spPr>
          <c:marker>
            <c:symbol val="none"/>
          </c:marker>
          <c:dLbls>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Ratios!$J$15:$N$15</c:f>
              <c:numCache>
                <c:formatCode>General</c:formatCode>
                <c:ptCount val="5"/>
                <c:pt idx="0">
                  <c:v>2021</c:v>
                </c:pt>
                <c:pt idx="1">
                  <c:v>2022</c:v>
                </c:pt>
                <c:pt idx="2">
                  <c:v>2023</c:v>
                </c:pt>
                <c:pt idx="3">
                  <c:v>2024</c:v>
                </c:pt>
                <c:pt idx="4">
                  <c:v>2025</c:v>
                </c:pt>
              </c:numCache>
            </c:numRef>
          </c:cat>
          <c:val>
            <c:numRef>
              <c:f>Ratios!$J$16:$N$16</c:f>
              <c:numCache>
                <c:formatCode>0.00</c:formatCode>
                <c:ptCount val="5"/>
                <c:pt idx="0">
                  <c:v>0.28660598179453839</c:v>
                </c:pt>
                <c:pt idx="1">
                  <c:v>0.51962110960757779</c:v>
                </c:pt>
                <c:pt idx="2">
                  <c:v>0.59580485505538539</c:v>
                </c:pt>
                <c:pt idx="3">
                  <c:v>0.61692527786948392</c:v>
                </c:pt>
                <c:pt idx="4">
                  <c:v>0.63083118917104819</c:v>
                </c:pt>
              </c:numCache>
            </c:numRef>
          </c:val>
          <c:smooth val="0"/>
          <c:extLst>
            <c:ext xmlns:c16="http://schemas.microsoft.com/office/drawing/2014/chart" uri="{C3380CC4-5D6E-409C-BE32-E72D297353CC}">
              <c16:uniqueId val="{00000000-77EB-4C69-8B22-CDBF1DE6B584}"/>
            </c:ext>
          </c:extLst>
        </c:ser>
        <c:dLbls>
          <c:dLblPos val="t"/>
          <c:showLegendKey val="0"/>
          <c:showVal val="1"/>
          <c:showCatName val="0"/>
          <c:showSerName val="0"/>
          <c:showPercent val="0"/>
          <c:showBubbleSize val="0"/>
        </c:dLbls>
        <c:smooth val="0"/>
        <c:axId val="1838199408"/>
        <c:axId val="1557926480"/>
      </c:lineChart>
      <c:catAx>
        <c:axId val="18381994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557926480"/>
        <c:crosses val="autoZero"/>
        <c:auto val="1"/>
        <c:lblAlgn val="ctr"/>
        <c:lblOffset val="100"/>
        <c:noMultiLvlLbl val="0"/>
      </c:catAx>
      <c:valAx>
        <c:axId val="1557926480"/>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83819940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en-US"/>
              <a:t>Receivable Turnover</a:t>
            </a:r>
          </a:p>
        </c:rich>
      </c:tx>
      <c:overlay val="0"/>
      <c:spPr>
        <a:noFill/>
        <a:ln>
          <a:noFill/>
        </a:ln>
        <a:effectLst/>
      </c:spPr>
      <c:txPr>
        <a:bodyPr rot="0" spcFirstLastPara="1" vertOverflow="ellipsis" vert="horz" wrap="square" anchor="ctr" anchorCtr="1"/>
        <a:lstStyle/>
        <a:p>
          <a:pPr>
            <a:defRPr sz="1400" b="1"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lineChart>
        <c:grouping val="standard"/>
        <c:varyColors val="0"/>
        <c:ser>
          <c:idx val="0"/>
          <c:order val="0"/>
          <c:tx>
            <c:strRef>
              <c:f>Ratios!$H$17:$I$17</c:f>
              <c:strCache>
                <c:ptCount val="2"/>
                <c:pt idx="0">
                  <c:v>Receivable Turnover</c:v>
                </c:pt>
                <c:pt idx="1">
                  <c:v>Revenue / Receivables</c:v>
                </c:pt>
              </c:strCache>
            </c:strRef>
          </c:tx>
          <c:spPr>
            <a:ln w="28575" cap="rnd">
              <a:solidFill>
                <a:schemeClr val="accent1"/>
              </a:solidFill>
              <a:round/>
            </a:ln>
            <a:effectLst/>
          </c:spPr>
          <c:marker>
            <c:symbol val="none"/>
          </c:marker>
          <c:dLbls>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Ratios!$J$15:$N$15</c:f>
              <c:numCache>
                <c:formatCode>General</c:formatCode>
                <c:ptCount val="5"/>
                <c:pt idx="0">
                  <c:v>2021</c:v>
                </c:pt>
                <c:pt idx="1">
                  <c:v>2022</c:v>
                </c:pt>
                <c:pt idx="2">
                  <c:v>2023</c:v>
                </c:pt>
                <c:pt idx="3">
                  <c:v>2024</c:v>
                </c:pt>
                <c:pt idx="4">
                  <c:v>2025</c:v>
                </c:pt>
              </c:numCache>
            </c:numRef>
          </c:cat>
          <c:val>
            <c:numRef>
              <c:f>Ratios!$J$17:$N$17</c:f>
              <c:numCache>
                <c:formatCode>0.00</c:formatCode>
                <c:ptCount val="5"/>
                <c:pt idx="0">
                  <c:v>1.3229291716686675</c:v>
                </c:pt>
                <c:pt idx="1">
                  <c:v>2.5709068776628121</c:v>
                </c:pt>
                <c:pt idx="2">
                  <c:v>3.9407638347622758</c:v>
                </c:pt>
                <c:pt idx="3">
                  <c:v>4.506430868167203</c:v>
                </c:pt>
                <c:pt idx="4">
                  <c:v>4.6796680497925314</c:v>
                </c:pt>
              </c:numCache>
            </c:numRef>
          </c:val>
          <c:smooth val="0"/>
          <c:extLst>
            <c:ext xmlns:c16="http://schemas.microsoft.com/office/drawing/2014/chart" uri="{C3380CC4-5D6E-409C-BE32-E72D297353CC}">
              <c16:uniqueId val="{00000000-EE31-4FD1-A7BD-040AA0BDFBCC}"/>
            </c:ext>
          </c:extLst>
        </c:ser>
        <c:dLbls>
          <c:dLblPos val="t"/>
          <c:showLegendKey val="0"/>
          <c:showVal val="1"/>
          <c:showCatName val="0"/>
          <c:showSerName val="0"/>
          <c:showPercent val="0"/>
          <c:showBubbleSize val="0"/>
        </c:dLbls>
        <c:smooth val="0"/>
        <c:axId val="1589620512"/>
        <c:axId val="1557969680"/>
      </c:lineChart>
      <c:catAx>
        <c:axId val="15896205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557969680"/>
        <c:crosses val="autoZero"/>
        <c:auto val="1"/>
        <c:lblAlgn val="ctr"/>
        <c:lblOffset val="100"/>
        <c:noMultiLvlLbl val="0"/>
      </c:catAx>
      <c:valAx>
        <c:axId val="1557969680"/>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58962051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en-US" b="1"/>
              <a:t>Long-Term Assets to Total </a:t>
            </a:r>
          </a:p>
        </c:rich>
      </c:tx>
      <c:overlay val="0"/>
      <c:spPr>
        <a:noFill/>
        <a:ln>
          <a:noFill/>
        </a:ln>
        <a:effectLst/>
      </c:spPr>
      <c:txPr>
        <a:bodyPr rot="0" spcFirstLastPara="1" vertOverflow="ellipsis" vert="horz" wrap="square" anchor="ctr" anchorCtr="1"/>
        <a:lstStyle/>
        <a:p>
          <a:pPr>
            <a:defRPr sz="1400" b="1"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lineChart>
        <c:grouping val="standard"/>
        <c:varyColors val="0"/>
        <c:ser>
          <c:idx val="0"/>
          <c:order val="0"/>
          <c:tx>
            <c:strRef>
              <c:f>Ratios!$H$24:$I$24</c:f>
              <c:strCache>
                <c:ptCount val="2"/>
                <c:pt idx="0">
                  <c:v>Long-Term Assets to Total Assets</c:v>
                </c:pt>
                <c:pt idx="1">
                  <c:v>Long-Term Assets / Total Assets</c:v>
                </c:pt>
              </c:strCache>
            </c:strRef>
          </c:tx>
          <c:spPr>
            <a:ln w="28575" cap="rnd">
              <a:solidFill>
                <a:schemeClr val="accent1"/>
              </a:solidFill>
              <a:round/>
            </a:ln>
            <a:effectLst/>
          </c:spPr>
          <c:marker>
            <c:symbol val="none"/>
          </c:marker>
          <c:dLbls>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Ratios!$J$21:$N$21</c:f>
              <c:numCache>
                <c:formatCode>General</c:formatCode>
                <c:ptCount val="5"/>
                <c:pt idx="0">
                  <c:v>2021</c:v>
                </c:pt>
                <c:pt idx="1">
                  <c:v>2022</c:v>
                </c:pt>
                <c:pt idx="2">
                  <c:v>2023</c:v>
                </c:pt>
                <c:pt idx="3">
                  <c:v>2024</c:v>
                </c:pt>
                <c:pt idx="4">
                  <c:v>2025</c:v>
                </c:pt>
              </c:numCache>
            </c:numRef>
          </c:cat>
          <c:val>
            <c:numRef>
              <c:f>Ratios!$J$24:$N$24</c:f>
              <c:numCache>
                <c:formatCode>0.00</c:formatCode>
                <c:ptCount val="5"/>
                <c:pt idx="0">
                  <c:v>7.5292587776332895E-2</c:v>
                </c:pt>
                <c:pt idx="1">
                  <c:v>7.4055849427973927E-2</c:v>
                </c:pt>
                <c:pt idx="2">
                  <c:v>7.9307094037237805E-2</c:v>
                </c:pt>
                <c:pt idx="3">
                  <c:v>9.4310553538021355E-2</c:v>
                </c:pt>
                <c:pt idx="4">
                  <c:v>0.10571652310101801</c:v>
                </c:pt>
              </c:numCache>
            </c:numRef>
          </c:val>
          <c:smooth val="0"/>
          <c:extLst>
            <c:ext xmlns:c16="http://schemas.microsoft.com/office/drawing/2014/chart" uri="{C3380CC4-5D6E-409C-BE32-E72D297353CC}">
              <c16:uniqueId val="{00000000-79D3-47A1-B392-015DEA6A9616}"/>
            </c:ext>
          </c:extLst>
        </c:ser>
        <c:dLbls>
          <c:dLblPos val="t"/>
          <c:showLegendKey val="0"/>
          <c:showVal val="1"/>
          <c:showCatName val="0"/>
          <c:showSerName val="0"/>
          <c:showPercent val="0"/>
          <c:showBubbleSize val="0"/>
        </c:dLbls>
        <c:smooth val="0"/>
        <c:axId val="1861517648"/>
        <c:axId val="1557971600"/>
      </c:lineChart>
      <c:catAx>
        <c:axId val="18615176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557971600"/>
        <c:crosses val="autoZero"/>
        <c:auto val="1"/>
        <c:lblAlgn val="ctr"/>
        <c:lblOffset val="100"/>
        <c:noMultiLvlLbl val="0"/>
      </c:catAx>
      <c:valAx>
        <c:axId val="1557971600"/>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86151764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en-US" b="1"/>
              <a:t>Earnings per Share (EPS) </a:t>
            </a:r>
          </a:p>
        </c:rich>
      </c:tx>
      <c:overlay val="0"/>
      <c:spPr>
        <a:noFill/>
        <a:ln>
          <a:noFill/>
        </a:ln>
        <a:effectLst/>
      </c:spPr>
      <c:txPr>
        <a:bodyPr rot="0" spcFirstLastPara="1" vertOverflow="ellipsis" vert="horz" wrap="square" anchor="ctr" anchorCtr="1"/>
        <a:lstStyle/>
        <a:p>
          <a:pPr>
            <a:defRPr sz="14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lineChart>
        <c:grouping val="standard"/>
        <c:varyColors val="0"/>
        <c:ser>
          <c:idx val="0"/>
          <c:order val="0"/>
          <c:tx>
            <c:strRef>
              <c:f>Ratios!$H$27:$I$27</c:f>
              <c:strCache>
                <c:ptCount val="2"/>
                <c:pt idx="0">
                  <c:v>Earnings per Share (EPS)</c:v>
                </c:pt>
                <c:pt idx="1">
                  <c:v>Net Income / Shares Outstanding</c:v>
                </c:pt>
              </c:strCache>
            </c:strRef>
          </c:tx>
          <c:spPr>
            <a:ln w="28575" cap="rnd">
              <a:solidFill>
                <a:schemeClr val="accent1"/>
              </a:solidFill>
              <a:round/>
            </a:ln>
            <a:effectLst/>
          </c:spPr>
          <c:marker>
            <c:symbol val="none"/>
          </c:marker>
          <c:dLbls>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Ratios!$J$26:$N$26</c:f>
              <c:numCache>
                <c:formatCode>General</c:formatCode>
                <c:ptCount val="5"/>
                <c:pt idx="0">
                  <c:v>2021</c:v>
                </c:pt>
                <c:pt idx="1">
                  <c:v>2022</c:v>
                </c:pt>
                <c:pt idx="2">
                  <c:v>2023</c:v>
                </c:pt>
                <c:pt idx="3">
                  <c:v>2024</c:v>
                </c:pt>
                <c:pt idx="4">
                  <c:v>2025</c:v>
                </c:pt>
              </c:numCache>
            </c:numRef>
          </c:cat>
          <c:val>
            <c:numRef>
              <c:f>Ratios!$J$27:$N$27</c:f>
              <c:numCache>
                <c:formatCode>0.00</c:formatCode>
                <c:ptCount val="5"/>
                <c:pt idx="0">
                  <c:v>1.8490319773765498E-2</c:v>
                </c:pt>
                <c:pt idx="1">
                  <c:v>7.3680351906158362E-2</c:v>
                </c:pt>
                <c:pt idx="2">
                  <c:v>0.11918659386179627</c:v>
                </c:pt>
                <c:pt idx="3">
                  <c:v>0.11153775827390748</c:v>
                </c:pt>
                <c:pt idx="4">
                  <c:v>9.5187619249523001E-2</c:v>
                </c:pt>
              </c:numCache>
            </c:numRef>
          </c:val>
          <c:smooth val="0"/>
          <c:extLst>
            <c:ext xmlns:c16="http://schemas.microsoft.com/office/drawing/2014/chart" uri="{C3380CC4-5D6E-409C-BE32-E72D297353CC}">
              <c16:uniqueId val="{00000000-A5C1-4C45-9592-5682BE5EFECB}"/>
            </c:ext>
          </c:extLst>
        </c:ser>
        <c:dLbls>
          <c:dLblPos val="t"/>
          <c:showLegendKey val="0"/>
          <c:showVal val="1"/>
          <c:showCatName val="0"/>
          <c:showSerName val="0"/>
          <c:showPercent val="0"/>
          <c:showBubbleSize val="0"/>
        </c:dLbls>
        <c:smooth val="0"/>
        <c:axId val="1861512544"/>
        <c:axId val="1557970640"/>
      </c:lineChart>
      <c:catAx>
        <c:axId val="18615125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557970640"/>
        <c:crosses val="autoZero"/>
        <c:auto val="1"/>
        <c:lblAlgn val="ctr"/>
        <c:lblOffset val="100"/>
        <c:noMultiLvlLbl val="0"/>
      </c:catAx>
      <c:valAx>
        <c:axId val="1557970640"/>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86151254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en-US" b="1"/>
              <a:t>Investment Ratios</a:t>
            </a:r>
          </a:p>
        </c:rich>
      </c:tx>
      <c:overlay val="0"/>
      <c:spPr>
        <a:noFill/>
        <a:ln>
          <a:noFill/>
        </a:ln>
        <a:effectLst/>
      </c:spPr>
      <c:txPr>
        <a:bodyPr rot="0" spcFirstLastPara="1" vertOverflow="ellipsis" vert="horz" wrap="square" anchor="ctr" anchorCtr="1"/>
        <a:lstStyle/>
        <a:p>
          <a:pPr>
            <a:defRPr sz="1400" b="1"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lineChart>
        <c:grouping val="standard"/>
        <c:varyColors val="0"/>
        <c:ser>
          <c:idx val="0"/>
          <c:order val="0"/>
          <c:tx>
            <c:strRef>
              <c:f>Ratios!$H$31:$I$31</c:f>
              <c:strCache>
                <c:ptCount val="2"/>
                <c:pt idx="0">
                  <c:v>Operating Cash Flow to Assets</c:v>
                </c:pt>
                <c:pt idx="1">
                  <c:v>CFO / Total Assets</c:v>
                </c:pt>
              </c:strCache>
            </c:strRef>
          </c:tx>
          <c:spPr>
            <a:ln w="28575" cap="rnd">
              <a:solidFill>
                <a:schemeClr val="accent1"/>
              </a:solidFill>
              <a:round/>
            </a:ln>
            <a:effectLst/>
          </c:spPr>
          <c:marker>
            <c:symbol val="none"/>
          </c:marker>
          <c:dLbls>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Ratios!$J$29:$N$29</c:f>
              <c:numCache>
                <c:formatCode>General</c:formatCode>
                <c:ptCount val="5"/>
                <c:pt idx="0">
                  <c:v>2021</c:v>
                </c:pt>
                <c:pt idx="1">
                  <c:v>2022</c:v>
                </c:pt>
                <c:pt idx="2">
                  <c:v>2023</c:v>
                </c:pt>
                <c:pt idx="3">
                  <c:v>2024</c:v>
                </c:pt>
                <c:pt idx="4">
                  <c:v>2025</c:v>
                </c:pt>
              </c:numCache>
            </c:numRef>
          </c:cat>
          <c:val>
            <c:numRef>
              <c:f>Ratios!$J$31:$N$31</c:f>
              <c:numCache>
                <c:formatCode>0.00</c:formatCode>
                <c:ptCount val="5"/>
                <c:pt idx="0">
                  <c:v>-3.1209362808842653E-2</c:v>
                </c:pt>
                <c:pt idx="1">
                  <c:v>6.2861360560954607E-2</c:v>
                </c:pt>
                <c:pt idx="2">
                  <c:v>7.8835729436719307E-2</c:v>
                </c:pt>
                <c:pt idx="3">
                  <c:v>8.0664685814900411E-2</c:v>
                </c:pt>
                <c:pt idx="4">
                  <c:v>9.0614162658015432E-2</c:v>
                </c:pt>
              </c:numCache>
            </c:numRef>
          </c:val>
          <c:smooth val="0"/>
          <c:extLst>
            <c:ext xmlns:c16="http://schemas.microsoft.com/office/drawing/2014/chart" uri="{C3380CC4-5D6E-409C-BE32-E72D297353CC}">
              <c16:uniqueId val="{00000000-DC4D-4A86-A546-6A3F0E49CD64}"/>
            </c:ext>
          </c:extLst>
        </c:ser>
        <c:ser>
          <c:idx val="1"/>
          <c:order val="1"/>
          <c:tx>
            <c:strRef>
              <c:f>Ratios!$H$32:$I$32</c:f>
              <c:strCache>
                <c:ptCount val="2"/>
                <c:pt idx="0">
                  <c:v>Cash Flow to Current Liabilities</c:v>
                </c:pt>
                <c:pt idx="1">
                  <c:v>CFO / Current Liabilities</c:v>
                </c:pt>
              </c:strCache>
            </c:strRef>
          </c:tx>
          <c:spPr>
            <a:ln w="28575" cap="rnd">
              <a:solidFill>
                <a:schemeClr val="accent2"/>
              </a:solidFill>
              <a:round/>
            </a:ln>
            <a:effectLst/>
          </c:spPr>
          <c:marker>
            <c:symbol val="none"/>
          </c:marker>
          <c:dLbls>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Ratios!$J$29:$N$29</c:f>
              <c:numCache>
                <c:formatCode>General</c:formatCode>
                <c:ptCount val="5"/>
                <c:pt idx="0">
                  <c:v>2021</c:v>
                </c:pt>
                <c:pt idx="1">
                  <c:v>2022</c:v>
                </c:pt>
                <c:pt idx="2">
                  <c:v>2023</c:v>
                </c:pt>
                <c:pt idx="3">
                  <c:v>2024</c:v>
                </c:pt>
                <c:pt idx="4">
                  <c:v>2025</c:v>
                </c:pt>
              </c:numCache>
            </c:numRef>
          </c:cat>
          <c:val>
            <c:numRef>
              <c:f>Ratios!$J$32:$N$32</c:f>
              <c:numCache>
                <c:formatCode>0.00</c:formatCode>
                <c:ptCount val="5"/>
                <c:pt idx="0">
                  <c:v>-2.2286191846968149E-2</c:v>
                </c:pt>
                <c:pt idx="1">
                  <c:v>4.3626739520191242E-2</c:v>
                </c:pt>
                <c:pt idx="2">
                  <c:v>5.9376941510606192E-2</c:v>
                </c:pt>
                <c:pt idx="3">
                  <c:v>6.0794559177241435E-2</c:v>
                </c:pt>
                <c:pt idx="4">
                  <c:v>6.8971389645776565E-2</c:v>
                </c:pt>
              </c:numCache>
            </c:numRef>
          </c:val>
          <c:smooth val="0"/>
          <c:extLst>
            <c:ext xmlns:c16="http://schemas.microsoft.com/office/drawing/2014/chart" uri="{C3380CC4-5D6E-409C-BE32-E72D297353CC}">
              <c16:uniqueId val="{00000001-DC4D-4A86-A546-6A3F0E49CD64}"/>
            </c:ext>
          </c:extLst>
        </c:ser>
        <c:dLbls>
          <c:dLblPos val="t"/>
          <c:showLegendKey val="0"/>
          <c:showVal val="1"/>
          <c:showCatName val="0"/>
          <c:showSerName val="0"/>
          <c:showPercent val="0"/>
          <c:showBubbleSize val="0"/>
        </c:dLbls>
        <c:smooth val="0"/>
        <c:axId val="1878894736"/>
        <c:axId val="1557995600"/>
      </c:lineChart>
      <c:catAx>
        <c:axId val="18788947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557995600"/>
        <c:crosses val="autoZero"/>
        <c:auto val="1"/>
        <c:lblAlgn val="ctr"/>
        <c:lblOffset val="100"/>
        <c:noMultiLvlLbl val="0"/>
      </c:catAx>
      <c:valAx>
        <c:axId val="1557995600"/>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8788947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935DDC-40F7-4772-968C-6C9A785745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37</Pages>
  <Words>9918</Words>
  <Characters>56536</Characters>
  <Application>Microsoft Office Word</Application>
  <DocSecurity>0</DocSecurity>
  <Lines>471</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RH</dc:creator>
  <cp:lastModifiedBy>CHANDAN KUMAR</cp:lastModifiedBy>
  <cp:revision>7</cp:revision>
  <dcterms:created xsi:type="dcterms:W3CDTF">2026-07-30T11:44:00Z</dcterms:created>
  <dcterms:modified xsi:type="dcterms:W3CDTF">2026-08-10T12:53:00Z</dcterms:modified>
</cp:coreProperties>
</file>