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8FA2B" w14:textId="77777777" w:rsidR="003E171C" w:rsidRDefault="003E171C" w:rsidP="003E171C">
      <w:pPr>
        <w:rPr>
          <w:b/>
          <w:sz w:val="28"/>
        </w:rPr>
      </w:pPr>
    </w:p>
    <w:p w14:paraId="604223C1" w14:textId="77777777" w:rsidR="003E171C" w:rsidRDefault="003E171C" w:rsidP="003E171C">
      <w:pPr>
        <w:jc w:val="center"/>
        <w:rPr>
          <w:b/>
          <w:sz w:val="28"/>
        </w:rPr>
      </w:pPr>
    </w:p>
    <w:p w14:paraId="64627EAC" w14:textId="77777777" w:rsidR="00724376" w:rsidRDefault="00724376" w:rsidP="003E171C">
      <w:pPr>
        <w:jc w:val="center"/>
        <w:rPr>
          <w:b/>
          <w:sz w:val="28"/>
        </w:rPr>
      </w:pPr>
    </w:p>
    <w:p w14:paraId="31A28B57" w14:textId="77777777" w:rsidR="00724376" w:rsidRDefault="00724376" w:rsidP="00724376">
      <w:pPr>
        <w:pStyle w:val="Default"/>
      </w:pPr>
    </w:p>
    <w:p w14:paraId="43C84FF0" w14:textId="77777777" w:rsidR="00724376" w:rsidRDefault="00724376" w:rsidP="00724376">
      <w:pPr>
        <w:jc w:val="center"/>
        <w:rPr>
          <w:b/>
          <w:sz w:val="28"/>
        </w:rPr>
      </w:pPr>
      <w:r>
        <w:t xml:space="preserve"> </w:t>
      </w:r>
      <w:r>
        <w:rPr>
          <w:b/>
          <w:bCs/>
          <w:sz w:val="48"/>
          <w:szCs w:val="48"/>
        </w:rPr>
        <w:t>Food and Beverage Operations</w:t>
      </w:r>
    </w:p>
    <w:p w14:paraId="76AF8107" w14:textId="77777777" w:rsidR="003E171C" w:rsidRDefault="003E171C" w:rsidP="003E171C">
      <w:pPr>
        <w:jc w:val="center"/>
        <w:rPr>
          <w:b/>
          <w:sz w:val="28"/>
        </w:rPr>
      </w:pPr>
    </w:p>
    <w:p w14:paraId="45F5D763" w14:textId="77777777" w:rsidR="003E171C" w:rsidRPr="003E171C" w:rsidRDefault="003E171C" w:rsidP="003E171C">
      <w:pPr>
        <w:jc w:val="center"/>
        <w:rPr>
          <w:b/>
          <w:sz w:val="36"/>
        </w:rPr>
      </w:pPr>
      <w:r w:rsidRPr="003E171C">
        <w:rPr>
          <w:b/>
          <w:sz w:val="36"/>
        </w:rPr>
        <w:t>Allergies and Intolerances and the Importance within the Industry</w:t>
      </w:r>
    </w:p>
    <w:p w14:paraId="0354D5E6" w14:textId="77777777" w:rsidR="00724376" w:rsidRDefault="00724376" w:rsidP="003E171C">
      <w:pPr>
        <w:rPr>
          <w:b/>
          <w:sz w:val="28"/>
        </w:rPr>
      </w:pPr>
    </w:p>
    <w:p w14:paraId="04CA94AA" w14:textId="3138BD80" w:rsidR="00B027FA" w:rsidRDefault="00724376" w:rsidP="00724376">
      <w:pPr>
        <w:jc w:val="left"/>
        <w:rPr>
          <w:b/>
          <w:sz w:val="28"/>
        </w:rPr>
      </w:pPr>
      <w:r>
        <w:rPr>
          <w:b/>
          <w:sz w:val="28"/>
        </w:rPr>
        <w:t>Student Number: 2021124</w:t>
      </w:r>
    </w:p>
    <w:p w14:paraId="68CA9D1B" w14:textId="4AB576C4" w:rsidR="00B027FA" w:rsidRDefault="00B027FA" w:rsidP="00724376">
      <w:pPr>
        <w:jc w:val="left"/>
        <w:rPr>
          <w:b/>
          <w:sz w:val="28"/>
        </w:rPr>
      </w:pPr>
      <w:r>
        <w:rPr>
          <w:b/>
          <w:sz w:val="28"/>
        </w:rPr>
        <w:t>Shah Poli Hoque</w:t>
      </w:r>
    </w:p>
    <w:p w14:paraId="6890AD5F" w14:textId="15F7577A" w:rsidR="00B027FA" w:rsidRDefault="00B027FA" w:rsidP="00724376">
      <w:pPr>
        <w:jc w:val="left"/>
        <w:rPr>
          <w:b/>
          <w:sz w:val="28"/>
        </w:rPr>
      </w:pPr>
      <w:r>
        <w:rPr>
          <w:b/>
          <w:sz w:val="28"/>
        </w:rPr>
        <w:t xml:space="preserve">Laurence Blake </w:t>
      </w:r>
    </w:p>
    <w:p w14:paraId="689E7F5E" w14:textId="15840543" w:rsidR="00BA30E3" w:rsidRPr="003E171C" w:rsidRDefault="003E171C" w:rsidP="00724376">
      <w:pPr>
        <w:jc w:val="left"/>
        <w:rPr>
          <w:b/>
          <w:sz w:val="28"/>
        </w:rPr>
      </w:pPr>
      <w:r>
        <w:rPr>
          <w:b/>
          <w:sz w:val="28"/>
        </w:rPr>
        <w:br w:type="column"/>
      </w:r>
      <w:r w:rsidR="00CE6B84" w:rsidRPr="00697EB5">
        <w:lastRenderedPageBreak/>
        <w:t>I studied about "food allergies and sickness associated to the allergy" in lecture this week. Our dietary consumption is linked to a slew of allergies. First and foremost, we must comprehend "what is food allergy?" A food allergy response occurs when the body's immune system responds to meals in an unexpected way. Although hypersensitivit</w:t>
      </w:r>
      <w:r w:rsidR="00BA30E3" w:rsidRPr="00697EB5">
        <w:t xml:space="preserve">y reactions are usually modest however, </w:t>
      </w:r>
      <w:r w:rsidR="00327919" w:rsidRPr="00697EB5">
        <w:t xml:space="preserve">they </w:t>
      </w:r>
      <w:r w:rsidR="00BA30E3" w:rsidRPr="00697EB5">
        <w:t>do have the potential to be deadly</w:t>
      </w:r>
      <w:r w:rsidR="008A44D4">
        <w:t xml:space="preserve"> (</w:t>
      </w:r>
      <w:r w:rsidR="008A44D4" w:rsidRPr="008A44D4">
        <w:rPr>
          <w:rFonts w:cs="Times New Roman"/>
          <w:szCs w:val="20"/>
          <w:shd w:val="clear" w:color="auto" w:fill="FFFFFF"/>
        </w:rPr>
        <w:t>Licari</w:t>
      </w:r>
      <w:r w:rsidR="008A44D4">
        <w:rPr>
          <w:rFonts w:cs="Times New Roman"/>
          <w:szCs w:val="20"/>
          <w:shd w:val="clear" w:color="auto" w:fill="FFFFFF"/>
        </w:rPr>
        <w:t>, 2019)</w:t>
      </w:r>
      <w:r w:rsidR="00BA30E3" w:rsidRPr="00697EB5">
        <w:t>.</w:t>
      </w:r>
    </w:p>
    <w:p w14:paraId="23891670" w14:textId="77777777" w:rsidR="00B06597" w:rsidRPr="00697EB5" w:rsidRDefault="00D235AD" w:rsidP="00697EB5">
      <w:r w:rsidRPr="00697EB5">
        <w:t>Food allergies can manifest itself in a variety of ways throughout the body</w:t>
      </w:r>
      <w:r w:rsidR="008A44D4">
        <w:t xml:space="preserve"> (</w:t>
      </w:r>
      <w:r w:rsidR="008A44D4" w:rsidRPr="008A44D4">
        <w:rPr>
          <w:rFonts w:cs="Times New Roman"/>
          <w:szCs w:val="20"/>
          <w:shd w:val="clear" w:color="auto" w:fill="FFFFFF"/>
        </w:rPr>
        <w:t>Iweala</w:t>
      </w:r>
      <w:r w:rsidR="008A44D4">
        <w:rPr>
          <w:rFonts w:cs="Times New Roman"/>
          <w:szCs w:val="20"/>
          <w:shd w:val="clear" w:color="auto" w:fill="FFFFFF"/>
        </w:rPr>
        <w:t>, 2018)</w:t>
      </w:r>
      <w:r w:rsidRPr="00697EB5">
        <w:t xml:space="preserve">. </w:t>
      </w:r>
      <w:r w:rsidR="00327919" w:rsidRPr="00697EB5">
        <w:t>Some proteins in food can, in fact, trigger allergic responses. Large-scale skin redness, swelling, and changes in heart rate are all potential effects, as are tiredness, vomiting, and loss of consciousness</w:t>
      </w:r>
      <w:r w:rsidR="00CE6B84" w:rsidRPr="00697EB5">
        <w:t>.In contrast, intolerances are responses to food or drink that are exacerbated by changes in the digestive system's enzymes or reactions, resulting in an inability to absor</w:t>
      </w:r>
      <w:r w:rsidRPr="00697EB5">
        <w:t>b food effectively.</w:t>
      </w:r>
      <w:r w:rsidR="00627048" w:rsidRPr="00697EB5">
        <w:t>Celiac disease is an autoimmune condition in which the intestine reacts to gluten, preventing the body from receiving foods and vitamins that might cause it to react in a number of ways</w:t>
      </w:r>
      <w:r w:rsidR="008A44D4">
        <w:t xml:space="preserve"> (</w:t>
      </w:r>
      <w:r w:rsidR="008A44D4" w:rsidRPr="008A44D4">
        <w:rPr>
          <w:rFonts w:cs="Times New Roman"/>
          <w:szCs w:val="20"/>
          <w:shd w:val="clear" w:color="auto" w:fill="FFFFFF"/>
        </w:rPr>
        <w:t>Denton</w:t>
      </w:r>
      <w:r w:rsidR="008A44D4">
        <w:rPr>
          <w:rFonts w:cs="Times New Roman"/>
          <w:szCs w:val="20"/>
          <w:shd w:val="clear" w:color="auto" w:fill="FFFFFF"/>
        </w:rPr>
        <w:t>, 2018)</w:t>
      </w:r>
      <w:r w:rsidR="00627048" w:rsidRPr="00697EB5">
        <w:t>.</w:t>
      </w:r>
      <w:r w:rsidR="00BA30E3" w:rsidRPr="00697EB5">
        <w:t xml:space="preserve"> Each person's allergic response is unique.</w:t>
      </w:r>
      <w:r w:rsidR="00CE6B84" w:rsidRPr="00697EB5">
        <w:t>for example, one person may have stomach ache while another may experience inflammation of the joints and bones. Around 30000 persons are hospitalized in the United Kingdom each year owing to anaphylaxis.</w:t>
      </w:r>
      <w:r w:rsidR="00B06597" w:rsidRPr="00697EB5">
        <w:t>Celiac disease can end up being quiet serious, this can lead to malnutrition, abortions, impotence, cancer, and a variety of other dangerous medical disorders</w:t>
      </w:r>
      <w:r w:rsidR="008A44D4">
        <w:t xml:space="preserve"> (</w:t>
      </w:r>
      <w:proofErr w:type="spellStart"/>
      <w:r w:rsidR="008A44D4" w:rsidRPr="008A44D4">
        <w:rPr>
          <w:rFonts w:cs="Times New Roman"/>
          <w:szCs w:val="20"/>
          <w:shd w:val="clear" w:color="auto" w:fill="FFFFFF"/>
        </w:rPr>
        <w:t>Oxentenko</w:t>
      </w:r>
      <w:proofErr w:type="spellEnd"/>
      <w:r w:rsidR="008A44D4">
        <w:rPr>
          <w:rFonts w:cs="Times New Roman"/>
          <w:szCs w:val="20"/>
          <w:shd w:val="clear" w:color="auto" w:fill="FFFFFF"/>
        </w:rPr>
        <w:t>, 2019)</w:t>
      </w:r>
      <w:r w:rsidR="00B06597" w:rsidRPr="00697EB5">
        <w:t>.</w:t>
      </w:r>
    </w:p>
    <w:p w14:paraId="5D2E96A2" w14:textId="77777777" w:rsidR="00B06597" w:rsidRPr="003E171C" w:rsidRDefault="003E171C" w:rsidP="00697EB5">
      <w:pPr>
        <w:rPr>
          <w:b/>
        </w:rPr>
      </w:pPr>
      <w:r w:rsidRPr="003E171C">
        <w:rPr>
          <w:b/>
        </w:rPr>
        <w:t>Under Nutrition</w:t>
      </w:r>
    </w:p>
    <w:p w14:paraId="5F55BDC9" w14:textId="77777777" w:rsidR="00B06597" w:rsidRPr="00697EB5" w:rsidRDefault="00B06597" w:rsidP="00697EB5">
      <w:r w:rsidRPr="00697EB5">
        <w:t xml:space="preserve">Because the villi in the small intestine have been injured, they are unable to absorb enough nutrients to keep the body healthy. Weight loss and </w:t>
      </w:r>
      <w:proofErr w:type="spellStart"/>
      <w:r w:rsidRPr="00697EB5">
        <w:t>anaemia</w:t>
      </w:r>
      <w:proofErr w:type="spellEnd"/>
      <w:r w:rsidRPr="00697EB5">
        <w:t xml:space="preserve"> are both caused by a lack of nourishment. Nutritional deficiencies in children can result in stunted growth and small stature.</w:t>
      </w:r>
    </w:p>
    <w:p w14:paraId="775EA84D" w14:textId="77777777" w:rsidR="00B06597" w:rsidRPr="003E171C" w:rsidRDefault="003E171C" w:rsidP="00697EB5">
      <w:pPr>
        <w:rPr>
          <w:b/>
        </w:rPr>
      </w:pPr>
      <w:r w:rsidRPr="003E171C">
        <w:rPr>
          <w:b/>
        </w:rPr>
        <w:t>Osteoporosis</w:t>
      </w:r>
    </w:p>
    <w:p w14:paraId="056B7B7A" w14:textId="77777777" w:rsidR="00B06597" w:rsidRPr="00697EB5" w:rsidRDefault="00B06597" w:rsidP="00697EB5">
      <w:r w:rsidRPr="00697EB5">
        <w:lastRenderedPageBreak/>
        <w:t>Vitamin D and calcium absorption problems in children and adults can cause bone weakening and osteoporosis.</w:t>
      </w:r>
    </w:p>
    <w:p w14:paraId="076CA136" w14:textId="77777777" w:rsidR="00B06597" w:rsidRPr="003E171C" w:rsidRDefault="003E171C" w:rsidP="00697EB5">
      <w:pPr>
        <w:rPr>
          <w:b/>
        </w:rPr>
      </w:pPr>
      <w:r w:rsidRPr="003E171C">
        <w:rPr>
          <w:b/>
        </w:rPr>
        <w:t>Infertility and Miscarriage</w:t>
      </w:r>
    </w:p>
    <w:p w14:paraId="6D713655" w14:textId="77777777" w:rsidR="00B06597" w:rsidRPr="00697EB5" w:rsidRDefault="00B06597" w:rsidP="00697EB5">
      <w:r w:rsidRPr="00697EB5">
        <w:t>Calcium and vitamin D absorption difficulties might exacerbate reproductive issues.</w:t>
      </w:r>
    </w:p>
    <w:p w14:paraId="2B3E510B" w14:textId="77777777" w:rsidR="00B06597" w:rsidRPr="003E171C" w:rsidRDefault="003E171C" w:rsidP="00697EB5">
      <w:pPr>
        <w:rPr>
          <w:b/>
        </w:rPr>
      </w:pPr>
      <w:r w:rsidRPr="003E171C">
        <w:rPr>
          <w:b/>
        </w:rPr>
        <w:t xml:space="preserve">Lactose Intolerance </w:t>
      </w:r>
    </w:p>
    <w:p w14:paraId="10B7D7B5" w14:textId="77777777" w:rsidR="00B06597" w:rsidRPr="00697EB5" w:rsidRDefault="00B06597" w:rsidP="00697EB5">
      <w:r w:rsidRPr="00697EB5">
        <w:t>A condition in which someone is unable to consume lacto, a person may have stomach pain and diarrhea after consuming dairy products if your small intestine has been injured.</w:t>
      </w:r>
    </w:p>
    <w:p w14:paraId="77DB03E1" w14:textId="77777777" w:rsidR="00BC5BA3" w:rsidRPr="00697EB5" w:rsidRDefault="00CE6B84" w:rsidP="00697EB5">
      <w:r w:rsidRPr="00697EB5">
        <w:t xml:space="preserve">The Food Information Regulations attempt to address this issue; they went into force in 2014, </w:t>
      </w:r>
      <w:r w:rsidR="00627048" w:rsidRPr="00697EB5">
        <w:t>Its major purpose is to provide consumers with the ability to choose the best sort of food for them</w:t>
      </w:r>
      <w:r w:rsidR="00BA30E3" w:rsidRPr="00697EB5">
        <w:t>, as well as to make restaurant meals pleasurable for people who are allergic to particular foods.</w:t>
      </w:r>
      <w:r w:rsidRPr="00697EB5">
        <w:t xml:space="preserve">From a commercial standpoint, hypersensitivity might create a blue ocean for a corporation, implying that this issue can provide a fruitful opportunity for the hotel and </w:t>
      </w:r>
      <w:r w:rsidR="00BC5BA3" w:rsidRPr="00697EB5">
        <w:t>tourism</w:t>
      </w:r>
      <w:r w:rsidRPr="00697EB5">
        <w:t xml:space="preserve"> industries. Every year, the number of allergy patients in the United Kingdom rises by 5%. According to another study, at least one out of every 40 youngsters in the United States suffers from an allergic response</w:t>
      </w:r>
      <w:r w:rsidR="00E7186C">
        <w:t xml:space="preserve"> (</w:t>
      </w:r>
      <w:r w:rsidR="00E7186C" w:rsidRPr="008A44D4">
        <w:rPr>
          <w:rFonts w:cs="Times New Roman"/>
          <w:szCs w:val="20"/>
          <w:shd w:val="clear" w:color="auto" w:fill="FFFFFF"/>
        </w:rPr>
        <w:t>Rafiq</w:t>
      </w:r>
      <w:r w:rsidR="00E7186C">
        <w:rPr>
          <w:rFonts w:cs="Times New Roman"/>
          <w:szCs w:val="20"/>
          <w:shd w:val="clear" w:color="auto" w:fill="FFFFFF"/>
        </w:rPr>
        <w:t>, 2020)</w:t>
      </w:r>
      <w:r w:rsidRPr="00697EB5">
        <w:t>. This information showed that it was necessary to be reprimanded as well as to take advantage of the professional opportunity.</w:t>
      </w:r>
      <w:r w:rsidR="00BC5BA3" w:rsidRPr="00697EB5">
        <w:t xml:space="preserve"> Following the analysis of the case study, the restaurant Indigo Restaurant, One Aldwych, London, was chosen to showcase the potential prospects in the United Kingdom's market. Numerous well-known businesses have begun to take action, but there are still many chances for others. </w:t>
      </w:r>
      <w:r w:rsidR="00627048" w:rsidRPr="00697EB5">
        <w:t xml:space="preserve">I read a lot of good material and documents, and I gleaned a few pointers that I'll </w:t>
      </w:r>
      <w:proofErr w:type="spellStart"/>
      <w:r w:rsidR="00627048" w:rsidRPr="00697EB5">
        <w:t>utilise</w:t>
      </w:r>
      <w:proofErr w:type="spellEnd"/>
      <w:r w:rsidR="00627048" w:rsidRPr="00697EB5">
        <w:t xml:space="preserve"> if I ever work in the hotel or tourism sector. To address the severity of dietary allergies, we should incorporate this in our work plan</w:t>
      </w:r>
      <w:r w:rsidR="00BC5BA3" w:rsidRPr="00697EB5">
        <w:t>.</w:t>
      </w:r>
    </w:p>
    <w:p w14:paraId="2830D9BB" w14:textId="77777777" w:rsidR="00697EB5" w:rsidRPr="00697EB5" w:rsidRDefault="00BC5BA3" w:rsidP="00697EB5">
      <w:r w:rsidRPr="00697EB5">
        <w:lastRenderedPageBreak/>
        <w:t xml:space="preserve">To reach this aim, we must set aside funds to engage a team to continue the support phase and, most importantly, to teach </w:t>
      </w:r>
      <w:r w:rsidR="00627048" w:rsidRPr="00697EB5">
        <w:t>everybody</w:t>
      </w:r>
      <w:r w:rsidRPr="00697EB5">
        <w:t xml:space="preserve">, </w:t>
      </w:r>
      <w:r w:rsidR="00627048" w:rsidRPr="00697EB5">
        <w:t>comprising</w:t>
      </w:r>
      <w:r w:rsidRPr="00697EB5">
        <w:t xml:space="preserve"> kitchen staff, to provide food to those in need. Prepare your employees to deal with a medical emergency. Food antigens are not confined to the 14 teams on the EU list. As a result, a simple technique to tailor the offering is to inform consumers about which food particles cause hypersensitivity in their diet. Cross-contamination can be overlooked in the end, and all attempts are foiled. As a result, it is critical to clean work surfaces, culinary goods, and clothes. Food hypersensitivity is not a deliberate progression of choice; nonetheless, it is necessary to remain competitive in the UK market. Businesses, particularly those in the hotel and restaurant industries, must </w:t>
      </w:r>
      <w:r w:rsidR="00E35885" w:rsidRPr="00697EB5">
        <w:t>recognize</w:t>
      </w:r>
      <w:r w:rsidRPr="00697EB5">
        <w:t xml:space="preserve"> the need of being a dynamic and loyal partner in order to alleviate customer stress caused by food's hyper inventiveness. Businesses, in my opinion, should begin making arrangements as soon as possible to seize this opportunity</w:t>
      </w:r>
      <w:r w:rsidR="00E7186C">
        <w:t xml:space="preserve"> (</w:t>
      </w:r>
      <w:r w:rsidR="00E7186C" w:rsidRPr="008A44D4">
        <w:rPr>
          <w:rFonts w:cs="Times New Roman"/>
          <w:szCs w:val="20"/>
          <w:shd w:val="clear" w:color="auto" w:fill="FFFFFF"/>
        </w:rPr>
        <w:t>Turnbull</w:t>
      </w:r>
      <w:r w:rsidR="00E7186C">
        <w:rPr>
          <w:rFonts w:cs="Times New Roman"/>
          <w:szCs w:val="20"/>
          <w:shd w:val="clear" w:color="auto" w:fill="FFFFFF"/>
        </w:rPr>
        <w:t>, 2015)</w:t>
      </w:r>
      <w:r w:rsidRPr="00697EB5">
        <w:t>.</w:t>
      </w:r>
    </w:p>
    <w:p w14:paraId="751DB2AC" w14:textId="77777777" w:rsidR="00DC2F34" w:rsidRPr="003E171C" w:rsidRDefault="00697EB5" w:rsidP="00BC5BA3">
      <w:pPr>
        <w:rPr>
          <w:b/>
        </w:rPr>
      </w:pPr>
      <w:r>
        <w:br w:type="column"/>
      </w:r>
      <w:r w:rsidR="003E171C" w:rsidRPr="003E171C">
        <w:rPr>
          <w:b/>
        </w:rPr>
        <w:lastRenderedPageBreak/>
        <w:t>References</w:t>
      </w:r>
    </w:p>
    <w:p w14:paraId="0F5C653A" w14:textId="77777777" w:rsidR="00697EB5" w:rsidRPr="008A44D4" w:rsidRDefault="00697EB5" w:rsidP="00697EB5">
      <w:pPr>
        <w:rPr>
          <w:rFonts w:cs="Times New Roman"/>
          <w:szCs w:val="20"/>
          <w:shd w:val="clear" w:color="auto" w:fill="FFFFFF"/>
        </w:rPr>
      </w:pPr>
      <w:r w:rsidRPr="008A44D4">
        <w:rPr>
          <w:rFonts w:cs="Times New Roman"/>
          <w:szCs w:val="20"/>
          <w:shd w:val="clear" w:color="auto" w:fill="FFFFFF"/>
        </w:rPr>
        <w:t>Denton, M., 2018. </w:t>
      </w:r>
      <w:r w:rsidRPr="008A44D4">
        <w:rPr>
          <w:rFonts w:cs="Times New Roman"/>
          <w:i/>
          <w:iCs/>
          <w:szCs w:val="20"/>
          <w:shd w:val="clear" w:color="auto" w:fill="FFFFFF"/>
        </w:rPr>
        <w:t xml:space="preserve">Celiac Disease and Gluten </w:t>
      </w:r>
      <w:proofErr w:type="spellStart"/>
      <w:r w:rsidRPr="008A44D4">
        <w:rPr>
          <w:rFonts w:cs="Times New Roman"/>
          <w:i/>
          <w:iCs/>
          <w:szCs w:val="20"/>
          <w:shd w:val="clear" w:color="auto" w:fill="FFFFFF"/>
        </w:rPr>
        <w:t>Sensitivity</w:t>
      </w:r>
      <w:r w:rsidRPr="008A44D4">
        <w:rPr>
          <w:rFonts w:cs="Times New Roman"/>
          <w:szCs w:val="20"/>
          <w:shd w:val="clear" w:color="auto" w:fill="FFFFFF"/>
        </w:rPr>
        <w:t>.Greenhaven</w:t>
      </w:r>
      <w:proofErr w:type="spellEnd"/>
      <w:r w:rsidRPr="008A44D4">
        <w:rPr>
          <w:rFonts w:cs="Times New Roman"/>
          <w:szCs w:val="20"/>
          <w:shd w:val="clear" w:color="auto" w:fill="FFFFFF"/>
        </w:rPr>
        <w:t xml:space="preserve"> Publishing LLC.</w:t>
      </w:r>
    </w:p>
    <w:p w14:paraId="66A4158B" w14:textId="77777777" w:rsidR="00697EB5" w:rsidRPr="008A44D4" w:rsidRDefault="00697EB5" w:rsidP="00697EB5">
      <w:pPr>
        <w:rPr>
          <w:rFonts w:cs="Times New Roman"/>
          <w:szCs w:val="20"/>
          <w:shd w:val="clear" w:color="auto" w:fill="FFFFFF"/>
        </w:rPr>
      </w:pPr>
      <w:r w:rsidRPr="008A44D4">
        <w:rPr>
          <w:rFonts w:cs="Times New Roman"/>
          <w:szCs w:val="20"/>
          <w:shd w:val="clear" w:color="auto" w:fill="FFFFFF"/>
        </w:rPr>
        <w:t xml:space="preserve">Iweala, O.I., Choudhary, S.K. and </w:t>
      </w:r>
      <w:proofErr w:type="spellStart"/>
      <w:r w:rsidRPr="008A44D4">
        <w:rPr>
          <w:rFonts w:cs="Times New Roman"/>
          <w:szCs w:val="20"/>
          <w:shd w:val="clear" w:color="auto" w:fill="FFFFFF"/>
        </w:rPr>
        <w:t>Commins</w:t>
      </w:r>
      <w:proofErr w:type="spellEnd"/>
      <w:r w:rsidRPr="008A44D4">
        <w:rPr>
          <w:rFonts w:cs="Times New Roman"/>
          <w:szCs w:val="20"/>
          <w:shd w:val="clear" w:color="auto" w:fill="FFFFFF"/>
        </w:rPr>
        <w:t>, S.P., 2018. Food allergy. </w:t>
      </w:r>
      <w:r w:rsidRPr="008A44D4">
        <w:rPr>
          <w:rFonts w:cs="Times New Roman"/>
          <w:i/>
          <w:iCs/>
          <w:szCs w:val="20"/>
          <w:shd w:val="clear" w:color="auto" w:fill="FFFFFF"/>
        </w:rPr>
        <w:t>Current gastroenterology reports</w:t>
      </w:r>
      <w:r w:rsidRPr="008A44D4">
        <w:rPr>
          <w:rFonts w:cs="Times New Roman"/>
          <w:szCs w:val="20"/>
          <w:shd w:val="clear" w:color="auto" w:fill="FFFFFF"/>
        </w:rPr>
        <w:t>, </w:t>
      </w:r>
      <w:r w:rsidRPr="008A44D4">
        <w:rPr>
          <w:rFonts w:cs="Times New Roman"/>
          <w:i/>
          <w:iCs/>
          <w:szCs w:val="20"/>
          <w:shd w:val="clear" w:color="auto" w:fill="FFFFFF"/>
        </w:rPr>
        <w:t>20</w:t>
      </w:r>
      <w:r w:rsidRPr="008A44D4">
        <w:rPr>
          <w:rFonts w:cs="Times New Roman"/>
          <w:szCs w:val="20"/>
          <w:shd w:val="clear" w:color="auto" w:fill="FFFFFF"/>
        </w:rPr>
        <w:t>(5), pp.1-6.</w:t>
      </w:r>
    </w:p>
    <w:p w14:paraId="3FDB6D88" w14:textId="77777777" w:rsidR="00697EB5" w:rsidRPr="008A44D4" w:rsidRDefault="00697EB5" w:rsidP="00697EB5">
      <w:pPr>
        <w:rPr>
          <w:rFonts w:cs="Times New Roman"/>
          <w:szCs w:val="20"/>
          <w:shd w:val="clear" w:color="auto" w:fill="FFFFFF"/>
        </w:rPr>
      </w:pPr>
      <w:r w:rsidRPr="008A44D4">
        <w:rPr>
          <w:rFonts w:cs="Times New Roman"/>
          <w:szCs w:val="20"/>
          <w:shd w:val="clear" w:color="auto" w:fill="FFFFFF"/>
        </w:rPr>
        <w:t xml:space="preserve">Licari, A., Manti, S., </w:t>
      </w:r>
      <w:proofErr w:type="spellStart"/>
      <w:r w:rsidRPr="008A44D4">
        <w:rPr>
          <w:rFonts w:cs="Times New Roman"/>
          <w:szCs w:val="20"/>
          <w:shd w:val="clear" w:color="auto" w:fill="FFFFFF"/>
        </w:rPr>
        <w:t>Marseglia</w:t>
      </w:r>
      <w:proofErr w:type="spellEnd"/>
      <w:r w:rsidRPr="008A44D4">
        <w:rPr>
          <w:rFonts w:cs="Times New Roman"/>
          <w:szCs w:val="20"/>
          <w:shd w:val="clear" w:color="auto" w:fill="FFFFFF"/>
        </w:rPr>
        <w:t xml:space="preserve">, A., Brambilla, I., Votto, M., Castagnoli, R., Leonardi, S. and </w:t>
      </w:r>
      <w:proofErr w:type="spellStart"/>
      <w:r w:rsidRPr="008A44D4">
        <w:rPr>
          <w:rFonts w:cs="Times New Roman"/>
          <w:szCs w:val="20"/>
          <w:shd w:val="clear" w:color="auto" w:fill="FFFFFF"/>
        </w:rPr>
        <w:t>Marseglia</w:t>
      </w:r>
      <w:proofErr w:type="spellEnd"/>
      <w:r w:rsidRPr="008A44D4">
        <w:rPr>
          <w:rFonts w:cs="Times New Roman"/>
          <w:szCs w:val="20"/>
          <w:shd w:val="clear" w:color="auto" w:fill="FFFFFF"/>
        </w:rPr>
        <w:t>, G.L., 2019. Food allergies: current and future treatments. </w:t>
      </w:r>
      <w:proofErr w:type="spellStart"/>
      <w:r w:rsidRPr="008A44D4">
        <w:rPr>
          <w:rFonts w:cs="Times New Roman"/>
          <w:i/>
          <w:iCs/>
          <w:szCs w:val="20"/>
          <w:shd w:val="clear" w:color="auto" w:fill="FFFFFF"/>
        </w:rPr>
        <w:t>Medicina</w:t>
      </w:r>
      <w:proofErr w:type="spellEnd"/>
      <w:r w:rsidRPr="008A44D4">
        <w:rPr>
          <w:rFonts w:cs="Times New Roman"/>
          <w:szCs w:val="20"/>
          <w:shd w:val="clear" w:color="auto" w:fill="FFFFFF"/>
        </w:rPr>
        <w:t>, </w:t>
      </w:r>
      <w:r w:rsidRPr="008A44D4">
        <w:rPr>
          <w:rFonts w:cs="Times New Roman"/>
          <w:i/>
          <w:iCs/>
          <w:szCs w:val="20"/>
          <w:shd w:val="clear" w:color="auto" w:fill="FFFFFF"/>
        </w:rPr>
        <w:t>55</w:t>
      </w:r>
      <w:r w:rsidRPr="008A44D4">
        <w:rPr>
          <w:rFonts w:cs="Times New Roman"/>
          <w:szCs w:val="20"/>
          <w:shd w:val="clear" w:color="auto" w:fill="FFFFFF"/>
        </w:rPr>
        <w:t>(5), p.120.</w:t>
      </w:r>
    </w:p>
    <w:p w14:paraId="6005D3CB" w14:textId="77777777" w:rsidR="00697EB5" w:rsidRPr="008A44D4" w:rsidRDefault="00697EB5" w:rsidP="00697EB5">
      <w:pPr>
        <w:rPr>
          <w:rFonts w:cs="Times New Roman"/>
          <w:szCs w:val="20"/>
          <w:shd w:val="clear" w:color="auto" w:fill="FFFFFF"/>
        </w:rPr>
      </w:pPr>
      <w:proofErr w:type="spellStart"/>
      <w:r w:rsidRPr="008A44D4">
        <w:rPr>
          <w:rFonts w:cs="Times New Roman"/>
          <w:szCs w:val="20"/>
          <w:shd w:val="clear" w:color="auto" w:fill="FFFFFF"/>
        </w:rPr>
        <w:t>Oxentenko</w:t>
      </w:r>
      <w:proofErr w:type="spellEnd"/>
      <w:r w:rsidRPr="008A44D4">
        <w:rPr>
          <w:rFonts w:cs="Times New Roman"/>
          <w:szCs w:val="20"/>
          <w:shd w:val="clear" w:color="auto" w:fill="FFFFFF"/>
        </w:rPr>
        <w:t xml:space="preserve">, A.S. and Rubio-Tapia, A., 2019, December.Celiac </w:t>
      </w:r>
      <w:proofErr w:type="gramStart"/>
      <w:r w:rsidRPr="008A44D4">
        <w:rPr>
          <w:rFonts w:cs="Times New Roman"/>
          <w:szCs w:val="20"/>
          <w:shd w:val="clear" w:color="auto" w:fill="FFFFFF"/>
        </w:rPr>
        <w:t>disease.In</w:t>
      </w:r>
      <w:proofErr w:type="gramEnd"/>
      <w:r w:rsidRPr="008A44D4">
        <w:rPr>
          <w:rFonts w:cs="Times New Roman"/>
          <w:szCs w:val="20"/>
          <w:shd w:val="clear" w:color="auto" w:fill="FFFFFF"/>
        </w:rPr>
        <w:t> </w:t>
      </w:r>
      <w:r w:rsidRPr="008A44D4">
        <w:rPr>
          <w:rFonts w:cs="Times New Roman"/>
          <w:i/>
          <w:iCs/>
          <w:szCs w:val="20"/>
          <w:shd w:val="clear" w:color="auto" w:fill="FFFFFF"/>
        </w:rPr>
        <w:t>Mayo Clinic Proceedings</w:t>
      </w:r>
      <w:r w:rsidRPr="008A44D4">
        <w:rPr>
          <w:rFonts w:cs="Times New Roman"/>
          <w:szCs w:val="20"/>
          <w:shd w:val="clear" w:color="auto" w:fill="FFFFFF"/>
        </w:rPr>
        <w:t> (Vol. 94, No. 12, pp. 2556-2571).Elsevier.</w:t>
      </w:r>
    </w:p>
    <w:p w14:paraId="5A9B0755" w14:textId="77777777" w:rsidR="00697EB5" w:rsidRPr="008A44D4" w:rsidRDefault="00697EB5" w:rsidP="00697EB5">
      <w:pPr>
        <w:rPr>
          <w:rFonts w:cs="Times New Roman"/>
          <w:sz w:val="32"/>
        </w:rPr>
      </w:pPr>
      <w:r w:rsidRPr="008A44D4">
        <w:rPr>
          <w:rFonts w:cs="Times New Roman"/>
          <w:szCs w:val="20"/>
          <w:shd w:val="clear" w:color="auto" w:fill="FFFFFF"/>
        </w:rPr>
        <w:t xml:space="preserve">Rafiq, M., Hayward, A., Warren-Gash, C., </w:t>
      </w:r>
      <w:proofErr w:type="spellStart"/>
      <w:r w:rsidRPr="008A44D4">
        <w:rPr>
          <w:rFonts w:cs="Times New Roman"/>
          <w:szCs w:val="20"/>
          <w:shd w:val="clear" w:color="auto" w:fill="FFFFFF"/>
        </w:rPr>
        <w:t>Denaxas</w:t>
      </w:r>
      <w:proofErr w:type="spellEnd"/>
      <w:r w:rsidRPr="008A44D4">
        <w:rPr>
          <w:rFonts w:cs="Times New Roman"/>
          <w:szCs w:val="20"/>
          <w:shd w:val="clear" w:color="auto" w:fill="FFFFFF"/>
        </w:rPr>
        <w:t>, S., Gonzalez-</w:t>
      </w:r>
      <w:proofErr w:type="spellStart"/>
      <w:r w:rsidRPr="008A44D4">
        <w:rPr>
          <w:rFonts w:cs="Times New Roman"/>
          <w:szCs w:val="20"/>
          <w:shd w:val="clear" w:color="auto" w:fill="FFFFFF"/>
        </w:rPr>
        <w:t>Izquierdo</w:t>
      </w:r>
      <w:proofErr w:type="spellEnd"/>
      <w:r w:rsidRPr="008A44D4">
        <w:rPr>
          <w:rFonts w:cs="Times New Roman"/>
          <w:szCs w:val="20"/>
          <w:shd w:val="clear" w:color="auto" w:fill="FFFFFF"/>
        </w:rPr>
        <w:t xml:space="preserve">, A., </w:t>
      </w:r>
      <w:proofErr w:type="spellStart"/>
      <w:r w:rsidRPr="008A44D4">
        <w:rPr>
          <w:rFonts w:cs="Times New Roman"/>
          <w:szCs w:val="20"/>
          <w:shd w:val="clear" w:color="auto" w:fill="FFFFFF"/>
        </w:rPr>
        <w:t>Lyratzopoulos</w:t>
      </w:r>
      <w:proofErr w:type="spellEnd"/>
      <w:r w:rsidRPr="008A44D4">
        <w:rPr>
          <w:rFonts w:cs="Times New Roman"/>
          <w:szCs w:val="20"/>
          <w:shd w:val="clear" w:color="auto" w:fill="FFFFFF"/>
        </w:rPr>
        <w:t>, G. and Thomas, S., 2020. Allergic disease, corticosteroid use, and risk of Hodgkin lymphoma: A United Kingdom nationwide case-control study. </w:t>
      </w:r>
      <w:r w:rsidRPr="008A44D4">
        <w:rPr>
          <w:rFonts w:cs="Times New Roman"/>
          <w:i/>
          <w:iCs/>
          <w:szCs w:val="20"/>
          <w:shd w:val="clear" w:color="auto" w:fill="FFFFFF"/>
        </w:rPr>
        <w:t>Journal of Allergy and Clinical Immunology</w:t>
      </w:r>
      <w:r w:rsidRPr="008A44D4">
        <w:rPr>
          <w:rFonts w:cs="Times New Roman"/>
          <w:szCs w:val="20"/>
          <w:shd w:val="clear" w:color="auto" w:fill="FFFFFF"/>
        </w:rPr>
        <w:t>, </w:t>
      </w:r>
      <w:r w:rsidRPr="008A44D4">
        <w:rPr>
          <w:rFonts w:cs="Times New Roman"/>
          <w:i/>
          <w:iCs/>
          <w:szCs w:val="20"/>
          <w:shd w:val="clear" w:color="auto" w:fill="FFFFFF"/>
        </w:rPr>
        <w:t>145</w:t>
      </w:r>
      <w:r w:rsidRPr="008A44D4">
        <w:rPr>
          <w:rFonts w:cs="Times New Roman"/>
          <w:szCs w:val="20"/>
          <w:shd w:val="clear" w:color="auto" w:fill="FFFFFF"/>
        </w:rPr>
        <w:t>(3), pp.868-876.</w:t>
      </w:r>
    </w:p>
    <w:p w14:paraId="08753A00" w14:textId="77777777" w:rsidR="00697EB5" w:rsidRPr="008A44D4" w:rsidRDefault="00697EB5" w:rsidP="00697EB5">
      <w:pPr>
        <w:rPr>
          <w:rFonts w:cs="Times New Roman"/>
          <w:szCs w:val="20"/>
          <w:shd w:val="clear" w:color="auto" w:fill="FFFFFF"/>
        </w:rPr>
      </w:pPr>
      <w:r w:rsidRPr="008A44D4">
        <w:rPr>
          <w:rFonts w:cs="Times New Roman"/>
          <w:szCs w:val="20"/>
          <w:shd w:val="clear" w:color="auto" w:fill="FFFFFF"/>
        </w:rPr>
        <w:t xml:space="preserve">Turnbull, J.L., Adams, H.N. and </w:t>
      </w:r>
      <w:proofErr w:type="spellStart"/>
      <w:r w:rsidRPr="008A44D4">
        <w:rPr>
          <w:rFonts w:cs="Times New Roman"/>
          <w:szCs w:val="20"/>
          <w:shd w:val="clear" w:color="auto" w:fill="FFFFFF"/>
        </w:rPr>
        <w:t>Gorard</w:t>
      </w:r>
      <w:proofErr w:type="spellEnd"/>
      <w:r w:rsidRPr="008A44D4">
        <w:rPr>
          <w:rFonts w:cs="Times New Roman"/>
          <w:szCs w:val="20"/>
          <w:shd w:val="clear" w:color="auto" w:fill="FFFFFF"/>
        </w:rPr>
        <w:t>, D.A., 2015. The diagnosis and management of food allergy and food intolerances. </w:t>
      </w:r>
      <w:r w:rsidRPr="008A44D4">
        <w:rPr>
          <w:rFonts w:cs="Times New Roman"/>
          <w:i/>
          <w:iCs/>
          <w:szCs w:val="20"/>
          <w:shd w:val="clear" w:color="auto" w:fill="FFFFFF"/>
        </w:rPr>
        <w:t>Alimentary pharmacology &amp; therapeutics</w:t>
      </w:r>
      <w:r w:rsidRPr="008A44D4">
        <w:rPr>
          <w:rFonts w:cs="Times New Roman"/>
          <w:szCs w:val="20"/>
          <w:shd w:val="clear" w:color="auto" w:fill="FFFFFF"/>
        </w:rPr>
        <w:t>, </w:t>
      </w:r>
      <w:r w:rsidRPr="008A44D4">
        <w:rPr>
          <w:rFonts w:cs="Times New Roman"/>
          <w:i/>
          <w:iCs/>
          <w:szCs w:val="20"/>
          <w:shd w:val="clear" w:color="auto" w:fill="FFFFFF"/>
        </w:rPr>
        <w:t>41</w:t>
      </w:r>
      <w:r w:rsidRPr="008A44D4">
        <w:rPr>
          <w:rFonts w:cs="Times New Roman"/>
          <w:szCs w:val="20"/>
          <w:shd w:val="clear" w:color="auto" w:fill="FFFFFF"/>
        </w:rPr>
        <w:t>(1), pp.3-25.</w:t>
      </w:r>
    </w:p>
    <w:p w14:paraId="143EB79E" w14:textId="77777777" w:rsidR="00697EB5" w:rsidRPr="008A44D4" w:rsidRDefault="00697EB5" w:rsidP="00BC5BA3"/>
    <w:sectPr w:rsidR="00697EB5" w:rsidRPr="008A44D4" w:rsidSect="008167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C2F34"/>
    <w:rsid w:val="00144400"/>
    <w:rsid w:val="001A6ADF"/>
    <w:rsid w:val="00327919"/>
    <w:rsid w:val="003E171C"/>
    <w:rsid w:val="00627048"/>
    <w:rsid w:val="00697EB5"/>
    <w:rsid w:val="00724376"/>
    <w:rsid w:val="008167CC"/>
    <w:rsid w:val="00847036"/>
    <w:rsid w:val="008A44D4"/>
    <w:rsid w:val="00B027FA"/>
    <w:rsid w:val="00B06597"/>
    <w:rsid w:val="00BA30E3"/>
    <w:rsid w:val="00BC5BA3"/>
    <w:rsid w:val="00CE6B84"/>
    <w:rsid w:val="00D235AD"/>
    <w:rsid w:val="00DC2F34"/>
    <w:rsid w:val="00E35885"/>
    <w:rsid w:val="00E7186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C25E5"/>
  <w15:docId w15:val="{EC19D6E4-8974-104B-B4D0-398D171B2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EB5"/>
    <w:pPr>
      <w:spacing w:line="48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2437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659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185</TotalTime>
  <Pages>5</Pages>
  <Words>875</Words>
  <Characters>4989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Shah poli Hoque</cp:lastModifiedBy>
  <cp:revision>9</cp:revision>
  <dcterms:created xsi:type="dcterms:W3CDTF">2022-05-27T01:36:00Z</dcterms:created>
  <dcterms:modified xsi:type="dcterms:W3CDTF">2022-06-01T22:31:00Z</dcterms:modified>
</cp:coreProperties>
</file>