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360"/>
        <w:jc w:val="center"/>
        <w:rPr>
          <w:b/>
          <w:b/>
          <w:sz w:val="20"/>
          <w:szCs w:val="20"/>
          <w:u w:val="single"/>
        </w:rPr>
      </w:pPr>
      <w:r>
        <w:rPr>
          <w:b/>
          <w:sz w:val="20"/>
          <w:szCs w:val="20"/>
          <w:u w:val="single"/>
        </w:rPr>
        <w:t>Using your chosen recording of a recent triad session, critically reflect on your use of the foundation skills of counselling.</w:t>
      </w:r>
    </w:p>
    <w:p>
      <w:pPr>
        <w:pStyle w:val="Normal1"/>
        <w:spacing w:lineRule="auto" w:line="360"/>
        <w:jc w:val="center"/>
        <w:rPr>
          <w:b/>
          <w:b/>
          <w:sz w:val="20"/>
          <w:szCs w:val="20"/>
          <w:u w:val="single"/>
        </w:rPr>
      </w:pPr>
      <w:r>
        <w:rPr>
          <w:b/>
          <w:sz w:val="20"/>
          <w:szCs w:val="20"/>
          <w:u w:val="single"/>
        </w:rPr>
      </w:r>
    </w:p>
    <w:p>
      <w:pPr>
        <w:pStyle w:val="Normal1"/>
        <w:spacing w:lineRule="auto" w:line="360"/>
        <w:jc w:val="both"/>
        <w:rPr>
          <w:i/>
          <w:i/>
          <w:sz w:val="20"/>
          <w:szCs w:val="20"/>
        </w:rPr>
      </w:pPr>
      <w:r>
        <w:rPr>
          <w:sz w:val="20"/>
          <w:szCs w:val="20"/>
        </w:rPr>
        <w:t>I have opted to use the first session I had with my classmate, that was filmed on March 22nd 2021, in order to reflect upon my foundation of counselling skills. The recording is 24:31 minutes long and I have chosen this recording as I want to explore how the beginning of the relationship feels with a new client, especially as I work within my limited knowledge, skills, and experience.  I am particularly interested in how I utilise the micro-skills with a new client, attempt to build a rapport and establish a comfortable atmosphere that enables disclosure. From this point on, my classmate shall be referred to as “The Client”  in an attempt to protect her privacy from any external readers.</w:t>
      </w:r>
    </w:p>
    <w:p>
      <w:pPr>
        <w:pStyle w:val="Normal1"/>
        <w:spacing w:lineRule="auto" w:line="360"/>
        <w:jc w:val="both"/>
        <w:rPr>
          <w:i/>
          <w:i/>
          <w:sz w:val="20"/>
          <w:szCs w:val="20"/>
        </w:rPr>
      </w:pPr>
      <w:r>
        <w:rPr>
          <w:i/>
          <w:sz w:val="20"/>
          <w:szCs w:val="20"/>
        </w:rPr>
      </w:r>
    </w:p>
    <w:p>
      <w:pPr>
        <w:pStyle w:val="Normal1"/>
        <w:spacing w:lineRule="auto" w:line="360"/>
        <w:jc w:val="both"/>
        <w:rPr>
          <w:sz w:val="20"/>
          <w:szCs w:val="20"/>
        </w:rPr>
      </w:pPr>
      <w:r>
        <w:rPr>
          <w:sz w:val="20"/>
          <w:szCs w:val="20"/>
        </w:rPr>
        <w:t>At the very beginning of the session, I attempted to take control of the session in order to establish a contracted time scale and gain informed consent from my Client in regards to the session being recorded. I wanted to jump in straight away with the contract as I was concerned that any polite questions into how she was doing may jump start the session before we had an opportunity to cover these important steps. I also did not want to risk interrupting and derailing the conversation once the Client started to disclose what was weighing on her. Although I gained consent for the Client’s session with me to be recorded, upon reviewing the footage I do not believe I can claim it was “informed”. I told the client it would be recorded and then asked “is that ok with you?”. Once the client confirmed that it was, I then went on to further explain the intended purpose of the recording and then how many people would have access. I believe that I should have perhaps done this first so that the client would be truly informed.</w:t>
      </w:r>
    </w:p>
    <w:p>
      <w:pPr>
        <w:pStyle w:val="Normal1"/>
        <w:spacing w:lineRule="auto" w:line="360"/>
        <w:jc w:val="both"/>
        <w:rPr>
          <w:sz w:val="20"/>
          <w:szCs w:val="20"/>
        </w:rPr>
      </w:pPr>
      <w:r>
        <w:rPr>
          <w:sz w:val="20"/>
          <w:szCs w:val="20"/>
        </w:rPr>
      </w:r>
    </w:p>
    <w:p>
      <w:pPr>
        <w:pStyle w:val="Normal1"/>
        <w:spacing w:lineRule="auto" w:line="360"/>
        <w:jc w:val="both"/>
        <w:rPr>
          <w:i/>
          <w:i/>
          <w:sz w:val="20"/>
          <w:szCs w:val="20"/>
        </w:rPr>
      </w:pPr>
      <w:r>
        <w:rPr>
          <w:sz w:val="20"/>
          <w:szCs w:val="20"/>
        </w:rPr>
        <w:t>I intended to put the client at ease by explaining why the session was being recorded in saying that the observers were only there “to be looking at my skills” but that they’d obviously be privy to anything she opted to discuss. I believe that the overall effect I was going for was achieved, however my delivery may have been perhaps clumsy. However, I did like that I alerted the Client that she could change the direction of the conversation should she become uncomfortable. I feel this showed empathy right at the start and showcased to the Client that she was empowered to direct and end this session early.</w:t>
      </w:r>
    </w:p>
    <w:p>
      <w:pPr>
        <w:pStyle w:val="Normal1"/>
        <w:spacing w:lineRule="auto" w:line="360"/>
        <w:jc w:val="both"/>
        <w:rPr>
          <w:i/>
          <w:i/>
          <w:sz w:val="20"/>
          <w:szCs w:val="20"/>
        </w:rPr>
      </w:pPr>
      <w:r>
        <w:rPr>
          <w:i/>
          <w:sz w:val="20"/>
          <w:szCs w:val="20"/>
        </w:rPr>
      </w:r>
    </w:p>
    <w:p>
      <w:pPr>
        <w:pStyle w:val="Normal1"/>
        <w:spacing w:lineRule="auto" w:line="360"/>
        <w:jc w:val="both"/>
        <w:rPr>
          <w:sz w:val="20"/>
          <w:szCs w:val="20"/>
        </w:rPr>
      </w:pPr>
      <w:r>
        <w:rPr>
          <w:sz w:val="20"/>
          <w:szCs w:val="20"/>
        </w:rPr>
        <w:t xml:space="preserve">Overall, I am unhappy with the contract shown in this video. The Client and I have a dual relationship; we have the helper/helpee relationship as shown in the footage as well as that of classmates on the same course. Therefore there is an undercurrent of rushing to get the contract over and done with, as though we both know what is going on and we want it out of the way before we move on further. Had this been an actual Client coming to see me as a Counsellor, this contract would be considered subpar, and possibly even unethical. Although I touched briefly upon time-boundaries in saying that the session would be “approximately 25 minutes long”, I did not indicate if this was our first session and I did not expand on saying it would be our first session of two. Transparency in this regard is imperative as it allows the Client to negotiate a new time frame if they believe this to be unrealistic in aiding them in achieving any goals they have come to seek help with (Midwinter and Dickson, 2015). The confidentiality aspect of contracting is another essential step; as I have previously mentioned, whilst this wasn’t perfect, I do believe I explained the boundaries of that confidentiality well within the opening statement and I also ensured that the Client felt she could end or redirect the session where needed due to those boundaries. </w:t>
      </w:r>
    </w:p>
    <w:p>
      <w:pPr>
        <w:pStyle w:val="Normal1"/>
        <w:spacing w:lineRule="auto" w:line="360"/>
        <w:ind w:firstLine="720"/>
        <w:jc w:val="both"/>
        <w:rPr>
          <w:sz w:val="20"/>
          <w:szCs w:val="20"/>
        </w:rPr>
      </w:pPr>
      <w:r>
        <w:rPr>
          <w:sz w:val="20"/>
          <w:szCs w:val="20"/>
        </w:rPr>
      </w:r>
    </w:p>
    <w:p>
      <w:pPr>
        <w:pStyle w:val="Normal1"/>
        <w:spacing w:lineRule="auto" w:line="360"/>
        <w:ind w:left="0" w:hanging="0"/>
        <w:jc w:val="both"/>
        <w:rPr/>
      </w:pPr>
      <w:r>
        <w:rPr>
          <w:sz w:val="20"/>
          <w:szCs w:val="20"/>
        </w:rPr>
        <w:t xml:space="preserve">Other issues usually touched upon in a more conventional contract with a first time Client would be issues such as cultural expectations, diversity, touch, and the space in which the sessions take place (Midwinter and Dickson, 2015). The UK law also states that any Counsellors must disclose the following: money laundering, trafficking, and acts of </w:t>
      </w:r>
      <w:r>
        <w:rPr>
          <w:sz w:val="20"/>
          <w:szCs w:val="20"/>
        </w:rPr>
        <w:t>terrorism</w:t>
      </w:r>
      <w:r>
        <w:rPr>
          <w:sz w:val="20"/>
          <w:szCs w:val="20"/>
        </w:rPr>
        <w:t xml:space="preserve"> (Bond, 2015). Counsellors also have their own personal ethical boundaries for disclosure that they clearly state in the contracting phase. These issues can include Child Abuse, as well as if a person is a danger to themselves or others. Whilst I appreciate that in a more conventional setting, some contracts may be worked out prior to the Counsellor and Client even being in the same room - it could be done over email, phone, or even in a standard engagement letter sent out to Clients upon booking their first appointment - I do believe I took for granted that my classmate &amp; “Client” knew these things and therefore such matters did not need to be addressed. During the contracting stage, I exploited our dual relationship by working upon the shared assumption that I would be culturally sensitive, respect our diversity, and that the session would be recorded. In a therapeutic relationship where no such dual relationship existed, I would perhaps need to be more explicit and extensive in my contracting to ensure that I build strong foundations for a relationship with my Client and that their informed consent to having our session recorded is not guaranteed. </w:t>
      </w:r>
    </w:p>
    <w:p>
      <w:pPr>
        <w:pStyle w:val="Normal1"/>
        <w:spacing w:lineRule="auto" w:line="360"/>
        <w:ind w:firstLine="720"/>
        <w:jc w:val="both"/>
        <w:rPr>
          <w:sz w:val="20"/>
          <w:szCs w:val="20"/>
        </w:rPr>
      </w:pPr>
      <w:r>
        <w:rPr>
          <w:sz w:val="20"/>
          <w:szCs w:val="20"/>
        </w:rPr>
      </w:r>
    </w:p>
    <w:p>
      <w:pPr>
        <w:pStyle w:val="Normal1"/>
        <w:spacing w:lineRule="auto" w:line="360"/>
        <w:ind w:left="0" w:hanging="0"/>
        <w:jc w:val="both"/>
        <w:rPr/>
      </w:pPr>
      <w:r>
        <w:rPr>
          <w:sz w:val="20"/>
          <w:szCs w:val="20"/>
        </w:rPr>
        <w:t xml:space="preserve">Upon finishing the contract, I asked the Client “What would you like to discuss tonight?” I feel this open leading question gave the control I had </w:t>
      </w:r>
      <w:r>
        <w:rPr>
          <w:sz w:val="20"/>
          <w:szCs w:val="20"/>
        </w:rPr>
        <w:t>temporarily</w:t>
      </w:r>
      <w:r>
        <w:rPr>
          <w:sz w:val="20"/>
          <w:szCs w:val="20"/>
        </w:rPr>
        <w:t xml:space="preserve"> seized back to the Client </w:t>
      </w:r>
      <w:r>
        <w:rPr>
          <w:sz w:val="20"/>
          <w:szCs w:val="20"/>
        </w:rPr>
        <w:t>entirely.</w:t>
      </w:r>
      <w:r>
        <w:rPr>
          <w:sz w:val="20"/>
          <w:szCs w:val="20"/>
        </w:rPr>
        <w:t xml:space="preserve">  Whilst I spent some time during this session anxiously worrying about all the mico-skills I was not showcasing for the recorded assignment, I did manage to use some. I believe that at 2 minutes, 33 seconds, I successfully summarised, clarified, and paraphrased the client's feelings in saying that “Ok, so it feels like the burden of their care and their safety is all on you - that your co-workers aren’t shouldering their fair share”. The Client then seemed to open up a bit more as she became more emotional in her describing of her colleagues behaviour and how it affected her in work. </w:t>
      </w:r>
    </w:p>
    <w:p>
      <w:pPr>
        <w:pStyle w:val="Normal1"/>
        <w:spacing w:lineRule="auto" w:line="360"/>
        <w:jc w:val="both"/>
        <w:rPr>
          <w:sz w:val="20"/>
          <w:szCs w:val="20"/>
        </w:rPr>
      </w:pPr>
      <w:r>
        <w:rPr>
          <w:sz w:val="20"/>
          <w:szCs w:val="20"/>
        </w:rPr>
      </w:r>
    </w:p>
    <w:p>
      <w:pPr>
        <w:pStyle w:val="Normal1"/>
        <w:spacing w:lineRule="auto" w:line="360"/>
        <w:jc w:val="both"/>
        <w:rPr>
          <w:sz w:val="20"/>
          <w:szCs w:val="20"/>
        </w:rPr>
      </w:pPr>
      <w:r>
        <w:rPr>
          <w:sz w:val="20"/>
          <w:szCs w:val="20"/>
        </w:rPr>
        <w:t xml:space="preserve">During the interaction at 3 minutes, 30 seconds, when the Client discussed how her co-workers would approach her and inform her that they did the basic requirements of their job as a favour to her, I offered the Client a sarcastic scoff and “thanks” as well as a disbelieving, frustrated facial expression and shake of the head. I did something similar at 11 minutes, 29 seconds when I shared her frustration saying “No, I’m doing that good job! That’s me!”. This was an attempt to truly empathise with the Client and put myself in her shoes. Although the reasoning behind my actions came from a place of caring and empathy, I voiced what I believe my own thoughts would have been had I been in her situation. This is perhaps not the best display of behaviour. It could backlash with other Clients. I would in no way want my behaviour to offer the view I was trying to make it about myself. I also realise that I have a tendency to attempt to make someone laugh in stressful or upsetting situations in an attempt to make them feel a little better. I realise this is not an appropriate quality for a Counsellor. It could come across as being flippant or dismissive of a Client's issue which is not my intention at all. In future, I must try to be reflexive whilst in the session to try to curb this urge. </w:t>
      </w:r>
    </w:p>
    <w:p>
      <w:pPr>
        <w:pStyle w:val="Normal1"/>
        <w:spacing w:lineRule="auto" w:line="360"/>
        <w:jc w:val="both"/>
        <w:rPr>
          <w:sz w:val="20"/>
          <w:szCs w:val="20"/>
        </w:rPr>
      </w:pPr>
      <w:r>
        <w:rPr>
          <w:sz w:val="20"/>
          <w:szCs w:val="20"/>
        </w:rPr>
      </w:r>
    </w:p>
    <w:p>
      <w:pPr>
        <w:pStyle w:val="Normal1"/>
        <w:spacing w:lineRule="auto" w:line="360"/>
        <w:jc w:val="both"/>
        <w:rPr>
          <w:sz w:val="20"/>
          <w:szCs w:val="20"/>
        </w:rPr>
      </w:pPr>
      <w:r>
        <w:rPr>
          <w:sz w:val="20"/>
          <w:szCs w:val="20"/>
        </w:rPr>
        <w:t>At 1 minute, 41 seconds, the Client states that she doesn’t want to label her feelings as “anger” but instead as frustration. However during 5 minutes, 10 seconds, I asked the Client “are you sure you’re not feeling anger as well?” after she’d continued to voice her frustrations at the colleagues. Here, I asked this close leading question in order for the Client to identify what else she was feeling whilst discussing this issue with me. I felt as though the Client wasn’t being congruent with herself and that the Client seemed to be choosing her words carefully, almost as if she didn’t want to be seen as being too negative. I felt there was more to her undercurrent of emotions than just simple frustration as the Clients body language seemed to switch between a defeated shoulder drop to a more agitated state. Although the question did allow the Client to recognise that was indeed what she was feeling, upon re-watching the video, I believe that I could have perhaps commented on her body language, or changed from a question to a statement such as “while you were talking about that, I feel I could sense some anger”. This would then still allow the session to be client directed and a tentative delivery could have probed the Client to become more mindful of everything she was perhaps feeling at that time, not just the anger. I did attempt to cushion the question with a soft, knowing smile and a laugh as the Client's anger seemed to be subtle, something she was hesitant to admit. I tried a friendly approach in order to offer some unconditional positive regard - to show that it would be ok, understandable even. Again, this could have backfired with any other Client but watching it back, I am happy with the delivery. I feel it landed well with this particular Client and that in allowing herself to become a bit more negative together we got more comfortable with each other.</w:t>
      </w:r>
    </w:p>
    <w:p>
      <w:pPr>
        <w:pStyle w:val="Normal1"/>
        <w:spacing w:lineRule="auto" w:line="360"/>
        <w:jc w:val="both"/>
        <w:rPr>
          <w:i/>
          <w:i/>
        </w:rPr>
      </w:pPr>
      <w:r>
        <w:rPr>
          <w:i/>
        </w:rPr>
      </w:r>
    </w:p>
    <w:p>
      <w:pPr>
        <w:pStyle w:val="Normal1"/>
        <w:spacing w:lineRule="auto" w:line="360"/>
        <w:jc w:val="both"/>
        <w:rPr>
          <w:sz w:val="20"/>
          <w:szCs w:val="20"/>
        </w:rPr>
      </w:pPr>
      <w:r>
        <w:rPr>
          <w:sz w:val="20"/>
          <w:szCs w:val="20"/>
        </w:rPr>
        <w:t xml:space="preserve">At 9 minutes, 30 seconds, I believe I had a moment where the information I received wasn’t processed properly. I hear the Client talk about how she doesn't believe this field is for her co-workers as I agree with her in saying “It’s disappointing, it really is” However, I must have also thought I had heard “maybe this career isn’t for me”. I’m not sure what went wrong here as in an attempt to further empathise with my Client, going off wrong information and to even perhaps to make myself known to aid in the building of our therapeutic relationship, I made a comment about how if it was my grandmother in the care home, I would prefer someone like my Client looking after them. This was wrong as this was my personal bias coming out here. If the Client was indeed voicing her doubts about her profession, my opinion on the matter should not be relevant. I should not have input here at all but instead aid the Client in working through those feelings. Even though this did not derail the conversation and we got straight back on track once the Client had clarified what she actually said, this could have had potentially harmful ramifications had the client been derailed and had a low locus of evaluation. My thoughts and opinion could have impacted and guided a decision she may not have even been considering. </w:t>
      </w:r>
    </w:p>
    <w:p>
      <w:pPr>
        <w:pStyle w:val="Normal1"/>
        <w:spacing w:lineRule="auto" w:line="360"/>
        <w:jc w:val="both"/>
        <w:rPr/>
      </w:pPr>
      <w:r>
        <w:rPr>
          <w:sz w:val="20"/>
          <w:szCs w:val="20"/>
        </w:rPr>
        <w:br/>
        <w:t>I now think my mishearing the client was a symptom of my struggle to stay attuned. Although I believe I started and finished quite well with my attention focused solely on the Client, during the middle of the session it became difficult to keep focused. During this session, I felt particularly unwell and I felt I was struggling with my own stress. I also had a difficult time with being properly attuned to the Client due to the fact I knew this recording would likely be the one I selected for this very assignment. In an attempt to work in all my micro</w:t>
      </w:r>
      <w:r>
        <w:rPr>
          <w:sz w:val="20"/>
          <w:szCs w:val="20"/>
        </w:rPr>
        <w:t>-</w:t>
      </w:r>
      <w:r>
        <w:rPr>
          <w:sz w:val="20"/>
          <w:szCs w:val="20"/>
        </w:rPr>
        <w:t xml:space="preserve">skills, I believe I may have become too focused on myself and not focused enough on the Client and what she was telling me. It was around this time that I became very focused on my own body and what it was doing. I became too aware of my facial expressions, my excessive nodding, and what I felt was the inability to add anything useful to the Client. </w:t>
      </w:r>
    </w:p>
    <w:p>
      <w:pPr>
        <w:pStyle w:val="Normal1"/>
        <w:spacing w:lineRule="auto" w:line="360"/>
        <w:jc w:val="both"/>
        <w:rPr>
          <w:sz w:val="20"/>
          <w:szCs w:val="20"/>
        </w:rPr>
      </w:pPr>
      <w:r>
        <w:rPr>
          <w:sz w:val="20"/>
          <w:szCs w:val="20"/>
        </w:rPr>
      </w:r>
    </w:p>
    <w:p>
      <w:pPr>
        <w:pStyle w:val="Normal1"/>
        <w:spacing w:lineRule="auto" w:line="360"/>
        <w:jc w:val="both"/>
        <w:rPr/>
      </w:pPr>
      <w:r>
        <w:rPr>
          <w:sz w:val="20"/>
          <w:szCs w:val="20"/>
        </w:rPr>
        <w:t>Rogers claimed that being was more important to the Client than doing (</w:t>
      </w:r>
      <w:r>
        <w:rPr>
          <w:color w:val="222222"/>
          <w:sz w:val="20"/>
          <w:szCs w:val="20"/>
          <w:highlight w:val="white"/>
        </w:rPr>
        <w:t>1986</w:t>
      </w:r>
      <w:r>
        <w:rPr>
          <w:sz w:val="20"/>
          <w:szCs w:val="20"/>
        </w:rPr>
        <w:t>), and I feel that my emotional state at the time had me too focused on the doing. Rogers also claimed that congruence was imperative to foster a helpful therapeutic relationship (</w:t>
      </w:r>
      <w:r>
        <w:rPr>
          <w:color w:val="222222"/>
          <w:sz w:val="20"/>
          <w:szCs w:val="20"/>
          <w:highlight w:val="white"/>
        </w:rPr>
        <w:t>1986</w:t>
      </w:r>
      <w:r>
        <w:rPr>
          <w:sz w:val="20"/>
          <w:szCs w:val="20"/>
        </w:rPr>
        <w:t>). During my reflection upon my behaviour, and my thought process during this interaction, I believe that I was concerned that there was a conflict between my being congruent and ensuring that the conversation was meaningful to the client. As Midwinter states (2015), a therapeutic conversation must offer perspective and in order to do this, one must find a way to subvert the everyday ways of talking between ourselves and instead offer a new form of discourse that aids the Client in deriving new meaning from their experience. I in no way felt able to provide this type of conversation to the Client without deviating away from being congruent with the Client</w:t>
      </w:r>
      <w:r>
        <w:rPr>
          <w:sz w:val="20"/>
          <w:szCs w:val="20"/>
        </w:rPr>
        <w:t>—</w:t>
      </w:r>
      <w:r>
        <w:rPr>
          <w:sz w:val="20"/>
          <w:szCs w:val="20"/>
        </w:rPr>
        <w:t xml:space="preserve">without becoming someone I am not yet trained to be. Although the duration of this thought process lasted only a few seconds, it left me feeling a little out of my depth. I understand now of course through reflection and further study that I was concerned with working outside of my abilities. Being able to offer a Client that level of therapeutic engagement will come with time and further training. Instead for now, I must work with the skills I do have and not allow myself to attempt to get too far ahead of myself. The one thing I can offer any Client I see during my journey to becoming a professional trained Counsellor, is to be emotionally and mentally present with them so that they feel seen, valued, and heard. </w:t>
      </w:r>
    </w:p>
    <w:p>
      <w:pPr>
        <w:pStyle w:val="Normal1"/>
        <w:spacing w:lineRule="auto" w:line="360"/>
        <w:jc w:val="both"/>
        <w:rPr>
          <w:sz w:val="20"/>
          <w:szCs w:val="20"/>
        </w:rPr>
      </w:pPr>
      <w:r>
        <w:rPr>
          <w:sz w:val="20"/>
          <w:szCs w:val="20"/>
        </w:rPr>
      </w:r>
    </w:p>
    <w:p>
      <w:pPr>
        <w:pStyle w:val="Normal1"/>
        <w:spacing w:lineRule="auto" w:line="360"/>
        <w:jc w:val="both"/>
        <w:rPr>
          <w:sz w:val="20"/>
          <w:szCs w:val="20"/>
        </w:rPr>
      </w:pPr>
      <w:r>
        <w:rPr>
          <w:sz w:val="20"/>
          <w:szCs w:val="20"/>
        </w:rPr>
        <w:t xml:space="preserve">Although I feel as though I struggled a little bit with staying attuned to the Client during that specific part of the session, I also noticed that I unconsciously started mimicking the Client’s language when I started to use her phrasing of “ladies” at 6 minutes, 55 seconds. I believe this to be an example of where I attended the Client. During my reflective re-watch of this session, I believe this could also be an unconscious move on my part to encourage the Client to trust me. </w:t>
      </w:r>
    </w:p>
    <w:p>
      <w:pPr>
        <w:pStyle w:val="Normal1"/>
        <w:spacing w:lineRule="auto" w:line="360"/>
        <w:jc w:val="both"/>
        <w:rPr>
          <w:sz w:val="20"/>
          <w:szCs w:val="20"/>
        </w:rPr>
      </w:pPr>
      <w:r>
        <w:rPr>
          <w:sz w:val="20"/>
          <w:szCs w:val="20"/>
        </w:rPr>
      </w:r>
    </w:p>
    <w:p>
      <w:pPr>
        <w:pStyle w:val="Normal1"/>
        <w:spacing w:lineRule="auto" w:line="360"/>
        <w:jc w:val="both"/>
        <w:rPr>
          <w:sz w:val="20"/>
          <w:szCs w:val="20"/>
        </w:rPr>
      </w:pPr>
      <w:r>
        <w:rPr>
          <w:sz w:val="20"/>
          <w:szCs w:val="20"/>
        </w:rPr>
        <w:t xml:space="preserve">As the Client seemed, to me, the type of person who did not particularly like to dwell within the negative, when I saw her hesitation about her upcoming staff meeting I saw an opportunity to turn the session around slightly for her, to create a goal and make an effort to have her feeling empowered and determined at the end of the session. In asking “Do you think this meeting is an opportunity to make them [her colleagues] think this way?” I attempted to steer the conversation in a more positive goal-orientated approach. As the Client repeatedly mentioned her Supervisor wasn’t doing anything, I wanted to empower the Client so that she could move forward from the feelings of helplessness and frustrations she was displaying. </w:t>
      </w:r>
    </w:p>
    <w:p>
      <w:pPr>
        <w:pStyle w:val="Normal1"/>
        <w:spacing w:lineRule="auto" w:line="360"/>
        <w:jc w:val="both"/>
        <w:rPr>
          <w:sz w:val="20"/>
          <w:szCs w:val="20"/>
        </w:rPr>
      </w:pPr>
      <w:r>
        <w:rPr>
          <w:sz w:val="20"/>
          <w:szCs w:val="20"/>
        </w:rPr>
      </w:r>
    </w:p>
    <w:p>
      <w:pPr>
        <w:pStyle w:val="Normal1"/>
        <w:spacing w:lineRule="auto" w:line="360"/>
        <w:jc w:val="both"/>
        <w:rPr>
          <w:sz w:val="20"/>
          <w:szCs w:val="20"/>
        </w:rPr>
      </w:pPr>
      <w:r>
        <w:rPr>
          <w:sz w:val="20"/>
          <w:szCs w:val="20"/>
        </w:rPr>
        <w:t>I wanted to continue with aiding the Client in creating a goal once she had fully explored her feelings. When I asked “Where do we go from here, what’s the step?” I gave the Client the opportunity to shift her mindset as I sensed in that moment that was what she needed. I also employed the word “we” so that the Client would feel supported in taking action. It was also an opportunity for the Client to seize back the control of the session. Had she stated that there was nothing to do and showed she wanted to stay in her negative feelings, then I would have supported that. However, it was also an attempt in investigating if my gut feelings about the Client were correct in that she wanted to move forward.</w:t>
      </w:r>
    </w:p>
    <w:p>
      <w:pPr>
        <w:pStyle w:val="Normal1"/>
        <w:spacing w:lineRule="auto" w:line="360"/>
        <w:jc w:val="both"/>
        <w:rPr>
          <w:sz w:val="20"/>
          <w:szCs w:val="20"/>
        </w:rPr>
      </w:pPr>
      <w:r>
        <w:rPr>
          <w:sz w:val="20"/>
          <w:szCs w:val="20"/>
        </w:rPr>
      </w:r>
    </w:p>
    <w:p>
      <w:pPr>
        <w:pStyle w:val="Normal1"/>
        <w:spacing w:lineRule="auto" w:line="360"/>
        <w:jc w:val="both"/>
        <w:rPr/>
      </w:pPr>
      <w:r>
        <w:rPr>
          <w:sz w:val="20"/>
          <w:szCs w:val="20"/>
        </w:rPr>
        <w:t xml:space="preserve">The Client in the end created the goal of sending an email prior to the meeting, as well as talking to her supportive work colleague and securing backup. I did use minimal silence as the client attempted to work out what they wanted to say, but it was overall I do not think silence was utilised as much as it could have been. Although silence can be powerful, it can also be very uncomfortable. Sometimes silence can be so uncomfortable within sessions, especially for younger Clients, that it makes them feel awkward enough to not want to return (Jackson, 2021).  I definitely felt that the client needed to vent in the first half of the session, and my silence could have been useful in places. However, I do not think the Client’s session suffered for the lack of it. </w:t>
      </w:r>
    </w:p>
    <w:p>
      <w:pPr>
        <w:pStyle w:val="Normal1"/>
        <w:spacing w:lineRule="auto" w:line="360"/>
        <w:jc w:val="both"/>
        <w:rPr>
          <w:sz w:val="20"/>
          <w:szCs w:val="20"/>
        </w:rPr>
      </w:pPr>
      <w:r>
        <w:rPr>
          <w:sz w:val="20"/>
          <w:szCs w:val="20"/>
        </w:rPr>
      </w:r>
    </w:p>
    <w:p>
      <w:pPr>
        <w:pStyle w:val="Normal1"/>
        <w:spacing w:lineRule="auto" w:line="360"/>
        <w:jc w:val="both"/>
        <w:rPr>
          <w:sz w:val="20"/>
          <w:szCs w:val="20"/>
        </w:rPr>
      </w:pPr>
      <w:r>
        <w:rPr>
          <w:sz w:val="20"/>
          <w:szCs w:val="20"/>
        </w:rPr>
        <w:t>At the end of the session, which occurred around 23 minutes, 35 seconds, I began to recap what we had discussed from start to finish. I wanted the Client to know that I had heard and remembered everything we had talked about in an attempt to validate and reassure her. As the Client was feeling positive and determined towards the end of our session, I wanted to also remind her of how we had managed to positively shift her mindset and the steps she was going to take next in an attempt to combat the feelings she was having. I could have perhaps summarised the different options we had discussed, but instead I stuck to the ones that she had chosen and decided to action. During this phase, I feel I could have utilised some silence as the Client and I did accidentally start talking over one another. I particularly liked that I checked into how she was feeling at the end of the session compared to how she felt at the start (22 minutes, 14 seconds). Moving forward, I would like to see myself mention the next session, should there be one, to reiterate our meeting time and to confirm that I would check in with how things went.</w:t>
      </w:r>
    </w:p>
    <w:p>
      <w:pPr>
        <w:pStyle w:val="Normal1"/>
        <w:spacing w:lineRule="auto" w:line="360"/>
        <w:jc w:val="both"/>
        <w:rPr>
          <w:i/>
          <w:i/>
          <w:sz w:val="20"/>
          <w:szCs w:val="20"/>
        </w:rPr>
      </w:pPr>
      <w:r>
        <w:rPr>
          <w:i/>
          <w:sz w:val="20"/>
          <w:szCs w:val="20"/>
        </w:rPr>
      </w:r>
    </w:p>
    <w:p>
      <w:pPr>
        <w:pStyle w:val="Normal1"/>
        <w:spacing w:lineRule="auto" w:line="360"/>
        <w:jc w:val="both"/>
        <w:rPr>
          <w:sz w:val="20"/>
          <w:szCs w:val="20"/>
        </w:rPr>
      </w:pPr>
      <w:r>
        <w:rPr>
          <w:sz w:val="20"/>
          <w:szCs w:val="20"/>
        </w:rPr>
        <w:t>In conclusion</w:t>
      </w:r>
      <w:r>
        <w:rPr/>
        <w:t xml:space="preserve">, </w:t>
      </w:r>
      <w:r>
        <w:rPr>
          <w:sz w:val="20"/>
          <w:szCs w:val="20"/>
        </w:rPr>
        <w:t xml:space="preserve"> upon reviewing the footage and reflecting upon my performance as a whole, I feel as though I did offer a lot of warm minimal encourages and other such non-verbal communications to showcase that I was actively listening. I nodded a lot, muttered some “okay”’s,  smiled and laughed along with the client in the appropriate places. On the other hand, I felt as though my minimal encouragements could use some fine tuning. </w:t>
      </w:r>
    </w:p>
    <w:p>
      <w:pPr>
        <w:pStyle w:val="Normal1"/>
        <w:spacing w:lineRule="auto" w:line="360"/>
        <w:ind w:firstLine="720"/>
        <w:jc w:val="both"/>
        <w:rPr>
          <w:sz w:val="20"/>
          <w:szCs w:val="20"/>
        </w:rPr>
      </w:pPr>
      <w:r>
        <w:rPr>
          <w:sz w:val="20"/>
          <w:szCs w:val="20"/>
        </w:rPr>
        <w:t>Whilst telephone counselling has been around for some time, due to the COVID pandemic, most counsellors have adapted to working online and utilising programmes such as Skype and Zoom to offer “face-to-face” sessions. Alongside adapting to this new way of working, counsellors must also adapt to the multitude of barriers that online-only work presents such as: poor internet connection, confidentiality, the limited ability to read body language, to mirror that body language, and to even use the ever highly debated topic of touch (</w:t>
      </w:r>
      <w:r>
        <w:rPr>
          <w:color w:val="222222"/>
          <w:sz w:val="20"/>
          <w:szCs w:val="20"/>
          <w:highlight w:val="white"/>
        </w:rPr>
        <w:t>Rovers, Malette, and Guirguis-Younger, 2017</w:t>
      </w:r>
      <w:r>
        <w:rPr>
          <w:sz w:val="20"/>
          <w:szCs w:val="20"/>
        </w:rPr>
        <w:t xml:space="preserve">). Performing sessions strictly online has been an invaluable experience in adapting to unpredictable circumstances as well as ensuring one does not become too focused on their own body language and the inadvertent messages they’re sending out with the placement of their office furniture (Mearns, Thorne, and McLeod, 2013). However, I believe that I may be perhaps overcompensating for the lack of body language mirroring and physical presence that one usually offers within the therapeutic space. As we were conducting our session online, as I found myself to be nodding a lot - perhaps a bit too much. Although this did not seem to interfere with the Clients experience, I felt it necessary to highlight this as an issue to work on in the future for myself. </w:t>
      </w:r>
    </w:p>
    <w:p>
      <w:pPr>
        <w:pStyle w:val="Normal1"/>
        <w:spacing w:lineRule="auto" w:line="360"/>
        <w:jc w:val="both"/>
        <w:rPr>
          <w:i/>
          <w:i/>
        </w:rPr>
      </w:pPr>
      <w:r>
        <w:rPr>
          <w:i/>
        </w:rPr>
        <w:br/>
      </w:r>
    </w:p>
    <w:p>
      <w:pPr>
        <w:pStyle w:val="Normal1"/>
        <w:spacing w:lineRule="auto" w:line="360"/>
        <w:jc w:val="both"/>
        <w:rPr>
          <w:b/>
          <w:b/>
          <w:u w:val="single"/>
        </w:rPr>
      </w:pPr>
      <w:r>
        <w:rPr>
          <w:b/>
          <w:u w:val="single"/>
        </w:rPr>
        <w:t>REFERENCES</w:t>
      </w:r>
    </w:p>
    <w:p>
      <w:pPr>
        <w:pStyle w:val="Normal1"/>
        <w:spacing w:lineRule="auto" w:line="360"/>
        <w:jc w:val="both"/>
        <w:rPr>
          <w:color w:val="222222"/>
          <w:sz w:val="20"/>
          <w:szCs w:val="20"/>
          <w:highlight w:val="white"/>
        </w:rPr>
      </w:pPr>
      <w:r>
        <w:rPr>
          <w:color w:val="222222"/>
          <w:sz w:val="20"/>
          <w:szCs w:val="20"/>
          <w:highlight w:val="white"/>
        </w:rPr>
        <w:t xml:space="preserve">Bond, T., 2015. </w:t>
      </w:r>
      <w:r>
        <w:rPr>
          <w:i/>
          <w:color w:val="222222"/>
          <w:sz w:val="20"/>
          <w:szCs w:val="20"/>
          <w:highlight w:val="white"/>
        </w:rPr>
        <w:t>Standards and ethics for counselling in action</w:t>
      </w:r>
      <w:r>
        <w:rPr>
          <w:color w:val="222222"/>
          <w:sz w:val="20"/>
          <w:szCs w:val="20"/>
          <w:highlight w:val="white"/>
        </w:rPr>
        <w:t>. Sage.</w:t>
      </w:r>
    </w:p>
    <w:p>
      <w:pPr>
        <w:pStyle w:val="Normal1"/>
        <w:spacing w:lineRule="auto" w:line="360"/>
        <w:jc w:val="both"/>
        <w:rPr>
          <w:b/>
          <w:b/>
          <w:color w:val="222222"/>
          <w:sz w:val="20"/>
          <w:szCs w:val="20"/>
          <w:highlight w:val="white"/>
          <w:u w:val="single"/>
        </w:rPr>
      </w:pPr>
      <w:r>
        <w:rPr>
          <w:b/>
          <w:color w:val="222222"/>
          <w:sz w:val="20"/>
          <w:szCs w:val="20"/>
          <w:highlight w:val="white"/>
          <w:u w:val="single"/>
        </w:rPr>
      </w:r>
    </w:p>
    <w:p>
      <w:pPr>
        <w:pStyle w:val="Normal1"/>
        <w:spacing w:lineRule="auto" w:line="360"/>
        <w:jc w:val="both"/>
        <w:rPr>
          <w:color w:val="222222"/>
          <w:sz w:val="20"/>
          <w:szCs w:val="20"/>
          <w:highlight w:val="white"/>
        </w:rPr>
      </w:pPr>
      <w:r>
        <w:rPr>
          <w:color w:val="222222"/>
          <w:sz w:val="20"/>
          <w:szCs w:val="20"/>
          <w:highlight w:val="white"/>
        </w:rPr>
        <w:t xml:space="preserve">Mearns, D., Thorne, B. and McLeod, J., 2013. </w:t>
      </w:r>
      <w:r>
        <w:rPr>
          <w:i/>
          <w:color w:val="222222"/>
          <w:sz w:val="20"/>
          <w:szCs w:val="20"/>
          <w:highlight w:val="white"/>
        </w:rPr>
        <w:t>Person-centred counselling in action</w:t>
      </w:r>
      <w:r>
        <w:rPr>
          <w:color w:val="222222"/>
          <w:sz w:val="20"/>
          <w:szCs w:val="20"/>
          <w:highlight w:val="white"/>
        </w:rPr>
        <w:t>. Sage.</w:t>
      </w:r>
    </w:p>
    <w:p>
      <w:pPr>
        <w:pStyle w:val="Normal1"/>
        <w:spacing w:lineRule="auto" w:line="360"/>
        <w:jc w:val="both"/>
        <w:rPr>
          <w:color w:val="222222"/>
          <w:sz w:val="20"/>
          <w:szCs w:val="20"/>
          <w:highlight w:val="white"/>
        </w:rPr>
      </w:pPr>
      <w:r>
        <w:rPr>
          <w:color w:val="222222"/>
          <w:sz w:val="20"/>
          <w:szCs w:val="20"/>
          <w:highlight w:val="white"/>
        </w:rPr>
      </w:r>
    </w:p>
    <w:p>
      <w:pPr>
        <w:pStyle w:val="Normal1"/>
        <w:spacing w:lineRule="auto" w:line="360"/>
        <w:jc w:val="both"/>
        <w:rPr>
          <w:color w:val="222222"/>
          <w:sz w:val="20"/>
          <w:szCs w:val="20"/>
          <w:highlight w:val="white"/>
        </w:rPr>
      </w:pPr>
      <w:r>
        <w:rPr>
          <w:color w:val="222222"/>
          <w:sz w:val="20"/>
          <w:szCs w:val="20"/>
          <w:highlight w:val="white"/>
        </w:rPr>
        <w:t xml:space="preserve">Midwinter, R. and Dickson, J., 2015. </w:t>
      </w:r>
      <w:r>
        <w:rPr>
          <w:i/>
          <w:color w:val="222222"/>
          <w:sz w:val="20"/>
          <w:szCs w:val="20"/>
          <w:highlight w:val="white"/>
        </w:rPr>
        <w:t>Embedding counselling and communication skills: a relational skills model</w:t>
      </w:r>
      <w:r>
        <w:rPr>
          <w:color w:val="222222"/>
          <w:sz w:val="20"/>
          <w:szCs w:val="20"/>
          <w:highlight w:val="white"/>
        </w:rPr>
        <w:t>. Routledge.</w:t>
      </w:r>
    </w:p>
    <w:p>
      <w:pPr>
        <w:pStyle w:val="Normal1"/>
        <w:spacing w:lineRule="auto" w:line="360"/>
        <w:jc w:val="both"/>
        <w:rPr>
          <w:color w:val="222222"/>
          <w:sz w:val="20"/>
          <w:szCs w:val="20"/>
          <w:highlight w:val="white"/>
        </w:rPr>
      </w:pPr>
      <w:r>
        <w:rPr>
          <w:color w:val="222222"/>
          <w:sz w:val="20"/>
          <w:szCs w:val="20"/>
          <w:highlight w:val="white"/>
        </w:rPr>
      </w:r>
    </w:p>
    <w:p>
      <w:pPr>
        <w:pStyle w:val="Normal1"/>
        <w:spacing w:lineRule="auto" w:line="360"/>
        <w:rPr>
          <w:color w:val="222222"/>
          <w:sz w:val="20"/>
          <w:szCs w:val="20"/>
          <w:highlight w:val="white"/>
        </w:rPr>
      </w:pPr>
      <w:r>
        <w:rPr>
          <w:color w:val="222222"/>
          <w:sz w:val="20"/>
          <w:szCs w:val="20"/>
          <w:highlight w:val="white"/>
        </w:rPr>
        <w:t>Rogers, C.R. (1986)</w:t>
      </w:r>
      <w:r>
        <w:rPr>
          <w:i/>
          <w:color w:val="222222"/>
          <w:sz w:val="20"/>
          <w:szCs w:val="20"/>
          <w:highlight w:val="white"/>
        </w:rPr>
        <w:t xml:space="preserve"> Carl Rogers on the development of the person-centered approach. </w:t>
      </w:r>
      <w:r>
        <w:rPr>
          <w:color w:val="222222"/>
          <w:sz w:val="20"/>
          <w:szCs w:val="20"/>
          <w:highlight w:val="white"/>
        </w:rPr>
        <w:t>Person-Centered Review.</w:t>
      </w:r>
    </w:p>
    <w:p>
      <w:pPr>
        <w:pStyle w:val="Normal1"/>
        <w:spacing w:lineRule="auto" w:line="360"/>
        <w:rPr>
          <w:color w:val="222222"/>
          <w:sz w:val="20"/>
          <w:szCs w:val="20"/>
          <w:highlight w:val="white"/>
        </w:rPr>
      </w:pPr>
      <w:r>
        <w:rPr>
          <w:color w:val="222222"/>
          <w:sz w:val="20"/>
          <w:szCs w:val="20"/>
          <w:highlight w:val="white"/>
        </w:rPr>
      </w:r>
    </w:p>
    <w:p>
      <w:pPr>
        <w:pStyle w:val="Normal1"/>
        <w:spacing w:lineRule="auto" w:line="360"/>
        <w:rPr>
          <w:color w:val="222222"/>
          <w:sz w:val="20"/>
          <w:szCs w:val="20"/>
          <w:highlight w:val="white"/>
        </w:rPr>
      </w:pPr>
      <w:r>
        <w:rPr>
          <w:color w:val="222222"/>
          <w:sz w:val="20"/>
          <w:szCs w:val="20"/>
          <w:highlight w:val="white"/>
        </w:rPr>
        <w:t xml:space="preserve">Rovers, M., Malette, J. and Guirguis-Younger, M., 2017. Issues of touch: An overall view and integration. </w:t>
      </w:r>
      <w:r>
        <w:rPr>
          <w:i/>
          <w:color w:val="222222"/>
          <w:sz w:val="20"/>
          <w:szCs w:val="20"/>
          <w:highlight w:val="white"/>
        </w:rPr>
        <w:t>Touch in the helping professions: Research, practice, and ethics</w:t>
      </w:r>
      <w:r>
        <w:rPr>
          <w:color w:val="222222"/>
          <w:sz w:val="20"/>
          <w:szCs w:val="20"/>
          <w:highlight w:val="white"/>
        </w:rPr>
        <w:t>, pp.237-248.</w:t>
      </w:r>
    </w:p>
    <w:p>
      <w:pPr>
        <w:pStyle w:val="Normal1"/>
        <w:spacing w:lineRule="auto" w:line="360"/>
        <w:rPr>
          <w:color w:val="222222"/>
          <w:sz w:val="20"/>
          <w:szCs w:val="20"/>
          <w:highlight w:val="white"/>
        </w:rPr>
      </w:pPr>
      <w:r>
        <w:rPr>
          <w:color w:val="222222"/>
          <w:sz w:val="20"/>
          <w:szCs w:val="20"/>
          <w:highlight w:val="white"/>
        </w:rPr>
        <w:t xml:space="preserve">Jackson, M., 2021. </w:t>
      </w:r>
      <w:r>
        <w:rPr>
          <w:i/>
          <w:color w:val="222222"/>
          <w:sz w:val="20"/>
          <w:szCs w:val="20"/>
          <w:highlight w:val="white"/>
        </w:rPr>
        <w:t>Letting Teens Sit with Silence. Or Not. - Encompass Counseling</w:t>
      </w:r>
      <w:r>
        <w:rPr>
          <w:color w:val="222222"/>
          <w:sz w:val="20"/>
          <w:szCs w:val="20"/>
          <w:highlight w:val="white"/>
        </w:rPr>
        <w:t>. [online] Encompass Counseling. Available at: &lt;https://encompasscounselingcenter.com/letting-teens-sit-with-silence-or-not/&gt; [Accessed 26 April 2021].</w:t>
      </w:r>
    </w:p>
    <w:p>
      <w:pPr>
        <w:pStyle w:val="Normal1"/>
        <w:spacing w:lineRule="auto" w:line="360"/>
        <w:rPr>
          <w:color w:val="222222"/>
          <w:sz w:val="20"/>
          <w:szCs w:val="20"/>
          <w:highlight w:val="white"/>
        </w:rPr>
      </w:pPr>
      <w:r>
        <w:rPr>
          <w:color w:val="222222"/>
          <w:sz w:val="20"/>
          <w:szCs w:val="20"/>
          <w:highlight w:val="white"/>
        </w:rPr>
      </w:r>
    </w:p>
    <w:p>
      <w:pPr>
        <w:pStyle w:val="Normal1"/>
        <w:spacing w:lineRule="auto" w:line="360"/>
        <w:rPr/>
      </w:pPr>
      <w:r>
        <w:rPr/>
      </w:r>
    </w:p>
    <w:sectPr>
      <w:headerReference w:type="default" r:id="rId2"/>
      <w:type w:val="nextPage"/>
      <w:pgSz w:w="11906" w:h="16838"/>
      <w:pgMar w:left="1440" w:right="1440" w:header="72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Liberation Sans">
    <w:altName w:val="Arial"/>
    <w:charset w:val="00"/>
    <w:family w:val="swiss"/>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rPr/>
    </w:pPr>
    <w:r>
      <w:rPr/>
      <w:t>1350184</w:t>
    </w:r>
  </w:p>
  <w:p>
    <w:pPr>
      <w:pStyle w:val="Normal1"/>
      <w:jc w:val="right"/>
      <w:rPr/>
    </w:pPr>
    <w:r>
      <w:rPr/>
      <w:fldChar w:fldCharType="begin"/>
    </w:r>
    <w:r>
      <w:rPr/>
      <w:instrText> PAGE </w:instrText>
    </w:r>
    <w:r>
      <w:rPr/>
      <w:fldChar w:fldCharType="separate"/>
    </w:r>
    <w:r>
      <w:rPr/>
      <w:t>6</w:t>
    </w:r>
    <w:r>
      <w:rPr/>
      <w:fldChar w:fldCharType="end"/>
    </w:r>
  </w:p>
</w:hdr>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pPrDefault>
  </w:docDefaults>
  <w:style w:type="paragraph" w:styleId="Normal">
    <w:name w:val="Normal"/>
    <w:qFormat/>
    <w:pPr>
      <w:widowControl/>
      <w:bidi w:val="0"/>
      <w:spacing w:lineRule="auto" w:line="276"/>
      <w:jc w:val="left"/>
    </w:pPr>
    <w:rPr>
      <w:rFonts w:ascii="Arial" w:hAnsi="Arial" w:eastAsia="Arial" w:cs="Arial"/>
      <w:color w:val="auto"/>
      <w:kern w:val="0"/>
      <w:sz w:val="22"/>
      <w:szCs w:val="22"/>
      <w:lang w:val="en-US" w:eastAsia="zh-CN" w:bidi="hi-IN"/>
    </w:rPr>
  </w:style>
  <w:style w:type="paragraph" w:styleId="Heading1">
    <w:name w:val="Heading 1"/>
    <w:basedOn w:val="Normal1"/>
    <w:next w:val="Normal1"/>
    <w:qFormat/>
    <w:pPr>
      <w:keepNext w:val="true"/>
      <w:keepLines/>
      <w:spacing w:lineRule="auto" w:line="240" w:before="400" w:after="120"/>
    </w:pPr>
    <w:rPr>
      <w:sz w:val="40"/>
      <w:szCs w:val="40"/>
    </w:rPr>
  </w:style>
  <w:style w:type="paragraph" w:styleId="Heading2">
    <w:name w:val="Heading 2"/>
    <w:basedOn w:val="Normal1"/>
    <w:next w:val="Normal1"/>
    <w:qFormat/>
    <w:pPr>
      <w:keepNext w:val="true"/>
      <w:keepLines/>
      <w:spacing w:lineRule="auto" w:line="240" w:before="360" w:after="120"/>
    </w:pPr>
    <w:rPr>
      <w:b w:val="false"/>
      <w:sz w:val="32"/>
      <w:szCs w:val="32"/>
    </w:rPr>
  </w:style>
  <w:style w:type="paragraph" w:styleId="Heading3">
    <w:name w:val="Heading 3"/>
    <w:basedOn w:val="Normal1"/>
    <w:next w:val="Normal1"/>
    <w:qFormat/>
    <w:pPr>
      <w:keepNext w:val="true"/>
      <w:keepLines/>
      <w:spacing w:lineRule="auto" w:line="240" w:before="320" w:after="80"/>
    </w:pPr>
    <w:rPr>
      <w:b w:val="false"/>
      <w:color w:val="434343"/>
      <w:sz w:val="28"/>
      <w:szCs w:val="28"/>
    </w:rPr>
  </w:style>
  <w:style w:type="paragraph" w:styleId="Heading4">
    <w:name w:val="Heading 4"/>
    <w:basedOn w:val="Normal1"/>
    <w:next w:val="Normal1"/>
    <w:qFormat/>
    <w:pPr>
      <w:keepNext w:val="true"/>
      <w:keepLines/>
      <w:spacing w:lineRule="auto" w:line="240" w:before="280" w:after="80"/>
    </w:pPr>
    <w:rPr>
      <w:color w:val="666666"/>
      <w:sz w:val="24"/>
      <w:szCs w:val="24"/>
    </w:rPr>
  </w:style>
  <w:style w:type="paragraph" w:styleId="Heading5">
    <w:name w:val="Heading 5"/>
    <w:basedOn w:val="Normal1"/>
    <w:next w:val="Normal1"/>
    <w:qFormat/>
    <w:pPr>
      <w:keepNext w:val="true"/>
      <w:keepLines/>
      <w:spacing w:lineRule="auto" w:line="240" w:before="240" w:after="80"/>
    </w:pPr>
    <w:rPr>
      <w:color w:val="666666"/>
      <w:sz w:val="22"/>
      <w:szCs w:val="22"/>
    </w:rPr>
  </w:style>
  <w:style w:type="paragraph" w:styleId="Heading6">
    <w:name w:val="Heading 6"/>
    <w:basedOn w:val="Normal1"/>
    <w:next w:val="Normal1"/>
    <w:qFormat/>
    <w:pPr>
      <w:keepNext w:val="true"/>
      <w:keepLines/>
      <w:spacing w:lineRule="auto" w:line="240" w:before="240" w:after="80"/>
    </w:pPr>
    <w:rPr>
      <w:i/>
      <w:color w:val="666666"/>
      <w:sz w:val="22"/>
      <w:szCs w:val="22"/>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1" w:default="1">
    <w:name w:val="LO-normal"/>
    <w:qFormat/>
    <w:pPr>
      <w:widowControl/>
      <w:bidi w:val="0"/>
      <w:spacing w:lineRule="auto" w:line="276"/>
      <w:jc w:val="left"/>
    </w:pPr>
    <w:rPr>
      <w:rFonts w:ascii="Arial" w:hAnsi="Arial" w:eastAsia="Arial" w:cs="Arial"/>
      <w:color w:val="auto"/>
      <w:kern w:val="0"/>
      <w:sz w:val="22"/>
      <w:szCs w:val="22"/>
      <w:lang w:val="en-US" w:eastAsia="zh-CN" w:bidi="hi-IN"/>
    </w:rPr>
  </w:style>
  <w:style w:type="paragraph" w:styleId="Title">
    <w:name w:val="Title"/>
    <w:basedOn w:val="Normal1"/>
    <w:next w:val="Normal1"/>
    <w:qFormat/>
    <w:pPr>
      <w:keepNext w:val="true"/>
      <w:keepLines/>
      <w:spacing w:lineRule="auto" w:line="240" w:before="0" w:after="60"/>
    </w:pPr>
    <w:rPr>
      <w:sz w:val="52"/>
      <w:szCs w:val="52"/>
    </w:rPr>
  </w:style>
  <w:style w:type="paragraph" w:styleId="Subtitle">
    <w:name w:val="Subtitle"/>
    <w:basedOn w:val="Normal1"/>
    <w:next w:val="Normal1"/>
    <w:qFormat/>
    <w:pPr>
      <w:keepNext w:val="true"/>
      <w:keepLines/>
      <w:spacing w:lineRule="auto" w:line="240" w:before="0" w:after="320"/>
    </w:pPr>
    <w:rPr>
      <w:rFonts w:ascii="Arial" w:hAnsi="Arial" w:eastAsia="Arial" w:cs="Arial"/>
      <w:i w:val="false"/>
      <w:color w:val="666666"/>
      <w:sz w:val="30"/>
      <w:szCs w:val="30"/>
    </w:rPr>
  </w:style>
  <w:style w:type="paragraph" w:styleId="Header">
    <w:name w:val="Header"/>
    <w:basedOn w:val="Normal"/>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1</TotalTime>
  <Application>LibreOffice/6.2.4.2$Windows_X86_64 LibreOffice_project/2412653d852ce75f65fbfa83fb7e7b669a126d64</Application>
  <Pages>6</Pages>
  <Words>3414</Words>
  <Characters>16223</Characters>
  <CharactersWithSpaces>19628</CharactersWithSpaces>
  <Paragraphs>29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2021-04-26T18:39:47Z</dcterms:modified>
  <cp:revision>1</cp:revision>
  <dc:subject/>
  <dc:title/>
</cp:coreProperties>
</file>