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 w14:paraId="1ED29290" w14:textId="77777777" w:rsidR="00F927A1" w:rsidRPr="00F927A1" w:rsidRDefault="00F927A1" w:rsidP="00FF7EBB">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0F4D6E7D" w14:textId="7C8C0132" w:rsidR="0085230E" w:rsidRPr="00DC2924" w:rsidRDefault="0085230E" w:rsidP="00FF7EBB">
      <w:pPr>
        <w:ind w:right="-957"/>
        <w:rPr>
          <w:b/>
          <w:sz w:val="48"/>
        </w:rPr>
      </w:pPr>
      <w:r w:rsidRPr="00DC2924">
        <w:rPr>
          <w:b/>
          <w:sz w:val="48"/>
        </w:rPr>
        <w:t>LEVEL 6 - 60 Credits</w:t>
      </w:r>
    </w:p>
    <w:p w14:paraId="2216C5B7" w14:textId="5A138451" w:rsidR="00706BB5" w:rsidRPr="0085230E" w:rsidRDefault="00706BB5" w:rsidP="00FF7EBB">
      <w:pPr>
        <w:ind w:right="-957"/>
        <w:rPr>
          <w:b/>
          <w:sz w:val="48"/>
        </w:rPr>
      </w:pPr>
      <w:r w:rsidRPr="00DC2924">
        <w:rPr>
          <w:b/>
          <w:sz w:val="48"/>
        </w:rPr>
        <w:t>BMPF6044</w:t>
      </w:r>
    </w:p>
    <w:p w14:paraId="28947286" w14:textId="77777777" w:rsidR="00F927A1" w:rsidRDefault="00F927A1" w:rsidP="00FF7EBB">
      <w:pPr>
        <w:ind w:right="-957"/>
        <w:rPr>
          <w:b/>
          <w:sz w:val="48"/>
        </w:rPr>
      </w:pPr>
    </w:p>
    <w:p w14:paraId="61FA5299" w14:textId="77777777" w:rsidR="00F927A1" w:rsidRPr="00FE5F90" w:rsidRDefault="00F927A1" w:rsidP="00F927A1">
      <w:pPr>
        <w:ind w:right="-957"/>
        <w:rPr>
          <w:b/>
          <w:sz w:val="18"/>
          <w:szCs w:val="2"/>
        </w:rPr>
      </w:pPr>
    </w:p>
    <w:p w14:paraId="5B3FA234" w14:textId="77777777" w:rsidR="00F927A1" w:rsidRPr="00F927A1" w:rsidRDefault="0085230E" w:rsidP="00F927A1">
      <w:pPr>
        <w:ind w:right="-957"/>
        <w:rPr>
          <w:b/>
          <w:sz w:val="48"/>
        </w:rPr>
      </w:pPr>
      <w:r>
        <w:rPr>
          <w:b/>
          <w:sz w:val="48"/>
        </w:rPr>
        <w:t xml:space="preserve">LEARNER </w:t>
      </w:r>
      <w:r w:rsidR="00F927A1">
        <w:rPr>
          <w:b/>
          <w:sz w:val="48"/>
        </w:rPr>
        <w:t>PORTFOLIO</w:t>
      </w:r>
    </w:p>
    <w:p w14:paraId="333E90F0" w14:textId="62DD2FD5" w:rsidR="00F927A1" w:rsidRPr="00706BB5" w:rsidRDefault="00F927A1">
      <w:pPr>
        <w:ind w:right="-957"/>
        <w:rPr>
          <w:b/>
          <w:bCs/>
          <w:sz w:val="48"/>
          <w:szCs w:val="48"/>
        </w:rPr>
      </w:pPr>
      <w:r w:rsidRPr="00F15354">
        <w:rPr>
          <w:b/>
          <w:bCs/>
          <w:sz w:val="48"/>
          <w:szCs w:val="48"/>
        </w:rPr>
        <w:t>(PORTH AGORED and U</w:t>
      </w:r>
      <w:r w:rsidR="6E4F6729" w:rsidRPr="00F15354">
        <w:rPr>
          <w:b/>
          <w:bCs/>
          <w:sz w:val="48"/>
          <w:szCs w:val="48"/>
        </w:rPr>
        <w:t>NIVERSITY OF WALES TRINITY SAINT DAVID</w:t>
      </w:r>
      <w:r w:rsidRPr="00F15354">
        <w:rPr>
          <w:b/>
          <w:bCs/>
          <w:sz w:val="48"/>
          <w:szCs w:val="48"/>
        </w:rPr>
        <w:t>)</w:t>
      </w:r>
    </w:p>
    <w:p w14:paraId="024B1E2F" w14:textId="77777777" w:rsidR="0085230E" w:rsidRPr="00FE5F90" w:rsidRDefault="0085230E" w:rsidP="00F927A1">
      <w:pPr>
        <w:ind w:right="-957"/>
        <w:rPr>
          <w:b/>
          <w:sz w:val="14"/>
          <w:szCs w:val="2"/>
        </w:rPr>
      </w:pPr>
    </w:p>
    <w:p w14:paraId="16D1A022" w14:textId="77777777" w:rsidR="0085230E" w:rsidRPr="00F927A1" w:rsidRDefault="0085230E" w:rsidP="00F927A1">
      <w:pPr>
        <w:ind w:right="-957"/>
        <w:rPr>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64EB68E" w:rsidR="00986B43" w:rsidRPr="00385EC4" w:rsidRDefault="00986B43" w:rsidP="005D3F07">
            <w:pPr>
              <w:ind w:right="-957"/>
              <w:rPr>
                <w:b/>
                <w:sz w:val="44"/>
                <w:szCs w:val="44"/>
              </w:rPr>
            </w:pPr>
            <w:r w:rsidRPr="00385EC4">
              <w:rPr>
                <w:b/>
                <w:sz w:val="44"/>
                <w:szCs w:val="44"/>
              </w:rPr>
              <w:t>Learner’s name:</w:t>
            </w:r>
            <w:r w:rsidR="00247265" w:rsidRPr="00385EC4">
              <w:rPr>
                <w:b/>
                <w:sz w:val="44"/>
                <w:szCs w:val="44"/>
              </w:rPr>
              <w:t xml:space="preserve"> </w:t>
            </w:r>
            <w:r w:rsidR="00E73650" w:rsidRPr="00385EC4">
              <w:rPr>
                <w:b/>
                <w:sz w:val="44"/>
                <w:szCs w:val="44"/>
              </w:rPr>
              <w:t>Rhiannon Valentine</w:t>
            </w:r>
          </w:p>
          <w:p w14:paraId="0B6CD0DB" w14:textId="689515B5" w:rsidR="009C337F" w:rsidRPr="00385EC4" w:rsidRDefault="009C337F" w:rsidP="005D3F07">
            <w:pPr>
              <w:ind w:right="-957"/>
              <w:rPr>
                <w:b/>
                <w:sz w:val="44"/>
                <w:szCs w:val="44"/>
              </w:rPr>
            </w:pPr>
          </w:p>
          <w:p w14:paraId="3C163E82" w14:textId="77777777" w:rsidR="005A6C08" w:rsidRDefault="005A6C08" w:rsidP="005A6C08">
            <w:pPr>
              <w:ind w:right="-957"/>
              <w:rPr>
                <w:b/>
                <w:sz w:val="44"/>
                <w:szCs w:val="44"/>
              </w:rPr>
            </w:pPr>
            <w:r w:rsidRPr="00F447D3">
              <w:rPr>
                <w:b/>
                <w:sz w:val="40"/>
                <w:szCs w:val="40"/>
              </w:rPr>
              <w:t xml:space="preserve">Email address: </w:t>
            </w:r>
            <w:hyperlink r:id="rId11" w:history="1">
              <w:r w:rsidRPr="005A6C08">
                <w:rPr>
                  <w:rStyle w:val="Hyperlink"/>
                  <w:b/>
                  <w:color w:val="000000" w:themeColor="text1"/>
                  <w:sz w:val="44"/>
                  <w:szCs w:val="44"/>
                </w:rPr>
                <w:t>2332654@student.uwtsd.ac.uk</w:t>
              </w:r>
            </w:hyperlink>
          </w:p>
          <w:p w14:paraId="3C68E28F" w14:textId="77777777" w:rsidR="005A6C08" w:rsidRPr="00F447D3" w:rsidRDefault="005A6C08" w:rsidP="005A6C08">
            <w:pPr>
              <w:ind w:right="-957"/>
              <w:rPr>
                <w:b/>
                <w:sz w:val="40"/>
                <w:szCs w:val="40"/>
              </w:rPr>
            </w:pPr>
          </w:p>
          <w:p w14:paraId="1EC85FEB" w14:textId="77777777" w:rsidR="005A6C08" w:rsidRPr="00F447D3" w:rsidRDefault="005A6C08" w:rsidP="005A6C08">
            <w:pPr>
              <w:ind w:right="-957"/>
              <w:rPr>
                <w:b/>
                <w:sz w:val="40"/>
                <w:szCs w:val="40"/>
              </w:rPr>
            </w:pPr>
            <w:r w:rsidRPr="00F447D3">
              <w:rPr>
                <w:b/>
                <w:sz w:val="40"/>
                <w:szCs w:val="40"/>
              </w:rPr>
              <w:t>Learner’s University Registration Number:</w:t>
            </w:r>
          </w:p>
          <w:p w14:paraId="0814774B" w14:textId="77777777" w:rsidR="005A6C08" w:rsidRPr="00B8420C" w:rsidRDefault="005A6C08" w:rsidP="005A6C08">
            <w:pPr>
              <w:ind w:right="-957"/>
              <w:rPr>
                <w:b/>
                <w:sz w:val="40"/>
                <w:szCs w:val="40"/>
              </w:rPr>
            </w:pPr>
            <w:r w:rsidRPr="00B8420C">
              <w:rPr>
                <w:sz w:val="40"/>
                <w:szCs w:val="40"/>
              </w:rPr>
              <w:t>2332654</w:t>
            </w:r>
            <w:bookmarkStart w:id="0" w:name="_GoBack"/>
            <w:bookmarkEnd w:id="0"/>
          </w:p>
          <w:p w14:paraId="622FD17A" w14:textId="77777777" w:rsidR="0085230E" w:rsidRPr="00385EC4" w:rsidRDefault="0085230E" w:rsidP="005D3F07">
            <w:pPr>
              <w:ind w:right="-957"/>
              <w:rPr>
                <w:b/>
                <w:sz w:val="44"/>
                <w:szCs w:val="44"/>
              </w:rPr>
            </w:pPr>
          </w:p>
          <w:p w14:paraId="5F84129B" w14:textId="4756DF69" w:rsidR="0085230E" w:rsidRPr="005D3F07" w:rsidRDefault="00706BB5" w:rsidP="005D3F07">
            <w:pPr>
              <w:ind w:right="-957"/>
              <w:rPr>
                <w:b/>
                <w:sz w:val="48"/>
              </w:rPr>
            </w:pPr>
            <w:r w:rsidRPr="00385EC4">
              <w:rPr>
                <w:b/>
                <w:sz w:val="44"/>
                <w:szCs w:val="44"/>
              </w:rPr>
              <w:t xml:space="preserve">Cohort: </w:t>
            </w:r>
            <w:r w:rsidR="0049374F" w:rsidRPr="00385EC4">
              <w:rPr>
                <w:b/>
                <w:sz w:val="44"/>
                <w:szCs w:val="44"/>
              </w:rPr>
              <w:t>21</w:t>
            </w:r>
            <w:r w:rsidR="00AE6231" w:rsidRPr="00385EC4">
              <w:rPr>
                <w:b/>
                <w:sz w:val="44"/>
                <w:szCs w:val="44"/>
              </w:rPr>
              <w:t>onwards</w:t>
            </w:r>
          </w:p>
        </w:tc>
      </w:tr>
    </w:tbl>
    <w:p w14:paraId="40F3C009" w14:textId="77777777" w:rsidR="00F927A1" w:rsidRPr="00F927A1" w:rsidRDefault="008420E1" w:rsidP="00986B43">
      <w:pPr>
        <w:ind w:right="-957"/>
        <w:rPr>
          <w:b/>
          <w:sz w:val="48"/>
        </w:rPr>
      </w:pPr>
      <w:r>
        <w:rPr>
          <w:b/>
          <w:sz w:val="48"/>
        </w:rPr>
        <w:t xml:space="preserve"> </w:t>
      </w:r>
    </w:p>
    <w:p w14:paraId="621AF8BA" w14:textId="77777777" w:rsidR="00F927A1" w:rsidRPr="00F927A1" w:rsidRDefault="00F927A1" w:rsidP="00F927A1"/>
    <w:p w14:paraId="3FC4E125" w14:textId="77777777" w:rsidR="00F927A1" w:rsidRPr="00F927A1" w:rsidRDefault="00F927A1" w:rsidP="00F927A1">
      <w:pPr>
        <w:ind w:right="-957"/>
        <w:rPr>
          <w:b/>
          <w:sz w:val="48"/>
        </w:rPr>
      </w:pPr>
    </w:p>
    <w:p w14:paraId="025CB5FE" w14:textId="1EB157DC" w:rsidR="00E559CE" w:rsidRDefault="00E83F91" w:rsidP="005B3A2D">
      <w:pPr>
        <w:jc w:val="center"/>
        <w:rPr>
          <w:b/>
        </w:rPr>
      </w:pPr>
      <w:r>
        <w:rPr>
          <w:b/>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rPr>
      </w:pPr>
    </w:p>
    <w:p w14:paraId="63836D76" w14:textId="77777777" w:rsidR="00337FEF" w:rsidRPr="00EE5BC3" w:rsidRDefault="008B28E7" w:rsidP="00FF7EBB">
      <w:pPr>
        <w:ind w:left="-90"/>
        <w:jc w:val="both"/>
        <w:rPr>
          <w:b/>
          <w:i/>
        </w:rPr>
      </w:pPr>
      <w:r w:rsidRPr="00EE5BC3">
        <w:rPr>
          <w:b/>
          <w:i/>
        </w:rPr>
        <w:t xml:space="preserve">Guidance: </w:t>
      </w:r>
    </w:p>
    <w:p w14:paraId="440B2467" w14:textId="322DDD98" w:rsidR="00633165" w:rsidRPr="00706BB5" w:rsidRDefault="00012B16" w:rsidP="4EC15626">
      <w:pPr>
        <w:ind w:left="-90"/>
        <w:jc w:val="both"/>
        <w:rPr>
          <w:i/>
          <w:iCs/>
        </w:rPr>
      </w:pPr>
      <w:r w:rsidRPr="00F15354">
        <w:rPr>
          <w:i/>
          <w:iCs/>
        </w:rPr>
        <w:t>Social Care Wales</w:t>
      </w:r>
      <w:r w:rsidR="008B28E7" w:rsidRPr="006179BB">
        <w:rPr>
          <w:i/>
          <w:iCs/>
        </w:rPr>
        <w:t xml:space="preserve"> require newly qualified social workers </w:t>
      </w:r>
      <w:r w:rsidR="00D60F88" w:rsidRPr="006179BB">
        <w:rPr>
          <w:i/>
          <w:iCs/>
        </w:rPr>
        <w:t xml:space="preserve">to provide evidence of </w:t>
      </w:r>
      <w:r w:rsidR="008B28E7" w:rsidRPr="00A5656A">
        <w:rPr>
          <w:i/>
          <w:iCs/>
        </w:rPr>
        <w:t xml:space="preserve">their </w:t>
      </w:r>
      <w:r w:rsidR="00D60F88" w:rsidRPr="00A5656A">
        <w:rPr>
          <w:i/>
          <w:iCs/>
        </w:rPr>
        <w:t>understanding of safeguarding work with adults and children</w:t>
      </w:r>
      <w:r w:rsidR="008B28E7" w:rsidRPr="009C7342">
        <w:rPr>
          <w:i/>
          <w:iCs/>
        </w:rPr>
        <w:t>.</w:t>
      </w:r>
      <w:r w:rsidR="00D60F88" w:rsidRPr="009C7342">
        <w:rPr>
          <w:i/>
          <w:iCs/>
        </w:rPr>
        <w:t xml:space="preserve"> </w:t>
      </w:r>
      <w:r w:rsidR="004911B4" w:rsidRPr="00706BB5">
        <w:rPr>
          <w:i/>
          <w:iCs/>
        </w:rPr>
        <w:t>The</w:t>
      </w:r>
      <w:r w:rsidR="00D60F88" w:rsidRPr="00706BB5">
        <w:rPr>
          <w:i/>
          <w:iCs/>
        </w:rPr>
        <w:t xml:space="preserve"> assignment below will enable you to </w:t>
      </w:r>
      <w:r w:rsidR="00EE5BC3" w:rsidRPr="00706BB5">
        <w:rPr>
          <w:i/>
          <w:iCs/>
        </w:rPr>
        <w:t>demonstrate this</w:t>
      </w:r>
      <w:r w:rsidR="008B28E7" w:rsidRPr="00706BB5">
        <w:rPr>
          <w:i/>
          <w:iCs/>
        </w:rPr>
        <w:t xml:space="preserve">. </w:t>
      </w:r>
      <w:r w:rsidR="008B28E7" w:rsidRPr="00706BB5">
        <w:rPr>
          <w:b/>
          <w:bCs/>
          <w:i/>
          <w:iCs/>
        </w:rPr>
        <w:t>N.B</w:t>
      </w:r>
      <w:r w:rsidR="008B28E7" w:rsidRPr="00706BB5">
        <w:rPr>
          <w:i/>
          <w:iCs/>
        </w:rPr>
        <w:t xml:space="preserve">. </w:t>
      </w:r>
      <w:r w:rsidR="00D60F88" w:rsidRPr="00706BB5">
        <w:rPr>
          <w:i/>
          <w:iCs/>
        </w:rPr>
        <w:t xml:space="preserve">if your </w:t>
      </w:r>
      <w:r w:rsidR="009D477B" w:rsidRPr="00706BB5">
        <w:rPr>
          <w:i/>
          <w:iCs/>
        </w:rPr>
        <w:t>usual area</w:t>
      </w:r>
      <w:r w:rsidR="00D60F88" w:rsidRPr="00706BB5">
        <w:rPr>
          <w:i/>
          <w:iCs/>
        </w:rPr>
        <w:t xml:space="preserve"> of work is with children please write about adult</w:t>
      </w:r>
      <w:r w:rsidR="003C19F1" w:rsidRPr="00706BB5">
        <w:rPr>
          <w:i/>
          <w:iCs/>
        </w:rPr>
        <w:t xml:space="preserve"> safeguarding. I</w:t>
      </w:r>
      <w:r w:rsidR="00D60F88" w:rsidRPr="00706BB5">
        <w:rPr>
          <w:i/>
          <w:iCs/>
        </w:rPr>
        <w:t xml:space="preserve">f you </w:t>
      </w:r>
      <w:r w:rsidR="009D477B" w:rsidRPr="00706BB5">
        <w:rPr>
          <w:i/>
          <w:iCs/>
        </w:rPr>
        <w:t>usually work</w:t>
      </w:r>
      <w:r w:rsidR="00D60F88" w:rsidRPr="00706BB5">
        <w:rPr>
          <w:i/>
          <w:iCs/>
        </w:rPr>
        <w:t xml:space="preserve"> with adults</w:t>
      </w:r>
      <w:r w:rsidR="3CD2139F" w:rsidRPr="00706BB5">
        <w:rPr>
          <w:i/>
          <w:iCs/>
        </w:rPr>
        <w:t>,</w:t>
      </w:r>
      <w:r w:rsidR="00D60F88" w:rsidRPr="00706BB5">
        <w:rPr>
          <w:i/>
          <w:iCs/>
        </w:rPr>
        <w:t xml:space="preserve"> then write about child</w:t>
      </w:r>
      <w:r w:rsidR="003C19F1" w:rsidRPr="00706BB5">
        <w:rPr>
          <w:i/>
          <w:iCs/>
        </w:rPr>
        <w:t xml:space="preserve"> safeguarding</w:t>
      </w:r>
      <w:r w:rsidR="00D60F88" w:rsidRPr="00706BB5">
        <w:rPr>
          <w:i/>
          <w:iCs/>
        </w:rPr>
        <w:t xml:space="preserve">. </w:t>
      </w:r>
      <w:r w:rsidR="00337FEF" w:rsidRPr="00706BB5">
        <w:rPr>
          <w:i/>
          <w:iCs/>
        </w:rPr>
        <w:t xml:space="preserve"> </w:t>
      </w:r>
      <w:r w:rsidR="0079422A" w:rsidRPr="00706BB5">
        <w:rPr>
          <w:i/>
          <w:iCs/>
        </w:rPr>
        <w:t>E</w:t>
      </w:r>
      <w:r w:rsidR="00337FEF" w:rsidRPr="00706BB5">
        <w:rPr>
          <w:i/>
          <w:iCs/>
        </w:rPr>
        <w:t xml:space="preserve">nsure you meet </w:t>
      </w:r>
      <w:r w:rsidR="00FC0334" w:rsidRPr="00706BB5">
        <w:rPr>
          <w:i/>
          <w:iCs/>
        </w:rPr>
        <w:t>the</w:t>
      </w:r>
      <w:r w:rsidR="00AA7960" w:rsidRPr="00706BB5">
        <w:rPr>
          <w:i/>
          <w:iCs/>
        </w:rPr>
        <w:t xml:space="preserve"> </w:t>
      </w:r>
      <w:r w:rsidR="00064063" w:rsidRPr="00706BB5">
        <w:rPr>
          <w:i/>
          <w:iCs/>
        </w:rPr>
        <w:t xml:space="preserve">learning out comes for this task </w:t>
      </w:r>
      <w:r w:rsidR="0079422A" w:rsidRPr="00706BB5">
        <w:rPr>
          <w:i/>
          <w:iCs/>
        </w:rPr>
        <w:t>(</w:t>
      </w:r>
      <w:r w:rsidR="00064063" w:rsidRPr="00706BB5">
        <w:rPr>
          <w:i/>
          <w:iCs/>
        </w:rPr>
        <w:t xml:space="preserve">see appendix </w:t>
      </w:r>
      <w:r w:rsidR="003D1BC0">
        <w:rPr>
          <w:i/>
          <w:iCs/>
        </w:rPr>
        <w:t>5</w:t>
      </w:r>
      <w:r w:rsidR="00064063" w:rsidRPr="00706BB5">
        <w:rPr>
          <w:i/>
          <w:iCs/>
        </w:rPr>
        <w:t xml:space="preserve"> </w:t>
      </w:r>
      <w:r w:rsidR="00FC0334" w:rsidRPr="00F15354">
        <w:rPr>
          <w:i/>
          <w:iCs/>
        </w:rPr>
        <w:t>of the</w:t>
      </w:r>
      <w:r w:rsidR="007A628F" w:rsidRPr="4EC15626">
        <w:rPr>
          <w:i/>
          <w:iCs/>
        </w:rPr>
        <w:t xml:space="preserve"> h</w:t>
      </w:r>
      <w:r w:rsidR="00FC0334" w:rsidRPr="00F15354">
        <w:rPr>
          <w:i/>
          <w:iCs/>
        </w:rPr>
        <w:t>andbook</w:t>
      </w:r>
      <w:r w:rsidR="0079422A" w:rsidRPr="006179BB">
        <w:rPr>
          <w:i/>
          <w:iCs/>
        </w:rPr>
        <w:t>).</w:t>
      </w:r>
    </w:p>
    <w:p w14:paraId="7A8069C4" w14:textId="77777777" w:rsidR="00633165" w:rsidRPr="008B28E7" w:rsidRDefault="00633165" w:rsidP="00FF7EBB">
      <w:pPr>
        <w:ind w:left="360" w:hanging="360"/>
        <w:jc w:val="both"/>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C36807">
            <w:pPr>
              <w:spacing w:line="360" w:lineRule="auto"/>
              <w:jc w:val="both"/>
              <w:rPr>
                <w:b/>
              </w:rPr>
            </w:pPr>
            <w:r w:rsidRPr="00EB695F">
              <w:rPr>
                <w:b/>
              </w:rPr>
              <w:t>Question</w:t>
            </w:r>
            <w:r w:rsidR="00FC0334">
              <w:rPr>
                <w:b/>
              </w:rPr>
              <w:t xml:space="preserve"> a</w:t>
            </w:r>
            <w:r w:rsidR="007A628F">
              <w:rPr>
                <w:b/>
              </w:rPr>
              <w:t>:</w:t>
            </w:r>
          </w:p>
          <w:p w14:paraId="17A49383" w14:textId="77777777" w:rsidR="008B28E7" w:rsidRDefault="00BB7FD2" w:rsidP="00C36807">
            <w:pPr>
              <w:spacing w:line="360" w:lineRule="auto"/>
              <w:jc w:val="both"/>
            </w:pPr>
            <w:r>
              <w:t xml:space="preserve">In an area </w:t>
            </w:r>
            <w:r w:rsidRPr="00AE1868">
              <w:rPr>
                <w:b/>
              </w:rPr>
              <w:t xml:space="preserve">that is not your main focus of work </w:t>
            </w:r>
            <w:r>
              <w:t xml:space="preserve">(see guidance above), </w:t>
            </w:r>
            <w:r w:rsidR="0002440E">
              <w:t>explain</w:t>
            </w:r>
            <w:r w:rsidR="008340BA">
              <w:t xml:space="preserve"> </w:t>
            </w:r>
            <w:r w:rsidR="00DA22EC" w:rsidRPr="006108C9">
              <w:t>the</w:t>
            </w:r>
            <w:r w:rsidR="005A545C" w:rsidRPr="006108C9">
              <w:t xml:space="preserve"> relevant </w:t>
            </w:r>
            <w:r>
              <w:t xml:space="preserve">legislation, </w:t>
            </w:r>
            <w:r w:rsidR="0002440E">
              <w:t>and</w:t>
            </w:r>
            <w:r w:rsidR="008340BA">
              <w:t xml:space="preserve"> the </w:t>
            </w:r>
            <w:r w:rsidR="005A545C" w:rsidRPr="006108C9">
              <w:t>national, local and organisational policies and procedures</w:t>
            </w:r>
            <w:r>
              <w:t xml:space="preserve"> for safeguarding. </w:t>
            </w:r>
          </w:p>
          <w:p w14:paraId="1FBBCFA0" w14:textId="226EF8C0" w:rsidR="006108C9" w:rsidRDefault="006108C9" w:rsidP="00C36807">
            <w:pPr>
              <w:spacing w:line="360" w:lineRule="auto"/>
              <w:jc w:val="both"/>
            </w:pPr>
          </w:p>
          <w:p w14:paraId="40DABCB6" w14:textId="080D3C07" w:rsidR="00A05CF3" w:rsidRPr="00C36807" w:rsidRDefault="00A05CF3" w:rsidP="00C36807">
            <w:pPr>
              <w:spacing w:line="360" w:lineRule="auto"/>
              <w:jc w:val="both"/>
              <w:rPr>
                <w:rFonts w:asciiTheme="minorHAnsi" w:hAnsiTheme="minorHAnsi" w:cstheme="minorHAnsi"/>
              </w:rPr>
            </w:pPr>
            <w:r w:rsidRPr="00C36807">
              <w:rPr>
                <w:rFonts w:asciiTheme="minorHAnsi" w:hAnsiTheme="minorHAnsi" w:cstheme="minorHAnsi"/>
              </w:rPr>
              <w:t>The Social Services and Well-being (Wales) Act 2014, provides the legislative framework for safeguarding adults and children in Wales. Th</w:t>
            </w:r>
            <w:r w:rsidR="00190899">
              <w:rPr>
                <w:rFonts w:asciiTheme="minorHAnsi" w:hAnsiTheme="minorHAnsi" w:cstheme="minorHAnsi"/>
              </w:rPr>
              <w:t xml:space="preserve">roughout the Act there </w:t>
            </w:r>
            <w:r w:rsidRPr="00C36807">
              <w:rPr>
                <w:rFonts w:asciiTheme="minorHAnsi" w:hAnsiTheme="minorHAnsi" w:cstheme="minorHAnsi"/>
              </w:rPr>
              <w:t>is a code for each part, ex</w:t>
            </w:r>
            <w:r w:rsidR="00190899">
              <w:rPr>
                <w:rFonts w:asciiTheme="minorHAnsi" w:hAnsiTheme="minorHAnsi" w:cstheme="minorHAnsi"/>
              </w:rPr>
              <w:t>cluding</w:t>
            </w:r>
            <w:r w:rsidRPr="00C36807">
              <w:rPr>
                <w:rFonts w:asciiTheme="minorHAnsi" w:hAnsiTheme="minorHAnsi" w:cstheme="minorHAnsi"/>
              </w:rPr>
              <w:t xml:space="preserve"> Part 7 which </w:t>
            </w:r>
            <w:r w:rsidR="00190899">
              <w:rPr>
                <w:rFonts w:asciiTheme="minorHAnsi" w:hAnsiTheme="minorHAnsi" w:cstheme="minorHAnsi"/>
              </w:rPr>
              <w:t>links</w:t>
            </w:r>
            <w:r w:rsidRPr="00C36807">
              <w:rPr>
                <w:rFonts w:asciiTheme="minorHAnsi" w:hAnsiTheme="minorHAnsi" w:cstheme="minorHAnsi"/>
              </w:rPr>
              <w:t xml:space="preserve"> to safeguarding </w:t>
            </w:r>
            <w:r w:rsidR="00190899">
              <w:rPr>
                <w:rFonts w:asciiTheme="minorHAnsi" w:hAnsiTheme="minorHAnsi" w:cstheme="minorHAnsi"/>
              </w:rPr>
              <w:t>particularly</w:t>
            </w:r>
            <w:r w:rsidRPr="00C36807">
              <w:rPr>
                <w:rFonts w:asciiTheme="minorHAnsi" w:hAnsiTheme="minorHAnsi" w:cstheme="minorHAnsi"/>
              </w:rPr>
              <w:t xml:space="preserve">. Safeguarding </w:t>
            </w:r>
            <w:r w:rsidR="00190899">
              <w:rPr>
                <w:rFonts w:asciiTheme="minorHAnsi" w:hAnsiTheme="minorHAnsi" w:cstheme="minorHAnsi"/>
              </w:rPr>
              <w:t>conditions</w:t>
            </w:r>
            <w:r w:rsidRPr="00C36807">
              <w:rPr>
                <w:rFonts w:asciiTheme="minorHAnsi" w:hAnsiTheme="minorHAnsi" w:cstheme="minorHAnsi"/>
              </w:rPr>
              <w:t xml:space="preserve"> under the Act are </w:t>
            </w:r>
            <w:r w:rsidR="00190899">
              <w:rPr>
                <w:rFonts w:asciiTheme="minorHAnsi" w:hAnsiTheme="minorHAnsi" w:cstheme="minorHAnsi"/>
              </w:rPr>
              <w:t>set</w:t>
            </w:r>
            <w:r w:rsidRPr="00C36807">
              <w:rPr>
                <w:rFonts w:asciiTheme="minorHAnsi" w:hAnsiTheme="minorHAnsi" w:cstheme="minorHAnsi"/>
              </w:rPr>
              <w:t xml:space="preserve"> out in the statutory guidance ‘Working Together to Safeguard People’, this is the legislation that </w:t>
            </w:r>
            <w:r w:rsidR="00190899">
              <w:rPr>
                <w:rFonts w:asciiTheme="minorHAnsi" w:hAnsiTheme="minorHAnsi" w:cstheme="minorHAnsi"/>
              </w:rPr>
              <w:t xml:space="preserve">provides </w:t>
            </w:r>
            <w:r w:rsidRPr="00C36807">
              <w:rPr>
                <w:rFonts w:asciiTheme="minorHAnsi" w:hAnsiTheme="minorHAnsi" w:cstheme="minorHAnsi"/>
              </w:rPr>
              <w:t xml:space="preserve">the </w:t>
            </w:r>
            <w:r w:rsidR="00190899">
              <w:rPr>
                <w:rFonts w:asciiTheme="minorHAnsi" w:hAnsiTheme="minorHAnsi" w:cstheme="minorHAnsi"/>
              </w:rPr>
              <w:t>structure</w:t>
            </w:r>
            <w:r w:rsidRPr="00C36807">
              <w:rPr>
                <w:rFonts w:asciiTheme="minorHAnsi" w:hAnsiTheme="minorHAnsi" w:cstheme="minorHAnsi"/>
              </w:rPr>
              <w:t xml:space="preserve"> for Wales Safeguarding Procedures (Wal</w:t>
            </w:r>
            <w:r w:rsidR="002C267C">
              <w:rPr>
                <w:rFonts w:asciiTheme="minorHAnsi" w:hAnsiTheme="minorHAnsi" w:cstheme="minorHAnsi"/>
              </w:rPr>
              <w:t>es Safeguarding Procedures, 2020</w:t>
            </w:r>
            <w:r w:rsidRPr="00C36807">
              <w:rPr>
                <w:rFonts w:asciiTheme="minorHAnsi" w:hAnsiTheme="minorHAnsi" w:cstheme="minorHAnsi"/>
              </w:rPr>
              <w:t xml:space="preserve">). Throughout the procedures there is ‘pointers for practice’, whilst the procedures provide instruction on what to do, the pointers for practice offer </w:t>
            </w:r>
            <w:r w:rsidR="00190899">
              <w:rPr>
                <w:rFonts w:asciiTheme="minorHAnsi" w:hAnsiTheme="minorHAnsi" w:cstheme="minorHAnsi"/>
              </w:rPr>
              <w:t>material</w:t>
            </w:r>
            <w:r w:rsidRPr="00C36807">
              <w:rPr>
                <w:rFonts w:asciiTheme="minorHAnsi" w:hAnsiTheme="minorHAnsi" w:cstheme="minorHAnsi"/>
              </w:rPr>
              <w:t xml:space="preserve"> on how to complete the task. </w:t>
            </w:r>
            <w:r w:rsidR="00C71FA3" w:rsidRPr="00C36807">
              <w:rPr>
                <w:rFonts w:asciiTheme="minorHAnsi" w:hAnsiTheme="minorHAnsi" w:cstheme="minorHAnsi"/>
              </w:rPr>
              <w:t>The Wales Safeguarding Procedures regulate practice between sectors and agencies throughout Wales. The purpose of the procedures is to direct safeguarding practice for everyone employed in private, statutory and third sector, in education, health, justice, police, social care and other services (Wales Safeguarding Procedures, 2025).</w:t>
            </w:r>
            <w:r w:rsidR="00211ABE" w:rsidRPr="00C36807">
              <w:rPr>
                <w:rFonts w:asciiTheme="minorHAnsi" w:hAnsiTheme="minorHAnsi" w:cstheme="minorHAnsi"/>
              </w:rPr>
              <w:t xml:space="preserve"> There are six safeguarding boards across Wales, and these provide support within their areas, to ensure adults </w:t>
            </w:r>
            <w:r w:rsidR="000832E4">
              <w:rPr>
                <w:rFonts w:asciiTheme="minorHAnsi" w:hAnsiTheme="minorHAnsi" w:cstheme="minorHAnsi"/>
              </w:rPr>
              <w:t>that</w:t>
            </w:r>
            <w:r w:rsidR="00211ABE" w:rsidRPr="00C36807">
              <w:rPr>
                <w:rFonts w:asciiTheme="minorHAnsi" w:hAnsiTheme="minorHAnsi" w:cstheme="minorHAnsi"/>
              </w:rPr>
              <w:t xml:space="preserve"> have care and support needs are protected from abuse or neglect and to </w:t>
            </w:r>
            <w:r w:rsidR="00190899">
              <w:rPr>
                <w:rFonts w:asciiTheme="minorHAnsi" w:hAnsiTheme="minorHAnsi" w:cstheme="minorHAnsi"/>
              </w:rPr>
              <w:t>avoid</w:t>
            </w:r>
            <w:r w:rsidR="00211ABE" w:rsidRPr="00C36807">
              <w:rPr>
                <w:rFonts w:asciiTheme="minorHAnsi" w:hAnsiTheme="minorHAnsi" w:cstheme="minorHAnsi"/>
              </w:rPr>
              <w:t xml:space="preserve"> adults at risk of becoming abused or neglected.  </w:t>
            </w:r>
          </w:p>
          <w:p w14:paraId="45940723" w14:textId="77777777" w:rsidR="00211ABE" w:rsidRPr="00C36807" w:rsidRDefault="00211ABE" w:rsidP="00C36807">
            <w:pPr>
              <w:spacing w:line="360" w:lineRule="auto"/>
              <w:jc w:val="both"/>
              <w:rPr>
                <w:rFonts w:asciiTheme="minorHAnsi" w:hAnsiTheme="minorHAnsi" w:cstheme="minorHAnsi"/>
              </w:rPr>
            </w:pPr>
          </w:p>
          <w:p w14:paraId="6984CE17" w14:textId="1BD2D5EE" w:rsidR="00634B8F" w:rsidRPr="00C36807" w:rsidRDefault="0017741A" w:rsidP="00C36807">
            <w:pPr>
              <w:spacing w:line="360" w:lineRule="auto"/>
              <w:jc w:val="both"/>
              <w:rPr>
                <w:rFonts w:asciiTheme="minorHAnsi" w:hAnsiTheme="minorHAnsi" w:cstheme="minorHAnsi"/>
              </w:rPr>
            </w:pPr>
            <w:r w:rsidRPr="00C36807">
              <w:rPr>
                <w:rFonts w:asciiTheme="minorHAnsi" w:hAnsiTheme="minorHAnsi" w:cstheme="minorHAnsi"/>
              </w:rPr>
              <w:t xml:space="preserve">An “adult at risk” is defined under Section 125 of the Social Services and Well-being (Wales) Act 2014 as an adult who is </w:t>
            </w:r>
            <w:r w:rsidR="00190899">
              <w:rPr>
                <w:rFonts w:asciiTheme="minorHAnsi" w:hAnsiTheme="minorHAnsi" w:cstheme="minorHAnsi"/>
              </w:rPr>
              <w:t>undergoing</w:t>
            </w:r>
            <w:r w:rsidRPr="00C36807">
              <w:rPr>
                <w:rFonts w:asciiTheme="minorHAnsi" w:hAnsiTheme="minorHAnsi" w:cstheme="minorHAnsi"/>
              </w:rPr>
              <w:t xml:space="preserve"> or is at risk of abuse or neglect, has care and support needs, and due to their needs is </w:t>
            </w:r>
            <w:r w:rsidR="00190899">
              <w:rPr>
                <w:rFonts w:asciiTheme="minorHAnsi" w:hAnsiTheme="minorHAnsi" w:cstheme="minorHAnsi"/>
              </w:rPr>
              <w:t>unable</w:t>
            </w:r>
            <w:r w:rsidRPr="00C36807">
              <w:rPr>
                <w:rFonts w:asciiTheme="minorHAnsi" w:hAnsiTheme="minorHAnsi" w:cstheme="minorHAnsi"/>
              </w:rPr>
              <w:t xml:space="preserve"> to protect themselves against the abuse or neglect or the risk of it (Welsh </w:t>
            </w:r>
            <w:r w:rsidRPr="00C36807">
              <w:rPr>
                <w:rFonts w:asciiTheme="minorHAnsi" w:hAnsiTheme="minorHAnsi" w:cstheme="minorHAnsi"/>
              </w:rPr>
              <w:lastRenderedPageBreak/>
              <w:t>Government, 2018</w:t>
            </w:r>
            <w:r w:rsidR="00320769">
              <w:rPr>
                <w:rFonts w:asciiTheme="minorHAnsi" w:hAnsiTheme="minorHAnsi" w:cstheme="minorHAnsi"/>
              </w:rPr>
              <w:t>a</w:t>
            </w:r>
            <w:r w:rsidRPr="00C36807">
              <w:rPr>
                <w:rFonts w:asciiTheme="minorHAnsi" w:hAnsiTheme="minorHAnsi" w:cstheme="minorHAnsi"/>
              </w:rPr>
              <w:t>).</w:t>
            </w:r>
            <w:r w:rsidR="00F15F5F" w:rsidRPr="00C36807">
              <w:rPr>
                <w:rFonts w:asciiTheme="minorHAnsi" w:hAnsiTheme="minorHAnsi" w:cstheme="minorHAnsi"/>
              </w:rPr>
              <w:t xml:space="preserve"> There are two key principles for effective safeguarding, a person-centred approach, to ensure effective safeguarding arrangements they </w:t>
            </w:r>
            <w:r w:rsidR="00190899">
              <w:rPr>
                <w:rFonts w:asciiTheme="minorHAnsi" w:hAnsiTheme="minorHAnsi" w:cstheme="minorHAnsi"/>
              </w:rPr>
              <w:t>must</w:t>
            </w:r>
            <w:r w:rsidR="00F15F5F" w:rsidRPr="00C36807">
              <w:rPr>
                <w:rFonts w:asciiTheme="minorHAnsi" w:hAnsiTheme="minorHAnsi" w:cstheme="minorHAnsi"/>
              </w:rPr>
              <w:t xml:space="preserve"> be </w:t>
            </w:r>
            <w:r w:rsidR="00190899">
              <w:rPr>
                <w:rFonts w:asciiTheme="minorHAnsi" w:hAnsiTheme="minorHAnsi" w:cstheme="minorHAnsi"/>
              </w:rPr>
              <w:t>centred</w:t>
            </w:r>
            <w:r w:rsidR="00F15F5F" w:rsidRPr="00C36807">
              <w:rPr>
                <w:rFonts w:asciiTheme="minorHAnsi" w:hAnsiTheme="minorHAnsi" w:cstheme="minorHAnsi"/>
              </w:rPr>
              <w:t xml:space="preserve"> on a </w:t>
            </w:r>
            <w:r w:rsidR="00190899">
              <w:rPr>
                <w:rFonts w:asciiTheme="minorHAnsi" w:hAnsiTheme="minorHAnsi" w:cstheme="minorHAnsi"/>
              </w:rPr>
              <w:t>strong</w:t>
            </w:r>
            <w:r w:rsidR="00F15F5F" w:rsidRPr="00C36807">
              <w:rPr>
                <w:rFonts w:asciiTheme="minorHAnsi" w:hAnsiTheme="minorHAnsi" w:cstheme="minorHAnsi"/>
              </w:rPr>
              <w:t xml:space="preserve"> understanding of the adults wishes and their personal outcomes, whilst also remembering that safeguarding is everyone’s responsibility (Welsh Government, 2019). </w:t>
            </w:r>
            <w:r w:rsidR="0019317A" w:rsidRPr="00C36807">
              <w:rPr>
                <w:rFonts w:asciiTheme="minorHAnsi" w:hAnsiTheme="minorHAnsi" w:cstheme="minorHAnsi"/>
              </w:rPr>
              <w:t xml:space="preserve">It is important for the adult to be empowered to make choices and have the opportunity to develop their own capacity to reply to them. Welsh Government (2019) inform how it is essential for an </w:t>
            </w:r>
            <w:r w:rsidR="00F83CD4" w:rsidRPr="00C36807">
              <w:rPr>
                <w:rFonts w:asciiTheme="minorHAnsi" w:hAnsiTheme="minorHAnsi" w:cstheme="minorHAnsi"/>
              </w:rPr>
              <w:t>adult</w:t>
            </w:r>
            <w:r w:rsidR="005F62EC">
              <w:rPr>
                <w:rFonts w:asciiTheme="minorHAnsi" w:hAnsiTheme="minorHAnsi" w:cstheme="minorHAnsi"/>
              </w:rPr>
              <w:t>’s</w:t>
            </w:r>
            <w:r w:rsidR="0019317A" w:rsidRPr="00C36807">
              <w:rPr>
                <w:rFonts w:asciiTheme="minorHAnsi" w:hAnsiTheme="minorHAnsi" w:cstheme="minorHAnsi"/>
              </w:rPr>
              <w:t xml:space="preserve"> right to safety to be </w:t>
            </w:r>
            <w:r w:rsidR="00190899">
              <w:rPr>
                <w:rFonts w:asciiTheme="minorHAnsi" w:hAnsiTheme="minorHAnsi" w:cstheme="minorHAnsi"/>
              </w:rPr>
              <w:t>compared</w:t>
            </w:r>
            <w:r w:rsidR="0019317A" w:rsidRPr="00C36807">
              <w:rPr>
                <w:rFonts w:asciiTheme="minorHAnsi" w:hAnsiTheme="minorHAnsi" w:cstheme="minorHAnsi"/>
              </w:rPr>
              <w:t xml:space="preserve"> with other rights, such as rights to autonomy, liberty and a right to family life. </w:t>
            </w:r>
            <w:r w:rsidR="001B62C7" w:rsidRPr="00C36807">
              <w:rPr>
                <w:rFonts w:asciiTheme="minorHAnsi" w:hAnsiTheme="minorHAnsi" w:cstheme="minorHAnsi"/>
              </w:rPr>
              <w:t>To protect, respect and ensure human rights are fulfilled, Welsh Government has a legal obligation to act in a way which meets the</w:t>
            </w:r>
            <w:r w:rsidR="00190899" w:rsidRPr="00C36807">
              <w:rPr>
                <w:rFonts w:asciiTheme="minorHAnsi" w:hAnsiTheme="minorHAnsi" w:cstheme="minorHAnsi"/>
              </w:rPr>
              <w:t xml:space="preserve"> Human Rights Act 1998 </w:t>
            </w:r>
            <w:r w:rsidR="00190899">
              <w:rPr>
                <w:rFonts w:asciiTheme="minorHAnsi" w:hAnsiTheme="minorHAnsi" w:cstheme="minorHAnsi"/>
              </w:rPr>
              <w:t xml:space="preserve">and the </w:t>
            </w:r>
            <w:r w:rsidR="001B62C7" w:rsidRPr="00C36807">
              <w:rPr>
                <w:rFonts w:asciiTheme="minorHAnsi" w:hAnsiTheme="minorHAnsi" w:cstheme="minorHAnsi"/>
              </w:rPr>
              <w:t>European Convention on Human Rights</w:t>
            </w:r>
            <w:r w:rsidR="00190899">
              <w:rPr>
                <w:rFonts w:asciiTheme="minorHAnsi" w:hAnsiTheme="minorHAnsi" w:cstheme="minorHAnsi"/>
              </w:rPr>
              <w:t xml:space="preserve"> </w:t>
            </w:r>
            <w:r w:rsidR="00FA4F08" w:rsidRPr="00C36807">
              <w:rPr>
                <w:rFonts w:asciiTheme="minorHAnsi" w:hAnsiTheme="minorHAnsi" w:cstheme="minorHAnsi"/>
              </w:rPr>
              <w:t>(Welsh Government, 2024)</w:t>
            </w:r>
            <w:r w:rsidR="001B62C7" w:rsidRPr="00C36807">
              <w:rPr>
                <w:rFonts w:asciiTheme="minorHAnsi" w:hAnsiTheme="minorHAnsi" w:cstheme="minorHAnsi"/>
              </w:rPr>
              <w:t>.</w:t>
            </w:r>
            <w:r w:rsidR="00946906" w:rsidRPr="00C36807">
              <w:rPr>
                <w:rFonts w:asciiTheme="minorHAnsi" w:hAnsiTheme="minorHAnsi" w:cstheme="minorHAnsi"/>
              </w:rPr>
              <w:t xml:space="preserve"> Adults who are at risk irrespective if they have mental capacity may not wish to have invasive help, which could be an individual brought to justice or an individual being barred from their home.  It is important to consider mental capacity when safeguarding adults, as the Mental Capacity Act 2005 is the legislation </w:t>
            </w:r>
            <w:r w:rsidR="00190899">
              <w:rPr>
                <w:rFonts w:asciiTheme="minorHAnsi" w:hAnsiTheme="minorHAnsi" w:cstheme="minorHAnsi"/>
              </w:rPr>
              <w:t>supporting</w:t>
            </w:r>
            <w:r w:rsidR="00946906" w:rsidRPr="00C36807">
              <w:rPr>
                <w:rFonts w:asciiTheme="minorHAnsi" w:hAnsiTheme="minorHAnsi" w:cstheme="minorHAnsi"/>
              </w:rPr>
              <w:t xml:space="preserve"> practice in this area</w:t>
            </w:r>
            <w:r w:rsidR="005F62EC">
              <w:rPr>
                <w:rFonts w:asciiTheme="minorHAnsi" w:hAnsiTheme="minorHAnsi" w:cstheme="minorHAnsi"/>
              </w:rPr>
              <w:t>,</w:t>
            </w:r>
            <w:r w:rsidR="00946906" w:rsidRPr="00C36807">
              <w:rPr>
                <w:rFonts w:asciiTheme="minorHAnsi" w:hAnsiTheme="minorHAnsi" w:cstheme="minorHAnsi"/>
              </w:rPr>
              <w:t xml:space="preserve"> and provides the statutory framework to </w:t>
            </w:r>
            <w:r w:rsidR="00190899">
              <w:rPr>
                <w:rFonts w:asciiTheme="minorHAnsi" w:hAnsiTheme="minorHAnsi" w:cstheme="minorHAnsi"/>
              </w:rPr>
              <w:t>encourage</w:t>
            </w:r>
            <w:r w:rsidR="00946906" w:rsidRPr="00C36807">
              <w:rPr>
                <w:rFonts w:asciiTheme="minorHAnsi" w:hAnsiTheme="minorHAnsi" w:cstheme="minorHAnsi"/>
              </w:rPr>
              <w:t xml:space="preserve"> and protect vulnerable people </w:t>
            </w:r>
            <w:r w:rsidR="005F62EC">
              <w:rPr>
                <w:rFonts w:asciiTheme="minorHAnsi" w:hAnsiTheme="minorHAnsi" w:cstheme="minorHAnsi"/>
              </w:rPr>
              <w:t xml:space="preserve">who </w:t>
            </w:r>
            <w:r w:rsidR="00946906" w:rsidRPr="00C36807">
              <w:rPr>
                <w:rFonts w:asciiTheme="minorHAnsi" w:hAnsiTheme="minorHAnsi" w:cstheme="minorHAnsi"/>
              </w:rPr>
              <w:t>may be unable to make their own decisions (Community Care, 2017).</w:t>
            </w:r>
            <w:r w:rsidR="00211ABE" w:rsidRPr="00C36807">
              <w:rPr>
                <w:rFonts w:asciiTheme="minorHAnsi" w:hAnsiTheme="minorHAnsi" w:cstheme="minorHAnsi"/>
              </w:rPr>
              <w:t xml:space="preserve"> There are other legislations which will provide framework when there are safeguarding concerns</w:t>
            </w:r>
            <w:r w:rsidR="005F62EC">
              <w:rPr>
                <w:rFonts w:asciiTheme="minorHAnsi" w:hAnsiTheme="minorHAnsi" w:cstheme="minorHAnsi"/>
              </w:rPr>
              <w:t xml:space="preserve">, </w:t>
            </w:r>
            <w:r w:rsidR="00211ABE" w:rsidRPr="00C36807">
              <w:rPr>
                <w:rFonts w:asciiTheme="minorHAnsi" w:hAnsiTheme="minorHAnsi" w:cstheme="minorHAnsi"/>
              </w:rPr>
              <w:t>which could include the Mental Health Act 1983, and the Violence against Women, Domestic Abuse and Sexual Violence (Wales) 2015 Act.</w:t>
            </w:r>
            <w:r w:rsidR="00417EB8" w:rsidRPr="00C36807">
              <w:rPr>
                <w:rFonts w:asciiTheme="minorHAnsi" w:hAnsiTheme="minorHAnsi" w:cstheme="minorHAnsi"/>
              </w:rPr>
              <w:t xml:space="preserve"> In England</w:t>
            </w:r>
            <w:r w:rsidR="005F62EC">
              <w:rPr>
                <w:rFonts w:asciiTheme="minorHAnsi" w:hAnsiTheme="minorHAnsi" w:cstheme="minorHAnsi"/>
              </w:rPr>
              <w:t>,</w:t>
            </w:r>
            <w:r w:rsidR="00417EB8" w:rsidRPr="00C36807">
              <w:rPr>
                <w:rFonts w:asciiTheme="minorHAnsi" w:hAnsiTheme="minorHAnsi" w:cstheme="minorHAnsi"/>
              </w:rPr>
              <w:t xml:space="preserve"> the legislation which </w:t>
            </w:r>
            <w:r w:rsidR="00190899">
              <w:rPr>
                <w:rFonts w:asciiTheme="minorHAnsi" w:hAnsiTheme="minorHAnsi" w:cstheme="minorHAnsi"/>
              </w:rPr>
              <w:t xml:space="preserve">lays </w:t>
            </w:r>
            <w:r w:rsidR="00417EB8" w:rsidRPr="00C36807">
              <w:rPr>
                <w:rFonts w:asciiTheme="minorHAnsi" w:hAnsiTheme="minorHAnsi" w:cstheme="minorHAnsi"/>
              </w:rPr>
              <w:t xml:space="preserve">out </w:t>
            </w:r>
            <w:r w:rsidR="00634B8F" w:rsidRPr="00C36807">
              <w:rPr>
                <w:rFonts w:asciiTheme="minorHAnsi" w:hAnsiTheme="minorHAnsi" w:cstheme="minorHAnsi"/>
              </w:rPr>
              <w:t xml:space="preserve">the </w:t>
            </w:r>
            <w:r w:rsidR="00417EB8" w:rsidRPr="00C36807">
              <w:rPr>
                <w:rFonts w:asciiTheme="minorHAnsi" w:hAnsiTheme="minorHAnsi" w:cstheme="minorHAnsi"/>
              </w:rPr>
              <w:t xml:space="preserve">legal framework for how local authorities and </w:t>
            </w:r>
            <w:r w:rsidR="000832E4">
              <w:rPr>
                <w:rFonts w:asciiTheme="minorHAnsi" w:hAnsiTheme="minorHAnsi" w:cstheme="minorHAnsi"/>
              </w:rPr>
              <w:t>additional</w:t>
            </w:r>
            <w:r w:rsidR="00417EB8" w:rsidRPr="00C36807">
              <w:rPr>
                <w:rFonts w:asciiTheme="minorHAnsi" w:hAnsiTheme="minorHAnsi" w:cstheme="minorHAnsi"/>
              </w:rPr>
              <w:t xml:space="preserve"> parts of the system </w:t>
            </w:r>
            <w:r w:rsidR="00190899">
              <w:rPr>
                <w:rFonts w:asciiTheme="minorHAnsi" w:hAnsiTheme="minorHAnsi" w:cstheme="minorHAnsi"/>
              </w:rPr>
              <w:t>must safeguard</w:t>
            </w:r>
            <w:r w:rsidR="00417EB8" w:rsidRPr="00C36807">
              <w:rPr>
                <w:rFonts w:asciiTheme="minorHAnsi" w:hAnsiTheme="minorHAnsi" w:cstheme="minorHAnsi"/>
              </w:rPr>
              <w:t xml:space="preserve"> adults at risk of abuse or neglect is the Care Act 2014</w:t>
            </w:r>
            <w:r w:rsidR="00634B8F" w:rsidRPr="00C36807">
              <w:rPr>
                <w:rFonts w:asciiTheme="minorHAnsi" w:hAnsiTheme="minorHAnsi" w:cstheme="minorHAnsi"/>
              </w:rPr>
              <w:t xml:space="preserve"> (SCIE, 2018).</w:t>
            </w:r>
          </w:p>
          <w:p w14:paraId="01957BA7" w14:textId="77777777" w:rsidR="00634B8F" w:rsidRPr="00C36807" w:rsidRDefault="00634B8F" w:rsidP="00C36807">
            <w:pPr>
              <w:spacing w:line="360" w:lineRule="auto"/>
              <w:jc w:val="both"/>
              <w:rPr>
                <w:rFonts w:asciiTheme="minorHAnsi" w:hAnsiTheme="minorHAnsi" w:cstheme="minorHAnsi"/>
              </w:rPr>
            </w:pPr>
          </w:p>
          <w:p w14:paraId="0318E819" w14:textId="4E353FF0" w:rsidR="00FC0334" w:rsidRPr="00320769" w:rsidRDefault="00C36807" w:rsidP="00320769">
            <w:pPr>
              <w:spacing w:line="360" w:lineRule="auto"/>
              <w:jc w:val="both"/>
              <w:rPr>
                <w:rFonts w:asciiTheme="minorHAnsi" w:hAnsiTheme="minorHAnsi" w:cstheme="minorHAnsi"/>
                <w:b/>
                <w:bCs/>
                <w:i/>
                <w:iCs/>
              </w:rPr>
            </w:pPr>
            <w:r w:rsidRPr="00C36807">
              <w:rPr>
                <w:rFonts w:asciiTheme="minorHAnsi" w:hAnsiTheme="minorHAnsi" w:cstheme="minorHAnsi"/>
                <w:b/>
                <w:bCs/>
                <w:i/>
                <w:iCs/>
              </w:rPr>
              <w:t>Word Count - 5</w:t>
            </w:r>
            <w:r w:rsidR="005F62EC">
              <w:rPr>
                <w:rFonts w:asciiTheme="minorHAnsi" w:hAnsiTheme="minorHAnsi" w:cstheme="minorHAnsi"/>
                <w:b/>
                <w:bCs/>
                <w:i/>
                <w:iCs/>
              </w:rPr>
              <w:t>32</w:t>
            </w:r>
          </w:p>
          <w:p w14:paraId="03BD6D93" w14:textId="56AD433A" w:rsidR="007A628F" w:rsidRPr="008B28E7" w:rsidRDefault="007A628F" w:rsidP="00320769">
            <w:pPr>
              <w:jc w:val="both"/>
              <w:rPr>
                <w:b/>
              </w:rPr>
            </w:pPr>
          </w:p>
        </w:tc>
      </w:tr>
    </w:tbl>
    <w:p w14:paraId="37E9CF73" w14:textId="77777777" w:rsidR="00AA666E" w:rsidRPr="008B28E7" w:rsidRDefault="00AA666E" w:rsidP="00FF7EBB">
      <w:pPr>
        <w:jc w:val="both"/>
      </w:pPr>
    </w:p>
    <w:p w14:paraId="1FC83FC7" w14:textId="77777777" w:rsidR="00AA666E" w:rsidRPr="008B28E7" w:rsidRDefault="00AA666E" w:rsidP="00FF7EBB">
      <w:pPr>
        <w:jc w:val="both"/>
      </w:pPr>
    </w:p>
    <w:p w14:paraId="60437654" w14:textId="77777777" w:rsidR="00AA666E" w:rsidRDefault="00AA666E" w:rsidP="00FF7EBB">
      <w:pPr>
        <w:jc w:val="both"/>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rPr>
            </w:pPr>
            <w:r w:rsidRPr="00EB695F">
              <w:rPr>
                <w:b/>
              </w:rPr>
              <w:t>Question</w:t>
            </w:r>
            <w:r>
              <w:rPr>
                <w:b/>
              </w:rPr>
              <w:t xml:space="preserve"> b</w:t>
            </w:r>
            <w:r w:rsidRPr="00EB695F">
              <w:rPr>
                <w:b/>
              </w:rPr>
              <w:t>:</w:t>
            </w:r>
          </w:p>
          <w:p w14:paraId="2ADF1EC3" w14:textId="58E4B8DE" w:rsidR="00FC0334" w:rsidRDefault="00FC0334" w:rsidP="00FC0334">
            <w:pPr>
              <w:jc w:val="both"/>
            </w:pPr>
            <w:r w:rsidRPr="006108C9">
              <w:t>Reflect on the difference between safeguarding in adul</w:t>
            </w:r>
            <w:r w:rsidRPr="00EC3A85">
              <w:t>t</w:t>
            </w:r>
            <w:r w:rsidR="00C63CAB" w:rsidRPr="00EC3A85">
              <w:t>s’</w:t>
            </w:r>
            <w:r w:rsidRPr="006108C9">
              <w:t xml:space="preserve"> and children</w:t>
            </w:r>
            <w:r w:rsidR="007A628F">
              <w:t>’s</w:t>
            </w:r>
            <w:r w:rsidRPr="006108C9">
              <w:t xml:space="preserve"> work</w:t>
            </w:r>
          </w:p>
          <w:p w14:paraId="4CABE426" w14:textId="77777777" w:rsidR="00FC0334" w:rsidRDefault="00FC0334" w:rsidP="00FC0334">
            <w:pPr>
              <w:jc w:val="both"/>
            </w:pPr>
          </w:p>
          <w:p w14:paraId="6A3600C9" w14:textId="197818AF" w:rsidR="00E73650" w:rsidRDefault="00C36807" w:rsidP="009A1941">
            <w:pPr>
              <w:spacing w:line="360" w:lineRule="auto"/>
              <w:jc w:val="both"/>
              <w:rPr>
                <w:rFonts w:asciiTheme="minorHAnsi" w:hAnsiTheme="minorHAnsi" w:cstheme="minorHAnsi"/>
                <w:color w:val="000000"/>
              </w:rPr>
            </w:pPr>
            <w:r w:rsidRPr="009A1941">
              <w:rPr>
                <w:rFonts w:asciiTheme="minorHAnsi" w:hAnsiTheme="minorHAnsi" w:cstheme="minorHAnsi"/>
              </w:rPr>
              <w:t xml:space="preserve">In Wales the main legislation relating to safeguarding children is </w:t>
            </w:r>
            <w:r w:rsidR="00320769" w:rsidRPr="009A1941">
              <w:rPr>
                <w:rFonts w:asciiTheme="minorHAnsi" w:hAnsiTheme="minorHAnsi" w:cstheme="minorHAnsi"/>
              </w:rPr>
              <w:t xml:space="preserve">Part 7 of </w:t>
            </w:r>
            <w:r w:rsidRPr="009A1941">
              <w:rPr>
                <w:rFonts w:asciiTheme="minorHAnsi" w:hAnsiTheme="minorHAnsi" w:cstheme="minorHAnsi"/>
              </w:rPr>
              <w:t>the Social Services and Well-being (Wales) Act 2014</w:t>
            </w:r>
            <w:r w:rsidR="00566653" w:rsidRPr="009A1941">
              <w:rPr>
                <w:rFonts w:asciiTheme="minorHAnsi" w:hAnsiTheme="minorHAnsi" w:cstheme="minorHAnsi"/>
              </w:rPr>
              <w:t xml:space="preserve"> (SSWBA)</w:t>
            </w:r>
            <w:r w:rsidRPr="009A1941">
              <w:rPr>
                <w:rFonts w:asciiTheme="minorHAnsi" w:hAnsiTheme="minorHAnsi" w:cstheme="minorHAnsi"/>
              </w:rPr>
              <w:t xml:space="preserve">, and the Children Act 1989. </w:t>
            </w:r>
            <w:r w:rsidRPr="009A1941">
              <w:rPr>
                <w:rFonts w:asciiTheme="minorHAnsi" w:hAnsiTheme="minorHAnsi" w:cstheme="minorHAnsi"/>
                <w:color w:val="000000"/>
              </w:rPr>
              <w:t xml:space="preserve">Wales Safeguarding Procedures provide the framework to safeguard individuals from abuse or neglect. Luke Clements (2021) </w:t>
            </w:r>
            <w:r w:rsidR="000832E4">
              <w:rPr>
                <w:rFonts w:asciiTheme="minorHAnsi" w:hAnsiTheme="minorHAnsi" w:cstheme="minorHAnsi"/>
                <w:color w:val="000000"/>
              </w:rPr>
              <w:t>advises</w:t>
            </w:r>
            <w:r w:rsidRPr="009A1941">
              <w:rPr>
                <w:rFonts w:asciiTheme="minorHAnsi" w:hAnsiTheme="minorHAnsi" w:cstheme="minorHAnsi"/>
                <w:color w:val="000000"/>
              </w:rPr>
              <w:t xml:space="preserve"> how the </w:t>
            </w:r>
            <w:r w:rsidRPr="009A1941">
              <w:rPr>
                <w:rFonts w:asciiTheme="minorHAnsi" w:hAnsiTheme="minorHAnsi" w:cstheme="minorHAnsi"/>
                <w:color w:val="000000"/>
              </w:rPr>
              <w:lastRenderedPageBreak/>
              <w:t xml:space="preserve">Wales Safeguarding Procedures </w:t>
            </w:r>
            <w:r w:rsidR="00190899">
              <w:rPr>
                <w:rFonts w:asciiTheme="minorHAnsi" w:hAnsiTheme="minorHAnsi" w:cstheme="minorHAnsi"/>
                <w:color w:val="000000"/>
              </w:rPr>
              <w:t>links</w:t>
            </w:r>
            <w:r w:rsidRPr="009A1941">
              <w:rPr>
                <w:rFonts w:asciiTheme="minorHAnsi" w:hAnsiTheme="minorHAnsi" w:cstheme="minorHAnsi"/>
                <w:color w:val="000000"/>
              </w:rPr>
              <w:t xml:space="preserve"> to people at risk and </w:t>
            </w:r>
            <w:r w:rsidR="000832E4">
              <w:rPr>
                <w:rFonts w:asciiTheme="minorHAnsi" w:hAnsiTheme="minorHAnsi" w:cstheme="minorHAnsi"/>
                <w:color w:val="000000"/>
              </w:rPr>
              <w:t>supersedes</w:t>
            </w:r>
            <w:r w:rsidRPr="009A1941">
              <w:rPr>
                <w:rFonts w:asciiTheme="minorHAnsi" w:hAnsiTheme="minorHAnsi" w:cstheme="minorHAnsi"/>
                <w:color w:val="000000"/>
              </w:rPr>
              <w:t xml:space="preserve"> the All Wales Child Protection Procedures and Wales Interim Policy for the Protection of Vulnerable adults from Abuse.</w:t>
            </w:r>
            <w:r w:rsidR="006E6662" w:rsidRPr="009A1941">
              <w:rPr>
                <w:rFonts w:asciiTheme="minorHAnsi" w:hAnsiTheme="minorHAnsi" w:cstheme="minorHAnsi"/>
                <w:color w:val="000000"/>
              </w:rPr>
              <w:t xml:space="preserve"> Under the Wales Safeguarding Procedures </w:t>
            </w:r>
            <w:r w:rsidR="00245BE0" w:rsidRPr="009A1941">
              <w:rPr>
                <w:rFonts w:asciiTheme="minorHAnsi" w:hAnsiTheme="minorHAnsi" w:cstheme="minorHAnsi"/>
                <w:color w:val="000000"/>
              </w:rPr>
              <w:t xml:space="preserve">there are two </w:t>
            </w:r>
            <w:r w:rsidR="009A1941" w:rsidRPr="009A1941">
              <w:rPr>
                <w:rFonts w:asciiTheme="minorHAnsi" w:hAnsiTheme="minorHAnsi" w:cstheme="minorHAnsi"/>
                <w:color w:val="000000"/>
              </w:rPr>
              <w:t>separate</w:t>
            </w:r>
            <w:r w:rsidR="006E6662" w:rsidRPr="009A1941">
              <w:rPr>
                <w:rFonts w:asciiTheme="minorHAnsi" w:hAnsiTheme="minorHAnsi" w:cstheme="minorHAnsi"/>
                <w:color w:val="000000"/>
              </w:rPr>
              <w:t xml:space="preserve"> sections for children and adults. Under Section 126 of </w:t>
            </w:r>
            <w:r w:rsidR="00566653" w:rsidRPr="009A1941">
              <w:rPr>
                <w:rFonts w:asciiTheme="minorHAnsi" w:hAnsiTheme="minorHAnsi" w:cstheme="minorHAnsi"/>
                <w:color w:val="000000"/>
              </w:rPr>
              <w:t>SSWBA</w:t>
            </w:r>
            <w:r w:rsidR="006E6662" w:rsidRPr="009A1941">
              <w:rPr>
                <w:rFonts w:asciiTheme="minorHAnsi" w:hAnsiTheme="minorHAnsi" w:cstheme="minorHAnsi"/>
                <w:color w:val="000000"/>
              </w:rPr>
              <w:t xml:space="preserve">, Social Services has the principle role in making enquiries around cases of abuse or neglect to an adult is at risk. Duty to report a child at risk </w:t>
            </w:r>
            <w:r w:rsidR="00190899">
              <w:rPr>
                <w:rFonts w:asciiTheme="minorHAnsi" w:hAnsiTheme="minorHAnsi" w:cstheme="minorHAnsi"/>
                <w:color w:val="000000"/>
              </w:rPr>
              <w:t>occurs</w:t>
            </w:r>
            <w:r w:rsidR="006E6662" w:rsidRPr="009A1941">
              <w:rPr>
                <w:rFonts w:asciiTheme="minorHAnsi" w:hAnsiTheme="minorHAnsi" w:cstheme="minorHAnsi"/>
                <w:color w:val="000000"/>
              </w:rPr>
              <w:t xml:space="preserve"> under Section 130 of </w:t>
            </w:r>
            <w:r w:rsidR="00566653" w:rsidRPr="009A1941">
              <w:rPr>
                <w:rFonts w:asciiTheme="minorHAnsi" w:hAnsiTheme="minorHAnsi" w:cstheme="minorHAnsi"/>
                <w:color w:val="000000"/>
              </w:rPr>
              <w:t>SSWBA</w:t>
            </w:r>
            <w:r w:rsidR="006E6662" w:rsidRPr="009A1941">
              <w:rPr>
                <w:rFonts w:asciiTheme="minorHAnsi" w:hAnsiTheme="minorHAnsi" w:cstheme="minorHAnsi"/>
                <w:color w:val="000000"/>
              </w:rPr>
              <w:t xml:space="preserve">, </w:t>
            </w:r>
            <w:r w:rsidR="000832E4">
              <w:rPr>
                <w:rFonts w:asciiTheme="minorHAnsi" w:hAnsiTheme="minorHAnsi" w:cstheme="minorHAnsi"/>
                <w:color w:val="000000"/>
              </w:rPr>
              <w:t>once</w:t>
            </w:r>
            <w:r w:rsidR="006E6662" w:rsidRPr="009A1941">
              <w:rPr>
                <w:rFonts w:asciiTheme="minorHAnsi" w:hAnsiTheme="minorHAnsi" w:cstheme="minorHAnsi"/>
                <w:color w:val="000000"/>
              </w:rPr>
              <w:t xml:space="preserve"> a child has been </w:t>
            </w:r>
            <w:r w:rsidR="00190899">
              <w:rPr>
                <w:rFonts w:asciiTheme="minorHAnsi" w:hAnsiTheme="minorHAnsi" w:cstheme="minorHAnsi"/>
                <w:color w:val="000000"/>
              </w:rPr>
              <w:t>informed</w:t>
            </w:r>
            <w:r w:rsidR="006E6662" w:rsidRPr="009A1941">
              <w:rPr>
                <w:rFonts w:asciiTheme="minorHAnsi" w:hAnsiTheme="minorHAnsi" w:cstheme="minorHAnsi"/>
                <w:color w:val="000000"/>
              </w:rPr>
              <w:t xml:space="preserve"> under Section 130 of the SSWBA, the local authority has to </w:t>
            </w:r>
            <w:r w:rsidR="00190899">
              <w:rPr>
                <w:rFonts w:asciiTheme="minorHAnsi" w:hAnsiTheme="minorHAnsi" w:cstheme="minorHAnsi"/>
                <w:color w:val="000000"/>
              </w:rPr>
              <w:t>study</w:t>
            </w:r>
            <w:r w:rsidR="006E6662" w:rsidRPr="009A1941">
              <w:rPr>
                <w:rFonts w:asciiTheme="minorHAnsi" w:hAnsiTheme="minorHAnsi" w:cstheme="minorHAnsi"/>
                <w:color w:val="000000"/>
              </w:rPr>
              <w:t xml:space="preserve"> if there are </w:t>
            </w:r>
            <w:r w:rsidR="000832E4">
              <w:rPr>
                <w:rFonts w:asciiTheme="minorHAnsi" w:hAnsiTheme="minorHAnsi" w:cstheme="minorHAnsi"/>
                <w:color w:val="000000"/>
              </w:rPr>
              <w:t>details</w:t>
            </w:r>
            <w:r w:rsidR="006E6662" w:rsidRPr="009A1941">
              <w:rPr>
                <w:rFonts w:asciiTheme="minorHAnsi" w:hAnsiTheme="minorHAnsi" w:cstheme="minorHAnsi"/>
                <w:color w:val="000000"/>
              </w:rPr>
              <w:t xml:space="preserve"> for </w:t>
            </w:r>
            <w:r w:rsidR="00190899">
              <w:rPr>
                <w:rFonts w:asciiTheme="minorHAnsi" w:hAnsiTheme="minorHAnsi" w:cstheme="minorHAnsi"/>
                <w:color w:val="000000"/>
              </w:rPr>
              <w:t>holding</w:t>
            </w:r>
            <w:r w:rsidR="006E6662" w:rsidRPr="009A1941">
              <w:rPr>
                <w:rFonts w:asciiTheme="minorHAnsi" w:hAnsiTheme="minorHAnsi" w:cstheme="minorHAnsi"/>
                <w:color w:val="000000"/>
              </w:rPr>
              <w:t xml:space="preserve"> an investigation under Section 47 of the Children Act 1989 (Welsh Government, 2018b).</w:t>
            </w:r>
            <w:r w:rsidR="004D50DB" w:rsidRPr="009A1941">
              <w:rPr>
                <w:rFonts w:asciiTheme="minorHAnsi" w:hAnsiTheme="minorHAnsi" w:cstheme="minorHAnsi"/>
                <w:color w:val="000000"/>
              </w:rPr>
              <w:t xml:space="preserve">  </w:t>
            </w:r>
            <w:r w:rsidR="00E73650">
              <w:rPr>
                <w:rFonts w:asciiTheme="minorHAnsi" w:hAnsiTheme="minorHAnsi" w:cstheme="minorHAnsi"/>
                <w:color w:val="000000"/>
              </w:rPr>
              <w:t>T</w:t>
            </w:r>
            <w:r w:rsidR="004D50DB" w:rsidRPr="009A1941">
              <w:rPr>
                <w:rFonts w:asciiTheme="minorHAnsi" w:hAnsiTheme="minorHAnsi" w:cstheme="minorHAnsi"/>
                <w:color w:val="000000"/>
              </w:rPr>
              <w:t xml:space="preserve">he majority of the </w:t>
            </w:r>
            <w:r w:rsidR="00385EC4">
              <w:rPr>
                <w:rFonts w:asciiTheme="minorHAnsi" w:hAnsiTheme="minorHAnsi" w:cstheme="minorHAnsi"/>
                <w:color w:val="000000"/>
              </w:rPr>
              <w:t>CA</w:t>
            </w:r>
            <w:r w:rsidR="004D50DB" w:rsidRPr="009A1941">
              <w:rPr>
                <w:rFonts w:asciiTheme="minorHAnsi" w:hAnsiTheme="minorHAnsi" w:cstheme="minorHAnsi"/>
                <w:color w:val="000000"/>
              </w:rPr>
              <w:t xml:space="preserve"> 1989 applies to England and Wales (NSPCC, 2024). </w:t>
            </w:r>
          </w:p>
          <w:p w14:paraId="421B2178" w14:textId="77777777" w:rsidR="00E73650" w:rsidRDefault="00E73650" w:rsidP="009A1941">
            <w:pPr>
              <w:spacing w:line="360" w:lineRule="auto"/>
              <w:jc w:val="both"/>
              <w:rPr>
                <w:rFonts w:asciiTheme="minorHAnsi" w:hAnsiTheme="minorHAnsi" w:cstheme="minorHAnsi"/>
                <w:color w:val="000000"/>
              </w:rPr>
            </w:pPr>
          </w:p>
          <w:p w14:paraId="4881C74F" w14:textId="5169E490" w:rsidR="00E73650" w:rsidRDefault="00E73650" w:rsidP="009A1941">
            <w:pPr>
              <w:spacing w:line="360" w:lineRule="auto"/>
              <w:jc w:val="both"/>
              <w:rPr>
                <w:rFonts w:asciiTheme="minorHAnsi" w:hAnsiTheme="minorHAnsi" w:cstheme="minorHAnsi"/>
              </w:rPr>
            </w:pPr>
            <w:r w:rsidRPr="009A1941">
              <w:rPr>
                <w:rFonts w:asciiTheme="minorHAnsi" w:hAnsiTheme="minorHAnsi" w:cstheme="minorHAnsi"/>
                <w:color w:val="000000"/>
              </w:rPr>
              <w:t>Adults, including adults at risk,</w:t>
            </w:r>
            <w:r w:rsidR="00190899">
              <w:rPr>
                <w:rFonts w:asciiTheme="minorHAnsi" w:hAnsiTheme="minorHAnsi" w:cstheme="minorHAnsi"/>
                <w:color w:val="000000"/>
              </w:rPr>
              <w:t xml:space="preserve"> </w:t>
            </w:r>
            <w:r w:rsidRPr="009A1941">
              <w:rPr>
                <w:rFonts w:asciiTheme="minorHAnsi" w:hAnsiTheme="minorHAnsi" w:cstheme="minorHAnsi"/>
                <w:color w:val="000000"/>
              </w:rPr>
              <w:t>have the right to make decisions which not everyone may agree with and these are called “unwise decisions”, which can include the choice not to protect themselves. Under the Mental Capacity Act 2005</w:t>
            </w:r>
            <w:r w:rsidR="00223B0D">
              <w:rPr>
                <w:rFonts w:asciiTheme="minorHAnsi" w:hAnsiTheme="minorHAnsi" w:cstheme="minorHAnsi"/>
                <w:color w:val="000000"/>
              </w:rPr>
              <w:t xml:space="preserve"> (MCA)</w:t>
            </w:r>
            <w:r w:rsidRPr="009A1941">
              <w:rPr>
                <w:rFonts w:asciiTheme="minorHAnsi" w:hAnsiTheme="minorHAnsi" w:cstheme="minorHAnsi"/>
                <w:color w:val="000000"/>
              </w:rPr>
              <w:t xml:space="preserve"> we have to assume a person has the capacity to make a decision themselves, unless it’s </w:t>
            </w:r>
            <w:r w:rsidR="00190899">
              <w:rPr>
                <w:rFonts w:asciiTheme="minorHAnsi" w:hAnsiTheme="minorHAnsi" w:cstheme="minorHAnsi"/>
                <w:color w:val="000000"/>
              </w:rPr>
              <w:t>evidenced</w:t>
            </w:r>
            <w:r w:rsidRPr="009A1941">
              <w:rPr>
                <w:rFonts w:asciiTheme="minorHAnsi" w:hAnsiTheme="minorHAnsi" w:cstheme="minorHAnsi"/>
                <w:color w:val="000000"/>
              </w:rPr>
              <w:t xml:space="preserve"> otherwise. The MCA 2005 applies to people aged 16 or over. Gillick Competency and Fraser guidelines </w:t>
            </w:r>
            <w:r w:rsidR="000832E4">
              <w:rPr>
                <w:rFonts w:asciiTheme="minorHAnsi" w:hAnsiTheme="minorHAnsi" w:cstheme="minorHAnsi"/>
                <w:color w:val="000000"/>
              </w:rPr>
              <w:t>support</w:t>
            </w:r>
            <w:r w:rsidRPr="009A1941">
              <w:rPr>
                <w:rFonts w:asciiTheme="minorHAnsi" w:hAnsiTheme="minorHAnsi" w:cstheme="minorHAnsi"/>
                <w:color w:val="000000"/>
              </w:rPr>
              <w:t xml:space="preserve"> people who work with children to assess the need to listen to children’s wishes with the </w:t>
            </w:r>
            <w:r w:rsidR="00190899">
              <w:rPr>
                <w:rFonts w:asciiTheme="minorHAnsi" w:hAnsiTheme="minorHAnsi" w:cstheme="minorHAnsi"/>
                <w:color w:val="000000"/>
              </w:rPr>
              <w:t>obligation</w:t>
            </w:r>
            <w:r w:rsidRPr="009A1941">
              <w:rPr>
                <w:rFonts w:asciiTheme="minorHAnsi" w:hAnsiTheme="minorHAnsi" w:cstheme="minorHAnsi"/>
                <w:color w:val="000000"/>
              </w:rPr>
              <w:t xml:space="preserve"> to </w:t>
            </w:r>
            <w:r w:rsidR="00190899">
              <w:rPr>
                <w:rFonts w:asciiTheme="minorHAnsi" w:hAnsiTheme="minorHAnsi" w:cstheme="minorHAnsi"/>
                <w:color w:val="000000"/>
              </w:rPr>
              <w:t>ensure their safety</w:t>
            </w:r>
            <w:r w:rsidRPr="009A1941">
              <w:rPr>
                <w:rFonts w:asciiTheme="minorHAnsi" w:hAnsiTheme="minorHAnsi" w:cstheme="minorHAnsi"/>
                <w:color w:val="000000"/>
              </w:rPr>
              <w:t xml:space="preserve"> (NSPCC, 2022).</w:t>
            </w:r>
            <w:r w:rsidR="00385EC4">
              <w:rPr>
                <w:rFonts w:asciiTheme="minorHAnsi" w:hAnsiTheme="minorHAnsi" w:cstheme="minorHAnsi"/>
                <w:color w:val="000000"/>
              </w:rPr>
              <w:t xml:space="preserve"> </w:t>
            </w:r>
            <w:r w:rsidR="0080047B">
              <w:rPr>
                <w:rFonts w:asciiTheme="minorHAnsi" w:hAnsiTheme="minorHAnsi" w:cstheme="minorHAnsi"/>
                <w:color w:val="000000"/>
              </w:rPr>
              <w:t xml:space="preserve">Whilst all safeguarding </w:t>
            </w:r>
            <w:r w:rsidR="0080047B" w:rsidRPr="0021126C">
              <w:rPr>
                <w:rFonts w:asciiTheme="minorHAnsi" w:hAnsiTheme="minorHAnsi" w:cstheme="minorHAnsi"/>
              </w:rPr>
              <w:t xml:space="preserve">children must be addressed under part 7, under adults there is a different set of criteria which may lead to situations where an adult may not consent to a safeguarding enquiry. </w:t>
            </w:r>
            <w:r w:rsidR="003F750D" w:rsidRPr="0021126C">
              <w:rPr>
                <w:rFonts w:asciiTheme="minorHAnsi" w:hAnsiTheme="minorHAnsi" w:cstheme="minorHAnsi"/>
              </w:rPr>
              <w:t>For adults there are no equivalents</w:t>
            </w:r>
            <w:r w:rsidR="0080047B" w:rsidRPr="0021126C">
              <w:rPr>
                <w:rFonts w:asciiTheme="minorHAnsi" w:hAnsiTheme="minorHAnsi" w:cstheme="minorHAnsi"/>
              </w:rPr>
              <w:t xml:space="preserve"> of the care orders that </w:t>
            </w:r>
            <w:r w:rsidR="0021126C">
              <w:rPr>
                <w:rFonts w:asciiTheme="minorHAnsi" w:hAnsiTheme="minorHAnsi" w:cstheme="minorHAnsi"/>
              </w:rPr>
              <w:t xml:space="preserve">can be used to protect children, but in adults there </w:t>
            </w:r>
            <w:r w:rsidR="003F750D" w:rsidRPr="0021126C">
              <w:rPr>
                <w:rFonts w:asciiTheme="minorHAnsi" w:hAnsiTheme="minorHAnsi" w:cstheme="minorHAnsi"/>
              </w:rPr>
              <w:t>are Adult Protection and Support Orders</w:t>
            </w:r>
            <w:r w:rsidR="0080047B" w:rsidRPr="0021126C">
              <w:rPr>
                <w:rFonts w:asciiTheme="minorHAnsi" w:hAnsiTheme="minorHAnsi" w:cstheme="minorHAnsi"/>
              </w:rPr>
              <w:t xml:space="preserve"> </w:t>
            </w:r>
            <w:r w:rsidR="003F750D" w:rsidRPr="0021126C">
              <w:rPr>
                <w:rFonts w:asciiTheme="minorHAnsi" w:hAnsiTheme="minorHAnsi" w:cstheme="minorHAnsi"/>
              </w:rPr>
              <w:t>(APSO’s), where the aim is to empower the adults at risk to voice their views individually</w:t>
            </w:r>
            <w:r w:rsidR="00015880">
              <w:rPr>
                <w:rFonts w:asciiTheme="minorHAnsi" w:hAnsiTheme="minorHAnsi" w:cstheme="minorHAnsi"/>
              </w:rPr>
              <w:t xml:space="preserve">. </w:t>
            </w:r>
            <w:r w:rsidR="00394DB7" w:rsidRPr="0021126C">
              <w:rPr>
                <w:rFonts w:asciiTheme="minorHAnsi" w:hAnsiTheme="minorHAnsi" w:cstheme="minorHAnsi"/>
              </w:rPr>
              <w:t xml:space="preserve">The order is </w:t>
            </w:r>
            <w:r w:rsidR="000832E4">
              <w:rPr>
                <w:rFonts w:asciiTheme="minorHAnsi" w:hAnsiTheme="minorHAnsi" w:cstheme="minorHAnsi"/>
              </w:rPr>
              <w:t>planned</w:t>
            </w:r>
            <w:r w:rsidR="00394DB7" w:rsidRPr="0021126C">
              <w:rPr>
                <w:rFonts w:asciiTheme="minorHAnsi" w:hAnsiTheme="minorHAnsi" w:cstheme="minorHAnsi"/>
              </w:rPr>
              <w:t xml:space="preserve"> to </w:t>
            </w:r>
            <w:r w:rsidR="000832E4">
              <w:rPr>
                <w:rFonts w:asciiTheme="minorHAnsi" w:hAnsiTheme="minorHAnsi" w:cstheme="minorHAnsi"/>
              </w:rPr>
              <w:t>permit</w:t>
            </w:r>
            <w:r w:rsidR="00394DB7" w:rsidRPr="0021126C">
              <w:rPr>
                <w:rFonts w:asciiTheme="minorHAnsi" w:hAnsiTheme="minorHAnsi" w:cstheme="minorHAnsi"/>
              </w:rPr>
              <w:t xml:space="preserve"> an authorised officer from the local authority to d</w:t>
            </w:r>
            <w:r w:rsidR="000832E4">
              <w:rPr>
                <w:rFonts w:asciiTheme="minorHAnsi" w:hAnsiTheme="minorHAnsi" w:cstheme="minorHAnsi"/>
              </w:rPr>
              <w:t>ecide</w:t>
            </w:r>
            <w:r w:rsidR="00394DB7" w:rsidRPr="0021126C">
              <w:rPr>
                <w:rFonts w:asciiTheme="minorHAnsi" w:hAnsiTheme="minorHAnsi" w:cstheme="minorHAnsi"/>
              </w:rPr>
              <w:t xml:space="preserve"> whether the person is making decisions freely, </w:t>
            </w:r>
            <w:r w:rsidR="000832E4">
              <w:rPr>
                <w:rFonts w:asciiTheme="minorHAnsi" w:hAnsiTheme="minorHAnsi" w:cstheme="minorHAnsi"/>
              </w:rPr>
              <w:t>permit</w:t>
            </w:r>
            <w:r w:rsidR="00394DB7" w:rsidRPr="0021126C">
              <w:rPr>
                <w:rFonts w:asciiTheme="minorHAnsi" w:hAnsiTheme="minorHAnsi" w:cstheme="minorHAnsi"/>
              </w:rPr>
              <w:t xml:space="preserve"> the au</w:t>
            </w:r>
            <w:r w:rsidR="0021126C" w:rsidRPr="0021126C">
              <w:rPr>
                <w:rFonts w:asciiTheme="minorHAnsi" w:hAnsiTheme="minorHAnsi" w:cstheme="minorHAnsi"/>
              </w:rPr>
              <w:t xml:space="preserve">thorised </w:t>
            </w:r>
            <w:r w:rsidR="00394DB7" w:rsidRPr="0021126C">
              <w:rPr>
                <w:rFonts w:asciiTheme="minorHAnsi" w:hAnsiTheme="minorHAnsi" w:cstheme="minorHAnsi"/>
              </w:rPr>
              <w:t>officer to</w:t>
            </w:r>
            <w:r w:rsidR="0021126C" w:rsidRPr="0021126C">
              <w:rPr>
                <w:rFonts w:asciiTheme="minorHAnsi" w:hAnsiTheme="minorHAnsi" w:cstheme="minorHAnsi"/>
              </w:rPr>
              <w:t xml:space="preserve"> appropriately assess if the person is an adult at risk,</w:t>
            </w:r>
            <w:r w:rsidR="00015880">
              <w:rPr>
                <w:rFonts w:asciiTheme="minorHAnsi" w:hAnsiTheme="minorHAnsi" w:cstheme="minorHAnsi"/>
              </w:rPr>
              <w:t xml:space="preserve"> </w:t>
            </w:r>
            <w:r w:rsidR="0021126C" w:rsidRPr="0021126C">
              <w:rPr>
                <w:rFonts w:asciiTheme="minorHAnsi" w:hAnsiTheme="minorHAnsi" w:cstheme="minorHAnsi"/>
              </w:rPr>
              <w:t xml:space="preserve">and to decide what action to take if any under s.126 (2) </w:t>
            </w:r>
            <w:r w:rsidR="00385EC4">
              <w:rPr>
                <w:rFonts w:asciiTheme="minorHAnsi" w:hAnsiTheme="minorHAnsi" w:cstheme="minorHAnsi"/>
              </w:rPr>
              <w:t>SSWBA</w:t>
            </w:r>
            <w:r w:rsidR="0021126C" w:rsidRPr="0021126C">
              <w:rPr>
                <w:rFonts w:asciiTheme="minorHAnsi" w:hAnsiTheme="minorHAnsi" w:cstheme="minorHAnsi"/>
              </w:rPr>
              <w:t xml:space="preserve"> (Wales Safeguarding Procedures, 2020).</w:t>
            </w:r>
            <w:r w:rsidR="00394DB7" w:rsidRPr="0021126C">
              <w:rPr>
                <w:rFonts w:asciiTheme="minorHAnsi" w:hAnsiTheme="minorHAnsi" w:cstheme="minorHAnsi"/>
              </w:rPr>
              <w:t xml:space="preserve"> </w:t>
            </w:r>
          </w:p>
          <w:p w14:paraId="42064318" w14:textId="77777777" w:rsidR="0021126C" w:rsidRDefault="0021126C" w:rsidP="009A1941">
            <w:pPr>
              <w:spacing w:line="360" w:lineRule="auto"/>
              <w:jc w:val="both"/>
              <w:rPr>
                <w:rFonts w:asciiTheme="minorHAnsi" w:hAnsiTheme="minorHAnsi" w:cstheme="minorHAnsi"/>
                <w:color w:val="FF0000"/>
              </w:rPr>
            </w:pPr>
          </w:p>
          <w:p w14:paraId="765A68D2" w14:textId="56BEA980" w:rsidR="004D50DB" w:rsidRDefault="004D50DB" w:rsidP="009A1941">
            <w:pPr>
              <w:spacing w:line="360" w:lineRule="auto"/>
              <w:jc w:val="both"/>
              <w:rPr>
                <w:rFonts w:asciiTheme="minorHAnsi" w:hAnsiTheme="minorHAnsi" w:cstheme="minorHAnsi"/>
                <w:color w:val="000000"/>
              </w:rPr>
            </w:pPr>
            <w:r w:rsidRPr="009A1941">
              <w:rPr>
                <w:rFonts w:asciiTheme="minorHAnsi" w:hAnsiTheme="minorHAnsi" w:cstheme="minorHAnsi"/>
                <w:color w:val="000000"/>
              </w:rPr>
              <w:t xml:space="preserve">Welsh Government are the first government to </w:t>
            </w:r>
            <w:r w:rsidR="00190899">
              <w:rPr>
                <w:rFonts w:asciiTheme="minorHAnsi" w:hAnsiTheme="minorHAnsi" w:cstheme="minorHAnsi"/>
                <w:color w:val="000000"/>
              </w:rPr>
              <w:t>merge</w:t>
            </w:r>
            <w:r w:rsidRPr="009A1941">
              <w:rPr>
                <w:rFonts w:asciiTheme="minorHAnsi" w:hAnsiTheme="minorHAnsi" w:cstheme="minorHAnsi"/>
                <w:color w:val="000000"/>
              </w:rPr>
              <w:t xml:space="preserve"> </w:t>
            </w:r>
            <w:r w:rsidR="000832E4">
              <w:rPr>
                <w:rFonts w:asciiTheme="minorHAnsi" w:hAnsiTheme="minorHAnsi" w:cstheme="minorHAnsi"/>
                <w:color w:val="000000"/>
              </w:rPr>
              <w:t>children’s and adults</w:t>
            </w:r>
            <w:r w:rsidRPr="009A1941">
              <w:rPr>
                <w:rFonts w:asciiTheme="minorHAnsi" w:hAnsiTheme="minorHAnsi" w:cstheme="minorHAnsi"/>
                <w:color w:val="000000"/>
              </w:rPr>
              <w:t xml:space="preserve"> safeguarding</w:t>
            </w:r>
            <w:r w:rsidR="00015880">
              <w:rPr>
                <w:rFonts w:asciiTheme="minorHAnsi" w:hAnsiTheme="minorHAnsi" w:cstheme="minorHAnsi"/>
                <w:color w:val="000000"/>
              </w:rPr>
              <w:t>,</w:t>
            </w:r>
            <w:r w:rsidRPr="009A1941">
              <w:rPr>
                <w:rFonts w:asciiTheme="minorHAnsi" w:hAnsiTheme="minorHAnsi" w:cstheme="minorHAnsi"/>
                <w:color w:val="000000"/>
              </w:rPr>
              <w:t xml:space="preserve"> i</w:t>
            </w:r>
            <w:r w:rsidR="00190899">
              <w:rPr>
                <w:rFonts w:asciiTheme="minorHAnsi" w:hAnsiTheme="minorHAnsi" w:cstheme="minorHAnsi"/>
                <w:color w:val="000000"/>
              </w:rPr>
              <w:t xml:space="preserve">ndicating </w:t>
            </w:r>
            <w:r w:rsidRPr="009A1941">
              <w:rPr>
                <w:rFonts w:asciiTheme="minorHAnsi" w:hAnsiTheme="minorHAnsi" w:cstheme="minorHAnsi"/>
                <w:color w:val="000000"/>
              </w:rPr>
              <w:t>Wales as the only part of the UK that</w:t>
            </w:r>
            <w:r w:rsidR="00190899">
              <w:rPr>
                <w:rFonts w:asciiTheme="minorHAnsi" w:hAnsiTheme="minorHAnsi" w:cstheme="minorHAnsi"/>
                <w:color w:val="000000"/>
              </w:rPr>
              <w:t xml:space="preserve"> offers</w:t>
            </w:r>
            <w:r w:rsidRPr="009A1941">
              <w:rPr>
                <w:rFonts w:asciiTheme="minorHAnsi" w:hAnsiTheme="minorHAnsi" w:cstheme="minorHAnsi"/>
                <w:color w:val="000000"/>
              </w:rPr>
              <w:t xml:space="preserve"> </w:t>
            </w:r>
            <w:r w:rsidR="00190899">
              <w:rPr>
                <w:rFonts w:asciiTheme="minorHAnsi" w:hAnsiTheme="minorHAnsi" w:cstheme="minorHAnsi"/>
                <w:color w:val="000000"/>
              </w:rPr>
              <w:t>prepared</w:t>
            </w:r>
            <w:r w:rsidRPr="009A1941">
              <w:rPr>
                <w:rFonts w:asciiTheme="minorHAnsi" w:hAnsiTheme="minorHAnsi" w:cstheme="minorHAnsi"/>
                <w:color w:val="000000"/>
              </w:rPr>
              <w:t xml:space="preserve"> safeguarding guidelines for </w:t>
            </w:r>
            <w:r w:rsidR="000832E4">
              <w:rPr>
                <w:rFonts w:asciiTheme="minorHAnsi" w:hAnsiTheme="minorHAnsi" w:cstheme="minorHAnsi"/>
                <w:color w:val="000000"/>
              </w:rPr>
              <w:t>children and adults</w:t>
            </w:r>
            <w:r w:rsidRPr="009A1941">
              <w:rPr>
                <w:rFonts w:asciiTheme="minorHAnsi" w:hAnsiTheme="minorHAnsi" w:cstheme="minorHAnsi"/>
                <w:color w:val="000000"/>
              </w:rPr>
              <w:t xml:space="preserve"> at risk (Wales Safeguarding Procedures, 2020). </w:t>
            </w:r>
          </w:p>
          <w:p w14:paraId="6B8B4B8E" w14:textId="77777777" w:rsidR="00015880" w:rsidRDefault="00015880" w:rsidP="00FC0334">
            <w:pPr>
              <w:jc w:val="both"/>
              <w:rPr>
                <w:rFonts w:asciiTheme="minorHAnsi" w:hAnsiTheme="minorHAnsi" w:cstheme="minorHAnsi"/>
                <w:b/>
                <w:i/>
              </w:rPr>
            </w:pPr>
          </w:p>
          <w:p w14:paraId="0E64B386" w14:textId="46CDAD14" w:rsidR="00FC0334" w:rsidRPr="009A1941" w:rsidRDefault="009A1941" w:rsidP="00FC0334">
            <w:pPr>
              <w:jc w:val="both"/>
              <w:rPr>
                <w:rFonts w:asciiTheme="minorHAnsi" w:hAnsiTheme="minorHAnsi" w:cstheme="minorHAnsi"/>
                <w:b/>
                <w:i/>
              </w:rPr>
            </w:pPr>
            <w:r w:rsidRPr="009A1941">
              <w:rPr>
                <w:rFonts w:asciiTheme="minorHAnsi" w:hAnsiTheme="minorHAnsi" w:cstheme="minorHAnsi"/>
                <w:b/>
                <w:i/>
              </w:rPr>
              <w:t xml:space="preserve">Word count - </w:t>
            </w:r>
            <w:r w:rsidR="00245BE0" w:rsidRPr="009A1941">
              <w:rPr>
                <w:rFonts w:asciiTheme="minorHAnsi" w:hAnsiTheme="minorHAnsi" w:cstheme="minorHAnsi"/>
                <w:b/>
                <w:i/>
              </w:rPr>
              <w:t>4</w:t>
            </w:r>
            <w:r w:rsidR="00BE3A92">
              <w:rPr>
                <w:rFonts w:asciiTheme="minorHAnsi" w:hAnsiTheme="minorHAnsi" w:cstheme="minorHAnsi"/>
                <w:b/>
                <w:i/>
              </w:rPr>
              <w:t>40</w:t>
            </w:r>
          </w:p>
          <w:p w14:paraId="08760B3D" w14:textId="77777777" w:rsidR="00FC0334" w:rsidRPr="006108C9" w:rsidRDefault="00FC0334" w:rsidP="00E73650">
            <w:pPr>
              <w:jc w:val="both"/>
            </w:pPr>
          </w:p>
        </w:tc>
      </w:tr>
    </w:tbl>
    <w:p w14:paraId="76FCF233" w14:textId="08DF1CB0" w:rsidR="00FC0334" w:rsidRPr="00320769" w:rsidRDefault="00FC0334" w:rsidP="00FC0334"/>
    <w:p w14:paraId="6C24444F" w14:textId="77777777" w:rsidR="0017741A" w:rsidRDefault="0017741A" w:rsidP="00FC0334"/>
    <w:sectPr w:rsidR="0017741A"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46ADCC" w14:textId="77777777" w:rsidR="00B934BC" w:rsidRDefault="00B934BC">
      <w:r>
        <w:separator/>
      </w:r>
    </w:p>
  </w:endnote>
  <w:endnote w:type="continuationSeparator" w:id="0">
    <w:p w14:paraId="33D6F511" w14:textId="77777777" w:rsidR="00B934BC" w:rsidRDefault="00B93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25BC0426" w:rsidR="00A5656A" w:rsidRDefault="00A5656A">
    <w:pPr>
      <w:pStyle w:val="Footer"/>
      <w:jc w:val="right"/>
    </w:pPr>
    <w:r>
      <w:fldChar w:fldCharType="begin"/>
    </w:r>
    <w:r>
      <w:instrText xml:space="preserve"> PAGE   \* MERGEFORMAT </w:instrText>
    </w:r>
    <w:r>
      <w:fldChar w:fldCharType="separate"/>
    </w:r>
    <w:r w:rsidR="0021126C">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92739C" w14:textId="77777777" w:rsidR="00B934BC" w:rsidRDefault="00B934BC">
      <w:r>
        <w:separator/>
      </w:r>
    </w:p>
  </w:footnote>
  <w:footnote w:type="continuationSeparator" w:id="0">
    <w:p w14:paraId="61EE2E94" w14:textId="77777777" w:rsidR="00B934BC" w:rsidRDefault="00B93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3582220"/>
    <w:multiLevelType w:val="multilevel"/>
    <w:tmpl w:val="E008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170BFB"/>
    <w:multiLevelType w:val="multilevel"/>
    <w:tmpl w:val="7F52F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DDB223F"/>
    <w:multiLevelType w:val="multilevel"/>
    <w:tmpl w:val="E5A8F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2237C2"/>
    <w:multiLevelType w:val="multilevel"/>
    <w:tmpl w:val="76D0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A410DA"/>
    <w:multiLevelType w:val="multilevel"/>
    <w:tmpl w:val="6666E7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FA16EE"/>
    <w:multiLevelType w:val="multilevel"/>
    <w:tmpl w:val="C78CB8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51"/>
  </w:num>
  <w:num w:numId="4">
    <w:abstractNumId w:val="53"/>
  </w:num>
  <w:num w:numId="5">
    <w:abstractNumId w:val="37"/>
  </w:num>
  <w:num w:numId="6">
    <w:abstractNumId w:val="35"/>
  </w:num>
  <w:num w:numId="7">
    <w:abstractNumId w:val="31"/>
  </w:num>
  <w:num w:numId="8">
    <w:abstractNumId w:val="33"/>
  </w:num>
  <w:num w:numId="9">
    <w:abstractNumId w:val="10"/>
  </w:num>
  <w:num w:numId="10">
    <w:abstractNumId w:val="36"/>
  </w:num>
  <w:num w:numId="11">
    <w:abstractNumId w:val="17"/>
  </w:num>
  <w:num w:numId="12">
    <w:abstractNumId w:val="16"/>
  </w:num>
  <w:num w:numId="13">
    <w:abstractNumId w:val="29"/>
  </w:num>
  <w:num w:numId="14">
    <w:abstractNumId w:val="8"/>
  </w:num>
  <w:num w:numId="15">
    <w:abstractNumId w:val="28"/>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4"/>
  </w:num>
  <w:num w:numId="22">
    <w:abstractNumId w:val="11"/>
  </w:num>
  <w:num w:numId="23">
    <w:abstractNumId w:val="30"/>
  </w:num>
  <w:num w:numId="24">
    <w:abstractNumId w:val="20"/>
  </w:num>
  <w:num w:numId="25">
    <w:abstractNumId w:val="47"/>
  </w:num>
  <w:num w:numId="26">
    <w:abstractNumId w:val="39"/>
  </w:num>
  <w:num w:numId="27">
    <w:abstractNumId w:val="45"/>
  </w:num>
  <w:num w:numId="28">
    <w:abstractNumId w:val="21"/>
  </w:num>
  <w:num w:numId="29">
    <w:abstractNumId w:val="49"/>
  </w:num>
  <w:num w:numId="30">
    <w:abstractNumId w:val="34"/>
  </w:num>
  <w:num w:numId="31">
    <w:abstractNumId w:val="12"/>
  </w:num>
  <w:num w:numId="32">
    <w:abstractNumId w:val="50"/>
  </w:num>
  <w:num w:numId="33">
    <w:abstractNumId w:val="44"/>
  </w:num>
  <w:num w:numId="34">
    <w:abstractNumId w:val="5"/>
  </w:num>
  <w:num w:numId="35">
    <w:abstractNumId w:val="52"/>
  </w:num>
  <w:num w:numId="36">
    <w:abstractNumId w:val="48"/>
  </w:num>
  <w:num w:numId="37">
    <w:abstractNumId w:val="41"/>
  </w:num>
  <w:num w:numId="38">
    <w:abstractNumId w:val="42"/>
  </w:num>
  <w:num w:numId="39">
    <w:abstractNumId w:val="4"/>
  </w:num>
  <w:num w:numId="40">
    <w:abstractNumId w:val="6"/>
  </w:num>
  <w:num w:numId="41">
    <w:abstractNumId w:val="27"/>
  </w:num>
  <w:num w:numId="42">
    <w:abstractNumId w:val="7"/>
  </w:num>
  <w:num w:numId="43">
    <w:abstractNumId w:val="3"/>
  </w:num>
  <w:num w:numId="44">
    <w:abstractNumId w:val="43"/>
  </w:num>
  <w:num w:numId="45">
    <w:abstractNumId w:val="0"/>
  </w:num>
  <w:num w:numId="46">
    <w:abstractNumId w:val="14"/>
  </w:num>
  <w:num w:numId="47">
    <w:abstractNumId w:val="54"/>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30"/>
  </w:num>
  <w:num w:numId="51">
    <w:abstractNumId w:val="26"/>
  </w:num>
  <w:num w:numId="52">
    <w:abstractNumId w:val="22"/>
  </w:num>
  <w:num w:numId="53">
    <w:abstractNumId w:val="2"/>
  </w:num>
  <w:num w:numId="54">
    <w:abstractNumId w:val="38"/>
  </w:num>
  <w:num w:numId="55">
    <w:abstractNumId w:val="25"/>
  </w:num>
  <w:num w:numId="56">
    <w:abstractNumId w:val="18"/>
  </w:num>
  <w:num w:numId="57">
    <w:abstractNumId w:val="32"/>
  </w:num>
  <w:num w:numId="58">
    <w:abstractNumId w:val="46"/>
  </w:num>
  <w:num w:numId="59">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880"/>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2E4"/>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C48"/>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41A"/>
    <w:rsid w:val="00190899"/>
    <w:rsid w:val="0019317A"/>
    <w:rsid w:val="0019496C"/>
    <w:rsid w:val="001961CF"/>
    <w:rsid w:val="001A59BB"/>
    <w:rsid w:val="001A607E"/>
    <w:rsid w:val="001A6A51"/>
    <w:rsid w:val="001A79C4"/>
    <w:rsid w:val="001B331A"/>
    <w:rsid w:val="001B62C7"/>
    <w:rsid w:val="001C0237"/>
    <w:rsid w:val="001C0E74"/>
    <w:rsid w:val="001C4537"/>
    <w:rsid w:val="001C4DB8"/>
    <w:rsid w:val="001C50B8"/>
    <w:rsid w:val="001D229F"/>
    <w:rsid w:val="001E2EB6"/>
    <w:rsid w:val="001F4552"/>
    <w:rsid w:val="002019EB"/>
    <w:rsid w:val="00204B58"/>
    <w:rsid w:val="00205051"/>
    <w:rsid w:val="0021126C"/>
    <w:rsid w:val="00211ABE"/>
    <w:rsid w:val="00211F65"/>
    <w:rsid w:val="00214047"/>
    <w:rsid w:val="00216563"/>
    <w:rsid w:val="0021792F"/>
    <w:rsid w:val="00220D06"/>
    <w:rsid w:val="00223B0D"/>
    <w:rsid w:val="002246A0"/>
    <w:rsid w:val="00230439"/>
    <w:rsid w:val="00232A09"/>
    <w:rsid w:val="00235176"/>
    <w:rsid w:val="00236061"/>
    <w:rsid w:val="0024100E"/>
    <w:rsid w:val="00241C1B"/>
    <w:rsid w:val="0024288B"/>
    <w:rsid w:val="00243DB0"/>
    <w:rsid w:val="00245BE0"/>
    <w:rsid w:val="00247265"/>
    <w:rsid w:val="00255743"/>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67C"/>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45F"/>
    <w:rsid w:val="003015C3"/>
    <w:rsid w:val="003106DB"/>
    <w:rsid w:val="0031350A"/>
    <w:rsid w:val="00316815"/>
    <w:rsid w:val="003168CA"/>
    <w:rsid w:val="00320769"/>
    <w:rsid w:val="00321255"/>
    <w:rsid w:val="0032230D"/>
    <w:rsid w:val="00322A0B"/>
    <w:rsid w:val="00330881"/>
    <w:rsid w:val="00331CD2"/>
    <w:rsid w:val="00332426"/>
    <w:rsid w:val="00335C41"/>
    <w:rsid w:val="00335FC5"/>
    <w:rsid w:val="0033771E"/>
    <w:rsid w:val="00337FEF"/>
    <w:rsid w:val="00354B6D"/>
    <w:rsid w:val="00355210"/>
    <w:rsid w:val="00355CFD"/>
    <w:rsid w:val="00355F2F"/>
    <w:rsid w:val="00365DF9"/>
    <w:rsid w:val="0037066E"/>
    <w:rsid w:val="00372DB4"/>
    <w:rsid w:val="00373A36"/>
    <w:rsid w:val="0037419E"/>
    <w:rsid w:val="00375AF5"/>
    <w:rsid w:val="003761BD"/>
    <w:rsid w:val="00377448"/>
    <w:rsid w:val="00377884"/>
    <w:rsid w:val="003826BD"/>
    <w:rsid w:val="00385414"/>
    <w:rsid w:val="00385EC4"/>
    <w:rsid w:val="00390074"/>
    <w:rsid w:val="00392F73"/>
    <w:rsid w:val="00393600"/>
    <w:rsid w:val="00394DB7"/>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60B"/>
    <w:rsid w:val="003F1233"/>
    <w:rsid w:val="003F67A4"/>
    <w:rsid w:val="003F750D"/>
    <w:rsid w:val="00400786"/>
    <w:rsid w:val="00401FDA"/>
    <w:rsid w:val="004046F0"/>
    <w:rsid w:val="0040668F"/>
    <w:rsid w:val="00411EF7"/>
    <w:rsid w:val="00412677"/>
    <w:rsid w:val="00417EB8"/>
    <w:rsid w:val="00425160"/>
    <w:rsid w:val="00430DE3"/>
    <w:rsid w:val="004348AE"/>
    <w:rsid w:val="004376C0"/>
    <w:rsid w:val="0044223A"/>
    <w:rsid w:val="00450B67"/>
    <w:rsid w:val="00451851"/>
    <w:rsid w:val="0045189A"/>
    <w:rsid w:val="004523C7"/>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0DB"/>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653"/>
    <w:rsid w:val="0056684C"/>
    <w:rsid w:val="00574A0C"/>
    <w:rsid w:val="0057780F"/>
    <w:rsid w:val="00581E0A"/>
    <w:rsid w:val="00583FD1"/>
    <w:rsid w:val="00586D89"/>
    <w:rsid w:val="005877C8"/>
    <w:rsid w:val="00587923"/>
    <w:rsid w:val="00594F9F"/>
    <w:rsid w:val="005A1B4C"/>
    <w:rsid w:val="005A545C"/>
    <w:rsid w:val="005A6C08"/>
    <w:rsid w:val="005B271A"/>
    <w:rsid w:val="005B3A2D"/>
    <w:rsid w:val="005C1567"/>
    <w:rsid w:val="005C28D3"/>
    <w:rsid w:val="005C6CE5"/>
    <w:rsid w:val="005D3F07"/>
    <w:rsid w:val="005D4A1E"/>
    <w:rsid w:val="005D4F72"/>
    <w:rsid w:val="005E13EA"/>
    <w:rsid w:val="005E17F1"/>
    <w:rsid w:val="005F62EC"/>
    <w:rsid w:val="005F64AA"/>
    <w:rsid w:val="005F7851"/>
    <w:rsid w:val="00606E27"/>
    <w:rsid w:val="006108C9"/>
    <w:rsid w:val="00614DF7"/>
    <w:rsid w:val="006179BB"/>
    <w:rsid w:val="0062158D"/>
    <w:rsid w:val="006223FD"/>
    <w:rsid w:val="006326D1"/>
    <w:rsid w:val="00632E0A"/>
    <w:rsid w:val="00633165"/>
    <w:rsid w:val="00634B8F"/>
    <w:rsid w:val="0064297A"/>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39"/>
    <w:rsid w:val="00697572"/>
    <w:rsid w:val="006B4496"/>
    <w:rsid w:val="006B5E67"/>
    <w:rsid w:val="006B6612"/>
    <w:rsid w:val="006C2EB5"/>
    <w:rsid w:val="006D18A3"/>
    <w:rsid w:val="006D5970"/>
    <w:rsid w:val="006E481E"/>
    <w:rsid w:val="006E6662"/>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47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8DD"/>
    <w:rsid w:val="008B6414"/>
    <w:rsid w:val="008B67F6"/>
    <w:rsid w:val="008C14C7"/>
    <w:rsid w:val="008C2FFB"/>
    <w:rsid w:val="008C633F"/>
    <w:rsid w:val="008C6EEA"/>
    <w:rsid w:val="008C7770"/>
    <w:rsid w:val="008C79C7"/>
    <w:rsid w:val="008D03B0"/>
    <w:rsid w:val="008D0B9F"/>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6906"/>
    <w:rsid w:val="009544C0"/>
    <w:rsid w:val="00954FA4"/>
    <w:rsid w:val="00956AE9"/>
    <w:rsid w:val="00964CC6"/>
    <w:rsid w:val="00967BFA"/>
    <w:rsid w:val="0098262C"/>
    <w:rsid w:val="0098427C"/>
    <w:rsid w:val="00986B43"/>
    <w:rsid w:val="00986C0B"/>
    <w:rsid w:val="00986D46"/>
    <w:rsid w:val="00991FDA"/>
    <w:rsid w:val="00992ACA"/>
    <w:rsid w:val="009A194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5CF3"/>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694D"/>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728"/>
    <w:rsid w:val="00B9256C"/>
    <w:rsid w:val="00B92BEF"/>
    <w:rsid w:val="00B934BC"/>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A92"/>
    <w:rsid w:val="00BF0D6C"/>
    <w:rsid w:val="00BF644D"/>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07"/>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FA3"/>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17FE"/>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650"/>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F5F"/>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CD4"/>
    <w:rsid w:val="00F927A1"/>
    <w:rsid w:val="00F92E4D"/>
    <w:rsid w:val="00F95D08"/>
    <w:rsid w:val="00FA0497"/>
    <w:rsid w:val="00FA23BD"/>
    <w:rsid w:val="00FA3764"/>
    <w:rsid w:val="00FA41C7"/>
    <w:rsid w:val="00FA4A79"/>
    <w:rsid w:val="00FA4F08"/>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662"/>
    <w:rPr>
      <w:sz w:val="24"/>
      <w:szCs w:val="24"/>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lang w:val="x-none" w:eastAsia="x-none"/>
    </w:r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jc w:val="center"/>
    </w:pPr>
    <w:rPr>
      <w:b/>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A05CF3"/>
    <w:pPr>
      <w:spacing w:before="100" w:beforeAutospacing="1" w:after="100" w:afterAutospacing="1"/>
    </w:pPr>
  </w:style>
  <w:style w:type="character" w:styleId="FollowedHyperlink">
    <w:name w:val="FollowedHyperlink"/>
    <w:basedOn w:val="DefaultParagraphFont"/>
    <w:uiPriority w:val="99"/>
    <w:semiHidden/>
    <w:unhideWhenUsed/>
    <w:rsid w:val="006E6662"/>
    <w:rPr>
      <w:color w:val="954F72" w:themeColor="followedHyperlink"/>
      <w:u w:val="single"/>
    </w:rPr>
  </w:style>
  <w:style w:type="character" w:customStyle="1" w:styleId="UnresolvedMention1">
    <w:name w:val="Unresolved Mention1"/>
    <w:basedOn w:val="DefaultParagraphFont"/>
    <w:uiPriority w:val="99"/>
    <w:semiHidden/>
    <w:unhideWhenUsed/>
    <w:rsid w:val="00E73650"/>
    <w:rPr>
      <w:color w:val="605E5C"/>
      <w:shd w:val="clear" w:color="auto" w:fill="E1DFDD"/>
    </w:rPr>
  </w:style>
  <w:style w:type="character" w:styleId="Strong">
    <w:name w:val="Strong"/>
    <w:basedOn w:val="DefaultParagraphFont"/>
    <w:uiPriority w:val="22"/>
    <w:qFormat/>
    <w:rsid w:val="00394D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55656">
      <w:bodyDiv w:val="1"/>
      <w:marLeft w:val="0"/>
      <w:marRight w:val="0"/>
      <w:marTop w:val="0"/>
      <w:marBottom w:val="0"/>
      <w:divBdr>
        <w:top w:val="none" w:sz="0" w:space="0" w:color="auto"/>
        <w:left w:val="none" w:sz="0" w:space="0" w:color="auto"/>
        <w:bottom w:val="none" w:sz="0" w:space="0" w:color="auto"/>
        <w:right w:val="none" w:sz="0" w:space="0" w:color="auto"/>
      </w:divBdr>
    </w:div>
    <w:div w:id="145712085">
      <w:bodyDiv w:val="1"/>
      <w:marLeft w:val="0"/>
      <w:marRight w:val="0"/>
      <w:marTop w:val="0"/>
      <w:marBottom w:val="0"/>
      <w:divBdr>
        <w:top w:val="none" w:sz="0" w:space="0" w:color="auto"/>
        <w:left w:val="none" w:sz="0" w:space="0" w:color="auto"/>
        <w:bottom w:val="none" w:sz="0" w:space="0" w:color="auto"/>
        <w:right w:val="none" w:sz="0" w:space="0" w:color="auto"/>
      </w:divBdr>
    </w:div>
    <w:div w:id="190806121">
      <w:bodyDiv w:val="1"/>
      <w:marLeft w:val="0"/>
      <w:marRight w:val="0"/>
      <w:marTop w:val="0"/>
      <w:marBottom w:val="0"/>
      <w:divBdr>
        <w:top w:val="none" w:sz="0" w:space="0" w:color="auto"/>
        <w:left w:val="none" w:sz="0" w:space="0" w:color="auto"/>
        <w:bottom w:val="none" w:sz="0" w:space="0" w:color="auto"/>
        <w:right w:val="none" w:sz="0" w:space="0" w:color="auto"/>
      </w:divBdr>
    </w:div>
    <w:div w:id="236747258">
      <w:bodyDiv w:val="1"/>
      <w:marLeft w:val="0"/>
      <w:marRight w:val="0"/>
      <w:marTop w:val="0"/>
      <w:marBottom w:val="0"/>
      <w:divBdr>
        <w:top w:val="none" w:sz="0" w:space="0" w:color="auto"/>
        <w:left w:val="none" w:sz="0" w:space="0" w:color="auto"/>
        <w:bottom w:val="none" w:sz="0" w:space="0" w:color="auto"/>
        <w:right w:val="none" w:sz="0" w:space="0" w:color="auto"/>
      </w:divBdr>
    </w:div>
    <w:div w:id="242379408">
      <w:bodyDiv w:val="1"/>
      <w:marLeft w:val="0"/>
      <w:marRight w:val="0"/>
      <w:marTop w:val="0"/>
      <w:marBottom w:val="0"/>
      <w:divBdr>
        <w:top w:val="none" w:sz="0" w:space="0" w:color="auto"/>
        <w:left w:val="none" w:sz="0" w:space="0" w:color="auto"/>
        <w:bottom w:val="none" w:sz="0" w:space="0" w:color="auto"/>
        <w:right w:val="none" w:sz="0" w:space="0" w:color="auto"/>
      </w:divBdr>
    </w:div>
    <w:div w:id="254829385">
      <w:bodyDiv w:val="1"/>
      <w:marLeft w:val="0"/>
      <w:marRight w:val="0"/>
      <w:marTop w:val="0"/>
      <w:marBottom w:val="0"/>
      <w:divBdr>
        <w:top w:val="none" w:sz="0" w:space="0" w:color="auto"/>
        <w:left w:val="none" w:sz="0" w:space="0" w:color="auto"/>
        <w:bottom w:val="none" w:sz="0" w:space="0" w:color="auto"/>
        <w:right w:val="none" w:sz="0" w:space="0" w:color="auto"/>
      </w:divBdr>
    </w:div>
    <w:div w:id="383332485">
      <w:bodyDiv w:val="1"/>
      <w:marLeft w:val="0"/>
      <w:marRight w:val="0"/>
      <w:marTop w:val="0"/>
      <w:marBottom w:val="0"/>
      <w:divBdr>
        <w:top w:val="none" w:sz="0" w:space="0" w:color="auto"/>
        <w:left w:val="none" w:sz="0" w:space="0" w:color="auto"/>
        <w:bottom w:val="none" w:sz="0" w:space="0" w:color="auto"/>
        <w:right w:val="none" w:sz="0" w:space="0" w:color="auto"/>
      </w:divBdr>
    </w:div>
    <w:div w:id="495457182">
      <w:bodyDiv w:val="1"/>
      <w:marLeft w:val="0"/>
      <w:marRight w:val="0"/>
      <w:marTop w:val="0"/>
      <w:marBottom w:val="0"/>
      <w:divBdr>
        <w:top w:val="none" w:sz="0" w:space="0" w:color="auto"/>
        <w:left w:val="none" w:sz="0" w:space="0" w:color="auto"/>
        <w:bottom w:val="none" w:sz="0" w:space="0" w:color="auto"/>
        <w:right w:val="none" w:sz="0" w:space="0" w:color="auto"/>
      </w:divBdr>
    </w:div>
    <w:div w:id="500239745">
      <w:bodyDiv w:val="1"/>
      <w:marLeft w:val="0"/>
      <w:marRight w:val="0"/>
      <w:marTop w:val="0"/>
      <w:marBottom w:val="0"/>
      <w:divBdr>
        <w:top w:val="none" w:sz="0" w:space="0" w:color="auto"/>
        <w:left w:val="none" w:sz="0" w:space="0" w:color="auto"/>
        <w:bottom w:val="none" w:sz="0" w:space="0" w:color="auto"/>
        <w:right w:val="none" w:sz="0" w:space="0" w:color="auto"/>
      </w:divBdr>
    </w:div>
    <w:div w:id="516389460">
      <w:bodyDiv w:val="1"/>
      <w:marLeft w:val="0"/>
      <w:marRight w:val="0"/>
      <w:marTop w:val="0"/>
      <w:marBottom w:val="0"/>
      <w:divBdr>
        <w:top w:val="none" w:sz="0" w:space="0" w:color="auto"/>
        <w:left w:val="none" w:sz="0" w:space="0" w:color="auto"/>
        <w:bottom w:val="none" w:sz="0" w:space="0" w:color="auto"/>
        <w:right w:val="none" w:sz="0" w:space="0" w:color="auto"/>
      </w:divBdr>
    </w:div>
    <w:div w:id="516626753">
      <w:bodyDiv w:val="1"/>
      <w:marLeft w:val="0"/>
      <w:marRight w:val="0"/>
      <w:marTop w:val="0"/>
      <w:marBottom w:val="0"/>
      <w:divBdr>
        <w:top w:val="none" w:sz="0" w:space="0" w:color="auto"/>
        <w:left w:val="none" w:sz="0" w:space="0" w:color="auto"/>
        <w:bottom w:val="none" w:sz="0" w:space="0" w:color="auto"/>
        <w:right w:val="none" w:sz="0" w:space="0" w:color="auto"/>
      </w:divBdr>
    </w:div>
    <w:div w:id="633147426">
      <w:bodyDiv w:val="1"/>
      <w:marLeft w:val="0"/>
      <w:marRight w:val="0"/>
      <w:marTop w:val="0"/>
      <w:marBottom w:val="0"/>
      <w:divBdr>
        <w:top w:val="none" w:sz="0" w:space="0" w:color="auto"/>
        <w:left w:val="none" w:sz="0" w:space="0" w:color="auto"/>
        <w:bottom w:val="none" w:sz="0" w:space="0" w:color="auto"/>
        <w:right w:val="none" w:sz="0" w:space="0" w:color="auto"/>
      </w:divBdr>
    </w:div>
    <w:div w:id="752046697">
      <w:bodyDiv w:val="1"/>
      <w:marLeft w:val="0"/>
      <w:marRight w:val="0"/>
      <w:marTop w:val="0"/>
      <w:marBottom w:val="0"/>
      <w:divBdr>
        <w:top w:val="none" w:sz="0" w:space="0" w:color="auto"/>
        <w:left w:val="none" w:sz="0" w:space="0" w:color="auto"/>
        <w:bottom w:val="none" w:sz="0" w:space="0" w:color="auto"/>
        <w:right w:val="none" w:sz="0" w:space="0" w:color="auto"/>
      </w:divBdr>
    </w:div>
    <w:div w:id="752969361">
      <w:bodyDiv w:val="1"/>
      <w:marLeft w:val="0"/>
      <w:marRight w:val="0"/>
      <w:marTop w:val="0"/>
      <w:marBottom w:val="0"/>
      <w:divBdr>
        <w:top w:val="none" w:sz="0" w:space="0" w:color="auto"/>
        <w:left w:val="none" w:sz="0" w:space="0" w:color="auto"/>
        <w:bottom w:val="none" w:sz="0" w:space="0" w:color="auto"/>
        <w:right w:val="none" w:sz="0" w:space="0" w:color="auto"/>
      </w:divBdr>
    </w:div>
    <w:div w:id="801729398">
      <w:bodyDiv w:val="1"/>
      <w:marLeft w:val="0"/>
      <w:marRight w:val="0"/>
      <w:marTop w:val="0"/>
      <w:marBottom w:val="0"/>
      <w:divBdr>
        <w:top w:val="none" w:sz="0" w:space="0" w:color="auto"/>
        <w:left w:val="none" w:sz="0" w:space="0" w:color="auto"/>
        <w:bottom w:val="none" w:sz="0" w:space="0" w:color="auto"/>
        <w:right w:val="none" w:sz="0" w:space="0" w:color="auto"/>
      </w:divBdr>
    </w:div>
    <w:div w:id="96338355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8853623">
      <w:bodyDiv w:val="1"/>
      <w:marLeft w:val="0"/>
      <w:marRight w:val="0"/>
      <w:marTop w:val="0"/>
      <w:marBottom w:val="0"/>
      <w:divBdr>
        <w:top w:val="none" w:sz="0" w:space="0" w:color="auto"/>
        <w:left w:val="none" w:sz="0" w:space="0" w:color="auto"/>
        <w:bottom w:val="none" w:sz="0" w:space="0" w:color="auto"/>
        <w:right w:val="none" w:sz="0" w:space="0" w:color="auto"/>
      </w:divBdr>
    </w:div>
    <w:div w:id="1094938293">
      <w:bodyDiv w:val="1"/>
      <w:marLeft w:val="0"/>
      <w:marRight w:val="0"/>
      <w:marTop w:val="0"/>
      <w:marBottom w:val="0"/>
      <w:divBdr>
        <w:top w:val="none" w:sz="0" w:space="0" w:color="auto"/>
        <w:left w:val="none" w:sz="0" w:space="0" w:color="auto"/>
        <w:bottom w:val="none" w:sz="0" w:space="0" w:color="auto"/>
        <w:right w:val="none" w:sz="0" w:space="0" w:color="auto"/>
      </w:divBdr>
    </w:div>
    <w:div w:id="11261983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1304437">
      <w:bodyDiv w:val="1"/>
      <w:marLeft w:val="0"/>
      <w:marRight w:val="0"/>
      <w:marTop w:val="0"/>
      <w:marBottom w:val="0"/>
      <w:divBdr>
        <w:top w:val="none" w:sz="0" w:space="0" w:color="auto"/>
        <w:left w:val="none" w:sz="0" w:space="0" w:color="auto"/>
        <w:bottom w:val="none" w:sz="0" w:space="0" w:color="auto"/>
        <w:right w:val="none" w:sz="0" w:space="0" w:color="auto"/>
      </w:divBdr>
    </w:div>
    <w:div w:id="1460563516">
      <w:bodyDiv w:val="1"/>
      <w:marLeft w:val="0"/>
      <w:marRight w:val="0"/>
      <w:marTop w:val="0"/>
      <w:marBottom w:val="0"/>
      <w:divBdr>
        <w:top w:val="none" w:sz="0" w:space="0" w:color="auto"/>
        <w:left w:val="none" w:sz="0" w:space="0" w:color="auto"/>
        <w:bottom w:val="none" w:sz="0" w:space="0" w:color="auto"/>
        <w:right w:val="none" w:sz="0" w:space="0" w:color="auto"/>
      </w:divBdr>
    </w:div>
    <w:div w:id="1476336158">
      <w:bodyDiv w:val="1"/>
      <w:marLeft w:val="0"/>
      <w:marRight w:val="0"/>
      <w:marTop w:val="0"/>
      <w:marBottom w:val="0"/>
      <w:divBdr>
        <w:top w:val="none" w:sz="0" w:space="0" w:color="auto"/>
        <w:left w:val="none" w:sz="0" w:space="0" w:color="auto"/>
        <w:bottom w:val="none" w:sz="0" w:space="0" w:color="auto"/>
        <w:right w:val="none" w:sz="0" w:space="0" w:color="auto"/>
      </w:divBdr>
    </w:div>
    <w:div w:id="1896499961">
      <w:bodyDiv w:val="1"/>
      <w:marLeft w:val="0"/>
      <w:marRight w:val="0"/>
      <w:marTop w:val="0"/>
      <w:marBottom w:val="0"/>
      <w:divBdr>
        <w:top w:val="none" w:sz="0" w:space="0" w:color="auto"/>
        <w:left w:val="none" w:sz="0" w:space="0" w:color="auto"/>
        <w:bottom w:val="none" w:sz="0" w:space="0" w:color="auto"/>
        <w:right w:val="none" w:sz="0" w:space="0" w:color="auto"/>
      </w:divBdr>
    </w:div>
    <w:div w:id="1928536092">
      <w:bodyDiv w:val="1"/>
      <w:marLeft w:val="0"/>
      <w:marRight w:val="0"/>
      <w:marTop w:val="0"/>
      <w:marBottom w:val="0"/>
      <w:divBdr>
        <w:top w:val="none" w:sz="0" w:space="0" w:color="auto"/>
        <w:left w:val="none" w:sz="0" w:space="0" w:color="auto"/>
        <w:bottom w:val="none" w:sz="0" w:space="0" w:color="auto"/>
        <w:right w:val="none" w:sz="0" w:space="0" w:color="auto"/>
      </w:divBdr>
    </w:div>
    <w:div w:id="202227004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209621">
      <w:bodyDiv w:val="1"/>
      <w:marLeft w:val="0"/>
      <w:marRight w:val="0"/>
      <w:marTop w:val="0"/>
      <w:marBottom w:val="0"/>
      <w:divBdr>
        <w:top w:val="none" w:sz="0" w:space="0" w:color="auto"/>
        <w:left w:val="none" w:sz="0" w:space="0" w:color="auto"/>
        <w:bottom w:val="none" w:sz="0" w:space="0" w:color="auto"/>
        <w:right w:val="none" w:sz="0" w:space="0" w:color="auto"/>
      </w:divBdr>
    </w:div>
    <w:div w:id="210386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32654@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7642E-5A5F-AA4B-B951-9008B3A18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1093</Words>
  <Characters>6232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VALENTINE</cp:lastModifiedBy>
  <cp:revision>4</cp:revision>
  <cp:lastPrinted>2020-02-11T19:20:00Z</cp:lastPrinted>
  <dcterms:created xsi:type="dcterms:W3CDTF">2025-02-13T20:19:00Z</dcterms:created>
  <dcterms:modified xsi:type="dcterms:W3CDTF">2025-02-17T20:57:00Z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