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C6403E" w14:textId="77777777" w:rsidR="000A3682" w:rsidRDefault="000A3682" w:rsidP="000A3682">
      <w:r>
        <w:rPr>
          <w:noProof/>
        </w:rPr>
        <w:drawing>
          <wp:inline distT="0" distB="0" distL="0" distR="0" wp14:anchorId="239ED992" wp14:editId="200D6C37">
            <wp:extent cx="2143125" cy="2143125"/>
            <wp:effectExtent l="0" t="0" r="9525"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2143125" cy="2143125"/>
                    </a:xfrm>
                    <a:prstGeom prst="rect">
                      <a:avLst/>
                    </a:prstGeom>
                  </pic:spPr>
                </pic:pic>
              </a:graphicData>
            </a:graphic>
          </wp:inline>
        </w:drawing>
      </w:r>
    </w:p>
    <w:p w14:paraId="269B6EA1" w14:textId="77777777" w:rsidR="000A3682" w:rsidRDefault="000A3682" w:rsidP="000A3682"/>
    <w:p w14:paraId="33EFE3BE" w14:textId="52C53ADE" w:rsidR="000A3682" w:rsidRPr="006D1909" w:rsidRDefault="000A3682" w:rsidP="000A3682">
      <w:pPr>
        <w:jc w:val="center"/>
        <w:rPr>
          <w:rFonts w:ascii="Arial" w:hAnsi="Arial" w:cs="Arial"/>
          <w:b/>
          <w:bCs/>
          <w:sz w:val="28"/>
          <w:szCs w:val="28"/>
          <w:u w:val="single"/>
        </w:rPr>
      </w:pPr>
      <w:r>
        <w:rPr>
          <w:rFonts w:ascii="Arial" w:hAnsi="Arial" w:cs="Arial"/>
          <w:b/>
          <w:bCs/>
          <w:sz w:val="28"/>
          <w:szCs w:val="28"/>
          <w:u w:val="single"/>
        </w:rPr>
        <w:t xml:space="preserve">Human Resource </w:t>
      </w:r>
      <w:r>
        <w:rPr>
          <w:rFonts w:ascii="Arial" w:hAnsi="Arial" w:cs="Arial"/>
          <w:b/>
          <w:bCs/>
          <w:sz w:val="28"/>
          <w:szCs w:val="28"/>
          <w:u w:val="single"/>
        </w:rPr>
        <w:t>Report</w:t>
      </w:r>
    </w:p>
    <w:p w14:paraId="1500ADEB" w14:textId="77777777" w:rsidR="000A3682" w:rsidRDefault="000A3682" w:rsidP="000A3682"/>
    <w:p w14:paraId="561CC532" w14:textId="77777777" w:rsidR="000A3682" w:rsidRDefault="000A3682" w:rsidP="000A3682">
      <w:pPr>
        <w:jc w:val="center"/>
      </w:pPr>
    </w:p>
    <w:p w14:paraId="28C5EB2E" w14:textId="77777777" w:rsidR="000A3682" w:rsidRPr="003B4447" w:rsidRDefault="000A3682" w:rsidP="000A3682">
      <w:pPr>
        <w:jc w:val="center"/>
        <w:rPr>
          <w:rFonts w:ascii="Arial" w:hAnsi="Arial" w:cs="Arial"/>
          <w:sz w:val="24"/>
          <w:szCs w:val="24"/>
        </w:rPr>
      </w:pPr>
      <w:r w:rsidRPr="003B4447">
        <w:rPr>
          <w:rFonts w:ascii="Arial" w:hAnsi="Arial" w:cs="Arial"/>
          <w:sz w:val="24"/>
          <w:szCs w:val="24"/>
        </w:rPr>
        <w:t>Prepared for</w:t>
      </w:r>
    </w:p>
    <w:p w14:paraId="4BDBF949" w14:textId="77777777" w:rsidR="000A3682" w:rsidRPr="003B4447" w:rsidRDefault="000A3682" w:rsidP="000A3682">
      <w:pPr>
        <w:jc w:val="center"/>
        <w:rPr>
          <w:rFonts w:ascii="Arial" w:hAnsi="Arial" w:cs="Arial"/>
          <w:sz w:val="24"/>
          <w:szCs w:val="24"/>
        </w:rPr>
      </w:pPr>
    </w:p>
    <w:p w14:paraId="50F73A7D" w14:textId="77777777" w:rsidR="000A3682" w:rsidRDefault="000A3682" w:rsidP="000A3682">
      <w:pPr>
        <w:jc w:val="center"/>
        <w:rPr>
          <w:rFonts w:ascii="Arial" w:hAnsi="Arial" w:cs="Arial"/>
          <w:sz w:val="24"/>
          <w:szCs w:val="24"/>
        </w:rPr>
      </w:pPr>
      <w:r>
        <w:rPr>
          <w:rFonts w:ascii="Arial" w:hAnsi="Arial" w:cs="Arial"/>
          <w:sz w:val="24"/>
          <w:szCs w:val="24"/>
        </w:rPr>
        <w:t xml:space="preserve">Charles </w:t>
      </w:r>
      <w:proofErr w:type="spellStart"/>
      <w:r>
        <w:rPr>
          <w:rFonts w:ascii="Arial" w:hAnsi="Arial" w:cs="Arial"/>
          <w:sz w:val="24"/>
          <w:szCs w:val="24"/>
        </w:rPr>
        <w:t>Oham</w:t>
      </w:r>
      <w:proofErr w:type="spellEnd"/>
    </w:p>
    <w:p w14:paraId="037F5538" w14:textId="77777777" w:rsidR="000A3682" w:rsidRPr="003B4447" w:rsidRDefault="000A3682" w:rsidP="000A3682">
      <w:pPr>
        <w:jc w:val="center"/>
        <w:rPr>
          <w:rFonts w:ascii="Arial" w:hAnsi="Arial" w:cs="Arial"/>
          <w:sz w:val="24"/>
          <w:szCs w:val="24"/>
        </w:rPr>
      </w:pPr>
    </w:p>
    <w:p w14:paraId="46F4FB38" w14:textId="77777777" w:rsidR="000A3682" w:rsidRPr="003B4447" w:rsidRDefault="000A3682" w:rsidP="000A3682">
      <w:pPr>
        <w:jc w:val="center"/>
        <w:rPr>
          <w:rFonts w:ascii="Arial" w:hAnsi="Arial" w:cs="Arial"/>
          <w:sz w:val="24"/>
          <w:szCs w:val="24"/>
        </w:rPr>
      </w:pPr>
      <w:r w:rsidRPr="003B4447">
        <w:rPr>
          <w:rFonts w:ascii="Arial" w:hAnsi="Arial" w:cs="Arial"/>
          <w:sz w:val="24"/>
          <w:szCs w:val="24"/>
        </w:rPr>
        <w:t>Prepared by</w:t>
      </w:r>
    </w:p>
    <w:p w14:paraId="3F565DD3" w14:textId="77777777" w:rsidR="000A3682" w:rsidRPr="003B4447" w:rsidRDefault="000A3682" w:rsidP="000A3682">
      <w:pPr>
        <w:jc w:val="center"/>
        <w:rPr>
          <w:rFonts w:ascii="Arial" w:hAnsi="Arial" w:cs="Arial"/>
          <w:sz w:val="24"/>
          <w:szCs w:val="24"/>
        </w:rPr>
      </w:pPr>
    </w:p>
    <w:p w14:paraId="3858B488" w14:textId="77777777" w:rsidR="000A3682" w:rsidRDefault="000A3682" w:rsidP="000A3682">
      <w:pPr>
        <w:jc w:val="center"/>
        <w:rPr>
          <w:rFonts w:ascii="Arial" w:hAnsi="Arial" w:cs="Arial"/>
          <w:sz w:val="24"/>
          <w:szCs w:val="24"/>
        </w:rPr>
      </w:pPr>
      <w:r>
        <w:rPr>
          <w:rFonts w:ascii="Arial" w:hAnsi="Arial" w:cs="Arial"/>
          <w:sz w:val="24"/>
          <w:szCs w:val="24"/>
        </w:rPr>
        <w:t>Petya Nedeva</w:t>
      </w:r>
    </w:p>
    <w:p w14:paraId="5881E466" w14:textId="6F7D6355" w:rsidR="000A3682" w:rsidRPr="003B4447" w:rsidRDefault="000A3682" w:rsidP="000A3682">
      <w:pPr>
        <w:jc w:val="center"/>
        <w:rPr>
          <w:rFonts w:ascii="Arial" w:hAnsi="Arial" w:cs="Arial"/>
          <w:sz w:val="24"/>
          <w:szCs w:val="24"/>
        </w:rPr>
      </w:pPr>
      <w:r w:rsidRPr="00E93513">
        <w:rPr>
          <w:rFonts w:ascii="Arial" w:hAnsi="Arial" w:cs="Arial"/>
          <w:sz w:val="24"/>
          <w:szCs w:val="24"/>
        </w:rPr>
        <w:t xml:space="preserve"> </w:t>
      </w:r>
      <w:r>
        <w:rPr>
          <w:rFonts w:ascii="Arial" w:hAnsi="Arial" w:cs="Arial"/>
          <w:sz w:val="24"/>
          <w:szCs w:val="24"/>
        </w:rPr>
        <w:t>University of Wales Trinity Saint David</w:t>
      </w:r>
    </w:p>
    <w:p w14:paraId="6F5A3041" w14:textId="0A241398" w:rsidR="000A3682" w:rsidRDefault="000A3682" w:rsidP="000A3682">
      <w:pPr>
        <w:jc w:val="center"/>
        <w:rPr>
          <w:rFonts w:ascii="Arial" w:hAnsi="Arial" w:cs="Arial"/>
          <w:sz w:val="24"/>
          <w:szCs w:val="24"/>
        </w:rPr>
      </w:pPr>
    </w:p>
    <w:p w14:paraId="71FA2E30" w14:textId="25106F55" w:rsidR="000A3682" w:rsidRPr="003B4447" w:rsidRDefault="000A3682" w:rsidP="000A3682">
      <w:pPr>
        <w:jc w:val="center"/>
        <w:rPr>
          <w:rFonts w:ascii="Arial" w:hAnsi="Arial" w:cs="Arial"/>
          <w:sz w:val="24"/>
          <w:szCs w:val="24"/>
        </w:rPr>
      </w:pPr>
      <w:r>
        <w:rPr>
          <w:rFonts w:ascii="Arial" w:hAnsi="Arial" w:cs="Arial"/>
          <w:sz w:val="24"/>
          <w:szCs w:val="24"/>
        </w:rPr>
        <w:t>BABM Level 5 Term 2</w:t>
      </w:r>
    </w:p>
    <w:p w14:paraId="25CADBF4" w14:textId="77777777" w:rsidR="000A3682" w:rsidRPr="003B4447" w:rsidRDefault="000A3682" w:rsidP="000A3682">
      <w:pPr>
        <w:jc w:val="center"/>
        <w:rPr>
          <w:rFonts w:ascii="Arial" w:hAnsi="Arial" w:cs="Arial"/>
          <w:sz w:val="24"/>
          <w:szCs w:val="24"/>
        </w:rPr>
      </w:pPr>
    </w:p>
    <w:p w14:paraId="7264E47F" w14:textId="77777777" w:rsidR="000A3682" w:rsidRPr="003B4447" w:rsidRDefault="000A3682" w:rsidP="000A3682">
      <w:pPr>
        <w:jc w:val="center"/>
        <w:rPr>
          <w:rFonts w:ascii="Arial" w:hAnsi="Arial" w:cs="Arial"/>
          <w:sz w:val="24"/>
          <w:szCs w:val="24"/>
        </w:rPr>
      </w:pPr>
      <w:r>
        <w:rPr>
          <w:rFonts w:ascii="Arial" w:hAnsi="Arial" w:cs="Arial"/>
          <w:sz w:val="24"/>
          <w:szCs w:val="24"/>
        </w:rPr>
        <w:t>Student number 1816235</w:t>
      </w:r>
    </w:p>
    <w:p w14:paraId="6AB82A4F" w14:textId="5F6494BD" w:rsidR="008343F3" w:rsidRDefault="000A3682"/>
    <w:p w14:paraId="30AAF06D" w14:textId="28D6504E" w:rsidR="000A3682" w:rsidRDefault="000A3682"/>
    <w:p w14:paraId="40D3777C" w14:textId="0B9B9DE7" w:rsidR="000A3682" w:rsidRDefault="000A3682"/>
    <w:p w14:paraId="6C054FD4" w14:textId="22D4589A" w:rsidR="000A3682" w:rsidRDefault="000A3682"/>
    <w:p w14:paraId="4757C4AA" w14:textId="0D209ADB" w:rsidR="000A3682" w:rsidRDefault="000A3682"/>
    <w:p w14:paraId="36E18905" w14:textId="055246E8" w:rsidR="000A3682" w:rsidRDefault="000A3682"/>
    <w:p w14:paraId="4076EDB3" w14:textId="2D89C771" w:rsidR="000A3682" w:rsidRDefault="000A3682"/>
    <w:p w14:paraId="19B5049B" w14:textId="507E7DE2" w:rsidR="000A3682" w:rsidRDefault="000A3682"/>
    <w:p w14:paraId="2BED0F92" w14:textId="77777777" w:rsidR="000A3682" w:rsidRPr="000A3682" w:rsidRDefault="000A3682" w:rsidP="000A3682">
      <w:pPr>
        <w:pStyle w:val="NoSpacing"/>
        <w:spacing w:line="480" w:lineRule="auto"/>
        <w:jc w:val="center"/>
        <w:rPr>
          <w:rFonts w:ascii="Arial" w:hAnsi="Arial" w:cs="Arial"/>
          <w:sz w:val="24"/>
          <w:szCs w:val="24"/>
          <w:lang w:val="en-US"/>
        </w:rPr>
      </w:pPr>
      <w:r w:rsidRPr="000A3682">
        <w:rPr>
          <w:rFonts w:ascii="Arial" w:hAnsi="Arial" w:cs="Arial"/>
          <w:sz w:val="24"/>
          <w:szCs w:val="24"/>
          <w:lang w:val="en-US"/>
        </w:rPr>
        <w:t>Human Resource Report</w:t>
      </w:r>
    </w:p>
    <w:p w14:paraId="407B1EE5"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lang w:val="en-US"/>
        </w:rPr>
        <w:t xml:space="preserve">Employee engagement is an organizational </w:t>
      </w:r>
      <w:r w:rsidRPr="000A3682">
        <w:rPr>
          <w:rFonts w:ascii="Arial" w:hAnsi="Arial" w:cs="Arial"/>
          <w:sz w:val="24"/>
          <w:szCs w:val="24"/>
        </w:rPr>
        <w:t>strategy focused on creating favourable conditions for all firm members to work hard, devoted to their company's objectives and principles, inspired to contribute to the firm's achievements, and improves the sense of their welfare. Worker engagement is founded on honesty, confidence, dedication, and communication between an organization and its staff (</w:t>
      </w:r>
      <w:proofErr w:type="spellStart"/>
      <w:r w:rsidRPr="000A3682">
        <w:rPr>
          <w:rFonts w:ascii="Arial" w:hAnsi="Arial" w:cs="Arial"/>
          <w:sz w:val="24"/>
          <w:szCs w:val="24"/>
        </w:rPr>
        <w:t>Kaliannan</w:t>
      </w:r>
      <w:proofErr w:type="spellEnd"/>
      <w:r w:rsidRPr="000A3682">
        <w:rPr>
          <w:rFonts w:ascii="Arial" w:hAnsi="Arial" w:cs="Arial"/>
          <w:sz w:val="24"/>
          <w:szCs w:val="24"/>
        </w:rPr>
        <w:t xml:space="preserve"> &amp; </w:t>
      </w:r>
      <w:proofErr w:type="spellStart"/>
      <w:r w:rsidRPr="000A3682">
        <w:rPr>
          <w:rFonts w:ascii="Arial" w:hAnsi="Arial" w:cs="Arial"/>
          <w:sz w:val="24"/>
          <w:szCs w:val="24"/>
        </w:rPr>
        <w:t>Adjovu</w:t>
      </w:r>
      <w:proofErr w:type="spellEnd"/>
      <w:r w:rsidRPr="000A3682">
        <w:rPr>
          <w:rFonts w:ascii="Arial" w:hAnsi="Arial" w:cs="Arial"/>
          <w:sz w:val="24"/>
          <w:szCs w:val="24"/>
        </w:rPr>
        <w:t xml:space="preserve">, 2015). It is a strategy that improves the organization's achievement, contributing to corporate and personal performance, competence, and wellbeing. It can be measured. It differs from great to poor. It can be developed and vividly enhanced. For employees, worker engagement involves understanding their duty in the firm and being supervised and energized to fit in with the firm's purpose and goals (McManus &amp; </w:t>
      </w:r>
      <w:proofErr w:type="spellStart"/>
      <w:r w:rsidRPr="000A3682">
        <w:rPr>
          <w:rFonts w:ascii="Arial" w:hAnsi="Arial" w:cs="Arial"/>
          <w:sz w:val="24"/>
          <w:szCs w:val="24"/>
        </w:rPr>
        <w:t>Mosca</w:t>
      </w:r>
      <w:proofErr w:type="spellEnd"/>
      <w:r w:rsidRPr="000A3682">
        <w:rPr>
          <w:rFonts w:ascii="Arial" w:hAnsi="Arial" w:cs="Arial"/>
          <w:sz w:val="24"/>
          <w:szCs w:val="24"/>
        </w:rPr>
        <w:t xml:space="preserve">, 2015). Employee engagement is also about fully involving workers as members of the team, focus on clear objectives, </w:t>
      </w:r>
      <w:proofErr w:type="gramStart"/>
      <w:r w:rsidRPr="000A3682">
        <w:rPr>
          <w:rFonts w:ascii="Arial" w:hAnsi="Arial" w:cs="Arial"/>
          <w:sz w:val="24"/>
          <w:szCs w:val="24"/>
        </w:rPr>
        <w:t>trusted</w:t>
      </w:r>
      <w:proofErr w:type="gramEnd"/>
      <w:r w:rsidRPr="000A3682">
        <w:rPr>
          <w:rFonts w:ascii="Arial" w:hAnsi="Arial" w:cs="Arial"/>
          <w:sz w:val="24"/>
          <w:szCs w:val="24"/>
        </w:rPr>
        <w:t xml:space="preserve"> and empowered, getting frequent and effective feedback, supported in establishing new skills, and recognized for achievement.</w:t>
      </w:r>
    </w:p>
    <w:p w14:paraId="4E5CFC46"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t xml:space="preserve">For employers, employee engagement ensures that workers feel pride and work for the organization with dedication and become the firm's advocate to its clients, customers, and users (McManus &amp; </w:t>
      </w:r>
      <w:proofErr w:type="spellStart"/>
      <w:r w:rsidRPr="000A3682">
        <w:rPr>
          <w:rFonts w:ascii="Arial" w:hAnsi="Arial" w:cs="Arial"/>
          <w:sz w:val="24"/>
          <w:szCs w:val="24"/>
        </w:rPr>
        <w:t>Mosca</w:t>
      </w:r>
      <w:proofErr w:type="spellEnd"/>
      <w:r w:rsidRPr="000A3682">
        <w:rPr>
          <w:rFonts w:ascii="Arial" w:hAnsi="Arial" w:cs="Arial"/>
          <w:sz w:val="24"/>
          <w:szCs w:val="24"/>
        </w:rPr>
        <w:t>, 2015). Employers should also understand that employee engagement is about drawing out a greater dedication from workers to ensure that fewer workers leave, accident rates reduce, sick absence reduces, grievances and conflicts reduce, and output rises. Employee engagement comprises company actions that are aligned with the firm's values. It involves keeping promises or explaining why they cannot be kept (</w:t>
      </w:r>
      <w:proofErr w:type="spellStart"/>
      <w:r w:rsidRPr="000A3682">
        <w:rPr>
          <w:rFonts w:ascii="Arial" w:hAnsi="Arial" w:cs="Arial"/>
          <w:sz w:val="24"/>
          <w:szCs w:val="24"/>
        </w:rPr>
        <w:t>Kaliannan</w:t>
      </w:r>
      <w:proofErr w:type="spellEnd"/>
      <w:r w:rsidRPr="000A3682">
        <w:rPr>
          <w:rFonts w:ascii="Arial" w:hAnsi="Arial" w:cs="Arial"/>
          <w:sz w:val="24"/>
          <w:szCs w:val="24"/>
        </w:rPr>
        <w:t xml:space="preserve"> &amp; </w:t>
      </w:r>
      <w:proofErr w:type="spellStart"/>
      <w:r w:rsidRPr="000A3682">
        <w:rPr>
          <w:rFonts w:ascii="Arial" w:hAnsi="Arial" w:cs="Arial"/>
          <w:sz w:val="24"/>
          <w:szCs w:val="24"/>
        </w:rPr>
        <w:t>Adjovu</w:t>
      </w:r>
      <w:proofErr w:type="spellEnd"/>
      <w:r w:rsidRPr="000A3682">
        <w:rPr>
          <w:rFonts w:ascii="Arial" w:hAnsi="Arial" w:cs="Arial"/>
          <w:sz w:val="24"/>
          <w:szCs w:val="24"/>
        </w:rPr>
        <w:t xml:space="preserve">, 2015). Employee engagement cannot be attained through a mechanistic </w:t>
      </w:r>
      <w:r w:rsidRPr="000A3682">
        <w:rPr>
          <w:rFonts w:ascii="Arial" w:hAnsi="Arial" w:cs="Arial"/>
          <w:sz w:val="24"/>
          <w:szCs w:val="24"/>
        </w:rPr>
        <w:lastRenderedPageBreak/>
        <w:t xml:space="preserve">strategy that attempts to extract discretionary effort by manipulating the worker's dedication and emotion. Workers see through such efforts very fast, and they can become pessimistic and disappointed. </w:t>
      </w:r>
    </w:p>
    <w:p w14:paraId="6046F566"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t xml:space="preserve">Employers should focus on aligning employee engagement with the firm's corporate components for the workers' greater involvement in the company's corporate components. The corporate components such as mission statement, vision declaration, the organization's possessions, and scope, corporate goals, and the approaches of attaining those goals, all these components need the aligned appointment of the workers to achieve the objectives (McManus &amp; </w:t>
      </w:r>
      <w:proofErr w:type="spellStart"/>
      <w:r w:rsidRPr="000A3682">
        <w:rPr>
          <w:rFonts w:ascii="Arial" w:hAnsi="Arial" w:cs="Arial"/>
          <w:sz w:val="24"/>
          <w:szCs w:val="24"/>
        </w:rPr>
        <w:t>Mosca</w:t>
      </w:r>
      <w:proofErr w:type="spellEnd"/>
      <w:r w:rsidRPr="000A3682">
        <w:rPr>
          <w:rFonts w:ascii="Arial" w:hAnsi="Arial" w:cs="Arial"/>
          <w:sz w:val="24"/>
          <w:szCs w:val="24"/>
        </w:rPr>
        <w:t>, 2015). Consistently, all workers have objectives to achieve in life. Therefore, the alignment of both organizational and workers' goals will strive to maximize the improvements and the firm's success. Employers can align a firm's corporate components with employee engagement by modifying their policies concerning promotions and increments, improving the workers' energy and involvement in the firm's corporate components (</w:t>
      </w:r>
      <w:proofErr w:type="spellStart"/>
      <w:r w:rsidRPr="000A3682">
        <w:rPr>
          <w:rFonts w:ascii="Arial" w:hAnsi="Arial" w:cs="Arial"/>
          <w:sz w:val="24"/>
          <w:szCs w:val="24"/>
        </w:rPr>
        <w:t>Kaliannan</w:t>
      </w:r>
      <w:proofErr w:type="spellEnd"/>
      <w:r w:rsidRPr="000A3682">
        <w:rPr>
          <w:rFonts w:ascii="Arial" w:hAnsi="Arial" w:cs="Arial"/>
          <w:sz w:val="24"/>
          <w:szCs w:val="24"/>
        </w:rPr>
        <w:t xml:space="preserve"> &amp; </w:t>
      </w:r>
      <w:proofErr w:type="spellStart"/>
      <w:r w:rsidRPr="000A3682">
        <w:rPr>
          <w:rFonts w:ascii="Arial" w:hAnsi="Arial" w:cs="Arial"/>
          <w:sz w:val="24"/>
          <w:szCs w:val="24"/>
        </w:rPr>
        <w:t>Adjovu</w:t>
      </w:r>
      <w:proofErr w:type="spellEnd"/>
      <w:r w:rsidRPr="000A3682">
        <w:rPr>
          <w:rFonts w:ascii="Arial" w:hAnsi="Arial" w:cs="Arial"/>
          <w:sz w:val="24"/>
          <w:szCs w:val="24"/>
        </w:rPr>
        <w:t xml:space="preserve">, 2015). Employers can also improve the alignment of the firm's corporate components with employee engagement by increasing the chances of employees' growth and promotions to ensure that they can work hard to achieve the firm's objectives. A dissatisfied employee cannot work hard to contribute to attaining the firm's goals, and they can reduce the energy level and productivity of other workers (Osborne &amp; </w:t>
      </w:r>
      <w:proofErr w:type="spellStart"/>
      <w:r w:rsidRPr="000A3682">
        <w:rPr>
          <w:rFonts w:ascii="Arial" w:hAnsi="Arial" w:cs="Arial"/>
          <w:sz w:val="24"/>
          <w:szCs w:val="24"/>
        </w:rPr>
        <w:t>Hammoud</w:t>
      </w:r>
      <w:proofErr w:type="spellEnd"/>
      <w:r w:rsidRPr="000A3682">
        <w:rPr>
          <w:rFonts w:ascii="Arial" w:hAnsi="Arial" w:cs="Arial"/>
          <w:sz w:val="24"/>
          <w:szCs w:val="24"/>
        </w:rPr>
        <w:t>, 2017). Therefore, the employees' satisfaction and engagement are necessary for the attainment of higher levels of productivity.</w:t>
      </w:r>
    </w:p>
    <w:p w14:paraId="1D414072"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t xml:space="preserve">There are numerous drivers that managers can use to influence employee engagement. Some of these drivers include the manager-worker connection. The manager-employee relationship is a vital driver of worker engagement because it influences employee satisfaction or dissatisfaction with their workplace or job and </w:t>
      </w:r>
      <w:r w:rsidRPr="000A3682">
        <w:rPr>
          <w:rFonts w:ascii="Arial" w:hAnsi="Arial" w:cs="Arial"/>
          <w:sz w:val="24"/>
          <w:szCs w:val="24"/>
        </w:rPr>
        <w:lastRenderedPageBreak/>
        <w:t xml:space="preserve">their consequent decision of whether they stay in the organization or resign (Hanif et al., 2015). Therefore, managers have the duty of establishing genuine professional relationships with their workers to benefit the organization, managers, and workers. The second driver of employee engagement is leadership (Delaney &amp; Royal, 2017). Leadership is a significant driver of </w:t>
      </w:r>
      <w:proofErr w:type="gramStart"/>
      <w:r w:rsidRPr="000A3682">
        <w:rPr>
          <w:rFonts w:ascii="Arial" w:hAnsi="Arial" w:cs="Arial"/>
          <w:sz w:val="24"/>
          <w:szCs w:val="24"/>
        </w:rPr>
        <w:t>involvement  that</w:t>
      </w:r>
      <w:proofErr w:type="gramEnd"/>
      <w:r w:rsidRPr="000A3682">
        <w:rPr>
          <w:rFonts w:ascii="Arial" w:hAnsi="Arial" w:cs="Arial"/>
          <w:sz w:val="24"/>
          <w:szCs w:val="24"/>
        </w:rPr>
        <w:t xml:space="preserve"> goes beyond work titles as not all managers are leaders, and not all leaders are managers. Managers have a significant duty to foster worker engagement (McManus &amp; </w:t>
      </w:r>
      <w:proofErr w:type="spellStart"/>
      <w:r w:rsidRPr="000A3682">
        <w:rPr>
          <w:rFonts w:ascii="Arial" w:hAnsi="Arial" w:cs="Arial"/>
          <w:sz w:val="24"/>
          <w:szCs w:val="24"/>
        </w:rPr>
        <w:t>Mosca</w:t>
      </w:r>
      <w:proofErr w:type="spellEnd"/>
      <w:r w:rsidRPr="000A3682">
        <w:rPr>
          <w:rFonts w:ascii="Arial" w:hAnsi="Arial" w:cs="Arial"/>
          <w:sz w:val="24"/>
          <w:szCs w:val="24"/>
        </w:rPr>
        <w:t xml:space="preserve">, 2015). This duty comes through how managers encourage their workers to perform their duties in the organization, how managers conduct themselves, and how managers as workers' role models communicate using many different channels.  </w:t>
      </w:r>
    </w:p>
    <w:p w14:paraId="6B520896"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t xml:space="preserve">Career development is another important driver of employee engagement. A worker who gets chances for development and growth within an organization will obtain a greater sense of devotion to that firm and the manager for creating those opportunities. There is a high possibility that the employee will stay in the organization for an extended period and commit the extra time and effort needed to acquire results (Hanif et al., 2015). Therefore, managers should pay more attention to their career development needs and set realistic expectations for their future. Although worker engagement spreads beyond monetary and external motivations, they are still essential drivers, and they should be considered. Incentive pay, base pay, and total rewards are important in today's financial climate, where firms </w:t>
      </w:r>
      <w:proofErr w:type="gramStart"/>
      <w:r w:rsidRPr="000A3682">
        <w:rPr>
          <w:rFonts w:ascii="Arial" w:hAnsi="Arial" w:cs="Arial"/>
          <w:sz w:val="24"/>
          <w:szCs w:val="24"/>
        </w:rPr>
        <w:t>have to</w:t>
      </w:r>
      <w:proofErr w:type="gramEnd"/>
      <w:r w:rsidRPr="000A3682">
        <w:rPr>
          <w:rFonts w:ascii="Arial" w:hAnsi="Arial" w:cs="Arial"/>
          <w:sz w:val="24"/>
          <w:szCs w:val="24"/>
        </w:rPr>
        <w:t xml:space="preserve"> implement strict controls on costs such as pay and paybacks to survive (Osborne &amp; </w:t>
      </w:r>
      <w:proofErr w:type="spellStart"/>
      <w:r w:rsidRPr="000A3682">
        <w:rPr>
          <w:rFonts w:ascii="Arial" w:hAnsi="Arial" w:cs="Arial"/>
          <w:sz w:val="24"/>
          <w:szCs w:val="24"/>
        </w:rPr>
        <w:t>Hammoud</w:t>
      </w:r>
      <w:proofErr w:type="spellEnd"/>
      <w:r w:rsidRPr="000A3682">
        <w:rPr>
          <w:rFonts w:ascii="Arial" w:hAnsi="Arial" w:cs="Arial"/>
          <w:sz w:val="24"/>
          <w:szCs w:val="24"/>
        </w:rPr>
        <w:t xml:space="preserve">, 2017). Total rewards, defined as the practices, elements, dimensions, and programs that jointly define a firm's strategy to hire, motivate, and retain workers, play an important role in employee engagement. Workers focus significant </w:t>
      </w:r>
      <w:r w:rsidRPr="000A3682">
        <w:rPr>
          <w:rFonts w:ascii="Arial" w:hAnsi="Arial" w:cs="Arial"/>
          <w:sz w:val="24"/>
          <w:szCs w:val="24"/>
        </w:rPr>
        <w:lastRenderedPageBreak/>
        <w:t>attention on their compensation and benefits packages when deciding to stay in a firm or resign.</w:t>
      </w:r>
    </w:p>
    <w:p w14:paraId="45206504"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t xml:space="preserve">With a focus on future achievements, firms should find ways of monitoring and measuring worker engagement levels. To advance employee engagement, managers need to understand what their firms are doing well and where they need to improve. Understanding how to measure employee engagement can be the jumping-off point for improving the firm's engagement strategy (Osborne &amp; </w:t>
      </w:r>
      <w:proofErr w:type="spellStart"/>
      <w:r w:rsidRPr="000A3682">
        <w:rPr>
          <w:rFonts w:ascii="Arial" w:hAnsi="Arial" w:cs="Arial"/>
          <w:sz w:val="24"/>
          <w:szCs w:val="24"/>
        </w:rPr>
        <w:t>Hammoud</w:t>
      </w:r>
      <w:proofErr w:type="spellEnd"/>
      <w:r w:rsidRPr="000A3682">
        <w:rPr>
          <w:rFonts w:ascii="Arial" w:hAnsi="Arial" w:cs="Arial"/>
          <w:sz w:val="24"/>
          <w:szCs w:val="24"/>
        </w:rPr>
        <w:t xml:space="preserve">, 2017). Somethings like the time an individual takes to drive to work or the number of cars in the workplace. However, employee engagement is more challenging.  Some of the best tools that can be used to measure employee engagement include worker surveys. Surveys are the most frequently used tool in acquiring feedback on workers' feelings and attitudes (Hanif et al., 2015). The most effective surveys can be filled out and submitted anonymously, facilitating participation </w:t>
      </w:r>
      <w:proofErr w:type="gramStart"/>
      <w:r w:rsidRPr="000A3682">
        <w:rPr>
          <w:rFonts w:ascii="Arial" w:hAnsi="Arial" w:cs="Arial"/>
          <w:sz w:val="24"/>
          <w:szCs w:val="24"/>
        </w:rPr>
        <w:t>rates</w:t>
      </w:r>
      <w:proofErr w:type="gramEnd"/>
      <w:r w:rsidRPr="000A3682">
        <w:rPr>
          <w:rFonts w:ascii="Arial" w:hAnsi="Arial" w:cs="Arial"/>
          <w:sz w:val="24"/>
          <w:szCs w:val="24"/>
        </w:rPr>
        <w:t xml:space="preserve"> and giving room for more genuine feedback from workers. Utilizing a third-party administrator like Survey Monkey can also help increase workers' comfort in understanding that they can be forthright with their views without fear of retaliation (Taneja et al., 2015). An effective survey should enable the administration to understand employees' passions, motivations, job satisfaction levels, and work relationships. The second tool used in measuring the level of employee engagement is HR software.</w:t>
      </w:r>
    </w:p>
    <w:p w14:paraId="06D0347B"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t xml:space="preserve">While surveying workers once or twice a year, HR software can be a good starting point. The disadvantage is that they cannot offer real-time, on-going, or holistic feedback (Osborne &amp; </w:t>
      </w:r>
      <w:proofErr w:type="spellStart"/>
      <w:r w:rsidRPr="000A3682">
        <w:rPr>
          <w:rFonts w:ascii="Arial" w:hAnsi="Arial" w:cs="Arial"/>
          <w:sz w:val="24"/>
          <w:szCs w:val="24"/>
        </w:rPr>
        <w:t>Hammoud</w:t>
      </w:r>
      <w:proofErr w:type="spellEnd"/>
      <w:r w:rsidRPr="000A3682">
        <w:rPr>
          <w:rFonts w:ascii="Arial" w:hAnsi="Arial" w:cs="Arial"/>
          <w:sz w:val="24"/>
          <w:szCs w:val="24"/>
        </w:rPr>
        <w:t xml:space="preserve">, 2017). This is the primary reason why organizations are increasingly supplementing periodic surveys with versatile software programs that can collect and monitor worker engagement throughout the year (Hanif et al., 2015). Modern HR platforms offer tools to gather feedback and </w:t>
      </w:r>
      <w:r w:rsidRPr="000A3682">
        <w:rPr>
          <w:rFonts w:ascii="Arial" w:hAnsi="Arial" w:cs="Arial"/>
          <w:sz w:val="24"/>
          <w:szCs w:val="24"/>
        </w:rPr>
        <w:lastRenderedPageBreak/>
        <w:t xml:space="preserve">measure worker satisfaction while also enabling the administration to manage their workers and their information by storing survey results in a single place (Kumar &amp; </w:t>
      </w:r>
      <w:proofErr w:type="spellStart"/>
      <w:r w:rsidRPr="000A3682">
        <w:rPr>
          <w:rFonts w:ascii="Arial" w:hAnsi="Arial" w:cs="Arial"/>
          <w:sz w:val="24"/>
          <w:szCs w:val="24"/>
        </w:rPr>
        <w:t>Pansari</w:t>
      </w:r>
      <w:proofErr w:type="spellEnd"/>
      <w:r w:rsidRPr="000A3682">
        <w:rPr>
          <w:rFonts w:ascii="Arial" w:hAnsi="Arial" w:cs="Arial"/>
          <w:sz w:val="24"/>
          <w:szCs w:val="24"/>
        </w:rPr>
        <w:t>, 2015). Performance management software can be essential for facilitating more frequent conversations and feedback between managers and workers. This plays a crucial role in ensuring everyone is satisfied, on track, and working together on organization-wide, department, and individual goals.</w:t>
      </w:r>
    </w:p>
    <w:p w14:paraId="7C7A06FB"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t>Social media can also play a significant role in measuring worker engagement. The rise of social media implies that managers have another powerful tool at their fingertips. For example, organizations can measure workers' opinions by monitoring Glassdoor ratings and reviews (Saks, 2019). An internal social media network, such as an organization's intranet that enables workers to post opinions and engage in conversations, is also helpful (Taneja et al., 2015). This offers managers the chance to understand their teams better and acquire a sense of their morale and general organizational culture. Managers can also measure employee engagement by conducting exit interviews (Hanif et al., 2015). Asking the appropriate questions through a well-fashioned engagement survey is crucial. However, asking the challenging question of why workers, especially top performers, choose to depart the firm can be equally essential.</w:t>
      </w:r>
    </w:p>
    <w:p w14:paraId="706AC324"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 xml:space="preserve"> </w:t>
      </w:r>
      <w:r w:rsidRPr="000A3682">
        <w:rPr>
          <w:rFonts w:ascii="Arial" w:hAnsi="Arial" w:cs="Arial"/>
          <w:sz w:val="24"/>
          <w:szCs w:val="24"/>
        </w:rPr>
        <w:tab/>
        <w:t xml:space="preserve">This treasured feedback can help identify areas of improvement to attract and retain the best, fully engaged, skilled workers (Kumar &amp; </w:t>
      </w:r>
      <w:proofErr w:type="spellStart"/>
      <w:r w:rsidRPr="000A3682">
        <w:rPr>
          <w:rFonts w:ascii="Arial" w:hAnsi="Arial" w:cs="Arial"/>
          <w:sz w:val="24"/>
          <w:szCs w:val="24"/>
        </w:rPr>
        <w:t>Pansari</w:t>
      </w:r>
      <w:proofErr w:type="spellEnd"/>
      <w:r w:rsidRPr="000A3682">
        <w:rPr>
          <w:rFonts w:ascii="Arial" w:hAnsi="Arial" w:cs="Arial"/>
          <w:sz w:val="24"/>
          <w:szCs w:val="24"/>
        </w:rPr>
        <w:t xml:space="preserve">, 2015). Many professional supports conducting one written questionnaire with an exit interview during the workers' last week on the job and a follow-up phone interview one month after they leave. It is also important to take advantage of the employee Lifecycle (Saks, 2019). An employee lifecycle refers to workers' stage during their tenure, which starts with acquisition and onboarding, trailed by development: performance </w:t>
      </w:r>
      <w:r w:rsidRPr="000A3682">
        <w:rPr>
          <w:rFonts w:ascii="Arial" w:hAnsi="Arial" w:cs="Arial"/>
          <w:sz w:val="24"/>
          <w:szCs w:val="24"/>
        </w:rPr>
        <w:lastRenderedPageBreak/>
        <w:t xml:space="preserve">management, retention, and off-boarding. During different worker experience stages, managers can frequently collect employee feedback and establish employee engagement initiatives to facilitate the value proposition of the organization's brand and culture. </w:t>
      </w:r>
    </w:p>
    <w:p w14:paraId="4ACD34F0"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t>Employee Value Proposition is always defined as monetary and non-monetary benefits offered by a firm for its workers in return for the abilities, competencies, and experience they offer and their contribution to the firm. Creating an EVP that is exclusive to the firm will significantly advance an organization's talent acquisition and retention, offer an employer a brand that is more competitive (Saks, 2019). Despite the requirement of unique solutions, there are numerous actions that firms can take to establish a successful EVP, such as providing workers with career development and new opportunities (Delaney &amp; Royal, 2017). By trusting workers and giving them development opportunities, firms empower workers to challenge themselves and be rewarded for their efforts.</w:t>
      </w:r>
    </w:p>
    <w:p w14:paraId="3D74B494"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 xml:space="preserve"> </w:t>
      </w:r>
      <w:r w:rsidRPr="000A3682">
        <w:rPr>
          <w:rFonts w:ascii="Arial" w:hAnsi="Arial" w:cs="Arial"/>
          <w:sz w:val="24"/>
          <w:szCs w:val="24"/>
        </w:rPr>
        <w:tab/>
        <w:t xml:space="preserve">Many workers always value learning and personal development. Learning and development may include new training, pays for education, and chances to try new duties (Kumar &amp; </w:t>
      </w:r>
      <w:proofErr w:type="spellStart"/>
      <w:r w:rsidRPr="000A3682">
        <w:rPr>
          <w:rFonts w:ascii="Arial" w:hAnsi="Arial" w:cs="Arial"/>
          <w:sz w:val="24"/>
          <w:szCs w:val="24"/>
        </w:rPr>
        <w:t>Pansari</w:t>
      </w:r>
      <w:proofErr w:type="spellEnd"/>
      <w:r w:rsidRPr="000A3682">
        <w:rPr>
          <w:rFonts w:ascii="Arial" w:hAnsi="Arial" w:cs="Arial"/>
          <w:sz w:val="24"/>
          <w:szCs w:val="24"/>
        </w:rPr>
        <w:t xml:space="preserve">, 2015). Another essential element is flexibility. Firms need to offer their employees the opportunity to work from home or discover unconventional arrangements. Managers can also create unique EVP by focusing on employee engagement (Saks, 2019). Many workers always trust their managers and firms with high EVP balance teamwork and benefits. This is exceptional from the first point, which focuses on employee development (Taneja et al., 2015). When people are happy, they assist in establishing cohesive teams that value the same thing. Engaged employees are more likely to recommend the firm to family and friends.  </w:t>
      </w:r>
    </w:p>
    <w:p w14:paraId="41405FFE"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lastRenderedPageBreak/>
        <w:t xml:space="preserve">Employers need to find ways of facilitating employee engagement in an organization. Some of the ways of improving employee engagement in a firm include encouraging flexibility. One of the best ways of increasing employee engagement in an organization is by offering flexibility to workers (Kumar &amp; </w:t>
      </w:r>
      <w:proofErr w:type="spellStart"/>
      <w:r w:rsidRPr="000A3682">
        <w:rPr>
          <w:rFonts w:ascii="Arial" w:hAnsi="Arial" w:cs="Arial"/>
          <w:sz w:val="24"/>
          <w:szCs w:val="24"/>
        </w:rPr>
        <w:t>Pansari</w:t>
      </w:r>
      <w:proofErr w:type="spellEnd"/>
      <w:r w:rsidRPr="000A3682">
        <w:rPr>
          <w:rFonts w:ascii="Arial" w:hAnsi="Arial" w:cs="Arial"/>
          <w:sz w:val="24"/>
          <w:szCs w:val="24"/>
        </w:rPr>
        <w:t>, 2015). Flexibility enables workers to have the freedom to adjust their work schedules or locations to meet their needs. In many cases, the manager does not trust their workers to get the work done without the managers' supervision. Encouraging flexibility enables employees to be more productive, happy, and more engaged in the organization (</w:t>
      </w:r>
      <w:proofErr w:type="spellStart"/>
      <w:r w:rsidRPr="000A3682">
        <w:rPr>
          <w:rFonts w:ascii="Arial" w:hAnsi="Arial" w:cs="Arial"/>
          <w:sz w:val="24"/>
          <w:szCs w:val="24"/>
        </w:rPr>
        <w:t>Eldor</w:t>
      </w:r>
      <w:proofErr w:type="spellEnd"/>
      <w:r w:rsidRPr="000A3682">
        <w:rPr>
          <w:rFonts w:ascii="Arial" w:hAnsi="Arial" w:cs="Arial"/>
          <w:sz w:val="24"/>
          <w:szCs w:val="24"/>
        </w:rPr>
        <w:t xml:space="preserve"> &amp; Vigoda-Gadot, 2017). Managers can also improve employee engagement by asking for feedback. Another important way of increasing employee engagement in the organization is by asking for feedback frequently. Managers always offer feedback to workers concerning their working styles, work environment, and workload, among others </w:t>
      </w:r>
      <w:bookmarkStart w:id="0" w:name="_Hlk57504933"/>
      <w:r w:rsidRPr="000A3682">
        <w:rPr>
          <w:rFonts w:ascii="Arial" w:hAnsi="Arial" w:cs="Arial"/>
          <w:sz w:val="24"/>
          <w:szCs w:val="24"/>
        </w:rPr>
        <w:t>(Matthews, 2018)</w:t>
      </w:r>
      <w:bookmarkEnd w:id="0"/>
      <w:r w:rsidRPr="000A3682">
        <w:rPr>
          <w:rFonts w:ascii="Arial" w:hAnsi="Arial" w:cs="Arial"/>
          <w:sz w:val="24"/>
          <w:szCs w:val="24"/>
        </w:rPr>
        <w:t>. Nevertheless, it is important to know what workers feel or think about a specific project. By requesting workers for response, it makes them feel that their opinions are valued, and it plays an essential role in the firm.</w:t>
      </w:r>
    </w:p>
    <w:p w14:paraId="5DAF5F06" w14:textId="77777777" w:rsidR="000A3682" w:rsidRPr="000A3682" w:rsidRDefault="000A3682" w:rsidP="000A3682">
      <w:pPr>
        <w:pStyle w:val="NoSpacing"/>
        <w:spacing w:line="480" w:lineRule="auto"/>
        <w:ind w:firstLine="720"/>
        <w:rPr>
          <w:rFonts w:ascii="Arial" w:hAnsi="Arial" w:cs="Arial"/>
          <w:sz w:val="24"/>
          <w:szCs w:val="24"/>
        </w:rPr>
      </w:pPr>
      <w:r w:rsidRPr="000A3682">
        <w:rPr>
          <w:rFonts w:ascii="Arial" w:hAnsi="Arial" w:cs="Arial"/>
          <w:sz w:val="24"/>
          <w:szCs w:val="24"/>
        </w:rPr>
        <w:t xml:space="preserve">Managers can also improve employee engagement by clarifying goals. All employees have a set of responsibilities and goals they should work on. There are some cases in which workers get confused with their firm's roles. Expounding objectives and duties </w:t>
      </w:r>
      <w:proofErr w:type="gramStart"/>
      <w:r w:rsidRPr="000A3682">
        <w:rPr>
          <w:rFonts w:ascii="Arial" w:hAnsi="Arial" w:cs="Arial"/>
          <w:sz w:val="24"/>
          <w:szCs w:val="24"/>
        </w:rPr>
        <w:t>is</w:t>
      </w:r>
      <w:proofErr w:type="gramEnd"/>
      <w:r w:rsidRPr="000A3682">
        <w:rPr>
          <w:rFonts w:ascii="Arial" w:hAnsi="Arial" w:cs="Arial"/>
          <w:sz w:val="24"/>
          <w:szCs w:val="24"/>
        </w:rPr>
        <w:t xml:space="preserve"> crucial if the firm intends to improve worker involvement within the firm. There are also situations whereby workers feel tired when working to accomplish what they have been assigned (</w:t>
      </w:r>
      <w:proofErr w:type="spellStart"/>
      <w:r w:rsidRPr="000A3682">
        <w:rPr>
          <w:rFonts w:ascii="Arial" w:hAnsi="Arial" w:cs="Arial"/>
          <w:sz w:val="24"/>
          <w:szCs w:val="24"/>
        </w:rPr>
        <w:t>Eldor</w:t>
      </w:r>
      <w:proofErr w:type="spellEnd"/>
      <w:r w:rsidRPr="000A3682">
        <w:rPr>
          <w:rFonts w:ascii="Arial" w:hAnsi="Arial" w:cs="Arial"/>
          <w:sz w:val="24"/>
          <w:szCs w:val="24"/>
        </w:rPr>
        <w:t xml:space="preserve"> &amp; Vigoda-Gadot, 2017). They may occur because they develop a feeling that they are not good enough to complete the job. Great leaders are always available to help their workers set realistic goals and help them experience challenges. Even though the management cannot be close to </w:t>
      </w:r>
      <w:r w:rsidRPr="000A3682">
        <w:rPr>
          <w:rFonts w:ascii="Arial" w:hAnsi="Arial" w:cs="Arial"/>
          <w:sz w:val="24"/>
          <w:szCs w:val="24"/>
        </w:rPr>
        <w:lastRenderedPageBreak/>
        <w:t xml:space="preserve">its workers when it comes to guiding employees as they perform their duties. Nevertheless, firms that want to improve employee engagement need to prove that they are available to assist workers (Matthews, 2018). In the contemporary workplace, many employees always focus on improving their careers through education, workshops, and other enrichment courses </w:t>
      </w:r>
      <w:bookmarkStart w:id="1" w:name="_Hlk57504654"/>
      <w:r w:rsidRPr="000A3682">
        <w:rPr>
          <w:rFonts w:ascii="Arial" w:hAnsi="Arial" w:cs="Arial"/>
          <w:sz w:val="24"/>
          <w:szCs w:val="24"/>
        </w:rPr>
        <w:t xml:space="preserve">(Kumar &amp; </w:t>
      </w:r>
      <w:proofErr w:type="spellStart"/>
      <w:r w:rsidRPr="000A3682">
        <w:rPr>
          <w:rFonts w:ascii="Arial" w:hAnsi="Arial" w:cs="Arial"/>
          <w:sz w:val="24"/>
          <w:szCs w:val="24"/>
        </w:rPr>
        <w:t>Pansari</w:t>
      </w:r>
      <w:proofErr w:type="spellEnd"/>
      <w:r w:rsidRPr="000A3682">
        <w:rPr>
          <w:rFonts w:ascii="Arial" w:hAnsi="Arial" w:cs="Arial"/>
          <w:sz w:val="24"/>
          <w:szCs w:val="24"/>
        </w:rPr>
        <w:t>, 2015)</w:t>
      </w:r>
      <w:bookmarkEnd w:id="1"/>
      <w:r w:rsidRPr="000A3682">
        <w:rPr>
          <w:rFonts w:ascii="Arial" w:hAnsi="Arial" w:cs="Arial"/>
          <w:sz w:val="24"/>
          <w:szCs w:val="24"/>
        </w:rPr>
        <w:t>. Managers should encourage workers to join workshops and meetings or call professionals working in the firm's industry to offer the employees a talk. It not only rises employees' efficiency but also boosts the morale of team members.</w:t>
      </w:r>
    </w:p>
    <w:p w14:paraId="2BDD5B86" w14:textId="77777777" w:rsidR="000A3682" w:rsidRPr="000A3682" w:rsidRDefault="000A3682" w:rsidP="000A3682">
      <w:pPr>
        <w:pStyle w:val="NoSpacing"/>
        <w:spacing w:line="480" w:lineRule="auto"/>
        <w:rPr>
          <w:rFonts w:ascii="Arial" w:hAnsi="Arial" w:cs="Arial"/>
          <w:sz w:val="24"/>
          <w:szCs w:val="24"/>
        </w:rPr>
      </w:pPr>
    </w:p>
    <w:p w14:paraId="660CDE32" w14:textId="77777777" w:rsidR="000A3682" w:rsidRPr="000A3682" w:rsidRDefault="000A3682" w:rsidP="000A3682">
      <w:pPr>
        <w:pStyle w:val="NoSpacing"/>
        <w:spacing w:line="480" w:lineRule="auto"/>
        <w:rPr>
          <w:rFonts w:ascii="Arial" w:hAnsi="Arial" w:cs="Arial"/>
          <w:sz w:val="24"/>
          <w:szCs w:val="24"/>
        </w:rPr>
      </w:pPr>
    </w:p>
    <w:p w14:paraId="16B51F0D" w14:textId="77777777" w:rsidR="000A3682" w:rsidRPr="000A3682" w:rsidRDefault="000A3682" w:rsidP="000A3682">
      <w:pPr>
        <w:pStyle w:val="NoSpacing"/>
        <w:spacing w:line="480" w:lineRule="auto"/>
        <w:rPr>
          <w:rFonts w:ascii="Arial" w:hAnsi="Arial" w:cs="Arial"/>
          <w:sz w:val="24"/>
          <w:szCs w:val="24"/>
        </w:rPr>
      </w:pPr>
    </w:p>
    <w:p w14:paraId="3D74E501" w14:textId="77777777" w:rsidR="000A3682" w:rsidRPr="000A3682" w:rsidRDefault="000A3682" w:rsidP="000A3682">
      <w:pPr>
        <w:pStyle w:val="NoSpacing"/>
        <w:spacing w:line="480" w:lineRule="auto"/>
        <w:rPr>
          <w:rFonts w:ascii="Arial" w:hAnsi="Arial" w:cs="Arial"/>
          <w:sz w:val="24"/>
          <w:szCs w:val="24"/>
        </w:rPr>
      </w:pPr>
    </w:p>
    <w:p w14:paraId="48822271" w14:textId="77777777" w:rsidR="000A3682" w:rsidRPr="000A3682" w:rsidRDefault="000A3682" w:rsidP="000A3682">
      <w:pPr>
        <w:pStyle w:val="NoSpacing"/>
        <w:spacing w:line="480" w:lineRule="auto"/>
        <w:rPr>
          <w:rFonts w:ascii="Arial" w:hAnsi="Arial" w:cs="Arial"/>
          <w:sz w:val="24"/>
          <w:szCs w:val="24"/>
        </w:rPr>
      </w:pPr>
    </w:p>
    <w:p w14:paraId="4370230A" w14:textId="77777777" w:rsidR="000A3682" w:rsidRPr="000A3682" w:rsidRDefault="000A3682" w:rsidP="000A3682">
      <w:pPr>
        <w:pStyle w:val="NoSpacing"/>
        <w:spacing w:line="480" w:lineRule="auto"/>
        <w:jc w:val="center"/>
        <w:rPr>
          <w:rFonts w:ascii="Arial" w:hAnsi="Arial" w:cs="Arial"/>
          <w:sz w:val="24"/>
          <w:szCs w:val="24"/>
        </w:rPr>
      </w:pPr>
    </w:p>
    <w:p w14:paraId="3FFD163E" w14:textId="77777777" w:rsidR="000A3682" w:rsidRPr="000A3682" w:rsidRDefault="000A3682" w:rsidP="000A3682">
      <w:pPr>
        <w:pStyle w:val="NoSpacing"/>
        <w:spacing w:line="480" w:lineRule="auto"/>
        <w:jc w:val="center"/>
        <w:rPr>
          <w:rFonts w:ascii="Arial" w:hAnsi="Arial" w:cs="Arial"/>
          <w:sz w:val="24"/>
          <w:szCs w:val="24"/>
        </w:rPr>
      </w:pPr>
    </w:p>
    <w:p w14:paraId="34997222" w14:textId="77777777" w:rsidR="000A3682" w:rsidRDefault="000A3682" w:rsidP="000A3682">
      <w:pPr>
        <w:pStyle w:val="NoSpacing"/>
        <w:spacing w:line="480" w:lineRule="auto"/>
        <w:jc w:val="center"/>
        <w:rPr>
          <w:rFonts w:ascii="Arial" w:hAnsi="Arial" w:cs="Arial"/>
          <w:sz w:val="24"/>
          <w:szCs w:val="24"/>
        </w:rPr>
      </w:pPr>
    </w:p>
    <w:p w14:paraId="3B09097E" w14:textId="77777777" w:rsidR="000A3682" w:rsidRDefault="000A3682" w:rsidP="000A3682">
      <w:pPr>
        <w:pStyle w:val="NoSpacing"/>
        <w:spacing w:line="480" w:lineRule="auto"/>
        <w:jc w:val="center"/>
        <w:rPr>
          <w:rFonts w:ascii="Arial" w:hAnsi="Arial" w:cs="Arial"/>
          <w:sz w:val="24"/>
          <w:szCs w:val="24"/>
        </w:rPr>
      </w:pPr>
    </w:p>
    <w:p w14:paraId="64C08005" w14:textId="77777777" w:rsidR="000A3682" w:rsidRDefault="000A3682" w:rsidP="000A3682">
      <w:pPr>
        <w:pStyle w:val="NoSpacing"/>
        <w:spacing w:line="480" w:lineRule="auto"/>
        <w:jc w:val="center"/>
        <w:rPr>
          <w:rFonts w:ascii="Arial" w:hAnsi="Arial" w:cs="Arial"/>
          <w:sz w:val="24"/>
          <w:szCs w:val="24"/>
        </w:rPr>
      </w:pPr>
    </w:p>
    <w:p w14:paraId="3125A907" w14:textId="77777777" w:rsidR="000A3682" w:rsidRDefault="000A3682" w:rsidP="000A3682">
      <w:pPr>
        <w:pStyle w:val="NoSpacing"/>
        <w:spacing w:line="480" w:lineRule="auto"/>
        <w:jc w:val="center"/>
        <w:rPr>
          <w:rFonts w:ascii="Arial" w:hAnsi="Arial" w:cs="Arial"/>
          <w:sz w:val="24"/>
          <w:szCs w:val="24"/>
        </w:rPr>
      </w:pPr>
    </w:p>
    <w:p w14:paraId="77FC5ECB" w14:textId="77777777" w:rsidR="000A3682" w:rsidRDefault="000A3682" w:rsidP="000A3682">
      <w:pPr>
        <w:pStyle w:val="NoSpacing"/>
        <w:spacing w:line="480" w:lineRule="auto"/>
        <w:jc w:val="center"/>
        <w:rPr>
          <w:rFonts w:ascii="Arial" w:hAnsi="Arial" w:cs="Arial"/>
          <w:sz w:val="24"/>
          <w:szCs w:val="24"/>
        </w:rPr>
      </w:pPr>
    </w:p>
    <w:p w14:paraId="109954BD" w14:textId="77777777" w:rsidR="000A3682" w:rsidRDefault="000A3682" w:rsidP="000A3682">
      <w:pPr>
        <w:pStyle w:val="NoSpacing"/>
        <w:spacing w:line="480" w:lineRule="auto"/>
        <w:jc w:val="center"/>
        <w:rPr>
          <w:rFonts w:ascii="Arial" w:hAnsi="Arial" w:cs="Arial"/>
          <w:sz w:val="24"/>
          <w:szCs w:val="24"/>
        </w:rPr>
      </w:pPr>
    </w:p>
    <w:p w14:paraId="7A0472B3" w14:textId="77777777" w:rsidR="000A3682" w:rsidRDefault="000A3682" w:rsidP="000A3682">
      <w:pPr>
        <w:pStyle w:val="NoSpacing"/>
        <w:spacing w:line="480" w:lineRule="auto"/>
        <w:jc w:val="center"/>
        <w:rPr>
          <w:rFonts w:ascii="Arial" w:hAnsi="Arial" w:cs="Arial"/>
          <w:sz w:val="24"/>
          <w:szCs w:val="24"/>
        </w:rPr>
      </w:pPr>
    </w:p>
    <w:p w14:paraId="03A1081E" w14:textId="77777777" w:rsidR="000A3682" w:rsidRDefault="000A3682" w:rsidP="000A3682">
      <w:pPr>
        <w:pStyle w:val="NoSpacing"/>
        <w:spacing w:line="480" w:lineRule="auto"/>
        <w:jc w:val="center"/>
        <w:rPr>
          <w:rFonts w:ascii="Arial" w:hAnsi="Arial" w:cs="Arial"/>
          <w:sz w:val="24"/>
          <w:szCs w:val="24"/>
        </w:rPr>
      </w:pPr>
    </w:p>
    <w:p w14:paraId="2F466745" w14:textId="77777777" w:rsidR="000A3682" w:rsidRDefault="000A3682" w:rsidP="000A3682">
      <w:pPr>
        <w:pStyle w:val="NoSpacing"/>
        <w:spacing w:line="480" w:lineRule="auto"/>
        <w:jc w:val="center"/>
        <w:rPr>
          <w:rFonts w:ascii="Arial" w:hAnsi="Arial" w:cs="Arial"/>
          <w:sz w:val="24"/>
          <w:szCs w:val="24"/>
        </w:rPr>
      </w:pPr>
    </w:p>
    <w:p w14:paraId="50427C2D" w14:textId="77777777" w:rsidR="000A3682" w:rsidRDefault="000A3682" w:rsidP="000A3682">
      <w:pPr>
        <w:pStyle w:val="NoSpacing"/>
        <w:spacing w:line="480" w:lineRule="auto"/>
        <w:jc w:val="center"/>
        <w:rPr>
          <w:rFonts w:ascii="Arial" w:hAnsi="Arial" w:cs="Arial"/>
          <w:sz w:val="24"/>
          <w:szCs w:val="24"/>
        </w:rPr>
      </w:pPr>
    </w:p>
    <w:p w14:paraId="6B4B19AB" w14:textId="3AF47BE9" w:rsidR="000A3682" w:rsidRPr="000A3682" w:rsidRDefault="000A3682" w:rsidP="000A3682">
      <w:pPr>
        <w:pStyle w:val="NoSpacing"/>
        <w:spacing w:line="480" w:lineRule="auto"/>
        <w:jc w:val="center"/>
        <w:rPr>
          <w:rFonts w:ascii="Arial" w:hAnsi="Arial" w:cs="Arial"/>
          <w:sz w:val="24"/>
          <w:szCs w:val="24"/>
        </w:rPr>
      </w:pPr>
      <w:r w:rsidRPr="000A3682">
        <w:rPr>
          <w:rFonts w:ascii="Arial" w:hAnsi="Arial" w:cs="Arial"/>
          <w:sz w:val="24"/>
          <w:szCs w:val="24"/>
        </w:rPr>
        <w:lastRenderedPageBreak/>
        <w:t>Reference List</w:t>
      </w:r>
    </w:p>
    <w:p w14:paraId="3B24AA76"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 xml:space="preserve">Delaney, M.L., and Royal, M.A., 2017. Breaking engagement apart: The role of intrinsic and </w:t>
      </w:r>
      <w:r w:rsidRPr="000A3682">
        <w:rPr>
          <w:rFonts w:ascii="Arial" w:hAnsi="Arial" w:cs="Arial"/>
          <w:sz w:val="24"/>
          <w:szCs w:val="24"/>
        </w:rPr>
        <w:tab/>
        <w:t xml:space="preserve">extrinsic motivation in engagement strategies. Industrial and Organizational </w:t>
      </w:r>
      <w:r w:rsidRPr="000A3682">
        <w:rPr>
          <w:rFonts w:ascii="Arial" w:hAnsi="Arial" w:cs="Arial"/>
          <w:sz w:val="24"/>
          <w:szCs w:val="24"/>
        </w:rPr>
        <w:tab/>
        <w:t>Psychology, 10(1), pp.127-140.</w:t>
      </w:r>
    </w:p>
    <w:p w14:paraId="08AC35BB" w14:textId="77777777" w:rsidR="000A3682" w:rsidRPr="000A3682" w:rsidRDefault="000A3682" w:rsidP="000A3682">
      <w:pPr>
        <w:pStyle w:val="NoSpacing"/>
        <w:spacing w:line="480" w:lineRule="auto"/>
        <w:rPr>
          <w:rFonts w:ascii="Arial" w:hAnsi="Arial" w:cs="Arial"/>
          <w:sz w:val="24"/>
          <w:szCs w:val="24"/>
        </w:rPr>
      </w:pPr>
      <w:bookmarkStart w:id="2" w:name="_Hlk57504557"/>
      <w:proofErr w:type="spellStart"/>
      <w:r w:rsidRPr="000A3682">
        <w:rPr>
          <w:rFonts w:ascii="Arial" w:hAnsi="Arial" w:cs="Arial"/>
          <w:sz w:val="24"/>
          <w:szCs w:val="24"/>
        </w:rPr>
        <w:t>Eldor</w:t>
      </w:r>
      <w:proofErr w:type="spellEnd"/>
      <w:r w:rsidRPr="000A3682">
        <w:rPr>
          <w:rFonts w:ascii="Arial" w:hAnsi="Arial" w:cs="Arial"/>
          <w:sz w:val="24"/>
          <w:szCs w:val="24"/>
        </w:rPr>
        <w:t>, L., and Vigoda-Gadot, E., 2017</w:t>
      </w:r>
      <w:bookmarkEnd w:id="2"/>
      <w:r w:rsidRPr="000A3682">
        <w:rPr>
          <w:rFonts w:ascii="Arial" w:hAnsi="Arial" w:cs="Arial"/>
          <w:sz w:val="24"/>
          <w:szCs w:val="24"/>
        </w:rPr>
        <w:t xml:space="preserve">. The nature of employee engagement: Rethinking the </w:t>
      </w:r>
      <w:r w:rsidRPr="000A3682">
        <w:rPr>
          <w:rFonts w:ascii="Arial" w:hAnsi="Arial" w:cs="Arial"/>
          <w:sz w:val="24"/>
          <w:szCs w:val="24"/>
        </w:rPr>
        <w:tab/>
        <w:t xml:space="preserve">employee–organization relationship. The International Journal of Human Resource </w:t>
      </w:r>
      <w:r w:rsidRPr="000A3682">
        <w:rPr>
          <w:rFonts w:ascii="Arial" w:hAnsi="Arial" w:cs="Arial"/>
          <w:sz w:val="24"/>
          <w:szCs w:val="24"/>
        </w:rPr>
        <w:tab/>
        <w:t>Management, 28(3), pp.526-552.</w:t>
      </w:r>
    </w:p>
    <w:p w14:paraId="5195F7A3"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Hanif, F., Naqvi, S.R., and Hussain, K., 2015. The role of employee engagement in work-</w:t>
      </w:r>
      <w:r w:rsidRPr="000A3682">
        <w:rPr>
          <w:rFonts w:ascii="Arial" w:hAnsi="Arial" w:cs="Arial"/>
          <w:sz w:val="24"/>
          <w:szCs w:val="24"/>
        </w:rPr>
        <w:tab/>
        <w:t>related outcomes. Advances in Economics and Business, 3(6), pp.204-214.</w:t>
      </w:r>
    </w:p>
    <w:p w14:paraId="014A049B" w14:textId="77777777" w:rsidR="000A3682" w:rsidRPr="000A3682" w:rsidRDefault="000A3682" w:rsidP="000A3682">
      <w:pPr>
        <w:pStyle w:val="NoSpacing"/>
        <w:spacing w:line="480" w:lineRule="auto"/>
        <w:rPr>
          <w:rFonts w:ascii="Arial" w:hAnsi="Arial" w:cs="Arial"/>
          <w:sz w:val="24"/>
          <w:szCs w:val="24"/>
        </w:rPr>
      </w:pPr>
      <w:proofErr w:type="spellStart"/>
      <w:r w:rsidRPr="000A3682">
        <w:rPr>
          <w:rFonts w:ascii="Arial" w:hAnsi="Arial" w:cs="Arial"/>
          <w:sz w:val="24"/>
          <w:szCs w:val="24"/>
        </w:rPr>
        <w:t>Kaliannan</w:t>
      </w:r>
      <w:proofErr w:type="spellEnd"/>
      <w:r w:rsidRPr="000A3682">
        <w:rPr>
          <w:rFonts w:ascii="Arial" w:hAnsi="Arial" w:cs="Arial"/>
          <w:sz w:val="24"/>
          <w:szCs w:val="24"/>
        </w:rPr>
        <w:t xml:space="preserve">, M., and </w:t>
      </w:r>
      <w:proofErr w:type="spellStart"/>
      <w:r w:rsidRPr="000A3682">
        <w:rPr>
          <w:rFonts w:ascii="Arial" w:hAnsi="Arial" w:cs="Arial"/>
          <w:sz w:val="24"/>
          <w:szCs w:val="24"/>
        </w:rPr>
        <w:t>Adjovu</w:t>
      </w:r>
      <w:proofErr w:type="spellEnd"/>
      <w:r w:rsidRPr="000A3682">
        <w:rPr>
          <w:rFonts w:ascii="Arial" w:hAnsi="Arial" w:cs="Arial"/>
          <w:sz w:val="24"/>
          <w:szCs w:val="24"/>
        </w:rPr>
        <w:t xml:space="preserve">, S.N., 2015. Effective employee engagement and organizational </w:t>
      </w:r>
      <w:r w:rsidRPr="000A3682">
        <w:rPr>
          <w:rFonts w:ascii="Arial" w:hAnsi="Arial" w:cs="Arial"/>
          <w:sz w:val="24"/>
          <w:szCs w:val="24"/>
        </w:rPr>
        <w:tab/>
        <w:t xml:space="preserve">success: a case study. Procedia-Social and </w:t>
      </w:r>
      <w:proofErr w:type="spellStart"/>
      <w:r w:rsidRPr="000A3682">
        <w:rPr>
          <w:rFonts w:ascii="Arial" w:hAnsi="Arial" w:cs="Arial"/>
          <w:sz w:val="24"/>
          <w:szCs w:val="24"/>
        </w:rPr>
        <w:t>Behavioral</w:t>
      </w:r>
      <w:proofErr w:type="spellEnd"/>
      <w:r w:rsidRPr="000A3682">
        <w:rPr>
          <w:rFonts w:ascii="Arial" w:hAnsi="Arial" w:cs="Arial"/>
          <w:sz w:val="24"/>
          <w:szCs w:val="24"/>
        </w:rPr>
        <w:t xml:space="preserve"> Sciences, 172, pp.161-168.</w:t>
      </w:r>
    </w:p>
    <w:p w14:paraId="0F9F605D"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 xml:space="preserve">Kumar, V., and </w:t>
      </w:r>
      <w:proofErr w:type="spellStart"/>
      <w:r w:rsidRPr="000A3682">
        <w:rPr>
          <w:rFonts w:ascii="Arial" w:hAnsi="Arial" w:cs="Arial"/>
          <w:sz w:val="24"/>
          <w:szCs w:val="24"/>
        </w:rPr>
        <w:t>Pansari</w:t>
      </w:r>
      <w:proofErr w:type="spellEnd"/>
      <w:r w:rsidRPr="000A3682">
        <w:rPr>
          <w:rFonts w:ascii="Arial" w:hAnsi="Arial" w:cs="Arial"/>
          <w:sz w:val="24"/>
          <w:szCs w:val="24"/>
        </w:rPr>
        <w:t xml:space="preserve">, A., 2015. Measuring the benefits of employee engagement. MIT </w:t>
      </w:r>
      <w:r w:rsidRPr="000A3682">
        <w:rPr>
          <w:rFonts w:ascii="Arial" w:hAnsi="Arial" w:cs="Arial"/>
          <w:sz w:val="24"/>
          <w:szCs w:val="24"/>
        </w:rPr>
        <w:tab/>
        <w:t>Sloan Management Review, 56(4), p.67.</w:t>
      </w:r>
    </w:p>
    <w:p w14:paraId="70409026"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 xml:space="preserve">Matthews, G., 2018. Employee engagement: </w:t>
      </w:r>
      <w:proofErr w:type="gramStart"/>
      <w:r w:rsidRPr="000A3682">
        <w:rPr>
          <w:rFonts w:ascii="Arial" w:hAnsi="Arial" w:cs="Arial"/>
          <w:sz w:val="24"/>
          <w:szCs w:val="24"/>
        </w:rPr>
        <w:t>what's</w:t>
      </w:r>
      <w:proofErr w:type="gramEnd"/>
      <w:r w:rsidRPr="000A3682">
        <w:rPr>
          <w:rFonts w:ascii="Arial" w:hAnsi="Arial" w:cs="Arial"/>
          <w:sz w:val="24"/>
          <w:szCs w:val="24"/>
        </w:rPr>
        <w:t xml:space="preserve"> your strategy? SHR, p., 0025. </w:t>
      </w:r>
    </w:p>
    <w:p w14:paraId="77E6E844"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 xml:space="preserve">McManus, J., and </w:t>
      </w:r>
      <w:proofErr w:type="spellStart"/>
      <w:r w:rsidRPr="000A3682">
        <w:rPr>
          <w:rFonts w:ascii="Arial" w:hAnsi="Arial" w:cs="Arial"/>
          <w:sz w:val="24"/>
          <w:szCs w:val="24"/>
        </w:rPr>
        <w:t>Mosca</w:t>
      </w:r>
      <w:proofErr w:type="spellEnd"/>
      <w:r w:rsidRPr="000A3682">
        <w:rPr>
          <w:rFonts w:ascii="Arial" w:hAnsi="Arial" w:cs="Arial"/>
          <w:sz w:val="24"/>
          <w:szCs w:val="24"/>
        </w:rPr>
        <w:t xml:space="preserve">, J., 2015. Strategies to build trust and improve employee </w:t>
      </w:r>
      <w:r w:rsidRPr="000A3682">
        <w:rPr>
          <w:rFonts w:ascii="Arial" w:hAnsi="Arial" w:cs="Arial"/>
          <w:sz w:val="24"/>
          <w:szCs w:val="24"/>
        </w:rPr>
        <w:tab/>
        <w:t xml:space="preserve">engagement. International Journal of Management &amp; Information Systems (IJMIS), </w:t>
      </w:r>
      <w:r w:rsidRPr="000A3682">
        <w:rPr>
          <w:rFonts w:ascii="Arial" w:hAnsi="Arial" w:cs="Arial"/>
          <w:sz w:val="24"/>
          <w:szCs w:val="24"/>
        </w:rPr>
        <w:tab/>
        <w:t>19(1), pp.37-42.</w:t>
      </w:r>
    </w:p>
    <w:p w14:paraId="706974DB"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 xml:space="preserve">Osborne, S., and </w:t>
      </w:r>
      <w:proofErr w:type="spellStart"/>
      <w:r w:rsidRPr="000A3682">
        <w:rPr>
          <w:rFonts w:ascii="Arial" w:hAnsi="Arial" w:cs="Arial"/>
          <w:sz w:val="24"/>
          <w:szCs w:val="24"/>
        </w:rPr>
        <w:t>Hammoud</w:t>
      </w:r>
      <w:proofErr w:type="spellEnd"/>
      <w:r w:rsidRPr="000A3682">
        <w:rPr>
          <w:rFonts w:ascii="Arial" w:hAnsi="Arial" w:cs="Arial"/>
          <w:sz w:val="24"/>
          <w:szCs w:val="24"/>
        </w:rPr>
        <w:t xml:space="preserve">, M.S., 2017. Effective employee engagement in the workplace. </w:t>
      </w:r>
      <w:r w:rsidRPr="000A3682">
        <w:rPr>
          <w:rFonts w:ascii="Arial" w:hAnsi="Arial" w:cs="Arial"/>
          <w:sz w:val="24"/>
          <w:szCs w:val="24"/>
        </w:rPr>
        <w:tab/>
        <w:t>International Journal of Applied Management and Technology, 16(1), p.4.</w:t>
      </w:r>
    </w:p>
    <w:p w14:paraId="18B4F504"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Saks, A.M., 2019. Antecedents and consequences of employee engagement revisited—</w:t>
      </w:r>
      <w:r w:rsidRPr="000A3682">
        <w:rPr>
          <w:rFonts w:ascii="Arial" w:hAnsi="Arial" w:cs="Arial"/>
          <w:sz w:val="24"/>
          <w:szCs w:val="24"/>
        </w:rPr>
        <w:tab/>
        <w:t>Journal of Organizational Effectiveness: People and Performance.</w:t>
      </w:r>
    </w:p>
    <w:p w14:paraId="71284CE1" w14:textId="77777777" w:rsidR="000A3682" w:rsidRPr="000A3682" w:rsidRDefault="000A3682" w:rsidP="000A3682">
      <w:pPr>
        <w:pStyle w:val="NoSpacing"/>
        <w:spacing w:line="480" w:lineRule="auto"/>
        <w:rPr>
          <w:rFonts w:ascii="Arial" w:hAnsi="Arial" w:cs="Arial"/>
          <w:sz w:val="24"/>
          <w:szCs w:val="24"/>
        </w:rPr>
      </w:pPr>
      <w:r w:rsidRPr="000A3682">
        <w:rPr>
          <w:rFonts w:ascii="Arial" w:hAnsi="Arial" w:cs="Arial"/>
          <w:sz w:val="24"/>
          <w:szCs w:val="24"/>
        </w:rPr>
        <w:t xml:space="preserve">Taneja, S., Sewell, S.S., and Odom, R.Y., 2015. A culture of employee engagement: A </w:t>
      </w:r>
      <w:r w:rsidRPr="000A3682">
        <w:rPr>
          <w:rFonts w:ascii="Arial" w:hAnsi="Arial" w:cs="Arial"/>
          <w:sz w:val="24"/>
          <w:szCs w:val="24"/>
        </w:rPr>
        <w:tab/>
        <w:t>strategic perspective for global managers. Journal of Business Strategy.</w:t>
      </w:r>
    </w:p>
    <w:p w14:paraId="321A36F2" w14:textId="77777777" w:rsidR="000A3682" w:rsidRPr="000A3682" w:rsidRDefault="000A3682" w:rsidP="000A3682">
      <w:pPr>
        <w:pStyle w:val="NoSpacing"/>
        <w:spacing w:line="480" w:lineRule="auto"/>
        <w:rPr>
          <w:rFonts w:ascii="Arial" w:hAnsi="Arial" w:cs="Arial"/>
          <w:sz w:val="24"/>
          <w:szCs w:val="24"/>
        </w:rPr>
      </w:pPr>
    </w:p>
    <w:p w14:paraId="1FB01D32" w14:textId="77777777" w:rsidR="000A3682" w:rsidRPr="000A3682" w:rsidRDefault="000A3682">
      <w:pPr>
        <w:rPr>
          <w:rFonts w:ascii="Arial" w:hAnsi="Arial" w:cs="Arial"/>
        </w:rPr>
      </w:pPr>
    </w:p>
    <w:sectPr w:rsidR="000A3682" w:rsidRPr="000A368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1D0E86" w14:textId="77777777" w:rsidR="000A3682" w:rsidRDefault="000A3682" w:rsidP="000A3682">
      <w:pPr>
        <w:spacing w:after="0" w:line="240" w:lineRule="auto"/>
      </w:pPr>
      <w:r>
        <w:separator/>
      </w:r>
    </w:p>
  </w:endnote>
  <w:endnote w:type="continuationSeparator" w:id="0">
    <w:p w14:paraId="3795CC98" w14:textId="77777777" w:rsidR="000A3682" w:rsidRDefault="000A3682" w:rsidP="000A3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8110863"/>
      <w:docPartObj>
        <w:docPartGallery w:val="Page Numbers (Bottom of Page)"/>
        <w:docPartUnique/>
      </w:docPartObj>
    </w:sdtPr>
    <w:sdtEndPr>
      <w:rPr>
        <w:noProof/>
      </w:rPr>
    </w:sdtEndPr>
    <w:sdtContent>
      <w:p w14:paraId="4DD9B8B4" w14:textId="084F5519" w:rsidR="000A3682" w:rsidRDefault="000A36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89DBB7" w14:textId="77777777" w:rsidR="000A3682" w:rsidRDefault="000A3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8319D9" w14:textId="77777777" w:rsidR="000A3682" w:rsidRDefault="000A3682" w:rsidP="000A3682">
      <w:pPr>
        <w:spacing w:after="0" w:line="240" w:lineRule="auto"/>
      </w:pPr>
      <w:r>
        <w:separator/>
      </w:r>
    </w:p>
  </w:footnote>
  <w:footnote w:type="continuationSeparator" w:id="0">
    <w:p w14:paraId="0EA2C27F" w14:textId="77777777" w:rsidR="000A3682" w:rsidRDefault="000A3682" w:rsidP="000A36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682"/>
    <w:rsid w:val="000A3682"/>
    <w:rsid w:val="00664606"/>
    <w:rsid w:val="00875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34FF1"/>
  <w15:chartTrackingRefBased/>
  <w15:docId w15:val="{EEDBEE5B-972B-4E18-A25D-A85B08702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6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A3682"/>
    <w:pPr>
      <w:spacing w:after="0" w:line="240" w:lineRule="auto"/>
    </w:pPr>
  </w:style>
  <w:style w:type="paragraph" w:styleId="Header">
    <w:name w:val="header"/>
    <w:basedOn w:val="Normal"/>
    <w:link w:val="HeaderChar"/>
    <w:uiPriority w:val="99"/>
    <w:unhideWhenUsed/>
    <w:rsid w:val="000A3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682"/>
  </w:style>
  <w:style w:type="paragraph" w:styleId="Footer">
    <w:name w:val="footer"/>
    <w:basedOn w:val="Normal"/>
    <w:link w:val="FooterChar"/>
    <w:uiPriority w:val="99"/>
    <w:unhideWhenUsed/>
    <w:rsid w:val="000A3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6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2351</Words>
  <Characters>13404</Characters>
  <Application>Microsoft Office Word</Application>
  <DocSecurity>0</DocSecurity>
  <Lines>111</Lines>
  <Paragraphs>31</Paragraphs>
  <ScaleCrop>false</ScaleCrop>
  <Company/>
  <LinksUpToDate>false</LinksUpToDate>
  <CharactersWithSpaces>15724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Petya Nedeva</dc:creator>
  <cp:keywords/>
  <dc:description/>
  <cp:lastModifiedBy>Petya Nedeva</cp:lastModifiedBy>
  <cp:revision>1</cp:revision>
  <dcterms:created xsi:type="dcterms:W3CDTF">2020-11-30T06:28:00Z</dcterms:created>
  <dcterms:modified xsi:type="dcterms:W3CDTF">2020-11-30T06:31:00Z</dcterms:modified>
</cp:coreProperties>
</file>