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8BF" w:rsidRPr="008818BF" w:rsidRDefault="008818BF" w:rsidP="008818BF">
      <w:pPr>
        <w:spacing w:after="240"/>
        <w:rPr>
          <w:b/>
        </w:rPr>
      </w:pPr>
      <w:r w:rsidRPr="008818BF">
        <w:rPr>
          <w:rFonts w:hint="eastAsia"/>
          <w:b/>
        </w:rPr>
        <w:t>HPPH</w:t>
      </w:r>
      <w:r w:rsidRPr="008818BF">
        <w:rPr>
          <w:b/>
        </w:rPr>
        <w:t>7010 Knowledge, Reason, and Reality</w:t>
      </w:r>
    </w:p>
    <w:p w:rsidR="008818BF" w:rsidRPr="008818BF" w:rsidRDefault="008818BF" w:rsidP="008818BF">
      <w:pPr>
        <w:spacing w:after="240"/>
        <w:rPr>
          <w:b/>
        </w:rPr>
      </w:pPr>
      <w:r w:rsidRPr="008818BF">
        <w:rPr>
          <w:rFonts w:hint="eastAsia"/>
          <w:b/>
        </w:rPr>
        <w:t>Assignment 1</w:t>
      </w:r>
    </w:p>
    <w:p w:rsidR="008818BF" w:rsidRPr="008818BF" w:rsidRDefault="008818BF" w:rsidP="008818BF">
      <w:pPr>
        <w:spacing w:after="240"/>
        <w:rPr>
          <w:b/>
        </w:rPr>
      </w:pPr>
      <w:r w:rsidRPr="008818BF">
        <w:rPr>
          <w:rFonts w:hint="eastAsia"/>
          <w:b/>
        </w:rPr>
        <w:t xml:space="preserve">Andrew </w:t>
      </w:r>
      <w:proofErr w:type="spellStart"/>
      <w:r w:rsidRPr="008818BF">
        <w:rPr>
          <w:rFonts w:hint="eastAsia"/>
          <w:b/>
        </w:rPr>
        <w:t>Nesseler</w:t>
      </w:r>
      <w:proofErr w:type="spellEnd"/>
      <w:r w:rsidRPr="008818BF">
        <w:rPr>
          <w:rFonts w:hint="eastAsia"/>
          <w:b/>
        </w:rPr>
        <w:t xml:space="preserve"> </w:t>
      </w:r>
      <w:r w:rsidRPr="008818BF">
        <w:rPr>
          <w:b/>
        </w:rPr>
        <w:t xml:space="preserve">– </w:t>
      </w:r>
      <w:r w:rsidRPr="008818BF">
        <w:rPr>
          <w:rFonts w:hint="eastAsia"/>
          <w:b/>
        </w:rPr>
        <w:t>Student</w:t>
      </w:r>
      <w:r w:rsidRPr="008818BF">
        <w:rPr>
          <w:b/>
        </w:rPr>
        <w:t xml:space="preserve"> No. </w:t>
      </w:r>
      <w:r w:rsidR="003A15B1">
        <w:rPr>
          <w:b/>
        </w:rPr>
        <w:t>2236167</w:t>
      </w:r>
    </w:p>
    <w:p w:rsidR="008818BF" w:rsidRDefault="008818BF" w:rsidP="008818BF">
      <w:pPr>
        <w:spacing w:after="240"/>
        <w:rPr>
          <w:b/>
        </w:rPr>
      </w:pPr>
      <w:r w:rsidRPr="008818BF">
        <w:rPr>
          <w:b/>
        </w:rPr>
        <w:t>Annotated Bibliography</w:t>
      </w:r>
    </w:p>
    <w:p w:rsidR="008818BF" w:rsidRPr="006169D5" w:rsidRDefault="008818BF" w:rsidP="008818BF">
      <w:pPr>
        <w:spacing w:after="240"/>
        <w:rPr>
          <w:b/>
        </w:rPr>
      </w:pPr>
      <w:r w:rsidRPr="006169D5">
        <w:rPr>
          <w:b/>
        </w:rPr>
        <w:t xml:space="preserve">1. </w:t>
      </w:r>
      <w:r w:rsidR="00773603" w:rsidRPr="006169D5">
        <w:rPr>
          <w:b/>
        </w:rPr>
        <w:t>Asher Moore, ‘Rationalism, Empiricism and the A Priori’, in Philosophical Quarterly, Vol.9, No.36 (</w:t>
      </w:r>
      <w:proofErr w:type="gramStart"/>
      <w:r w:rsidR="00773603" w:rsidRPr="006169D5">
        <w:rPr>
          <w:b/>
        </w:rPr>
        <w:t>Jul.,</w:t>
      </w:r>
      <w:proofErr w:type="gramEnd"/>
      <w:r w:rsidR="00773603" w:rsidRPr="006169D5">
        <w:rPr>
          <w:b/>
        </w:rPr>
        <w:t xml:space="preserve"> 1959), pp.250-58.</w:t>
      </w:r>
    </w:p>
    <w:p w:rsidR="00773603" w:rsidRDefault="00B41B83" w:rsidP="00B91E00">
      <w:pPr>
        <w:spacing w:before="240" w:after="240"/>
      </w:pPr>
      <w:r>
        <w:rPr>
          <w:rFonts w:hint="eastAsia"/>
        </w:rPr>
        <w:t>A</w:t>
      </w:r>
      <w:r>
        <w:t xml:space="preserve">t the beginning of this paper, Asher Moore posits that the traditional distinction between rationalists and empiricists has largely been inaccurate and potentially creates a strawman of many philosophers’ views. As Moore explains, the divide between the two camps </w:t>
      </w:r>
      <w:proofErr w:type="gramStart"/>
      <w:r>
        <w:t>has normally been construed</w:t>
      </w:r>
      <w:proofErr w:type="gramEnd"/>
      <w:r>
        <w:t xml:space="preserve"> as a matter of disagreement on the </w:t>
      </w:r>
      <w:r w:rsidR="00E83E1F">
        <w:t xml:space="preserve">scope of the </w:t>
      </w:r>
      <w:r>
        <w:rPr>
          <w:i/>
        </w:rPr>
        <w:t>a priori</w:t>
      </w:r>
      <w:r w:rsidR="00856E84">
        <w:t xml:space="preserve">. For the empiricist, </w:t>
      </w:r>
      <w:r w:rsidR="00453E4B">
        <w:t xml:space="preserve">the </w:t>
      </w:r>
      <w:r w:rsidR="00453E4B">
        <w:rPr>
          <w:i/>
        </w:rPr>
        <w:t xml:space="preserve">a priori </w:t>
      </w:r>
      <w:r w:rsidR="008C31ED">
        <w:t>can only be analytic—that is, “only an analysis into . . . components of the entity or notion expressed by its subject”</w:t>
      </w:r>
      <w:r w:rsidR="000110A8">
        <w:t xml:space="preserve"> (Moore 1959, p. 250)—and so can never reveal a “matter of fact” outside definitions or analysis of language. For example, the sentence “all bachelors are unmarried men” can be known by the empiricist </w:t>
      </w:r>
      <w:r w:rsidR="000110A8">
        <w:rPr>
          <w:i/>
        </w:rPr>
        <w:t>a priori</w:t>
      </w:r>
      <w:r w:rsidR="000110A8">
        <w:t xml:space="preserve"> due to the meaning of the words alone.</w:t>
      </w:r>
      <w:r w:rsidR="00B91E00">
        <w:t xml:space="preserve"> In this way, it gives us “no new knowledge” (Moore 1959, p. 250). The rationalist, on the other hand, wants to deny this picture of the </w:t>
      </w:r>
      <w:r w:rsidR="00B91E00">
        <w:rPr>
          <w:i/>
        </w:rPr>
        <w:t>a priori</w:t>
      </w:r>
      <w:r w:rsidR="00B91E00">
        <w:t xml:space="preserve"> and, instead, grant that it can give us matters of fact (leading to the phrase </w:t>
      </w:r>
      <w:r w:rsidR="00B91E00" w:rsidRPr="0085468B">
        <w:t>synthetic</w:t>
      </w:r>
      <w:r w:rsidR="00B91E00">
        <w:rPr>
          <w:i/>
        </w:rPr>
        <w:t xml:space="preserve"> a priori</w:t>
      </w:r>
      <w:r w:rsidR="00B91E00">
        <w:t xml:space="preserve"> as opposed to the previously mentioned </w:t>
      </w:r>
      <w:r w:rsidR="00B91E00" w:rsidRPr="0085468B">
        <w:t>analytic</w:t>
      </w:r>
      <w:r w:rsidR="00B91E00">
        <w:rPr>
          <w:i/>
        </w:rPr>
        <w:t xml:space="preserve"> a priori</w:t>
      </w:r>
      <w:r w:rsidR="007E40A7">
        <w:rPr>
          <w:i/>
        </w:rPr>
        <w:t xml:space="preserve"> </w:t>
      </w:r>
      <w:r w:rsidR="007E40A7">
        <w:t>statement about bachelors</w:t>
      </w:r>
      <w:r w:rsidR="00B91E00" w:rsidRPr="00B91E00">
        <w:t>).</w:t>
      </w:r>
    </w:p>
    <w:p w:rsidR="007E40A7" w:rsidRDefault="00C850B7" w:rsidP="007B2E4A">
      <w:pPr>
        <w:spacing w:before="240" w:after="240"/>
      </w:pPr>
      <w:r>
        <w:rPr>
          <w:rFonts w:hint="eastAsia"/>
        </w:rPr>
        <w:t>In Moore</w:t>
      </w:r>
      <w:r>
        <w:t xml:space="preserve">’s appraisal, the </w:t>
      </w:r>
      <w:r w:rsidR="00B470C7">
        <w:t xml:space="preserve">above </w:t>
      </w:r>
      <w:r>
        <w:t xml:space="preserve">debate between empiricists and rationalists is illusory. Rather, the debate </w:t>
      </w:r>
      <w:proofErr w:type="gramStart"/>
      <w:r>
        <w:t>is found</w:t>
      </w:r>
      <w:proofErr w:type="gramEnd"/>
      <w:r>
        <w:t xml:space="preserve"> between the camps of monists vs. pluralists and realists vs. idealists. Moore then seemingly </w:t>
      </w:r>
      <w:r w:rsidR="00B57116">
        <w:t>shifts the focus of</w:t>
      </w:r>
      <w:r>
        <w:t xml:space="preserve"> the debate </w:t>
      </w:r>
      <w:r w:rsidR="00F5714B">
        <w:t xml:space="preserve">between “empiricists” and “rationalists” </w:t>
      </w:r>
      <w:r>
        <w:t xml:space="preserve">on metaphysics as opposed to epistemology. </w:t>
      </w:r>
      <w:r w:rsidR="00A02229">
        <w:t>In fact, Moore (1959, p. 253) explicitly states, “. . . this is a disagreement in metaphysics” and is “simply an old issue between monism and pluralism.” This is further bolstered</w:t>
      </w:r>
      <w:r w:rsidR="0085468B">
        <w:t xml:space="preserve"> this </w:t>
      </w:r>
      <w:r w:rsidR="00A02229">
        <w:t xml:space="preserve">during the discussion </w:t>
      </w:r>
      <w:r w:rsidR="0085468B">
        <w:t xml:space="preserve">of the synthetic </w:t>
      </w:r>
      <w:r w:rsidR="008C659C">
        <w:rPr>
          <w:i/>
        </w:rPr>
        <w:t xml:space="preserve">a priori, </w:t>
      </w:r>
      <w:r w:rsidR="00A02229" w:rsidRPr="00A02229">
        <w:t>as</w:t>
      </w:r>
      <w:r w:rsidR="00A02229">
        <w:rPr>
          <w:i/>
        </w:rPr>
        <w:t xml:space="preserve"> </w:t>
      </w:r>
      <w:r w:rsidR="008C659C">
        <w:t xml:space="preserve">the debate has been traditionally framed as </w:t>
      </w:r>
      <w:r w:rsidR="00A00999">
        <w:t>rationalists</w:t>
      </w:r>
      <w:r w:rsidR="001444C2">
        <w:t xml:space="preserve"> positing intuition or the understanding</w:t>
      </w:r>
      <w:r w:rsidR="00C149B0">
        <w:t xml:space="preserve"> to grasp certain truths, while empiricists </w:t>
      </w:r>
      <w:r w:rsidR="001444C2">
        <w:t>want</w:t>
      </w:r>
      <w:r w:rsidR="00C149B0">
        <w:t xml:space="preserve"> to, instead, place epistemic primacy on the senses.</w:t>
      </w:r>
      <w:r w:rsidR="007B2E4A">
        <w:t xml:space="preserve"> As a consequence “All forms of empiricism</w:t>
      </w:r>
      <w:r w:rsidR="007B2E4A">
        <w:rPr>
          <w:rFonts w:hint="eastAsia"/>
        </w:rPr>
        <w:t xml:space="preserve"> </w:t>
      </w:r>
      <w:r w:rsidR="007B2E4A">
        <w:t xml:space="preserve">agree in repudiating the existence of synthetic </w:t>
      </w:r>
      <w:r w:rsidR="007B2E4A" w:rsidRPr="007B2E4A">
        <w:rPr>
          <w:i/>
        </w:rPr>
        <w:t>a priori</w:t>
      </w:r>
      <w:r w:rsidR="007B2E4A">
        <w:t xml:space="preserve"> knowledge</w:t>
      </w:r>
      <w:r w:rsidR="007B2E4A">
        <w:t>” (Feigl 1947, p. 387).</w:t>
      </w:r>
      <w:r w:rsidR="00C149B0">
        <w:t xml:space="preserve"> </w:t>
      </w:r>
      <w:r w:rsidR="00844588">
        <w:t xml:space="preserve">Moore’s diagnoses of the </w:t>
      </w:r>
      <w:r w:rsidR="00A02229">
        <w:t>debate here, however, is</w:t>
      </w:r>
      <w:r w:rsidR="00F52589">
        <w:t xml:space="preserve"> metaphysical in nature because—using Hume as an example (whose position Moore defines as “atomism”</w:t>
      </w:r>
      <w:bookmarkStart w:id="0" w:name="_GoBack"/>
      <w:bookmarkEnd w:id="0"/>
      <w:r w:rsidR="00F52589">
        <w:t>)—there cannot be knowledge of a necessary connection between two, independent things, which is the view actually underlying the empiricist’ dispute with the rationalists. As Moore (1959, p. 253) puts it, “</w:t>
      </w:r>
      <w:r w:rsidR="00F52589">
        <w:t xml:space="preserve">For to deny that there are synthetic </w:t>
      </w:r>
      <w:r w:rsidR="00F52589" w:rsidRPr="00F52589">
        <w:rPr>
          <w:i/>
        </w:rPr>
        <w:t>a priori</w:t>
      </w:r>
      <w:r w:rsidR="00F52589">
        <w:t xml:space="preserve"> truths i</w:t>
      </w:r>
      <w:r w:rsidR="00F52589">
        <w:t>s</w:t>
      </w:r>
      <w:r w:rsidR="00F52589">
        <w:t xml:space="preserve"> </w:t>
      </w:r>
      <w:r w:rsidR="00875222">
        <w:t xml:space="preserve">only </w:t>
      </w:r>
      <w:r w:rsidR="00F52589">
        <w:t xml:space="preserve">a way of saying that everything distinguishable is separable. And to </w:t>
      </w:r>
      <w:r w:rsidR="00875222">
        <w:t xml:space="preserve">affirm </w:t>
      </w:r>
      <w:r w:rsidR="00F52589">
        <w:t xml:space="preserve">that some </w:t>
      </w:r>
      <w:r w:rsidR="00F52589" w:rsidRPr="00F52589">
        <w:rPr>
          <w:i/>
        </w:rPr>
        <w:t>a priori</w:t>
      </w:r>
      <w:r w:rsidR="00F52589">
        <w:t xml:space="preserve"> propositions are synthetic is just a way of declarin</w:t>
      </w:r>
      <w:r w:rsidR="00F52589">
        <w:t>g that</w:t>
      </w:r>
      <w:r w:rsidR="00F52589">
        <w:t xml:space="preserve"> not all distinguishable things are </w:t>
      </w:r>
      <w:r w:rsidR="00875222">
        <w:t>separable</w:t>
      </w:r>
      <w:r w:rsidR="00F52589">
        <w:t>.”</w:t>
      </w:r>
    </w:p>
    <w:p w:rsidR="00AD22F9" w:rsidRDefault="00AD22F9" w:rsidP="00B91E00">
      <w:pPr>
        <w:spacing w:before="240" w:after="240"/>
      </w:pPr>
    </w:p>
    <w:p w:rsidR="00997C0F" w:rsidRPr="008C659C" w:rsidRDefault="00997C0F" w:rsidP="00B91E00">
      <w:pPr>
        <w:spacing w:before="240" w:after="240"/>
        <w:rPr>
          <w:rFonts w:hint="eastAsia"/>
        </w:rPr>
      </w:pPr>
      <w:r>
        <w:rPr>
          <w:rFonts w:hint="eastAsia"/>
        </w:rPr>
        <w:lastRenderedPageBreak/>
        <w:t>As a review, Moore</w:t>
      </w:r>
      <w:r>
        <w:t xml:space="preserve">’s paper is interesting in that it attempts to dissolve epistemological disputes into metaphysical ones. While I am not completely convinced of Moore’s analysis of the empiricist vs. rationalist debate, I think there are metaphysical issues underlying each camp that Moore does get right. However, I would still stop short of saying that the issue is merely a matter of </w:t>
      </w:r>
      <w:r w:rsidR="00176F1A">
        <w:t>metaphysics</w:t>
      </w:r>
      <w:r>
        <w:t xml:space="preserve">. Lastly, </w:t>
      </w:r>
      <w:r w:rsidR="00722484">
        <w:t xml:space="preserve">while Moore was writing around the time of W.V. Quine, there is a question how, exactly, the more radical empiricist positions fit within Moore’s categorization. </w:t>
      </w:r>
    </w:p>
    <w:p w:rsidR="008818BF" w:rsidRDefault="008818BF" w:rsidP="008818BF">
      <w:pPr>
        <w:spacing w:after="240"/>
      </w:pPr>
      <w:r>
        <w:t>Word count:</w:t>
      </w:r>
    </w:p>
    <w:p w:rsidR="00CF212D" w:rsidRPr="00CF212D" w:rsidRDefault="00CF212D" w:rsidP="008818BF">
      <w:pPr>
        <w:spacing w:after="240"/>
        <w:rPr>
          <w:b/>
        </w:rPr>
      </w:pPr>
      <w:r w:rsidRPr="00CF212D">
        <w:rPr>
          <w:b/>
        </w:rPr>
        <w:t>References</w:t>
      </w:r>
    </w:p>
    <w:p w:rsidR="00CF212D" w:rsidRDefault="007B2E4A" w:rsidP="008818BF">
      <w:pPr>
        <w:spacing w:after="240"/>
      </w:pPr>
      <w:r>
        <w:rPr>
          <w:rFonts w:hint="eastAsia"/>
        </w:rPr>
        <w:t>H</w:t>
      </w:r>
      <w:r>
        <w:t xml:space="preserve">. </w:t>
      </w:r>
      <w:proofErr w:type="spellStart"/>
      <w:r>
        <w:t>Fiegl</w:t>
      </w:r>
      <w:proofErr w:type="spellEnd"/>
      <w:r>
        <w:t>, “Logical Empiricism,” in Twentieth Century Philosophy, ed. D.D. Runes (New York, 1947), p. 387</w:t>
      </w:r>
    </w:p>
    <w:p w:rsidR="006468CD" w:rsidRDefault="006468CD" w:rsidP="008818BF">
      <w:pPr>
        <w:spacing w:after="240"/>
      </w:pPr>
      <w:r>
        <w:t xml:space="preserve">Laurence </w:t>
      </w:r>
      <w:proofErr w:type="spellStart"/>
      <w:r>
        <w:t>BonJour</w:t>
      </w:r>
      <w:proofErr w:type="spellEnd"/>
      <w:r>
        <w:t xml:space="preserve"> </w:t>
      </w:r>
      <w:proofErr w:type="gramStart"/>
      <w:r>
        <w:t>In</w:t>
      </w:r>
      <w:proofErr w:type="gramEnd"/>
      <w:r>
        <w:t xml:space="preserve"> Defense of Pure Reason</w:t>
      </w:r>
    </w:p>
    <w:p w:rsidR="00426BA8" w:rsidRDefault="00426BA8" w:rsidP="008818BF">
      <w:pPr>
        <w:spacing w:after="240"/>
        <w:rPr>
          <w:rFonts w:hint="eastAsia"/>
        </w:rPr>
      </w:pPr>
      <w:r>
        <w:t xml:space="preserve">Denial of the Synthetic </w:t>
      </w:r>
      <w:r w:rsidRPr="00426BA8">
        <w:rPr>
          <w:i/>
        </w:rPr>
        <w:t>A Priori</w:t>
      </w:r>
      <w:r>
        <w:t xml:space="preserve"> Oliver A. Johnson 1960</w:t>
      </w:r>
    </w:p>
    <w:p w:rsidR="008818BF" w:rsidRPr="006169D5" w:rsidRDefault="008818BF" w:rsidP="008818BF">
      <w:pPr>
        <w:spacing w:after="240"/>
        <w:rPr>
          <w:b/>
        </w:rPr>
      </w:pPr>
      <w:r w:rsidRPr="006169D5">
        <w:rPr>
          <w:b/>
        </w:rPr>
        <w:t>2.</w:t>
      </w:r>
      <w:r w:rsidR="00310832" w:rsidRPr="006169D5">
        <w:rPr>
          <w:b/>
        </w:rPr>
        <w:t xml:space="preserve"> E. </w:t>
      </w:r>
      <w:proofErr w:type="spellStart"/>
      <w:r w:rsidR="00310832" w:rsidRPr="006169D5">
        <w:rPr>
          <w:b/>
        </w:rPr>
        <w:t>Gettier</w:t>
      </w:r>
      <w:proofErr w:type="spellEnd"/>
      <w:r w:rsidR="00310832" w:rsidRPr="006169D5">
        <w:rPr>
          <w:b/>
        </w:rPr>
        <w:t>, ‘Is Justified True Belief Knowledge’, Analysis, Vol.23, 1963, pp.121-23.</w:t>
      </w:r>
    </w:p>
    <w:p w:rsidR="00073A87" w:rsidRDefault="00CF212D" w:rsidP="008818BF">
      <w:pPr>
        <w:spacing w:after="240"/>
      </w:pPr>
      <w:proofErr w:type="spellStart"/>
      <w:r>
        <w:rPr>
          <w:rFonts w:hint="eastAsia"/>
        </w:rPr>
        <w:t>Gettier</w:t>
      </w:r>
      <w:r>
        <w:t>’s</w:t>
      </w:r>
      <w:proofErr w:type="spellEnd"/>
      <w:r>
        <w:t xml:space="preserve"> paper </w:t>
      </w:r>
      <w:r w:rsidR="0060529D">
        <w:t>raises concerns against</w:t>
      </w:r>
      <w:r>
        <w:t xml:space="preserve"> the </w:t>
      </w:r>
      <w:r w:rsidR="003A339A">
        <w:t xml:space="preserve">allegedly </w:t>
      </w:r>
      <w:r>
        <w:t>well-entrenched view of knowledge as justified true belief (JTB)</w:t>
      </w:r>
      <w:r w:rsidR="003A339A">
        <w:t xml:space="preserve">. Aside from </w:t>
      </w:r>
      <w:r w:rsidR="00EC234B">
        <w:t>any</w:t>
      </w:r>
      <w:r w:rsidR="003A339A">
        <w:t xml:space="preserve"> contentious historica</w:t>
      </w:r>
      <w:r w:rsidR="00EC234B">
        <w:t>l claim</w:t>
      </w:r>
      <w:r w:rsidR="003A339A">
        <w:t xml:space="preserve"> of the prominence of the JTB account (</w:t>
      </w:r>
      <w:proofErr w:type="spellStart"/>
      <w:r w:rsidR="003A339A">
        <w:t>Morvan</w:t>
      </w:r>
      <w:proofErr w:type="spellEnd"/>
      <w:r w:rsidR="003A339A">
        <w:t xml:space="preserve"> 2023),</w:t>
      </w:r>
      <w:r w:rsidR="0060529D">
        <w:t xml:space="preserve"> </w:t>
      </w:r>
      <w:proofErr w:type="spellStart"/>
      <w:r w:rsidR="003A339A">
        <w:t>Gettier’s</w:t>
      </w:r>
      <w:proofErr w:type="spellEnd"/>
      <w:r w:rsidR="003A339A">
        <w:t xml:space="preserve"> brief paper</w:t>
      </w:r>
      <w:r w:rsidR="0060529D">
        <w:t xml:space="preserve"> </w:t>
      </w:r>
      <w:r w:rsidR="00EC234B">
        <w:t>is</w:t>
      </w:r>
      <w:r w:rsidR="0060529D">
        <w:t xml:space="preserve"> famous for spawning a lot of literature in epistemology </w:t>
      </w:r>
      <w:r w:rsidR="003A339A">
        <w:t>in response to the</w:t>
      </w:r>
      <w:r w:rsidR="006B729C">
        <w:t xml:space="preserve"> </w:t>
      </w:r>
      <w:r w:rsidR="00574D3F">
        <w:t>eventually</w:t>
      </w:r>
      <w:r w:rsidR="006B729C">
        <w:t xml:space="preserve"> dubbed </w:t>
      </w:r>
      <w:r w:rsidR="0060529D">
        <w:t>“</w:t>
      </w:r>
      <w:proofErr w:type="spellStart"/>
      <w:r w:rsidR="0060529D">
        <w:t>Gettier</w:t>
      </w:r>
      <w:proofErr w:type="spellEnd"/>
      <w:r w:rsidR="0060529D">
        <w:t xml:space="preserve"> problem.” </w:t>
      </w:r>
      <w:r w:rsidR="00446095">
        <w:t xml:space="preserve">The problem </w:t>
      </w:r>
      <w:proofErr w:type="gramStart"/>
      <w:r w:rsidR="00446095">
        <w:t>is displayed</w:t>
      </w:r>
      <w:proofErr w:type="gramEnd"/>
      <w:r w:rsidR="00446095">
        <w:t xml:space="preserve"> in two cases given by </w:t>
      </w:r>
      <w:proofErr w:type="spellStart"/>
      <w:r w:rsidR="00446095">
        <w:t>Gettier</w:t>
      </w:r>
      <w:proofErr w:type="spellEnd"/>
      <w:r w:rsidR="00446095">
        <w:t xml:space="preserve">. For brevity, I will only focus on the first. </w:t>
      </w:r>
      <w:r w:rsidR="00D362CD">
        <w:t xml:space="preserve">Here, </w:t>
      </w:r>
      <w:r w:rsidR="000D239A">
        <w:t xml:space="preserve">we imagine two people, Smith and Jones, who are applying for the same job. </w:t>
      </w:r>
      <w:r w:rsidR="00726BBD">
        <w:t>Smith has good reason to believe Jones will get the job. Additionally, Smith knows Jones has ten coins in his pockets. From this, Smith has knowledge of</w:t>
      </w:r>
      <w:r w:rsidR="00BD4D46">
        <w:t xml:space="preserve"> </w:t>
      </w:r>
      <w:r w:rsidR="00726BBD">
        <w:t>proposition</w:t>
      </w:r>
      <w:r w:rsidR="00BD4D46">
        <w:t xml:space="preserve"> </w:t>
      </w:r>
      <w:r w:rsidR="00BD4D46">
        <w:rPr>
          <w:i/>
        </w:rPr>
        <w:t>e</w:t>
      </w:r>
      <w:r w:rsidR="00BD4D46">
        <w:t>, which states,</w:t>
      </w:r>
      <w:r w:rsidR="00726BBD">
        <w:t xml:space="preserve"> “The man who will get the job has ten coins in his pocket” (</w:t>
      </w:r>
      <w:proofErr w:type="spellStart"/>
      <w:r w:rsidR="00726BBD">
        <w:t>Gettier</w:t>
      </w:r>
      <w:proofErr w:type="spellEnd"/>
      <w:r w:rsidR="00726BBD">
        <w:t xml:space="preserve"> 1963, p. 122). </w:t>
      </w:r>
      <w:r w:rsidR="00BF1E45">
        <w:t>However, it turns out that Smith gets the job, and he, too, previously unbeknownst to himself, has ten coins in his pockets.</w:t>
      </w:r>
      <w:r w:rsidR="00BD4D46">
        <w:t xml:space="preserve"> Therefore, while Smith was wrong about Jones getting the job and was unaware that the true person who would be hired (himself) would have the ten coins, the JTB account, it seems, must grant that Smith knew </w:t>
      </w:r>
      <w:r w:rsidR="00BD4D46">
        <w:rPr>
          <w:i/>
        </w:rPr>
        <w:t>e</w:t>
      </w:r>
      <w:r w:rsidR="00BD4D46" w:rsidRPr="00BD4D46">
        <w:t>.</w:t>
      </w:r>
    </w:p>
    <w:p w:rsidR="00BF1E45" w:rsidRDefault="00516C2C" w:rsidP="008818BF">
      <w:pPr>
        <w:spacing w:after="240"/>
      </w:pPr>
      <w:proofErr w:type="spellStart"/>
      <w:r>
        <w:rPr>
          <w:rFonts w:hint="eastAsia"/>
        </w:rPr>
        <w:t>Gettier</w:t>
      </w:r>
      <w:proofErr w:type="spellEnd"/>
      <w:r w:rsidR="002E7882">
        <w:t xml:space="preserve"> (1963, p. 122)</w:t>
      </w:r>
      <w:r>
        <w:rPr>
          <w:rFonts w:hint="eastAsia"/>
        </w:rPr>
        <w:t xml:space="preserve">, however, </w:t>
      </w:r>
      <w:r w:rsidR="003F7D82">
        <w:t>outright denies the entailment of the JTB account above, saying it “is equally clear that Smith does not know that (</w:t>
      </w:r>
      <w:r w:rsidR="003F7D82" w:rsidRPr="00A27D42">
        <w:t>e</w:t>
      </w:r>
      <w:r w:rsidR="003F7D82">
        <w:t>) is true</w:t>
      </w:r>
      <w:r w:rsidR="002E7882">
        <w:t xml:space="preserve">.” </w:t>
      </w:r>
      <w:r w:rsidR="00425651">
        <w:t>Therefore</w:t>
      </w:r>
      <w:r w:rsidR="00C34612">
        <w:t xml:space="preserve">, knowledge cannot simply be justified true belief. </w:t>
      </w:r>
      <w:r w:rsidR="00425651">
        <w:t xml:space="preserve">Now, since </w:t>
      </w:r>
      <w:proofErr w:type="spellStart"/>
      <w:r w:rsidR="00425651">
        <w:t>Gettier’s</w:t>
      </w:r>
      <w:proofErr w:type="spellEnd"/>
      <w:r w:rsidR="00425651">
        <w:t xml:space="preserve"> paper itself is brief, I will turn to its history and the work it has inspired. </w:t>
      </w:r>
      <w:r w:rsidR="006E41E1">
        <w:t xml:space="preserve">For the former, Bertrand Russell (1932) raised the problem before </w:t>
      </w:r>
      <w:proofErr w:type="spellStart"/>
      <w:r w:rsidR="006E41E1">
        <w:t>Gettier</w:t>
      </w:r>
      <w:proofErr w:type="spellEnd"/>
      <w:r w:rsidR="006E41E1">
        <w:t xml:space="preserve">, in which he uses the example of correctly but unwittingly believing the name of a prime minister. Similar to </w:t>
      </w:r>
      <w:proofErr w:type="spellStart"/>
      <w:r w:rsidR="006E41E1">
        <w:t>Gettier</w:t>
      </w:r>
      <w:proofErr w:type="spellEnd"/>
      <w:r w:rsidR="006E41E1">
        <w:t xml:space="preserve">, Russell, too, denies the person in such case has knowledge. </w:t>
      </w:r>
      <w:r w:rsidR="00F85F13">
        <w:t xml:space="preserve">Russell (1932 p. 131-2) departs from, </w:t>
      </w:r>
      <w:proofErr w:type="spellStart"/>
      <w:r w:rsidR="00F85F13">
        <w:t>Gettier</w:t>
      </w:r>
      <w:proofErr w:type="spellEnd"/>
      <w:r w:rsidR="00F85F13">
        <w:t xml:space="preserve">, however, when he </w:t>
      </w:r>
      <w:r w:rsidR="006E41E1">
        <w:t>attempts to solve</w:t>
      </w:r>
      <w:r w:rsidR="001D059E">
        <w:t xml:space="preserve"> the problem</w:t>
      </w:r>
      <w:r w:rsidR="00F85F13">
        <w:t xml:space="preserve"> by stipulating that knowledge requires valid deduction and “known premises.”</w:t>
      </w:r>
    </w:p>
    <w:p w:rsidR="00095D6B" w:rsidRDefault="0002793D" w:rsidP="008818BF">
      <w:pPr>
        <w:spacing w:after="240"/>
      </w:pPr>
      <w:r>
        <w:lastRenderedPageBreak/>
        <w:t>In response to Russell, Timothy McGrew and Lydia McGrew (2007</w:t>
      </w:r>
      <w:r w:rsidR="007615DE">
        <w:t xml:space="preserve"> p. 9</w:t>
      </w:r>
      <w:r>
        <w:t xml:space="preserve">) </w:t>
      </w:r>
      <w:r w:rsidR="00754388">
        <w:t>discuss a</w:t>
      </w:r>
      <w:r w:rsidR="007615DE">
        <w:t xml:space="preserve"> critique </w:t>
      </w:r>
      <w:r w:rsidR="00754388">
        <w:t>of Russell’s solution—namely, his solution has</w:t>
      </w:r>
      <w:r w:rsidR="007615DE">
        <w:t xml:space="preserve"> true beliefs held high while there is a “downplay” of rationality. </w:t>
      </w:r>
      <w:r w:rsidR="00754388">
        <w:t xml:space="preserve">Additionally, Russell’s definition does not account for a </w:t>
      </w:r>
      <w:proofErr w:type="spellStart"/>
      <w:r w:rsidR="00754388">
        <w:t>founda</w:t>
      </w:r>
      <w:r w:rsidR="00F235B0">
        <w:t>tionalist</w:t>
      </w:r>
      <w:proofErr w:type="spellEnd"/>
      <w:r w:rsidR="00F235B0">
        <w:t xml:space="preserve"> picture of knowledge, as “foundational beliefs are exactly those that do not require </w:t>
      </w:r>
      <w:r w:rsidR="00F235B0" w:rsidRPr="00F235B0">
        <w:rPr>
          <w:i/>
        </w:rPr>
        <w:t>any</w:t>
      </w:r>
      <w:r w:rsidR="00F235B0">
        <w:t xml:space="preserve"> premises” (McGrew &amp; McGrew 2007</w:t>
      </w:r>
      <w:r w:rsidR="00F067EC">
        <w:t>, p. 10</w:t>
      </w:r>
      <w:r w:rsidR="00F235B0">
        <w:t xml:space="preserve">). </w:t>
      </w:r>
      <w:r w:rsidR="003056B9">
        <w:t>Importantly, however, McGrew</w:t>
      </w:r>
      <w:r w:rsidR="000F6320">
        <w:t xml:space="preserve"> </w:t>
      </w:r>
      <w:r w:rsidR="003056B9">
        <w:t xml:space="preserve">(2007) </w:t>
      </w:r>
      <w:r w:rsidR="00DF7881">
        <w:t xml:space="preserve">notes that both the critique </w:t>
      </w:r>
      <w:r w:rsidR="00574D3F">
        <w:t xml:space="preserve">of Russell </w:t>
      </w:r>
      <w:r w:rsidR="00DF7881">
        <w:t xml:space="preserve">and </w:t>
      </w:r>
      <w:r w:rsidR="00574D3F">
        <w:t xml:space="preserve">the </w:t>
      </w:r>
      <w:r w:rsidR="00DF7881">
        <w:t>consequence for foundationalism</w:t>
      </w:r>
      <w:r w:rsidR="00574D3F">
        <w:t xml:space="preserve"> from Russell’s view</w:t>
      </w:r>
      <w:r w:rsidR="00DF7881">
        <w:t xml:space="preserve"> arguably do not succeed for similar reasons</w:t>
      </w:r>
      <w:r w:rsidR="00095D6B">
        <w:t>.</w:t>
      </w:r>
    </w:p>
    <w:p w:rsidR="0002793D" w:rsidRDefault="00DF7881" w:rsidP="008818BF">
      <w:pPr>
        <w:spacing w:after="240"/>
      </w:pPr>
      <w:r>
        <w:t xml:space="preserve">Namely, </w:t>
      </w:r>
      <w:proofErr w:type="spellStart"/>
      <w:r w:rsidR="003056B9">
        <w:t>Gettier</w:t>
      </w:r>
      <w:proofErr w:type="spellEnd"/>
      <w:r w:rsidR="003056B9">
        <w:t xml:space="preserve"> cases are troublesome due to conflating two different senses of justification. For justification</w:t>
      </w:r>
      <w:r w:rsidR="003056B9" w:rsidRPr="003056B9">
        <w:rPr>
          <w:i/>
          <w:vertAlign w:val="subscript"/>
        </w:rPr>
        <w:t>1</w:t>
      </w:r>
      <w:r w:rsidR="003056B9">
        <w:rPr>
          <w:vertAlign w:val="subscript"/>
        </w:rPr>
        <w:t xml:space="preserve">, </w:t>
      </w:r>
      <w:r w:rsidR="003056B9">
        <w:t>we may think of supporting propositions that “provide adequate grounds for rationally believing” (McGrew &amp; McGrew 2007</w:t>
      </w:r>
      <w:r w:rsidR="00570EB9">
        <w:t>, p. 9</w:t>
      </w:r>
      <w:r w:rsidR="003056B9">
        <w:t xml:space="preserve">) the original proposition (such as who </w:t>
      </w:r>
      <w:proofErr w:type="gramStart"/>
      <w:r w:rsidR="003056B9">
        <w:t>will be hired</w:t>
      </w:r>
      <w:proofErr w:type="gramEnd"/>
      <w:r w:rsidR="003056B9">
        <w:t>). Here, McGrew concedes one would have justification</w:t>
      </w:r>
      <w:r w:rsidR="003056B9" w:rsidRPr="003056B9">
        <w:rPr>
          <w:i/>
          <w:vertAlign w:val="subscript"/>
        </w:rPr>
        <w:t>1</w:t>
      </w:r>
      <w:r w:rsidR="003056B9">
        <w:rPr>
          <w:vertAlign w:val="subscript"/>
        </w:rPr>
        <w:t xml:space="preserve"> </w:t>
      </w:r>
      <w:r w:rsidR="003056B9">
        <w:t xml:space="preserve">in the </w:t>
      </w:r>
      <w:proofErr w:type="spellStart"/>
      <w:r w:rsidR="003056B9">
        <w:t>Gettier</w:t>
      </w:r>
      <w:proofErr w:type="spellEnd"/>
      <w:r w:rsidR="003056B9">
        <w:t xml:space="preserve"> case. However, one would still lack justification</w:t>
      </w:r>
      <w:r w:rsidR="003056B9" w:rsidRPr="003056B9">
        <w:rPr>
          <w:i/>
          <w:vertAlign w:val="subscript"/>
        </w:rPr>
        <w:t>2</w:t>
      </w:r>
      <w:r w:rsidR="003056B9">
        <w:rPr>
          <w:vertAlign w:val="subscript"/>
        </w:rPr>
        <w:t xml:space="preserve">, </w:t>
      </w:r>
      <w:r w:rsidR="003056B9">
        <w:t xml:space="preserve">which </w:t>
      </w:r>
      <w:proofErr w:type="gramStart"/>
      <w:r w:rsidR="006E4E10">
        <w:t xml:space="preserve">is </w:t>
      </w:r>
      <w:r w:rsidR="003669BD">
        <w:t>similarly defined</w:t>
      </w:r>
      <w:proofErr w:type="gramEnd"/>
      <w:r w:rsidR="003669BD">
        <w:t xml:space="preserve"> as</w:t>
      </w:r>
      <w:r w:rsidR="006E4E10">
        <w:t xml:space="preserve"> justification</w:t>
      </w:r>
      <w:r w:rsidR="006E4E10" w:rsidRPr="003056B9">
        <w:rPr>
          <w:i/>
          <w:vertAlign w:val="subscript"/>
        </w:rPr>
        <w:t>1</w:t>
      </w:r>
      <w:r w:rsidR="006E4E10">
        <w:rPr>
          <w:vertAlign w:val="subscript"/>
        </w:rPr>
        <w:t xml:space="preserve"> </w:t>
      </w:r>
      <w:r w:rsidR="006E4E10">
        <w:t>but also</w:t>
      </w:r>
      <w:r w:rsidR="00095D6B">
        <w:t>—</w:t>
      </w:r>
      <w:r w:rsidR="003669BD">
        <w:t>and</w:t>
      </w:r>
      <w:r w:rsidR="00095D6B">
        <w:t xml:space="preserve"> </w:t>
      </w:r>
      <w:r w:rsidR="003669BD">
        <w:t>crucially</w:t>
      </w:r>
      <w:r w:rsidR="00095D6B">
        <w:t>—</w:t>
      </w:r>
      <w:r w:rsidR="006E4E10">
        <w:t xml:space="preserve">requiring that the </w:t>
      </w:r>
      <w:r w:rsidR="003669BD">
        <w:t xml:space="preserve">supporting proposition(s) be true. </w:t>
      </w:r>
      <w:r w:rsidR="007B40FC">
        <w:t>In this way, McGrew echoes Russell. Yet, o</w:t>
      </w:r>
      <w:r w:rsidR="007111D0">
        <w:t>ne may want to push back against McGrew and Russell’s solution here, as we want to say that justification can seemingly obtain even if one’s supporting premises turn out to be false. That is, something could be rational to believe even if false.</w:t>
      </w:r>
      <w:r w:rsidR="000B13B7">
        <w:t xml:space="preserve"> This is to take justification</w:t>
      </w:r>
      <w:r w:rsidR="000B13B7" w:rsidRPr="003056B9">
        <w:rPr>
          <w:i/>
          <w:vertAlign w:val="subscript"/>
        </w:rPr>
        <w:t>1</w:t>
      </w:r>
      <w:r w:rsidR="000B13B7">
        <w:rPr>
          <w:vertAlign w:val="subscript"/>
        </w:rPr>
        <w:t xml:space="preserve"> </w:t>
      </w:r>
      <w:r w:rsidR="000B13B7">
        <w:t xml:space="preserve">as being </w:t>
      </w:r>
      <w:proofErr w:type="gramStart"/>
      <w:r w:rsidR="000B13B7">
        <w:t>all-encompassing</w:t>
      </w:r>
      <w:proofErr w:type="gramEnd"/>
      <w:r w:rsidR="000B13B7">
        <w:t xml:space="preserve"> for justification in the JTB account</w:t>
      </w:r>
      <w:r w:rsidR="002E347F">
        <w:t xml:space="preserve">, and so the </w:t>
      </w:r>
      <w:proofErr w:type="spellStart"/>
      <w:r w:rsidR="002E347F">
        <w:t>Gettier</w:t>
      </w:r>
      <w:proofErr w:type="spellEnd"/>
      <w:r w:rsidR="002E347F">
        <w:t xml:space="preserve"> problem stands</w:t>
      </w:r>
      <w:r w:rsidR="000B13B7">
        <w:t>.</w:t>
      </w:r>
      <w:r w:rsidR="007111D0">
        <w:t xml:space="preserve"> However, the question here is not whether </w:t>
      </w:r>
      <w:proofErr w:type="spellStart"/>
      <w:r w:rsidR="007111D0">
        <w:t>Gettier</w:t>
      </w:r>
      <w:proofErr w:type="spellEnd"/>
      <w:r w:rsidR="007111D0">
        <w:t xml:space="preserve"> cases provide counterexamples to what is </w:t>
      </w:r>
      <w:r w:rsidR="007111D0" w:rsidRPr="007111D0">
        <w:rPr>
          <w:i/>
        </w:rPr>
        <w:t>rational</w:t>
      </w:r>
      <w:r w:rsidR="007111D0">
        <w:t xml:space="preserve"> to believe or not, but, rather, whether one has </w:t>
      </w:r>
      <w:r w:rsidR="007111D0" w:rsidRPr="007111D0">
        <w:rPr>
          <w:i/>
        </w:rPr>
        <w:t>knowledge</w:t>
      </w:r>
      <w:r w:rsidR="007111D0">
        <w:t xml:space="preserve"> in such cases.</w:t>
      </w:r>
      <w:r w:rsidR="000B13B7">
        <w:t xml:space="preserve"> Knowledge, as </w:t>
      </w:r>
      <w:proofErr w:type="spellStart"/>
      <w:r w:rsidR="000B13B7">
        <w:t>Gettier</w:t>
      </w:r>
      <w:proofErr w:type="spellEnd"/>
      <w:r w:rsidR="000B13B7">
        <w:t xml:space="preserve"> and Russell argue, requires justification to also </w:t>
      </w:r>
      <w:proofErr w:type="gramStart"/>
      <w:r w:rsidR="000B13B7">
        <w:t>be based</w:t>
      </w:r>
      <w:proofErr w:type="gramEnd"/>
      <w:r w:rsidR="000B13B7">
        <w:t xml:space="preserve"> on truth and not merely rationality.</w:t>
      </w:r>
      <w:r w:rsidR="002E4159">
        <w:t xml:space="preserve"> As for foundational beliefs, McGrew (2007, p. 10), notes that “it is not possible for a </w:t>
      </w:r>
      <w:r w:rsidR="002E4159" w:rsidRPr="002E4159">
        <w:rPr>
          <w:i/>
        </w:rPr>
        <w:t>foundational</w:t>
      </w:r>
      <w:r w:rsidR="002E4159">
        <w:t xml:space="preserve"> belief to be rationally held but false” and the proposition itself, under a </w:t>
      </w:r>
      <w:proofErr w:type="spellStart"/>
      <w:r w:rsidR="002E4159">
        <w:t>foundationalist</w:t>
      </w:r>
      <w:proofErr w:type="spellEnd"/>
      <w:r w:rsidR="002E4159">
        <w:t xml:space="preserve"> view, is supportive of itself.</w:t>
      </w:r>
    </w:p>
    <w:p w:rsidR="00300CEC" w:rsidRPr="003056B9" w:rsidRDefault="000C5826" w:rsidP="008818BF">
      <w:pPr>
        <w:spacing w:after="240"/>
      </w:pPr>
      <w:r>
        <w:t xml:space="preserve">While I am keen on McGrew and Russell’s response to the </w:t>
      </w:r>
      <w:proofErr w:type="spellStart"/>
      <w:r>
        <w:t>Gettier</w:t>
      </w:r>
      <w:proofErr w:type="spellEnd"/>
      <w:r>
        <w:t xml:space="preserve"> problem, it is worth acknowledging</w:t>
      </w:r>
      <w:r w:rsidR="007E79C3">
        <w:t xml:space="preserve"> </w:t>
      </w:r>
      <w:r w:rsidR="00763214">
        <w:t>it as</w:t>
      </w:r>
      <w:r w:rsidR="007E79C3">
        <w:t xml:space="preserve"> an inter</w:t>
      </w:r>
      <w:r w:rsidR="00763214">
        <w:t xml:space="preserve">esting epistemological </w:t>
      </w:r>
      <w:r w:rsidR="004C3BD3">
        <w:t>issue</w:t>
      </w:r>
      <w:r w:rsidR="00763214">
        <w:t>. Equally interesting is the numerous</w:t>
      </w:r>
      <w:r w:rsidR="002E4159">
        <w:t>,</w:t>
      </w:r>
      <w:r w:rsidR="00763214">
        <w:t xml:space="preserve"> conflicting responses to it. Specifically, philosophers have argued that the problem is definitive while others say it is inconclusive, or that there is a “clear and easy solution” while others deny any solution </w:t>
      </w:r>
      <w:r w:rsidR="00082701">
        <w:t xml:space="preserve">is possible </w:t>
      </w:r>
      <w:r w:rsidR="00763214">
        <w:t>(</w:t>
      </w:r>
      <w:proofErr w:type="spellStart"/>
      <w:r w:rsidR="00763214">
        <w:t>Gettier</w:t>
      </w:r>
      <w:proofErr w:type="spellEnd"/>
      <w:r w:rsidR="00763214">
        <w:t xml:space="preserve"> 2017, p. 1)</w:t>
      </w:r>
      <w:r w:rsidR="00F7029B">
        <w:t>.</w:t>
      </w:r>
      <w:r>
        <w:t xml:space="preserve"> </w:t>
      </w:r>
      <w:r w:rsidR="00095CD8">
        <w:t>The problem has also elucidated separate but connected issu</w:t>
      </w:r>
      <w:r w:rsidR="00F51EF6">
        <w:t>es within epistemology</w:t>
      </w:r>
      <w:r w:rsidR="00095CD8">
        <w:t xml:space="preserve">, such as questions of epistemic luck </w:t>
      </w:r>
      <w:r w:rsidR="009C008D">
        <w:t xml:space="preserve">and virtue epistemology </w:t>
      </w:r>
      <w:r w:rsidR="00095CD8">
        <w:t>(</w:t>
      </w:r>
      <w:r w:rsidR="002C3187">
        <w:t xml:space="preserve">Pritchard 2003, </w:t>
      </w:r>
      <w:proofErr w:type="spellStart"/>
      <w:r w:rsidR="00095CD8">
        <w:t>Broncano-Berrocal</w:t>
      </w:r>
      <w:proofErr w:type="spellEnd"/>
      <w:r w:rsidR="00095CD8">
        <w:t xml:space="preserve"> 2023), </w:t>
      </w:r>
      <w:r w:rsidR="009C008D">
        <w:t xml:space="preserve">the debate between </w:t>
      </w:r>
      <w:proofErr w:type="spellStart"/>
      <w:r w:rsidR="009C008D">
        <w:t>internalists</w:t>
      </w:r>
      <w:proofErr w:type="spellEnd"/>
      <w:r w:rsidR="009C008D">
        <w:t xml:space="preserve"> and externalists </w:t>
      </w:r>
      <w:r w:rsidR="00F51EF6">
        <w:t xml:space="preserve">on justification </w:t>
      </w:r>
      <w:r w:rsidR="009C008D">
        <w:t xml:space="preserve">(Hetherington 2018), and the prospects of </w:t>
      </w:r>
      <w:proofErr w:type="spellStart"/>
      <w:r w:rsidR="009C008D">
        <w:t>fallibilism</w:t>
      </w:r>
      <w:proofErr w:type="spellEnd"/>
      <w:r w:rsidR="009C008D">
        <w:t xml:space="preserve">, where one can have knowledge without certainty (Anderson 2018). </w:t>
      </w:r>
      <w:r w:rsidR="00F51EF6">
        <w:t>Taking from the above, one of the obvious and</w:t>
      </w:r>
      <w:r w:rsidR="00095CD8">
        <w:t xml:space="preserve"> notable</w:t>
      </w:r>
      <w:r w:rsidR="006A446A">
        <w:t xml:space="preserve"> benefits of this literature is that the varied responses to the Getter problem have helped philosophers refine positions </w:t>
      </w:r>
      <w:r w:rsidR="00F51EF6">
        <w:t>within epistemology</w:t>
      </w:r>
      <w:r w:rsidR="006A446A">
        <w:t xml:space="preserve">. Put generally, </w:t>
      </w:r>
      <w:proofErr w:type="spellStart"/>
      <w:r w:rsidR="006A446A">
        <w:t>Gettier</w:t>
      </w:r>
      <w:proofErr w:type="spellEnd"/>
      <w:r w:rsidR="006A446A">
        <w:t xml:space="preserve"> cases have produced both “orthodox” responses and “revisionary” responses (Cath 2015, p. 7) in giving an account of knowledge.</w:t>
      </w:r>
    </w:p>
    <w:p w:rsidR="008818BF" w:rsidRDefault="008818BF" w:rsidP="008818BF">
      <w:pPr>
        <w:spacing w:after="240"/>
      </w:pPr>
      <w:r>
        <w:t>Word count:</w:t>
      </w:r>
      <w:r w:rsidR="002158BF">
        <w:t xml:space="preserve"> 800</w:t>
      </w:r>
    </w:p>
    <w:p w:rsidR="00CF212D" w:rsidRPr="00CF212D" w:rsidRDefault="00CF212D" w:rsidP="008818BF">
      <w:pPr>
        <w:spacing w:after="240"/>
        <w:rPr>
          <w:b/>
        </w:rPr>
      </w:pPr>
      <w:r w:rsidRPr="00CF212D">
        <w:rPr>
          <w:b/>
        </w:rPr>
        <w:t>References</w:t>
      </w:r>
    </w:p>
    <w:p w:rsidR="00CF212D" w:rsidRDefault="00432AD5" w:rsidP="008818BF">
      <w:pPr>
        <w:spacing w:after="240"/>
      </w:pPr>
      <w:r>
        <w:rPr>
          <w:rFonts w:hint="eastAsia"/>
        </w:rPr>
        <w:lastRenderedPageBreak/>
        <w:t>Russell Problems of Philosophy 1932</w:t>
      </w:r>
    </w:p>
    <w:p w:rsidR="00432AD5" w:rsidRDefault="003B4A3D" w:rsidP="008818BF">
      <w:pPr>
        <w:spacing w:after="240"/>
      </w:pPr>
      <w:r>
        <w:rPr>
          <w:rFonts w:hint="eastAsia"/>
        </w:rPr>
        <w:t xml:space="preserve">McGrew 2007 </w:t>
      </w:r>
      <w:proofErr w:type="spellStart"/>
      <w:r>
        <w:t>Internalism</w:t>
      </w:r>
      <w:proofErr w:type="spellEnd"/>
      <w:r>
        <w:t xml:space="preserve"> and Epistemology</w:t>
      </w:r>
    </w:p>
    <w:p w:rsidR="007A739E" w:rsidRDefault="007A739E" w:rsidP="008818BF">
      <w:pPr>
        <w:spacing w:after="240"/>
      </w:pPr>
      <w:proofErr w:type="spellStart"/>
      <w:r>
        <w:t>Morvan</w:t>
      </w:r>
      <w:proofErr w:type="spellEnd"/>
      <w:r>
        <w:t xml:space="preserve"> 2023 More on knowledge before </w:t>
      </w:r>
      <w:proofErr w:type="spellStart"/>
      <w:r>
        <w:t>Gettier</w:t>
      </w:r>
      <w:proofErr w:type="spellEnd"/>
      <w:r w:rsidR="005C192A">
        <w:t xml:space="preserve"> British Journal for the History of Philosophy</w:t>
      </w:r>
    </w:p>
    <w:p w:rsidR="006A446A" w:rsidRDefault="006A446A" w:rsidP="008818BF">
      <w:pPr>
        <w:spacing w:after="240"/>
      </w:pPr>
      <w:r>
        <w:t xml:space="preserve">Yuri Cath 2015 Revisionary intellectualism and </w:t>
      </w:r>
      <w:proofErr w:type="spellStart"/>
      <w:r>
        <w:t>Gettier</w:t>
      </w:r>
      <w:proofErr w:type="spellEnd"/>
    </w:p>
    <w:p w:rsidR="00763214" w:rsidRDefault="00763214" w:rsidP="008818BF">
      <w:pPr>
        <w:spacing w:after="240"/>
      </w:pPr>
      <w:proofErr w:type="spellStart"/>
      <w:r>
        <w:rPr>
          <w:rFonts w:hint="eastAsia"/>
        </w:rPr>
        <w:t>Gettier</w:t>
      </w:r>
      <w:proofErr w:type="spellEnd"/>
      <w:r>
        <w:rPr>
          <w:rFonts w:hint="eastAsia"/>
        </w:rPr>
        <w:t xml:space="preserve"> 2017</w:t>
      </w:r>
      <w:r>
        <w:t xml:space="preserve"> Explaining Knowledge: New Essays on the </w:t>
      </w:r>
      <w:proofErr w:type="spellStart"/>
      <w:r>
        <w:t>Gettier</w:t>
      </w:r>
      <w:proofErr w:type="spellEnd"/>
      <w:r>
        <w:t xml:space="preserve"> Problem Borges editor</w:t>
      </w:r>
    </w:p>
    <w:p w:rsidR="00095CD8" w:rsidRDefault="00095CD8" w:rsidP="008818BF">
      <w:pPr>
        <w:spacing w:after="240"/>
      </w:pPr>
      <w:proofErr w:type="spellStart"/>
      <w:r>
        <w:t>Broncano-Berrocal</w:t>
      </w:r>
      <w:proofErr w:type="spellEnd"/>
      <w:r>
        <w:t xml:space="preserve"> 2023 </w:t>
      </w:r>
      <w:proofErr w:type="gramStart"/>
      <w:r>
        <w:t>Is</w:t>
      </w:r>
      <w:proofErr w:type="gramEnd"/>
      <w:r>
        <w:t xml:space="preserve"> lucky belief justified?</w:t>
      </w:r>
    </w:p>
    <w:p w:rsidR="002C3187" w:rsidRDefault="002C3187" w:rsidP="008818BF">
      <w:pPr>
        <w:spacing w:after="240"/>
      </w:pPr>
      <w:r>
        <w:t>Pritchard 2003 Virtue Epistemology and Epistemic Luck</w:t>
      </w:r>
    </w:p>
    <w:p w:rsidR="00677F4F" w:rsidRDefault="00677F4F" w:rsidP="008818BF">
      <w:pPr>
        <w:spacing w:after="240"/>
      </w:pPr>
      <w:r>
        <w:t xml:space="preserve">The </w:t>
      </w:r>
      <w:proofErr w:type="spellStart"/>
      <w:r>
        <w:t>Gettier</w:t>
      </w:r>
      <w:proofErr w:type="spellEnd"/>
      <w:r>
        <w:t xml:space="preserve"> Problem and Externalism 2018 Stephen Hetherington Introduction: Meet the </w:t>
      </w:r>
      <w:proofErr w:type="spellStart"/>
      <w:r>
        <w:t>Gettier</w:t>
      </w:r>
      <w:proofErr w:type="spellEnd"/>
      <w:r>
        <w:t xml:space="preserve"> Problem</w:t>
      </w:r>
    </w:p>
    <w:p w:rsidR="00677F4F" w:rsidRDefault="00677F4F" w:rsidP="008818BF">
      <w:pPr>
        <w:spacing w:after="240"/>
      </w:pPr>
      <w:r>
        <w:t xml:space="preserve">The </w:t>
      </w:r>
      <w:proofErr w:type="spellStart"/>
      <w:r>
        <w:t>Gettier</w:t>
      </w:r>
      <w:proofErr w:type="spellEnd"/>
      <w:r>
        <w:t xml:space="preserve"> Problem and Externalism 2018 Charity Anderson Ch. 1</w:t>
      </w:r>
    </w:p>
    <w:p w:rsidR="008818BF" w:rsidRPr="006169D5" w:rsidRDefault="008818BF" w:rsidP="008818BF">
      <w:pPr>
        <w:spacing w:after="240"/>
        <w:rPr>
          <w:b/>
        </w:rPr>
      </w:pPr>
      <w:r w:rsidRPr="006169D5">
        <w:rPr>
          <w:b/>
        </w:rPr>
        <w:t>3.</w:t>
      </w:r>
      <w:r w:rsidR="001B0645" w:rsidRPr="006169D5">
        <w:rPr>
          <w:b/>
        </w:rPr>
        <w:t xml:space="preserve"> G. E. Moore, ‘Certainty’, in Willis </w:t>
      </w:r>
      <w:proofErr w:type="spellStart"/>
      <w:r w:rsidR="001B0645" w:rsidRPr="006169D5">
        <w:rPr>
          <w:b/>
        </w:rPr>
        <w:t>Doney</w:t>
      </w:r>
      <w:proofErr w:type="spellEnd"/>
      <w:r w:rsidR="001B0645" w:rsidRPr="006169D5">
        <w:rPr>
          <w:b/>
        </w:rPr>
        <w:t xml:space="preserve"> (ed.), Descartes: a collection of critical essays (London and Melbourne: Macmillan, 1968).</w:t>
      </w:r>
    </w:p>
    <w:p w:rsidR="001B0645" w:rsidRDefault="006169D5" w:rsidP="008818BF">
      <w:pPr>
        <w:spacing w:after="240"/>
      </w:pPr>
      <w:r>
        <w:rPr>
          <w:rFonts w:hint="eastAsia"/>
        </w:rPr>
        <w:t>In this paper</w:t>
      </w:r>
      <w:r w:rsidR="0011708F">
        <w:t xml:space="preserve">, G.E. Moore expounds realism in the shape of common sense and, in turn, argues against skepticism or an idealism about the external world or one’s own existence. </w:t>
      </w:r>
      <w:r w:rsidR="00FB6F16">
        <w:t xml:space="preserve">To do this, Moore (1968, p. 27) begins by making a few “assertions quite positively.” </w:t>
      </w:r>
      <w:r w:rsidR="00EF58EE">
        <w:t xml:space="preserve">Namely, he makes claims about the existence of his body and the room he occupies, such as that he has clothes on and that there are people, windows, and doors sharing the room with him. </w:t>
      </w:r>
      <w:r w:rsidR="00274819">
        <w:t>Importantly</w:t>
      </w:r>
      <w:r w:rsidR="007419CA">
        <w:t>,</w:t>
      </w:r>
      <w:r w:rsidR="00274819">
        <w:t xml:space="preserve"> too,</w:t>
      </w:r>
      <w:r w:rsidR="007419CA">
        <w:t xml:space="preserve"> is that Moore notes tha</w:t>
      </w:r>
      <w:r w:rsidR="000D1EE0">
        <w:t>t one could not be reasonably</w:t>
      </w:r>
      <w:r w:rsidR="007419CA">
        <w:t xml:space="preserve"> accused of dogmatism for claiming to know that, say, one is wearing clothes or the present room has doors and windows. </w:t>
      </w:r>
      <w:r w:rsidR="004C3593">
        <w:t xml:space="preserve">In fact, Moore (1968, p. 28) goes on to state that it would be absurd for one to say that they merely </w:t>
      </w:r>
      <w:r w:rsidR="004C3593" w:rsidRPr="004C3593">
        <w:rPr>
          <w:i/>
        </w:rPr>
        <w:t>think</w:t>
      </w:r>
      <w:r w:rsidR="004C3593">
        <w:t xml:space="preserve"> such thing</w:t>
      </w:r>
      <w:r w:rsidR="00BC3CA3">
        <w:t>s</w:t>
      </w:r>
      <w:r w:rsidR="004C3593">
        <w:t xml:space="preserve"> as opposed to </w:t>
      </w:r>
      <w:r w:rsidR="004C3593" w:rsidRPr="00BC3CA3">
        <w:rPr>
          <w:i/>
        </w:rPr>
        <w:t>knowing</w:t>
      </w:r>
      <w:r w:rsidR="004C3593">
        <w:t xml:space="preserve"> them. </w:t>
      </w:r>
      <w:r w:rsidR="007419CA">
        <w:t>This appears to support Moore’s notion of common sense realism, where there exists an external world and one has knowledge of it.</w:t>
      </w:r>
    </w:p>
    <w:p w:rsidR="00920BF9" w:rsidRDefault="00274819" w:rsidP="008818BF">
      <w:pPr>
        <w:spacing w:after="240"/>
      </w:pPr>
      <w:r>
        <w:t xml:space="preserve">Shortly after, </w:t>
      </w:r>
      <w:r>
        <w:rPr>
          <w:rFonts w:hint="eastAsia"/>
        </w:rPr>
        <w:t xml:space="preserve">Moore </w:t>
      </w:r>
      <w:r>
        <w:t xml:space="preserve">turns his attention to certainty itself. Explicitly, he argues that, simply because a proposition is contingent (such as that he is standing) it does not follow that it </w:t>
      </w:r>
      <w:proofErr w:type="gramStart"/>
      <w:r>
        <w:t>cannot be known</w:t>
      </w:r>
      <w:proofErr w:type="gramEnd"/>
      <w:r>
        <w:t>.</w:t>
      </w:r>
      <w:r w:rsidR="000D1EE0">
        <w:t xml:space="preserve"> Moore’s worry is that we equivocate on the use of “logical possibility” to suggest a proposition could be wrong and not </w:t>
      </w:r>
      <w:proofErr w:type="gramStart"/>
      <w:r w:rsidR="000D1EE0">
        <w:t>really known</w:t>
      </w:r>
      <w:proofErr w:type="gramEnd"/>
      <w:r w:rsidR="000D1EE0">
        <w:t>.</w:t>
      </w:r>
      <w:r w:rsidR="00BC3CA3">
        <w:t xml:space="preserve"> He grants that such contingent propositions may be false, but it does not follow, from this fact alone, that one cannot know them. As Moore (1968, p. 32) states, “some other argument must be brought forward for this contention, over and above the mere fact that this proposition is contingent . . .</w:t>
      </w:r>
      <w:r w:rsidR="00D40453">
        <w:t xml:space="preserve"> .</w:t>
      </w:r>
      <w:r w:rsidR="00BC3CA3">
        <w:t>” This point in particular, I believe, is very pertinent to Moore’s later (and arguably disappointing) discussion of the Cartesian skeptic’</w:t>
      </w:r>
      <w:r w:rsidR="00D40453">
        <w:t>s worry that one may be dreaming while confidently asserting claims about one’s body and the occupied room.</w:t>
      </w:r>
    </w:p>
    <w:p w:rsidR="00BE2D78" w:rsidRDefault="009331BD" w:rsidP="008818BF">
      <w:pPr>
        <w:spacing w:after="240"/>
      </w:pPr>
      <w:r>
        <w:rPr>
          <w:rFonts w:hint="eastAsia"/>
        </w:rPr>
        <w:lastRenderedPageBreak/>
        <w:t xml:space="preserve">After this, Moore goes on to </w:t>
      </w:r>
      <w:r>
        <w:t>dissect the use and meaning of “certain” itself. As Moore argues, it seems that when one claims “x is certain,” then there is a cl</w:t>
      </w:r>
      <w:r w:rsidR="00D257DB">
        <w:t>aim to truth—“he is asserting . . .</w:t>
      </w:r>
      <w:r>
        <w:t xml:space="preserve"> that he himself knows that </w:t>
      </w:r>
      <w:r w:rsidRPr="009331BD">
        <w:rPr>
          <w:i/>
        </w:rPr>
        <w:t>p</w:t>
      </w:r>
      <w:r>
        <w:t xml:space="preserve"> is true” (Moore 1963, p. 42). However, the inverse does not appear to follow, as one can claim “it is not certain that x,” which fails to contradict the one who claims “x is certain,” as the latter is only going so far as to saying, “he personally does not know that p is true” (Moore 1963, p. 42). Through this analysis of certainty, Moore puts the skeptic</w:t>
      </w:r>
      <w:r w:rsidR="00CF092F">
        <w:t>, I believe,</w:t>
      </w:r>
      <w:r>
        <w:t xml:space="preserve"> on the back foot, as both the skeptic and the realist can fail to agree on the certainty of x, and yet the skeptic’s denial seemingly fails to rebuke the realist’s certainty</w:t>
      </w:r>
      <w:r w:rsidR="00D257DB">
        <w:t xml:space="preserve"> or claim to knowledge</w:t>
      </w:r>
      <w:r>
        <w:t>.</w:t>
      </w:r>
    </w:p>
    <w:p w:rsidR="007419CA" w:rsidRDefault="00825930" w:rsidP="008818BF">
      <w:pPr>
        <w:spacing w:after="240"/>
      </w:pPr>
      <w:r>
        <w:rPr>
          <w:rFonts w:hint="eastAsia"/>
        </w:rPr>
        <w:t xml:space="preserve">Now, most strangely of all, we get the final four paragraphs of </w:t>
      </w:r>
      <w:r>
        <w:t xml:space="preserve">“Certainty” that, as noted in the text, “Moore was particularly dissatisfied with” (Moore 1963, p. 53). The dissatisfaction may come from the perception that </w:t>
      </w:r>
      <w:r w:rsidR="00CF092F">
        <w:t>“</w:t>
      </w:r>
      <w:r w:rsidR="00CF092F" w:rsidRPr="00CF092F">
        <w:t>Moore acknowledges defeat: having agreed that if he does not know that he is not dreaming</w:t>
      </w:r>
      <w:r w:rsidR="00CF092F">
        <w:t>”</w:t>
      </w:r>
      <w:r w:rsidR="00914588">
        <w:t xml:space="preserve"> (Baldwin 2010</w:t>
      </w:r>
      <w:r w:rsidR="00CF092F">
        <w:t xml:space="preserve">) </w:t>
      </w:r>
      <w:r w:rsidR="00006B65">
        <w:t>then the</w:t>
      </w:r>
      <w:r w:rsidR="00CF092F">
        <w:t xml:space="preserve"> initial claims of Moore about his body and the room are undercut by the worries of the Cartesian skeptic.</w:t>
      </w:r>
      <w:r w:rsidR="00065E6B">
        <w:t xml:space="preserve"> </w:t>
      </w:r>
      <w:r w:rsidR="00D257DB">
        <w:t>That is, h</w:t>
      </w:r>
      <w:r w:rsidR="00006B65">
        <w:t>e cannot really know there is a room with windows and a door if he does not know that he is not dreaming.</w:t>
      </w:r>
    </w:p>
    <w:p w:rsidR="00B000E3" w:rsidRDefault="00870148" w:rsidP="008818BF">
      <w:pPr>
        <w:spacing w:after="240"/>
      </w:pPr>
      <w:r>
        <w:rPr>
          <w:rFonts w:hint="eastAsia"/>
        </w:rPr>
        <w:t xml:space="preserve">Personally, I find it difficult to reconcile </w:t>
      </w:r>
      <w:r>
        <w:t>Moore’s earlier arguments in the paper with his supposed admission of defeat at the end. To salvage Moore’s arguments, I think one is left having to do a bit of heavy lifting that is missing from the paper (</w:t>
      </w:r>
      <w:r w:rsidR="00D257DB">
        <w:t xml:space="preserve">again, </w:t>
      </w:r>
      <w:r>
        <w:t>largely due to the ending). One defense I have read of Moore is that the Cartesian skeptic’s worry of dreaming may undermine one’s ability to prove p, but it does not undermine one’s abilit</w:t>
      </w:r>
      <w:r w:rsidR="00B000E3">
        <w:t>y to know p (</w:t>
      </w:r>
      <w:proofErr w:type="spellStart"/>
      <w:r w:rsidR="00B000E3">
        <w:t>Anandasagar</w:t>
      </w:r>
      <w:proofErr w:type="spellEnd"/>
      <w:r w:rsidR="00B000E3">
        <w:t xml:space="preserve"> 2022).</w:t>
      </w:r>
    </w:p>
    <w:p w:rsidR="002707AA" w:rsidRPr="00A757DD" w:rsidRDefault="00D257DB" w:rsidP="008818BF">
      <w:pPr>
        <w:spacing w:after="240"/>
      </w:pPr>
      <w:r>
        <w:t xml:space="preserve">This, I think, is </w:t>
      </w:r>
      <w:proofErr w:type="gramStart"/>
      <w:r>
        <w:t>plausible,</w:t>
      </w:r>
      <w:proofErr w:type="gramEnd"/>
      <w:r>
        <w:t xml:space="preserve"> as Moore’s earlier contention with certainty was that the skeptic seems to merely claim a lack of knowledge of p or it having not yet been proved. Meanwhile, the realist who claims certainty has expressed the truth and knowledge of p, but perhaps its proof remains ambiguous or untouched.</w:t>
      </w:r>
      <w:r w:rsidR="00A757DD">
        <w:t xml:space="preserve"> Of course, one may then accuse Moore of dogmatism as holding to knowledge without explicit proof, but Moore addresses this at the beginning by stating the absurdity of accusing one of dogmatism on such claims.</w:t>
      </w:r>
      <w:r w:rsidR="00B000E3">
        <w:t xml:space="preserve"> Lastly, Moore’s earlier discussion (it also appears near the end as well) on logical possibility may be telling. Namely, perhaps </w:t>
      </w:r>
      <w:r w:rsidR="00DD64F9">
        <w:t>Moore’s invocation of logical possibility helps bolster the distinction betwee</w:t>
      </w:r>
      <w:r w:rsidR="00B0467B">
        <w:t>n knowing p and proving p, as knowing p is not undercut by the logical possibility of p being false. Yet, a formal proof may require inescapable steps or premises that prove p.</w:t>
      </w:r>
    </w:p>
    <w:p w:rsidR="008818BF" w:rsidRDefault="008818BF" w:rsidP="008818BF">
      <w:pPr>
        <w:spacing w:after="240"/>
      </w:pPr>
      <w:r>
        <w:t>Word count:</w:t>
      </w:r>
      <w:r w:rsidR="00B0467B">
        <w:t xml:space="preserve"> 800</w:t>
      </w:r>
    </w:p>
    <w:p w:rsidR="004D743B" w:rsidRPr="004D743B" w:rsidRDefault="004D743B" w:rsidP="008818BF">
      <w:pPr>
        <w:spacing w:after="240"/>
        <w:rPr>
          <w:b/>
        </w:rPr>
      </w:pPr>
      <w:r w:rsidRPr="004D743B">
        <w:rPr>
          <w:b/>
        </w:rPr>
        <w:t>References</w:t>
      </w:r>
    </w:p>
    <w:p w:rsidR="004D743B" w:rsidRDefault="004D743B" w:rsidP="004D743B">
      <w:pPr>
        <w:spacing w:after="240"/>
        <w:jc w:val="left"/>
      </w:pPr>
      <w:r w:rsidRPr="00914588">
        <w:t>Baldwin, Tom, "George Edward Moore", The Stanford Encyclopedia of Philosophy (</w:t>
      </w:r>
      <w:proofErr w:type="gramStart"/>
      <w:r w:rsidRPr="00914588">
        <w:t>Summer</w:t>
      </w:r>
      <w:proofErr w:type="gramEnd"/>
      <w:r w:rsidRPr="00914588">
        <w:t xml:space="preserve"> 2010 Edition), Edward N. </w:t>
      </w:r>
      <w:proofErr w:type="spellStart"/>
      <w:r w:rsidRPr="00914588">
        <w:t>Zalta</w:t>
      </w:r>
      <w:proofErr w:type="spellEnd"/>
      <w:r w:rsidRPr="00914588">
        <w:t xml:space="preserve"> (ed.), URL = &lt;https://plato.stanford.edu/archives/sum2010/entries/moore/&gt;.</w:t>
      </w:r>
    </w:p>
    <w:p w:rsidR="004D743B" w:rsidRPr="004D743B" w:rsidRDefault="004D743B" w:rsidP="004D743B">
      <w:pPr>
        <w:spacing w:after="240"/>
        <w:jc w:val="left"/>
      </w:pPr>
      <w:proofErr w:type="spellStart"/>
      <w:r w:rsidRPr="00D257DB">
        <w:lastRenderedPageBreak/>
        <w:t>Anandasagar</w:t>
      </w:r>
      <w:proofErr w:type="spellEnd"/>
      <w:r w:rsidRPr="00D257DB">
        <w:t>, B.</w:t>
      </w:r>
      <w:r>
        <w:rPr>
          <w:rFonts w:ascii="MS Mincho" w:eastAsia="MS Mincho" w:hAnsi="MS Mincho" w:cs="MS Mincho" w:hint="eastAsia"/>
        </w:rPr>
        <w:t xml:space="preserve"> </w:t>
      </w:r>
      <w:r w:rsidRPr="00D257DB">
        <w:rPr>
          <w:rFonts w:eastAsiaTheme="minorHAnsi" w:cs="MS Mincho"/>
        </w:rPr>
        <w:t xml:space="preserve">Moore on </w:t>
      </w:r>
      <w:proofErr w:type="spellStart"/>
      <w:r w:rsidRPr="00D257DB">
        <w:rPr>
          <w:rFonts w:eastAsiaTheme="minorHAnsi" w:cs="MS Mincho"/>
        </w:rPr>
        <w:t>Scepticism</w:t>
      </w:r>
      <w:proofErr w:type="spellEnd"/>
      <w:r w:rsidRPr="00D257DB">
        <w:rPr>
          <w:rFonts w:eastAsiaTheme="minorHAnsi" w:cs="MS Mincho"/>
        </w:rPr>
        <w:t xml:space="preserve"> and Certainty.</w:t>
      </w:r>
      <w:r>
        <w:rPr>
          <w:rFonts w:ascii="MS Mincho" w:eastAsia="MS Mincho" w:hAnsi="MS Mincho" w:cs="MS Mincho"/>
        </w:rPr>
        <w:t xml:space="preserve"> </w:t>
      </w:r>
      <w:proofErr w:type="spellStart"/>
      <w:r w:rsidRPr="00D257DB">
        <w:t>Tattva</w:t>
      </w:r>
      <w:proofErr w:type="spellEnd"/>
      <w:r w:rsidRPr="00D257DB">
        <w:t xml:space="preserve"> Journal of Philosop</w:t>
      </w:r>
      <w:r>
        <w:t xml:space="preserve">hy; Bengaluru Vol. 14, </w:t>
      </w:r>
      <w:proofErr w:type="spellStart"/>
      <w:r>
        <w:t>Iss</w:t>
      </w:r>
      <w:proofErr w:type="spellEnd"/>
      <w:r>
        <w:t xml:space="preserve">. 2, </w:t>
      </w:r>
      <w:r w:rsidRPr="00D257DB">
        <w:t>(2022).</w:t>
      </w:r>
    </w:p>
    <w:p w:rsidR="001718B3" w:rsidRPr="006169D5" w:rsidRDefault="008818BF" w:rsidP="008818BF">
      <w:pPr>
        <w:spacing w:after="240"/>
        <w:rPr>
          <w:b/>
        </w:rPr>
      </w:pPr>
      <w:r w:rsidRPr="006169D5">
        <w:rPr>
          <w:b/>
        </w:rPr>
        <w:t>4.</w:t>
      </w:r>
      <w:r w:rsidR="00137B41" w:rsidRPr="006169D5">
        <w:rPr>
          <w:b/>
        </w:rPr>
        <w:t xml:space="preserve"> Hume, ‘Of the Idea of Necessary </w:t>
      </w:r>
      <w:proofErr w:type="spellStart"/>
      <w:r w:rsidR="00137B41" w:rsidRPr="006169D5">
        <w:rPr>
          <w:b/>
        </w:rPr>
        <w:t>Connexion</w:t>
      </w:r>
      <w:proofErr w:type="spellEnd"/>
      <w:r w:rsidR="00137B41" w:rsidRPr="006169D5">
        <w:rPr>
          <w:b/>
        </w:rPr>
        <w:t>’, in Enquiry Concerning Human Understanding (1748), Part 1, Section 7.</w:t>
      </w:r>
    </w:p>
    <w:p w:rsidR="00575994" w:rsidRDefault="00F125C0" w:rsidP="008818BF">
      <w:pPr>
        <w:spacing w:after="240"/>
      </w:pPr>
      <w:r>
        <w:t>Famously, parts</w:t>
      </w:r>
      <w:r w:rsidR="003C6D82">
        <w:t xml:space="preserve"> of the “Enquiry” has</w:t>
      </w:r>
      <w:r w:rsidR="001718B3">
        <w:t xml:space="preserve"> Hume concern</w:t>
      </w:r>
      <w:r w:rsidR="002318AB">
        <w:t xml:space="preserve">ed with inductive reasoning. </w:t>
      </w:r>
      <w:r w:rsidR="0008634F">
        <w:t>More precisely</w:t>
      </w:r>
      <w:r w:rsidR="00300A4D">
        <w:t xml:space="preserve">, the problem that concerns Hume is </w:t>
      </w:r>
      <w:r w:rsidR="002318AB">
        <w:t xml:space="preserve">that </w:t>
      </w:r>
      <w:r w:rsidR="00EB377E">
        <w:t xml:space="preserve">there is an apparent lack of justification for it. </w:t>
      </w:r>
      <w:r w:rsidR="0008634F">
        <w:t>In Section 7, Hume addresses</w:t>
      </w:r>
      <w:r w:rsidR="00EB377E">
        <w:t xml:space="preserve"> the supposed necessity of cause and effect relations. In this way, the problem of induction </w:t>
      </w:r>
      <w:proofErr w:type="gramStart"/>
      <w:r w:rsidR="00EB377E">
        <w:t xml:space="preserve">is </w:t>
      </w:r>
      <w:r w:rsidR="00300A4D">
        <w:t>bolstered</w:t>
      </w:r>
      <w:proofErr w:type="gramEnd"/>
      <w:r w:rsidR="00EB377E">
        <w:t xml:space="preserve">, as Hume argues that what we witness </w:t>
      </w:r>
      <w:r w:rsidR="0008634F">
        <w:t>with cause and effect is a matter of experience or habit, as opposed to seeing a necessary</w:t>
      </w:r>
      <w:r w:rsidR="00300A4D">
        <w:t xml:space="preserve"> connection between two events.</w:t>
      </w:r>
      <w:r w:rsidR="00DD5355">
        <w:t xml:space="preserve"> Additionally, although I </w:t>
      </w:r>
      <w:proofErr w:type="gramStart"/>
      <w:r w:rsidR="00DD5355">
        <w:t>won’t</w:t>
      </w:r>
      <w:proofErr w:type="gramEnd"/>
      <w:r w:rsidR="00DD5355">
        <w:t xml:space="preserve"> discuss it much here, Hume touches on the connection between the body and the soul.</w:t>
      </w:r>
    </w:p>
    <w:p w:rsidR="00300A4D" w:rsidRDefault="00300A4D" w:rsidP="008818BF">
      <w:pPr>
        <w:spacing w:after="240"/>
      </w:pPr>
      <w:r>
        <w:t xml:space="preserve">Hume’s conclusion is, to say the least, </w:t>
      </w:r>
      <w:r w:rsidR="000C267F">
        <w:t>counterintuitive to many</w:t>
      </w:r>
      <w:r>
        <w:t xml:space="preserve">. It amounts to denying </w:t>
      </w:r>
      <w:r w:rsidR="00433DBA">
        <w:t xml:space="preserve">the necessary connection within </w:t>
      </w:r>
      <w:r>
        <w:t>cause and effect and instead substitutes it with facts about our psychology</w:t>
      </w:r>
      <w:r w:rsidR="00433DBA">
        <w:t xml:space="preserve"> and a plain statement that</w:t>
      </w:r>
      <w:r w:rsidR="009C47E7">
        <w:t xml:space="preserve"> when we observe a supposed instance of cause and effect that</w:t>
      </w:r>
      <w:r w:rsidR="00433DBA">
        <w:t xml:space="preserve">, “We only find, that the one does actually, in fact, follow the other” (Hume 1748, p. </w:t>
      </w:r>
      <w:r w:rsidR="009C47E7">
        <w:t xml:space="preserve">44). </w:t>
      </w:r>
      <w:r w:rsidR="008177D6">
        <w:t xml:space="preserve">In other words, while we may see B follow A, the cause and effect relationship remains unsubstantiated, and we can only, at most, say B follows A, as opposed to saying </w:t>
      </w:r>
      <w:proofErr w:type="gramStart"/>
      <w:r w:rsidR="008177D6">
        <w:t>A</w:t>
      </w:r>
      <w:proofErr w:type="gramEnd"/>
      <w:r w:rsidR="008177D6">
        <w:t xml:space="preserve"> </w:t>
      </w:r>
      <w:r w:rsidR="008177D6" w:rsidRPr="008177D6">
        <w:rPr>
          <w:i/>
        </w:rPr>
        <w:t>causes</w:t>
      </w:r>
      <w:r w:rsidR="008177D6">
        <w:t xml:space="preserve"> B. </w:t>
      </w:r>
      <w:r w:rsidR="003731AB">
        <w:t xml:space="preserve">However, some philosophers have argued that Hume’s position on causation may be less radical, in that he either posits that the </w:t>
      </w:r>
      <w:r w:rsidR="00F14FC3">
        <w:t>problem of induction remains for rationalists and empiricists alike or, more ambitiously, that his “inductive skepticism is . . . consistent with various contemporary attempts to solve the problem of induction” (</w:t>
      </w:r>
      <w:proofErr w:type="spellStart"/>
      <w:r w:rsidR="00F14FC3">
        <w:t>Horgan</w:t>
      </w:r>
      <w:proofErr w:type="spellEnd"/>
      <w:r w:rsidR="00F14FC3">
        <w:t xml:space="preserve"> 1985, p. 278).</w:t>
      </w:r>
      <w:r w:rsidR="0005184A">
        <w:t xml:space="preserve"> For my interpretation of Hume, I see him as arguing for the radical conclusion that </w:t>
      </w:r>
      <w:r w:rsidR="000C267F">
        <w:t>denies causation as a necessary connection, and I believe this follows from his categorization of truth falling under either relations of ideas or matters of fact.</w:t>
      </w:r>
    </w:p>
    <w:p w:rsidR="00316497" w:rsidRDefault="005073EE" w:rsidP="008818BF">
      <w:pPr>
        <w:spacing w:after="240"/>
      </w:pPr>
      <w:r>
        <w:rPr>
          <w:rFonts w:hint="eastAsia"/>
        </w:rPr>
        <w:t>In contrast, we have Richard Price, a contemporary of Hume</w:t>
      </w:r>
      <w:r w:rsidR="00727748">
        <w:t>, offering a very direct account of causation</w:t>
      </w:r>
      <w:r>
        <w:rPr>
          <w:rFonts w:hint="eastAsia"/>
        </w:rPr>
        <w:t xml:space="preserve">. </w:t>
      </w:r>
      <w:r>
        <w:t>While many philosophers find the divvying up of Hume vs the rationalists as categories that are too crude or not entirely accurate (</w:t>
      </w:r>
      <w:proofErr w:type="spellStart"/>
      <w:r>
        <w:t>Kail</w:t>
      </w:r>
      <w:proofErr w:type="spellEnd"/>
      <w:r>
        <w:t xml:space="preserve"> 2008), Price represented what </w:t>
      </w:r>
      <w:proofErr w:type="gramStart"/>
      <w:r>
        <w:t>could be called</w:t>
      </w:r>
      <w:proofErr w:type="gramEnd"/>
      <w:r>
        <w:t xml:space="preserve"> the rationalist tradition. </w:t>
      </w:r>
      <w:r w:rsidR="00727748">
        <w:t xml:space="preserve">This can be seen when Price (1758, p. 11) </w:t>
      </w:r>
      <w:r w:rsidR="007A35F0">
        <w:t>states</w:t>
      </w:r>
      <w:r w:rsidR="00727748">
        <w:t xml:space="preserve"> that, “The necessity that everything that happens should have a cause is an essential principle, a primary perception of the understanding.”</w:t>
      </w:r>
      <w:r w:rsidR="000C267F">
        <w:t xml:space="preserve"> Yet, this alone would not refute Hume, as Hume argues that such primary perception lies not within the understanding (in other words, some sort of rationalist, intellectual insight) but is a matter of psychological projection. The debate similarly resembles the dispute had on morality between the “sentimentalists” (such as Hume and Adam Smith) and the rationalists (notably, Price again).</w:t>
      </w:r>
      <w:r w:rsidR="00147F8C">
        <w:t xml:space="preserve"> In fact, both Price and Hume (1748, p. 53) make explicit reference to limits of “the understanding” as a point of contention.</w:t>
      </w:r>
    </w:p>
    <w:p w:rsidR="000C267F" w:rsidRDefault="00AE450E" w:rsidP="008818BF">
      <w:pPr>
        <w:spacing w:after="240"/>
      </w:pPr>
      <w:r>
        <w:rPr>
          <w:rFonts w:hint="eastAsia"/>
        </w:rPr>
        <w:t>To further engage, Price</w:t>
      </w:r>
      <w:r w:rsidR="0001138C">
        <w:t xml:space="preserve"> (1758, p. 11)</w:t>
      </w:r>
      <w:r>
        <w:rPr>
          <w:rFonts w:hint="eastAsia"/>
        </w:rPr>
        <w:t xml:space="preserve"> argues that to deny cau</w:t>
      </w:r>
      <w:r w:rsidR="0001138C">
        <w:t xml:space="preserve">sation would be equal to </w:t>
      </w:r>
      <w:r w:rsidR="00DA2FF4">
        <w:t xml:space="preserve">asserting </w:t>
      </w:r>
      <w:r w:rsidR="00DA2FF4">
        <w:lastRenderedPageBreak/>
        <w:t xml:space="preserve">that </w:t>
      </w:r>
      <w:r w:rsidR="0001138C">
        <w:t>propositions such as “a change that has been derived from nothing” or “a body that has begun to move but hasn’</w:t>
      </w:r>
      <w:r w:rsidR="00DA2FF4">
        <w:t>t been moved</w:t>
      </w:r>
      <w:r w:rsidR="0001138C">
        <w:t>”</w:t>
      </w:r>
      <w:r w:rsidR="00DA2FF4">
        <w:t xml:space="preserve"> could be true. </w:t>
      </w:r>
      <w:r w:rsidR="00E536C1">
        <w:t xml:space="preserve">In this way, </w:t>
      </w:r>
      <w:r w:rsidR="000E59B1">
        <w:t xml:space="preserve">I believe a stalemate </w:t>
      </w:r>
      <w:r w:rsidR="00D04CFF">
        <w:t>occurs</w:t>
      </w:r>
      <w:r w:rsidR="000E59B1">
        <w:t xml:space="preserve"> between Hume and Price, and one would require a further exploration of the merits of the epistemology backing </w:t>
      </w:r>
      <w:r w:rsidR="00427C01">
        <w:t>either</w:t>
      </w:r>
      <w:r w:rsidR="000E59B1">
        <w:t xml:space="preserve">. That is, those leaning toward Hume’s skepticism would not grant that Price has pointed toward metaphysical truths that we can understand through </w:t>
      </w:r>
      <w:r w:rsidR="00D04CFF">
        <w:t>the understanding</w:t>
      </w:r>
      <w:r w:rsidR="000E59B1">
        <w:t xml:space="preserve"> alone, while those leaning toward Price’s rationalism would grant that the above </w:t>
      </w:r>
      <w:r w:rsidR="00A46F1C">
        <w:t>are serious con</w:t>
      </w:r>
      <w:r w:rsidR="00E9401B">
        <w:t>tenders for self-evident claims (and, so, vindicating causation).</w:t>
      </w:r>
    </w:p>
    <w:p w:rsidR="009B6966" w:rsidRPr="005F7C52" w:rsidRDefault="0015361D" w:rsidP="008818BF">
      <w:pPr>
        <w:spacing w:after="240"/>
      </w:pPr>
      <w:r>
        <w:rPr>
          <w:rFonts w:hint="eastAsia"/>
        </w:rPr>
        <w:t xml:space="preserve">In response, Hume, I believe, has a worthy counterargument. </w:t>
      </w:r>
      <w:r>
        <w:t xml:space="preserve">Specifically, </w:t>
      </w:r>
      <w:r w:rsidR="006D1365">
        <w:t xml:space="preserve">if causation were a matter of the understanding, then surely we should have an idea of how A will cause B prior to experiencing it. Yet, as Hume argues, it is only </w:t>
      </w:r>
      <w:r w:rsidR="00552E80">
        <w:t xml:space="preserve">through experience that we know how the supposed necessary </w:t>
      </w:r>
      <w:r w:rsidR="00681685">
        <w:t>connection will unfold.</w:t>
      </w:r>
      <w:r w:rsidR="005F7C52">
        <w:t xml:space="preserve"> The answer open to Price is that we may not have an idea, until after experience, what effect A will have on B, but we grasp the</w:t>
      </w:r>
      <w:r w:rsidR="008438EF">
        <w:t xml:space="preserve"> underlying principle</w:t>
      </w:r>
      <w:r w:rsidR="005F7C52">
        <w:t xml:space="preserve">. It is analogous to W.D. Ross’ </w:t>
      </w:r>
      <w:r w:rsidR="002B4C87">
        <w:t xml:space="preserve">(1930) </w:t>
      </w:r>
      <w:r w:rsidR="005F7C52">
        <w:t xml:space="preserve">moral epistemology, in which we have an intuition of </w:t>
      </w:r>
      <w:r w:rsidR="005F7C52">
        <w:rPr>
          <w:i/>
        </w:rPr>
        <w:t xml:space="preserve">prima facie </w:t>
      </w:r>
      <w:r w:rsidR="005F7C52">
        <w:t xml:space="preserve">duties such as being benevolent, but our actual duties in concrete cases require an evaluation of </w:t>
      </w:r>
      <w:proofErr w:type="gramStart"/>
      <w:r w:rsidR="005F7C52">
        <w:t>all things considered</w:t>
      </w:r>
      <w:proofErr w:type="gramEnd"/>
      <w:r w:rsidR="005F7C52">
        <w:t>.</w:t>
      </w:r>
      <w:r w:rsidR="00D04CFF">
        <w:t xml:space="preserve"> Granted, Hume could reply that such an account for the actual duty may be reflected on and we may come to an answer similar to the initial </w:t>
      </w:r>
      <w:r w:rsidR="00D04CFF" w:rsidRPr="00D04CFF">
        <w:rPr>
          <w:i/>
        </w:rPr>
        <w:t>prima facie</w:t>
      </w:r>
      <w:r w:rsidR="00D04CFF">
        <w:t xml:space="preserve"> duties, while we could never reflect (and come to know) how previously unknown </w:t>
      </w:r>
      <w:r w:rsidR="00810923">
        <w:t>objects</w:t>
      </w:r>
      <w:r w:rsidR="00D04CFF">
        <w:t xml:space="preserve"> will interact.</w:t>
      </w:r>
    </w:p>
    <w:p w:rsidR="00681685" w:rsidRPr="0015361D" w:rsidRDefault="007454E3" w:rsidP="008818BF">
      <w:pPr>
        <w:spacing w:after="240"/>
      </w:pPr>
      <w:r>
        <w:rPr>
          <w:rFonts w:hint="eastAsia"/>
        </w:rPr>
        <w:t>Overall, I believe Hume</w:t>
      </w:r>
      <w:r w:rsidR="00620C3A">
        <w:t xml:space="preserve"> offers a very interesting problem that touches upon both epistemology and metaphysics. </w:t>
      </w:r>
      <w:r w:rsidR="00C73023">
        <w:t xml:space="preserve">In some ways, it is reminiscent of the skeptical worries raised by Descartes (1641) in “Meditations on First Philosophy,” but it is controversial whether Hume </w:t>
      </w:r>
      <w:r w:rsidR="004D743B">
        <w:t>accepts the skeptical position—</w:t>
      </w:r>
      <w:r w:rsidR="00D04CFF">
        <w:t>while</w:t>
      </w:r>
      <w:r w:rsidR="00C73023">
        <w:t xml:space="preserve"> Descartes</w:t>
      </w:r>
      <w:r w:rsidR="00D04CFF">
        <w:t xml:space="preserve"> hoped to overcome skepticism</w:t>
      </w:r>
      <w:r w:rsidR="004D743B">
        <w:t>—</w:t>
      </w:r>
      <w:r w:rsidR="00C73023">
        <w:t xml:space="preserve">or, as some contemporary accounts argue, merely raises an </w:t>
      </w:r>
      <w:r w:rsidR="00EB6750">
        <w:t>interesting puzzle for induction.</w:t>
      </w:r>
    </w:p>
    <w:p w:rsidR="008818BF" w:rsidRDefault="008818BF" w:rsidP="008818BF">
      <w:pPr>
        <w:spacing w:after="240"/>
      </w:pPr>
      <w:r>
        <w:t>Word count:</w:t>
      </w:r>
      <w:r w:rsidR="008438EF">
        <w:t xml:space="preserve"> 800</w:t>
      </w:r>
    </w:p>
    <w:p w:rsidR="004D743B" w:rsidRPr="004D743B" w:rsidRDefault="004D743B" w:rsidP="008818BF">
      <w:pPr>
        <w:spacing w:after="240"/>
        <w:rPr>
          <w:b/>
        </w:rPr>
      </w:pPr>
      <w:r w:rsidRPr="004D743B">
        <w:rPr>
          <w:b/>
        </w:rPr>
        <w:t>References</w:t>
      </w:r>
    </w:p>
    <w:p w:rsidR="004D743B" w:rsidRDefault="004D743B" w:rsidP="004D743B">
      <w:pPr>
        <w:spacing w:after="240"/>
        <w:jc w:val="left"/>
      </w:pPr>
      <w:r>
        <w:t>Reviewed Work: Hume and the Problem of Causation by Tom L. Beauchamp, Alexander Rosenberg</w:t>
      </w:r>
      <w:r>
        <w:rPr>
          <w:rFonts w:hint="eastAsia"/>
        </w:rPr>
        <w:t xml:space="preserve"> </w:t>
      </w:r>
      <w:r>
        <w:t xml:space="preserve">Review by: Terence </w:t>
      </w:r>
      <w:proofErr w:type="spellStart"/>
      <w:r>
        <w:t>Horgan</w:t>
      </w:r>
      <w:proofErr w:type="spellEnd"/>
      <w:r>
        <w:rPr>
          <w:rFonts w:hint="eastAsia"/>
        </w:rPr>
        <w:t xml:space="preserve"> </w:t>
      </w:r>
      <w:proofErr w:type="gramStart"/>
      <w:r>
        <w:t>The</w:t>
      </w:r>
      <w:proofErr w:type="gramEnd"/>
      <w:r>
        <w:t xml:space="preserve"> Philosophical Review</w:t>
      </w:r>
      <w:r>
        <w:rPr>
          <w:rFonts w:hint="eastAsia"/>
        </w:rPr>
        <w:t xml:space="preserve"> </w:t>
      </w:r>
      <w:r>
        <w:t>Vol. 94, No. 2 (Apr., 1985), pp. 278-281 (4 pages)</w:t>
      </w:r>
      <w:r>
        <w:rPr>
          <w:rFonts w:hint="eastAsia"/>
        </w:rPr>
        <w:t xml:space="preserve"> </w:t>
      </w:r>
      <w:r>
        <w:t>Published By: Duke University Press</w:t>
      </w:r>
    </w:p>
    <w:p w:rsidR="004D743B" w:rsidRDefault="004D743B" w:rsidP="004D743B">
      <w:pPr>
        <w:spacing w:after="240"/>
        <w:jc w:val="left"/>
      </w:pPr>
      <w:r>
        <w:t>Descartes Meditations on First Philosophy 1641</w:t>
      </w:r>
    </w:p>
    <w:p w:rsidR="004D743B" w:rsidRDefault="004D743B" w:rsidP="004D743B">
      <w:pPr>
        <w:spacing w:after="240"/>
        <w:jc w:val="left"/>
      </w:pPr>
      <w:r>
        <w:t xml:space="preserve">W.D. Ross </w:t>
      </w:r>
      <w:proofErr w:type="gramStart"/>
      <w:r>
        <w:t>The</w:t>
      </w:r>
      <w:proofErr w:type="gramEnd"/>
      <w:r>
        <w:t xml:space="preserve"> Right and the Good 1930</w:t>
      </w:r>
    </w:p>
    <w:p w:rsidR="004D743B" w:rsidRDefault="004D743B" w:rsidP="004D743B">
      <w:pPr>
        <w:spacing w:after="240"/>
        <w:jc w:val="left"/>
      </w:pPr>
      <w:r>
        <w:t xml:space="preserve">Richard Price </w:t>
      </w:r>
      <w:proofErr w:type="gramStart"/>
      <w:r>
        <w:t>A</w:t>
      </w:r>
      <w:proofErr w:type="gramEnd"/>
      <w:r>
        <w:t xml:space="preserve"> Review of the Principal Questions of Morals</w:t>
      </w:r>
    </w:p>
    <w:p w:rsidR="004D743B" w:rsidRDefault="004D743B" w:rsidP="004D743B">
      <w:pPr>
        <w:spacing w:after="240"/>
        <w:jc w:val="left"/>
      </w:pPr>
      <w:r>
        <w:t>Hume, Malebranche and ‘Rationalism’ P. J. E. KAIL</w:t>
      </w:r>
    </w:p>
    <w:p w:rsidR="008818BF" w:rsidRPr="006169D5" w:rsidRDefault="008818BF" w:rsidP="008818BF">
      <w:pPr>
        <w:spacing w:after="240"/>
        <w:rPr>
          <w:b/>
        </w:rPr>
      </w:pPr>
      <w:r w:rsidRPr="006169D5">
        <w:rPr>
          <w:b/>
        </w:rPr>
        <w:t>5.</w:t>
      </w:r>
      <w:r w:rsidR="001329C2" w:rsidRPr="006169D5">
        <w:rPr>
          <w:b/>
        </w:rPr>
        <w:t xml:space="preserve"> Peter Unger, ‘In Defense of Skepticism’, The Philosophical Review, Vo.80, No.2, 1971, pp.198-</w:t>
      </w:r>
      <w:r w:rsidR="001329C2" w:rsidRPr="006169D5">
        <w:rPr>
          <w:b/>
        </w:rPr>
        <w:lastRenderedPageBreak/>
        <w:t>219.</w:t>
      </w:r>
    </w:p>
    <w:p w:rsidR="001329C2" w:rsidRDefault="00B23FC0" w:rsidP="008818BF">
      <w:pPr>
        <w:spacing w:after="240"/>
      </w:pPr>
      <w:r>
        <w:rPr>
          <w:rFonts w:hint="eastAsia"/>
        </w:rPr>
        <w:t xml:space="preserve">Here, Peter Unger </w:t>
      </w:r>
      <w:r>
        <w:t>(1971, p. 198) defends a</w:t>
      </w:r>
      <w:r w:rsidR="005852E9">
        <w:t>n ostensibly</w:t>
      </w:r>
      <w:r>
        <w:t xml:space="preserve"> moderate form of skepticism, with the thesis explicitly being “every human being knows, at best, hardly anything to be so.” </w:t>
      </w:r>
      <w:r w:rsidR="0077593F">
        <w:t xml:space="preserve">The </w:t>
      </w:r>
      <w:proofErr w:type="gramStart"/>
      <w:r w:rsidR="0077593F">
        <w:t>things which we do not know</w:t>
      </w:r>
      <w:proofErr w:type="gramEnd"/>
      <w:r w:rsidR="0077593F">
        <w:t xml:space="preserve"> include mathematical truths or even whether Unger’s skepticism itself is true. </w:t>
      </w:r>
      <w:r w:rsidR="00433B74">
        <w:t>The brunt of Unger’s case for this</w:t>
      </w:r>
      <w:r w:rsidR="00E26136">
        <w:t xml:space="preserve"> apparently</w:t>
      </w:r>
      <w:r w:rsidR="00433B74">
        <w:t xml:space="preserve"> less radical skepticism seems to rely on </w:t>
      </w:r>
      <w:r w:rsidR="00433B74" w:rsidRPr="00433B74">
        <w:rPr>
          <w:i/>
        </w:rPr>
        <w:t>1</w:t>
      </w:r>
      <w:r w:rsidR="00433B74">
        <w:t xml:space="preserve">) knowledge requiring certainty and </w:t>
      </w:r>
      <w:r w:rsidR="00433B74" w:rsidRPr="00433B74">
        <w:rPr>
          <w:i/>
        </w:rPr>
        <w:t>2</w:t>
      </w:r>
      <w:r w:rsidR="00433B74">
        <w:t>) the disconnect between language and the world as it is.</w:t>
      </w:r>
    </w:p>
    <w:p w:rsidR="00FE23D6" w:rsidRDefault="00E152A5" w:rsidP="008818BF">
      <w:pPr>
        <w:spacing w:after="240"/>
      </w:pPr>
      <w:r>
        <w:rPr>
          <w:rFonts w:hint="eastAsia"/>
        </w:rPr>
        <w:t>T</w:t>
      </w:r>
      <w:r>
        <w:t xml:space="preserve">o bolster the above two points, Unger discusses relative and absolute terms, such as bumpy for the former and flat for the latter. Additionally, there is the further distinction between absolute terms and basic absolute terms. What would make a term basic and absolute is that it “is not (naturally) defined in terms of some other absolute term” (Unger 1971, p. 203), with “straight” being given as an example, as it has no further absolute terms within it defining it. This is unlike the absolute term “cube,” which must rely on supplementary absolute terms (terms Unger deems basic and absolute) such as “straight.” </w:t>
      </w:r>
      <w:proofErr w:type="gramStart"/>
      <w:r w:rsidR="00A47570">
        <w:t>U</w:t>
      </w:r>
      <w:r w:rsidR="00A66A82">
        <w:t>nfortunately</w:t>
      </w:r>
      <w:proofErr w:type="gramEnd"/>
      <w:r w:rsidR="00A66A82">
        <w:t xml:space="preserve"> for</w:t>
      </w:r>
      <w:r w:rsidR="00A47570">
        <w:t xml:space="preserve"> </w:t>
      </w:r>
      <w:r w:rsidR="00A66A82">
        <w:t xml:space="preserve">absolute terms, Unger </w:t>
      </w:r>
      <w:r w:rsidR="00A47570">
        <w:t>claims</w:t>
      </w:r>
      <w:r w:rsidR="00A66A82">
        <w:t xml:space="preserve"> that they still admit to degrees, as in the case of relative terms. </w:t>
      </w:r>
      <w:proofErr w:type="gramStart"/>
      <w:r w:rsidR="00A47570">
        <w:t xml:space="preserve">Using the example of a table and its </w:t>
      </w:r>
      <w:r w:rsidR="00F05207">
        <w:t>characteristics</w:t>
      </w:r>
      <w:r w:rsidR="00A47570">
        <w:t>,</w:t>
      </w:r>
      <w:proofErr w:type="gramEnd"/>
      <w:r w:rsidR="00A47570">
        <w:t xml:space="preserve"> </w:t>
      </w:r>
      <w:proofErr w:type="gramStart"/>
      <w:r w:rsidR="00A47570">
        <w:t>it</w:t>
      </w:r>
      <w:proofErr w:type="gramEnd"/>
      <w:r w:rsidR="00A47570">
        <w:t xml:space="preserve"> appears, Unger argues, to resemble the relative quality of being bumpy. That is, when we speak of the bumpiness of a table, it implicitly assumes qualifiers such as “nearly” or “how close to being” (Unger 1971, p. 204). Yet, the same observation applies to the absolute term of “flatness,” as</w:t>
      </w:r>
      <w:r w:rsidR="00560FFD">
        <w:t xml:space="preserve"> we</w:t>
      </w:r>
      <w:r w:rsidR="00A47570">
        <w:t xml:space="preserve"> begin to refine our use of the absolute term “flat” for the table as perhaps being “nearly flat.”</w:t>
      </w:r>
    </w:p>
    <w:p w:rsidR="004C12F1" w:rsidRDefault="00587CA8" w:rsidP="008818BF">
      <w:pPr>
        <w:spacing w:after="240"/>
      </w:pPr>
      <w:r>
        <w:rPr>
          <w:rFonts w:hint="eastAsia"/>
        </w:rPr>
        <w:t xml:space="preserve">In bringing us back to skepticism, Unger connects the above points to certainty itself. </w:t>
      </w:r>
      <w:r>
        <w:t xml:space="preserve">Namely, if something is truly flat, then there “never is any surface which is flatter than it” (Unger 1971, p. 211). </w:t>
      </w:r>
      <w:proofErr w:type="gramStart"/>
      <w:r>
        <w:t>Likewise, with certainty, if one truly has certainty, then there “never is anything of which he is more certain”</w:t>
      </w:r>
      <w:proofErr w:type="gramEnd"/>
      <w:r>
        <w:t xml:space="preserve"> (Unger 1971, p. 212). </w:t>
      </w:r>
      <w:r w:rsidR="005C49F2">
        <w:t>Yet, Unger asks us to consider a simple mathematical proposition, such as 45 and 56 amounts to 101.</w:t>
      </w:r>
      <w:r w:rsidR="00246F2B">
        <w:t xml:space="preserve"> Reflecting on this proposition, we cannot claim certainty as outlined above. However, if mathematical truth</w:t>
      </w:r>
      <w:r w:rsidR="00EF066C">
        <w:t xml:space="preserve">s lack such certainty, then we are </w:t>
      </w:r>
      <w:r w:rsidR="00F473BB">
        <w:t xml:space="preserve">seemingly </w:t>
      </w:r>
      <w:r w:rsidR="00EF066C">
        <w:t>less confident in claiming</w:t>
      </w:r>
      <w:r w:rsidR="00246F2B">
        <w:t xml:space="preserve"> with certainty that </w:t>
      </w:r>
      <w:r w:rsidR="007E0695">
        <w:t>people believe that</w:t>
      </w:r>
      <w:r w:rsidR="00246F2B">
        <w:t xml:space="preserve"> automobiles exist.</w:t>
      </w:r>
    </w:p>
    <w:p w:rsidR="00246F2B" w:rsidRDefault="005C4521" w:rsidP="008818BF">
      <w:pPr>
        <w:spacing w:after="240"/>
      </w:pPr>
      <w:r>
        <w:rPr>
          <w:rFonts w:hint="eastAsia"/>
        </w:rPr>
        <w:t>This brings me to Unger</w:t>
      </w:r>
      <w:r>
        <w:t xml:space="preserve">’s last substantial point, and </w:t>
      </w:r>
      <w:proofErr w:type="gramStart"/>
      <w:r>
        <w:t>it is one that I had in mind from the beginning of Unger’</w:t>
      </w:r>
      <w:r w:rsidR="0031799E">
        <w:t>s paper</w:t>
      </w:r>
      <w:proofErr w:type="gramEnd"/>
      <w:r w:rsidR="0031799E">
        <w:t xml:space="preserve">. </w:t>
      </w:r>
      <w:r>
        <w:t xml:space="preserve">In this section, </w:t>
      </w:r>
      <w:r w:rsidR="001A1E0F">
        <w:t xml:space="preserve">Unger considers the position of having knowledge without certainty. </w:t>
      </w:r>
      <w:r w:rsidR="000D283A">
        <w:t xml:space="preserve">The problem for Unger is that, if knowledge is possible without absolute certainty, then his skepticism is not maintainable. </w:t>
      </w:r>
      <w:r w:rsidR="0058359B">
        <w:t xml:space="preserve">For such a position, it sounds like a form of </w:t>
      </w:r>
      <w:proofErr w:type="spellStart"/>
      <w:r w:rsidR="0058359B">
        <w:t>fallibilism</w:t>
      </w:r>
      <w:proofErr w:type="spellEnd"/>
      <w:r w:rsidR="0058359B">
        <w:t xml:space="preserve">, where knowledge and </w:t>
      </w:r>
      <w:r w:rsidR="00292A9B">
        <w:t>fallibility</w:t>
      </w:r>
      <w:r w:rsidR="00920E4C">
        <w:t xml:space="preserve"> </w:t>
      </w:r>
      <w:proofErr w:type="gramStart"/>
      <w:r w:rsidR="00920E4C">
        <w:t xml:space="preserve">are </w:t>
      </w:r>
      <w:r w:rsidR="0058359B">
        <w:t>seen</w:t>
      </w:r>
      <w:proofErr w:type="gramEnd"/>
      <w:r w:rsidR="0058359B">
        <w:t xml:space="preserve"> as compatible. </w:t>
      </w:r>
      <w:r w:rsidR="004D4CD1">
        <w:t xml:space="preserve">In arguing against the disconnect between certainty and knowledge, Unger </w:t>
      </w:r>
      <w:r w:rsidR="00242B22">
        <w:t xml:space="preserve">(1971, p. 216) </w:t>
      </w:r>
      <w:r w:rsidR="004D4CD1">
        <w:t xml:space="preserve">brings attention to how we talk </w:t>
      </w:r>
      <w:r w:rsidR="00242B22">
        <w:t xml:space="preserve">about having knowledge—hoping to draw a contradiction in asserting one has knowledge while denying one has certainty. An example he gives is that of saying “He really </w:t>
      </w:r>
      <w:r w:rsidR="00242B22" w:rsidRPr="00242B22">
        <w:rPr>
          <w:i/>
        </w:rPr>
        <w:t>knows</w:t>
      </w:r>
      <w:r w:rsidR="00242B22">
        <w:t xml:space="preserve"> that it is raining, but he isn't actually </w:t>
      </w:r>
      <w:r w:rsidR="00242B22" w:rsidRPr="00242B22">
        <w:rPr>
          <w:i/>
        </w:rPr>
        <w:t>certain</w:t>
      </w:r>
      <w:r w:rsidR="00242B22">
        <w:rPr>
          <w:i/>
        </w:rPr>
        <w:t xml:space="preserve"> </w:t>
      </w:r>
      <w:r w:rsidR="00242B22">
        <w:t>of it.”</w:t>
      </w:r>
    </w:p>
    <w:p w:rsidR="006D25C9" w:rsidRPr="00242B22" w:rsidRDefault="00EA1DAE" w:rsidP="00A1135C">
      <w:pPr>
        <w:spacing w:before="240" w:after="240"/>
      </w:pPr>
      <w:r>
        <w:t xml:space="preserve">Therefore, </w:t>
      </w:r>
      <w:r w:rsidR="00EE7C58">
        <w:rPr>
          <w:rFonts w:hint="eastAsia"/>
        </w:rPr>
        <w:t>Unger</w:t>
      </w:r>
      <w:r w:rsidR="00EE7C58">
        <w:t>’s case for skepticism rests on the</w:t>
      </w:r>
      <w:r>
        <w:t xml:space="preserve"> failings of the</w:t>
      </w:r>
      <w:r w:rsidR="00EE7C58">
        <w:t xml:space="preserve"> “traditional view.” </w:t>
      </w:r>
      <w:r w:rsidR="006D25C9">
        <w:rPr>
          <w:rFonts w:hint="eastAsia"/>
        </w:rPr>
        <w:t xml:space="preserve">Interestingly </w:t>
      </w:r>
      <w:r w:rsidR="006D25C9">
        <w:rPr>
          <w:rFonts w:hint="eastAsia"/>
        </w:rPr>
        <w:lastRenderedPageBreak/>
        <w:t xml:space="preserve">enough, </w:t>
      </w:r>
      <w:r w:rsidR="004D743B">
        <w:t xml:space="preserve">if one were to deviate from the traditional view and opt for a form of </w:t>
      </w:r>
      <w:proofErr w:type="spellStart"/>
      <w:r w:rsidR="004D743B">
        <w:t>fallibilism</w:t>
      </w:r>
      <w:proofErr w:type="spellEnd"/>
      <w:r w:rsidR="004D743B">
        <w:t xml:space="preserve">, then </w:t>
      </w:r>
      <w:r w:rsidR="006D25C9">
        <w:rPr>
          <w:rFonts w:hint="eastAsia"/>
        </w:rPr>
        <w:t>thi</w:t>
      </w:r>
      <w:r w:rsidR="006D6442">
        <w:t xml:space="preserve">s can be connected to the earlier discussed </w:t>
      </w:r>
      <w:proofErr w:type="spellStart"/>
      <w:r w:rsidR="006D6442">
        <w:t>Gettier</w:t>
      </w:r>
      <w:proofErr w:type="spellEnd"/>
      <w:r w:rsidR="006D6442">
        <w:t xml:space="preserve"> problem, in that “it has been argued that the </w:t>
      </w:r>
      <w:proofErr w:type="spellStart"/>
      <w:r w:rsidR="006D6442">
        <w:t>Gettier</w:t>
      </w:r>
      <w:proofErr w:type="spellEnd"/>
      <w:r w:rsidR="006D6442">
        <w:t xml:space="preserve"> problem cannot be solved and that </w:t>
      </w:r>
      <w:proofErr w:type="spellStart"/>
      <w:r w:rsidR="006D6442">
        <w:t>fallibilism</w:t>
      </w:r>
      <w:proofErr w:type="spellEnd"/>
      <w:r w:rsidR="006D6442">
        <w:t xml:space="preserve"> will always bring with it a problematic kind of accidental success” (Reed 2012, p. 588). </w:t>
      </w:r>
      <w:r w:rsidR="002D3CA9">
        <w:t>In other words,</w:t>
      </w:r>
      <w:r w:rsidR="0045721B">
        <w:t xml:space="preserve"> there is a </w:t>
      </w:r>
      <w:r w:rsidR="00A1135C">
        <w:t>concern</w:t>
      </w:r>
      <w:r w:rsidR="0045721B">
        <w:t xml:space="preserve"> that an acceptance of </w:t>
      </w:r>
      <w:proofErr w:type="spellStart"/>
      <w:r w:rsidR="0045721B">
        <w:t>fallibilism</w:t>
      </w:r>
      <w:proofErr w:type="spellEnd"/>
      <w:r w:rsidR="0045721B">
        <w:t xml:space="preserve"> would admit to allowing chance to </w:t>
      </w:r>
      <w:r w:rsidR="00A1135C">
        <w:t>constitute</w:t>
      </w:r>
      <w:r w:rsidR="0045721B">
        <w:t xml:space="preserve"> a part in knowledge (Pritchard </w:t>
      </w:r>
      <w:r w:rsidR="00A1135C">
        <w:t>2005).</w:t>
      </w:r>
      <w:r w:rsidR="00C929BD">
        <w:t xml:space="preserve"> </w:t>
      </w:r>
      <w:proofErr w:type="gramStart"/>
      <w:r w:rsidR="00C929BD">
        <w:t xml:space="preserve">The problem of epistemic luck in knowledge is </w:t>
      </w:r>
      <w:r w:rsidR="00B83DA5">
        <w:t>discussed by Unger (1968) elsewhere</w:t>
      </w:r>
      <w:proofErr w:type="gramEnd"/>
      <w:r w:rsidR="00B83DA5">
        <w:t xml:space="preserve">. That said, the luck Unger seemingly addresses is that </w:t>
      </w:r>
      <w:r w:rsidR="00BD2762">
        <w:t>of luck of a “benign epistemic luck” (Pritchard 2005, p. 137) that has no bearing on whether one has knowledge, but, rather, whether one is luckily enough to be in a position of acquiring knowledge.</w:t>
      </w:r>
      <w:r w:rsidR="0045721B">
        <w:t xml:space="preserve"> </w:t>
      </w:r>
      <w:r w:rsidR="00B83DA5">
        <w:t>Regardless</w:t>
      </w:r>
      <w:r w:rsidR="002D3CA9">
        <w:t xml:space="preserve">, a form of </w:t>
      </w:r>
      <w:proofErr w:type="spellStart"/>
      <w:r w:rsidR="002D3CA9">
        <w:t>fallibilism</w:t>
      </w:r>
      <w:proofErr w:type="spellEnd"/>
      <w:r w:rsidR="002D3CA9">
        <w:t xml:space="preserve"> may necessarily undercut Unger’</w:t>
      </w:r>
      <w:r w:rsidR="00C44147">
        <w:t>s skepticism, but it could be at the cost of not giving a satisfactory account of knowledge.</w:t>
      </w:r>
    </w:p>
    <w:p w:rsidR="0058359B" w:rsidRPr="007E0695" w:rsidRDefault="00A17165" w:rsidP="008818BF">
      <w:pPr>
        <w:spacing w:after="240"/>
      </w:pPr>
      <w:r>
        <w:t xml:space="preserve">In closing, </w:t>
      </w:r>
      <w:r w:rsidR="0058359B">
        <w:t xml:space="preserve">Unger gives an interesting argument for skepticism that seemingly gives a direct response to philosophers like Moore. </w:t>
      </w:r>
      <w:r w:rsidR="008C7C15">
        <w:t xml:space="preserve">However, </w:t>
      </w:r>
      <w:r w:rsidR="00292A9B">
        <w:t xml:space="preserve">I believe Unger’s (1971, p. 214) </w:t>
      </w:r>
      <w:r w:rsidR="00F526E1">
        <w:t>case for skepticism should go</w:t>
      </w:r>
      <w:r w:rsidR="00292A9B">
        <w:t xml:space="preserve"> beyond analyzing the “loosely, charitably, and casually” way we normally talk, as Unger seems to diagnose the confusion (and postulation) of non-skepticism on the misuse of language.</w:t>
      </w:r>
      <w:r w:rsidR="00F526E1">
        <w:t xml:space="preserve"> Most notably, I believe a sustained criticism of </w:t>
      </w:r>
      <w:proofErr w:type="spellStart"/>
      <w:r w:rsidR="00F526E1">
        <w:t>fallibilism</w:t>
      </w:r>
      <w:proofErr w:type="spellEnd"/>
      <w:r w:rsidR="00F526E1">
        <w:t xml:space="preserve"> </w:t>
      </w:r>
      <w:proofErr w:type="gramStart"/>
      <w:r w:rsidR="00F526E1">
        <w:t>is need</w:t>
      </w:r>
      <w:r w:rsidR="008C492F">
        <w:t>ed</w:t>
      </w:r>
      <w:proofErr w:type="gramEnd"/>
      <w:r w:rsidR="008C492F">
        <w:t xml:space="preserve"> to bolster Unger’s position.</w:t>
      </w:r>
      <w:r w:rsidR="002D3CA9">
        <w:t xml:space="preserve"> Without such critique, there remains a concern for the skeptic that, while the traditional view of knowledge is flawed, this, in itself, does not vindicate skepticism.</w:t>
      </w:r>
    </w:p>
    <w:p w:rsidR="008818BF" w:rsidRDefault="008818BF" w:rsidP="008818BF">
      <w:pPr>
        <w:spacing w:after="240"/>
      </w:pPr>
      <w:r>
        <w:t>Word count:</w:t>
      </w:r>
      <w:r w:rsidR="00BD2762">
        <w:t xml:space="preserve"> 800</w:t>
      </w:r>
    </w:p>
    <w:p w:rsidR="00E90D0F" w:rsidRPr="00E90D0F" w:rsidRDefault="00E90D0F" w:rsidP="008818BF">
      <w:pPr>
        <w:spacing w:after="240"/>
        <w:rPr>
          <w:b/>
        </w:rPr>
      </w:pPr>
      <w:r w:rsidRPr="00E90D0F">
        <w:rPr>
          <w:b/>
        </w:rPr>
        <w:t>References</w:t>
      </w:r>
    </w:p>
    <w:p w:rsidR="00E90D0F" w:rsidRDefault="00E90D0F" w:rsidP="00E90D0F">
      <w:pPr>
        <w:spacing w:after="240"/>
        <w:jc w:val="left"/>
      </w:pPr>
      <w:r>
        <w:t xml:space="preserve">Baron Reed 2012 </w:t>
      </w:r>
      <w:proofErr w:type="spellStart"/>
      <w:r>
        <w:t>Falliblism</w:t>
      </w:r>
      <w:proofErr w:type="spellEnd"/>
      <w:r>
        <w:t xml:space="preserve"> Philosophy Compass</w:t>
      </w:r>
    </w:p>
    <w:p w:rsidR="00E90D0F" w:rsidRDefault="00E90D0F" w:rsidP="00E90D0F">
      <w:pPr>
        <w:spacing w:after="240"/>
        <w:jc w:val="left"/>
      </w:pPr>
      <w:proofErr w:type="spellStart"/>
      <w:r>
        <w:t>Gettier</w:t>
      </w:r>
      <w:proofErr w:type="spellEnd"/>
    </w:p>
    <w:p w:rsidR="00A1135C" w:rsidRDefault="00A1135C" w:rsidP="00E90D0F">
      <w:pPr>
        <w:spacing w:after="240"/>
        <w:jc w:val="left"/>
      </w:pPr>
      <w:r>
        <w:t>Duncan Pritchard Epistemic Luck 2005</w:t>
      </w:r>
    </w:p>
    <w:p w:rsidR="00614B24" w:rsidRPr="00E90D0F" w:rsidRDefault="00614B24" w:rsidP="00E90D0F">
      <w:pPr>
        <w:spacing w:after="240"/>
        <w:jc w:val="left"/>
      </w:pPr>
      <w:r>
        <w:t xml:space="preserve">Peter Unger 1968 </w:t>
      </w:r>
      <w:proofErr w:type="gramStart"/>
      <w:r>
        <w:t>An</w:t>
      </w:r>
      <w:proofErr w:type="gramEnd"/>
      <w:r>
        <w:t xml:space="preserve"> </w:t>
      </w:r>
      <w:proofErr w:type="spellStart"/>
      <w:r>
        <w:t>Anaylsis</w:t>
      </w:r>
      <w:proofErr w:type="spellEnd"/>
      <w:r>
        <w:t xml:space="preserve"> of Factual Knowledge</w:t>
      </w:r>
    </w:p>
    <w:p w:rsidR="00773603" w:rsidRDefault="008818BF" w:rsidP="00AD7A0C">
      <w:pPr>
        <w:pBdr>
          <w:top w:val="single" w:sz="4" w:space="1" w:color="auto"/>
        </w:pBdr>
        <w:spacing w:after="240"/>
        <w:jc w:val="left"/>
      </w:pPr>
      <w:r>
        <w:t>Word count (excluding references and titles):</w:t>
      </w:r>
    </w:p>
    <w:p w:rsidR="008818BF" w:rsidRDefault="008818BF" w:rsidP="008818BF">
      <w:pPr>
        <w:spacing w:after="240"/>
        <w:jc w:val="left"/>
      </w:pPr>
      <w:r>
        <w:t xml:space="preserve">Andrew </w:t>
      </w:r>
      <w:proofErr w:type="spellStart"/>
      <w:r>
        <w:t>Nesseler</w:t>
      </w:r>
      <w:proofErr w:type="spellEnd"/>
      <w:r w:rsidR="003A15B1">
        <w:t xml:space="preserve"> </w:t>
      </w:r>
      <w:r w:rsidR="003A15B1" w:rsidRPr="003A15B1">
        <w:t>– Student No. 2236167</w:t>
      </w:r>
    </w:p>
    <w:p w:rsidR="008818BF" w:rsidRPr="008818BF" w:rsidRDefault="008C492F" w:rsidP="008818BF">
      <w:pPr>
        <w:spacing w:after="240"/>
        <w:jc w:val="left"/>
      </w:pPr>
      <w:r>
        <w:t>Nov</w:t>
      </w:r>
      <w:r w:rsidR="003A15B1">
        <w:t xml:space="preserve">. </w:t>
      </w:r>
      <w:r w:rsidR="00AD7A0C">
        <w:t>10</w:t>
      </w:r>
      <w:r w:rsidR="00AD7A0C" w:rsidRPr="00AD7A0C">
        <w:rPr>
          <w:vertAlign w:val="superscript"/>
        </w:rPr>
        <w:t>th</w:t>
      </w:r>
      <w:r w:rsidR="00371659">
        <w:t>,</w:t>
      </w:r>
      <w:r w:rsidR="00AD7A0C">
        <w:t xml:space="preserve"> </w:t>
      </w:r>
      <w:r w:rsidR="008818BF">
        <w:rPr>
          <w:rFonts w:hint="eastAsia"/>
        </w:rPr>
        <w:t>2023</w:t>
      </w:r>
    </w:p>
    <w:sectPr w:rsidR="008818BF" w:rsidRPr="008818BF">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87F"/>
    <w:rsid w:val="00006B65"/>
    <w:rsid w:val="000110A8"/>
    <w:rsid w:val="0001138C"/>
    <w:rsid w:val="0002412E"/>
    <w:rsid w:val="0002793D"/>
    <w:rsid w:val="000400B0"/>
    <w:rsid w:val="00040538"/>
    <w:rsid w:val="0005184A"/>
    <w:rsid w:val="00064D11"/>
    <w:rsid w:val="00065E6B"/>
    <w:rsid w:val="00073A87"/>
    <w:rsid w:val="00082701"/>
    <w:rsid w:val="0008634F"/>
    <w:rsid w:val="00095CD8"/>
    <w:rsid w:val="00095D6B"/>
    <w:rsid w:val="000B13B7"/>
    <w:rsid w:val="000C267F"/>
    <w:rsid w:val="000C5826"/>
    <w:rsid w:val="000D00C8"/>
    <w:rsid w:val="000D1EE0"/>
    <w:rsid w:val="000D239A"/>
    <w:rsid w:val="000D283A"/>
    <w:rsid w:val="000E59B1"/>
    <w:rsid w:val="000E5F2C"/>
    <w:rsid w:val="000F5AAF"/>
    <w:rsid w:val="000F6320"/>
    <w:rsid w:val="000F7195"/>
    <w:rsid w:val="00105FC5"/>
    <w:rsid w:val="0011002C"/>
    <w:rsid w:val="0011708F"/>
    <w:rsid w:val="001329C2"/>
    <w:rsid w:val="00137B41"/>
    <w:rsid w:val="001444C2"/>
    <w:rsid w:val="00147F8C"/>
    <w:rsid w:val="0015361D"/>
    <w:rsid w:val="001718B3"/>
    <w:rsid w:val="00176F1A"/>
    <w:rsid w:val="0018414C"/>
    <w:rsid w:val="001A1E0F"/>
    <w:rsid w:val="001B0645"/>
    <w:rsid w:val="001D059E"/>
    <w:rsid w:val="00200440"/>
    <w:rsid w:val="002158BF"/>
    <w:rsid w:val="002318AB"/>
    <w:rsid w:val="00241B03"/>
    <w:rsid w:val="00242B22"/>
    <w:rsid w:val="00244736"/>
    <w:rsid w:val="00246F2B"/>
    <w:rsid w:val="002524D2"/>
    <w:rsid w:val="002707AA"/>
    <w:rsid w:val="00274819"/>
    <w:rsid w:val="00284E8E"/>
    <w:rsid w:val="00292A9B"/>
    <w:rsid w:val="002B4C87"/>
    <w:rsid w:val="002C3187"/>
    <w:rsid w:val="002D1851"/>
    <w:rsid w:val="002D3CA9"/>
    <w:rsid w:val="002D6470"/>
    <w:rsid w:val="002E347F"/>
    <w:rsid w:val="002E4159"/>
    <w:rsid w:val="002E7882"/>
    <w:rsid w:val="00300A4D"/>
    <w:rsid w:val="00300CEC"/>
    <w:rsid w:val="003056B9"/>
    <w:rsid w:val="00310832"/>
    <w:rsid w:val="00316497"/>
    <w:rsid w:val="0031799E"/>
    <w:rsid w:val="00335BE0"/>
    <w:rsid w:val="003669BD"/>
    <w:rsid w:val="00371659"/>
    <w:rsid w:val="003731AB"/>
    <w:rsid w:val="003749F6"/>
    <w:rsid w:val="003A15B1"/>
    <w:rsid w:val="003A339A"/>
    <w:rsid w:val="003B4A3D"/>
    <w:rsid w:val="003C00CF"/>
    <w:rsid w:val="003C6D82"/>
    <w:rsid w:val="003E1D1A"/>
    <w:rsid w:val="003F7D82"/>
    <w:rsid w:val="004002EA"/>
    <w:rsid w:val="00412D15"/>
    <w:rsid w:val="00417A1F"/>
    <w:rsid w:val="00425651"/>
    <w:rsid w:val="00426BA8"/>
    <w:rsid w:val="0042787F"/>
    <w:rsid w:val="00427C01"/>
    <w:rsid w:val="00431973"/>
    <w:rsid w:val="00432AD5"/>
    <w:rsid w:val="00433B74"/>
    <w:rsid w:val="00433DBA"/>
    <w:rsid w:val="0043646B"/>
    <w:rsid w:val="00441031"/>
    <w:rsid w:val="00446095"/>
    <w:rsid w:val="00453E4B"/>
    <w:rsid w:val="0045721B"/>
    <w:rsid w:val="004B452C"/>
    <w:rsid w:val="004C12F1"/>
    <w:rsid w:val="004C3593"/>
    <w:rsid w:val="004C3BD3"/>
    <w:rsid w:val="004D4CD1"/>
    <w:rsid w:val="004D743B"/>
    <w:rsid w:val="004E575E"/>
    <w:rsid w:val="00504E8B"/>
    <w:rsid w:val="005073EE"/>
    <w:rsid w:val="00516C2C"/>
    <w:rsid w:val="00552E80"/>
    <w:rsid w:val="00560FFD"/>
    <w:rsid w:val="00565BB3"/>
    <w:rsid w:val="005663CC"/>
    <w:rsid w:val="00570EB9"/>
    <w:rsid w:val="00574D3F"/>
    <w:rsid w:val="00575994"/>
    <w:rsid w:val="00580CD5"/>
    <w:rsid w:val="0058359B"/>
    <w:rsid w:val="005852E9"/>
    <w:rsid w:val="00587CA8"/>
    <w:rsid w:val="005C192A"/>
    <w:rsid w:val="005C4521"/>
    <w:rsid w:val="005C49F2"/>
    <w:rsid w:val="005C7A8F"/>
    <w:rsid w:val="005D2E5E"/>
    <w:rsid w:val="005F7C52"/>
    <w:rsid w:val="0060529D"/>
    <w:rsid w:val="00614B24"/>
    <w:rsid w:val="006169D5"/>
    <w:rsid w:val="00620C3A"/>
    <w:rsid w:val="006468CD"/>
    <w:rsid w:val="00677F4F"/>
    <w:rsid w:val="00681685"/>
    <w:rsid w:val="006A446A"/>
    <w:rsid w:val="006A7A85"/>
    <w:rsid w:val="006B22BA"/>
    <w:rsid w:val="006B729C"/>
    <w:rsid w:val="006C044E"/>
    <w:rsid w:val="006D1365"/>
    <w:rsid w:val="006D25C9"/>
    <w:rsid w:val="006D6442"/>
    <w:rsid w:val="006E0808"/>
    <w:rsid w:val="006E41E1"/>
    <w:rsid w:val="006E4E10"/>
    <w:rsid w:val="007111D0"/>
    <w:rsid w:val="00722484"/>
    <w:rsid w:val="00726BBD"/>
    <w:rsid w:val="00727748"/>
    <w:rsid w:val="0073097B"/>
    <w:rsid w:val="007419CA"/>
    <w:rsid w:val="007454E3"/>
    <w:rsid w:val="00754388"/>
    <w:rsid w:val="007578A4"/>
    <w:rsid w:val="007615DE"/>
    <w:rsid w:val="00763214"/>
    <w:rsid w:val="007648BF"/>
    <w:rsid w:val="0076670F"/>
    <w:rsid w:val="00772552"/>
    <w:rsid w:val="00773603"/>
    <w:rsid w:val="0077593F"/>
    <w:rsid w:val="007A35F0"/>
    <w:rsid w:val="007A739E"/>
    <w:rsid w:val="007B2E4A"/>
    <w:rsid w:val="007B40FC"/>
    <w:rsid w:val="007C2A2B"/>
    <w:rsid w:val="007D5363"/>
    <w:rsid w:val="007D6ED3"/>
    <w:rsid w:val="007E0695"/>
    <w:rsid w:val="007E40A7"/>
    <w:rsid w:val="007E79C3"/>
    <w:rsid w:val="00804224"/>
    <w:rsid w:val="00810923"/>
    <w:rsid w:val="008177D6"/>
    <w:rsid w:val="00825930"/>
    <w:rsid w:val="008438EF"/>
    <w:rsid w:val="00844588"/>
    <w:rsid w:val="00851FB0"/>
    <w:rsid w:val="0085468B"/>
    <w:rsid w:val="008550B3"/>
    <w:rsid w:val="00856E84"/>
    <w:rsid w:val="00870148"/>
    <w:rsid w:val="00875222"/>
    <w:rsid w:val="008818BF"/>
    <w:rsid w:val="008C31ED"/>
    <w:rsid w:val="008C492F"/>
    <w:rsid w:val="008C659C"/>
    <w:rsid w:val="008C7C15"/>
    <w:rsid w:val="008F0B70"/>
    <w:rsid w:val="00914588"/>
    <w:rsid w:val="009165B8"/>
    <w:rsid w:val="00920BF9"/>
    <w:rsid w:val="00920E4C"/>
    <w:rsid w:val="00932C07"/>
    <w:rsid w:val="009331BD"/>
    <w:rsid w:val="0099136D"/>
    <w:rsid w:val="00997C0F"/>
    <w:rsid w:val="009B0F6F"/>
    <w:rsid w:val="009B417C"/>
    <w:rsid w:val="009B5FA9"/>
    <w:rsid w:val="009B6966"/>
    <w:rsid w:val="009C008D"/>
    <w:rsid w:val="009C184F"/>
    <w:rsid w:val="009C47E7"/>
    <w:rsid w:val="009C7574"/>
    <w:rsid w:val="009D0D3D"/>
    <w:rsid w:val="00A00999"/>
    <w:rsid w:val="00A02229"/>
    <w:rsid w:val="00A1135C"/>
    <w:rsid w:val="00A17165"/>
    <w:rsid w:val="00A27D42"/>
    <w:rsid w:val="00A46F1C"/>
    <w:rsid w:val="00A47570"/>
    <w:rsid w:val="00A66A82"/>
    <w:rsid w:val="00A757DD"/>
    <w:rsid w:val="00AB0A0F"/>
    <w:rsid w:val="00AB0D3B"/>
    <w:rsid w:val="00AD22F9"/>
    <w:rsid w:val="00AD7A0C"/>
    <w:rsid w:val="00AE21AF"/>
    <w:rsid w:val="00AE450E"/>
    <w:rsid w:val="00AF7BD0"/>
    <w:rsid w:val="00B000E3"/>
    <w:rsid w:val="00B0467B"/>
    <w:rsid w:val="00B12D8A"/>
    <w:rsid w:val="00B23FC0"/>
    <w:rsid w:val="00B40086"/>
    <w:rsid w:val="00B41B83"/>
    <w:rsid w:val="00B43B36"/>
    <w:rsid w:val="00B470C7"/>
    <w:rsid w:val="00B56CC2"/>
    <w:rsid w:val="00B57116"/>
    <w:rsid w:val="00B83DA5"/>
    <w:rsid w:val="00B91E00"/>
    <w:rsid w:val="00BC3CA3"/>
    <w:rsid w:val="00BD2762"/>
    <w:rsid w:val="00BD4D46"/>
    <w:rsid w:val="00BE2D78"/>
    <w:rsid w:val="00BE48DA"/>
    <w:rsid w:val="00BF0837"/>
    <w:rsid w:val="00BF1E45"/>
    <w:rsid w:val="00C149B0"/>
    <w:rsid w:val="00C153F6"/>
    <w:rsid w:val="00C34612"/>
    <w:rsid w:val="00C44147"/>
    <w:rsid w:val="00C73023"/>
    <w:rsid w:val="00C850B7"/>
    <w:rsid w:val="00C929BD"/>
    <w:rsid w:val="00C9609B"/>
    <w:rsid w:val="00CB67BF"/>
    <w:rsid w:val="00CC4710"/>
    <w:rsid w:val="00CF092F"/>
    <w:rsid w:val="00CF212D"/>
    <w:rsid w:val="00D04CFF"/>
    <w:rsid w:val="00D10829"/>
    <w:rsid w:val="00D257DB"/>
    <w:rsid w:val="00D269C2"/>
    <w:rsid w:val="00D362CD"/>
    <w:rsid w:val="00D40453"/>
    <w:rsid w:val="00D76FC8"/>
    <w:rsid w:val="00DA2FF4"/>
    <w:rsid w:val="00DB08AA"/>
    <w:rsid w:val="00DB2B77"/>
    <w:rsid w:val="00DC10B2"/>
    <w:rsid w:val="00DC22A3"/>
    <w:rsid w:val="00DD5355"/>
    <w:rsid w:val="00DD5607"/>
    <w:rsid w:val="00DD64F9"/>
    <w:rsid w:val="00DF7881"/>
    <w:rsid w:val="00E152A5"/>
    <w:rsid w:val="00E26136"/>
    <w:rsid w:val="00E30D16"/>
    <w:rsid w:val="00E351DB"/>
    <w:rsid w:val="00E372E6"/>
    <w:rsid w:val="00E4228E"/>
    <w:rsid w:val="00E536C1"/>
    <w:rsid w:val="00E65C3D"/>
    <w:rsid w:val="00E83E1F"/>
    <w:rsid w:val="00E90D0F"/>
    <w:rsid w:val="00E9401B"/>
    <w:rsid w:val="00EA1DAE"/>
    <w:rsid w:val="00EA5678"/>
    <w:rsid w:val="00EB2684"/>
    <w:rsid w:val="00EB377E"/>
    <w:rsid w:val="00EB6750"/>
    <w:rsid w:val="00EC234B"/>
    <w:rsid w:val="00EC3D28"/>
    <w:rsid w:val="00EE7C58"/>
    <w:rsid w:val="00EF066C"/>
    <w:rsid w:val="00EF58EE"/>
    <w:rsid w:val="00F021DE"/>
    <w:rsid w:val="00F022E7"/>
    <w:rsid w:val="00F03D70"/>
    <w:rsid w:val="00F04DC5"/>
    <w:rsid w:val="00F05207"/>
    <w:rsid w:val="00F067EC"/>
    <w:rsid w:val="00F11A81"/>
    <w:rsid w:val="00F125C0"/>
    <w:rsid w:val="00F14FC3"/>
    <w:rsid w:val="00F235B0"/>
    <w:rsid w:val="00F309FE"/>
    <w:rsid w:val="00F40941"/>
    <w:rsid w:val="00F473BB"/>
    <w:rsid w:val="00F51EF6"/>
    <w:rsid w:val="00F52589"/>
    <w:rsid w:val="00F526E1"/>
    <w:rsid w:val="00F5714B"/>
    <w:rsid w:val="00F7029B"/>
    <w:rsid w:val="00F83780"/>
    <w:rsid w:val="00F85F13"/>
    <w:rsid w:val="00FB6F16"/>
    <w:rsid w:val="00FC3422"/>
    <w:rsid w:val="00FD3FB9"/>
    <w:rsid w:val="00FE2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6BDF99"/>
  <w15:chartTrackingRefBased/>
  <w15:docId w15:val="{860CF840-37A7-44C8-A475-D4A5A8078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721341">
      <w:bodyDiv w:val="1"/>
      <w:marLeft w:val="0"/>
      <w:marRight w:val="0"/>
      <w:marTop w:val="0"/>
      <w:marBottom w:val="0"/>
      <w:divBdr>
        <w:top w:val="none" w:sz="0" w:space="0" w:color="auto"/>
        <w:left w:val="none" w:sz="0" w:space="0" w:color="auto"/>
        <w:bottom w:val="none" w:sz="0" w:space="0" w:color="auto"/>
        <w:right w:val="none" w:sz="0" w:space="0" w:color="auto"/>
      </w:divBdr>
      <w:divsChild>
        <w:div w:id="1452631304">
          <w:marLeft w:val="0"/>
          <w:marRight w:val="0"/>
          <w:marTop w:val="0"/>
          <w:marBottom w:val="0"/>
          <w:divBdr>
            <w:top w:val="none" w:sz="0" w:space="0" w:color="auto"/>
            <w:left w:val="none" w:sz="0" w:space="0" w:color="auto"/>
            <w:bottom w:val="none" w:sz="0" w:space="0" w:color="auto"/>
            <w:right w:val="none" w:sz="0" w:space="0" w:color="auto"/>
          </w:divBdr>
        </w:div>
        <w:div w:id="422146771">
          <w:marLeft w:val="0"/>
          <w:marRight w:val="0"/>
          <w:marTop w:val="0"/>
          <w:marBottom w:val="0"/>
          <w:divBdr>
            <w:top w:val="none" w:sz="0" w:space="0" w:color="auto"/>
            <w:left w:val="none" w:sz="0" w:space="0" w:color="auto"/>
            <w:bottom w:val="none" w:sz="0" w:space="0" w:color="auto"/>
            <w:right w:val="none" w:sz="0" w:space="0" w:color="auto"/>
          </w:divBdr>
        </w:div>
      </w:divsChild>
    </w:div>
    <w:div w:id="1676759787">
      <w:bodyDiv w:val="1"/>
      <w:marLeft w:val="0"/>
      <w:marRight w:val="0"/>
      <w:marTop w:val="0"/>
      <w:marBottom w:val="0"/>
      <w:divBdr>
        <w:top w:val="none" w:sz="0" w:space="0" w:color="auto"/>
        <w:left w:val="none" w:sz="0" w:space="0" w:color="auto"/>
        <w:bottom w:val="none" w:sz="0" w:space="0" w:color="auto"/>
        <w:right w:val="none" w:sz="0" w:space="0" w:color="auto"/>
      </w:divBdr>
      <w:divsChild>
        <w:div w:id="8609517">
          <w:marLeft w:val="0"/>
          <w:marRight w:val="0"/>
          <w:marTop w:val="0"/>
          <w:marBottom w:val="0"/>
          <w:divBdr>
            <w:top w:val="none" w:sz="0" w:space="0" w:color="auto"/>
            <w:left w:val="none" w:sz="0" w:space="0" w:color="auto"/>
            <w:bottom w:val="none" w:sz="0" w:space="0" w:color="auto"/>
            <w:right w:val="none" w:sz="0" w:space="0" w:color="auto"/>
          </w:divBdr>
          <w:divsChild>
            <w:div w:id="1736508364">
              <w:marLeft w:val="0"/>
              <w:marRight w:val="0"/>
              <w:marTop w:val="0"/>
              <w:marBottom w:val="0"/>
              <w:divBdr>
                <w:top w:val="none" w:sz="0" w:space="0" w:color="auto"/>
                <w:left w:val="none" w:sz="0" w:space="0" w:color="auto"/>
                <w:bottom w:val="none" w:sz="0" w:space="0" w:color="auto"/>
                <w:right w:val="none" w:sz="0" w:space="0" w:color="auto"/>
              </w:divBdr>
            </w:div>
            <w:div w:id="804279655">
              <w:marLeft w:val="0"/>
              <w:marRight w:val="0"/>
              <w:marTop w:val="0"/>
              <w:marBottom w:val="0"/>
              <w:divBdr>
                <w:top w:val="none" w:sz="0" w:space="0" w:color="auto"/>
                <w:left w:val="none" w:sz="0" w:space="0" w:color="auto"/>
                <w:bottom w:val="none" w:sz="0" w:space="0" w:color="auto"/>
                <w:right w:val="none" w:sz="0" w:space="0" w:color="auto"/>
              </w:divBdr>
            </w:div>
          </w:divsChild>
        </w:div>
        <w:div w:id="1710954947">
          <w:marLeft w:val="0"/>
          <w:marRight w:val="0"/>
          <w:marTop w:val="0"/>
          <w:marBottom w:val="0"/>
          <w:divBdr>
            <w:top w:val="none" w:sz="0" w:space="0" w:color="auto"/>
            <w:left w:val="none" w:sz="0" w:space="0" w:color="auto"/>
            <w:bottom w:val="none" w:sz="0" w:space="0" w:color="auto"/>
            <w:right w:val="none" w:sz="0" w:space="0" w:color="auto"/>
          </w:divBdr>
          <w:divsChild>
            <w:div w:id="903948257">
              <w:marLeft w:val="0"/>
              <w:marRight w:val="0"/>
              <w:marTop w:val="0"/>
              <w:marBottom w:val="0"/>
              <w:divBdr>
                <w:top w:val="none" w:sz="0" w:space="0" w:color="auto"/>
                <w:left w:val="none" w:sz="0" w:space="0" w:color="auto"/>
                <w:bottom w:val="none" w:sz="0" w:space="0" w:color="auto"/>
                <w:right w:val="none" w:sz="0" w:space="0" w:color="auto"/>
              </w:divBdr>
              <w:divsChild>
                <w:div w:id="1487357637">
                  <w:marLeft w:val="0"/>
                  <w:marRight w:val="0"/>
                  <w:marTop w:val="0"/>
                  <w:marBottom w:val="0"/>
                  <w:divBdr>
                    <w:top w:val="none" w:sz="0" w:space="0" w:color="auto"/>
                    <w:left w:val="none" w:sz="0" w:space="0" w:color="auto"/>
                    <w:bottom w:val="none" w:sz="0" w:space="0" w:color="auto"/>
                    <w:right w:val="none" w:sz="0" w:space="0" w:color="auto"/>
                  </w:divBdr>
                </w:div>
                <w:div w:id="155918366">
                  <w:marLeft w:val="0"/>
                  <w:marRight w:val="0"/>
                  <w:marTop w:val="0"/>
                  <w:marBottom w:val="0"/>
                  <w:divBdr>
                    <w:top w:val="none" w:sz="0" w:space="0" w:color="auto"/>
                    <w:left w:val="none" w:sz="0" w:space="0" w:color="auto"/>
                    <w:bottom w:val="none" w:sz="0" w:space="0" w:color="auto"/>
                    <w:right w:val="none" w:sz="0" w:space="0" w:color="auto"/>
                  </w:divBdr>
                </w:div>
                <w:div w:id="50089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4899</TotalTime>
  <Pages>9</Pages>
  <Words>3748</Words>
  <Characters>21366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299</cp:revision>
  <dcterms:created xsi:type="dcterms:W3CDTF">2023-09-20T02:44:00Z</dcterms:created>
  <dcterms:modified xsi:type="dcterms:W3CDTF">2023-11-09T07:04:00Z</dcterms:modified>
</cp:coreProperties>
</file>