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266B76" w14:textId="12C729D6" w:rsidR="007D11B0" w:rsidRPr="00FF507F" w:rsidRDefault="007D11B0">
      <w:pPr>
        <w:rPr>
          <w:rFonts w:ascii="Arial" w:hAnsi="Arial" w:cs="Arial"/>
          <w:color w:val="0070C0"/>
          <w:sz w:val="24"/>
          <w:szCs w:val="24"/>
        </w:rPr>
      </w:pPr>
    </w:p>
    <w:tbl>
      <w:tblPr>
        <w:tblStyle w:val="TableGrid"/>
        <w:tblW w:w="0" w:type="auto"/>
        <w:tblLook w:val="04A0" w:firstRow="1" w:lastRow="0" w:firstColumn="1" w:lastColumn="0" w:noHBand="0" w:noVBand="1"/>
      </w:tblPr>
      <w:tblGrid>
        <w:gridCol w:w="4621"/>
        <w:gridCol w:w="4621"/>
      </w:tblGrid>
      <w:tr w:rsidR="00983E5B" w14:paraId="26A5DDC0" w14:textId="77777777" w:rsidTr="00983E5B">
        <w:tc>
          <w:tcPr>
            <w:tcW w:w="4621" w:type="dxa"/>
          </w:tcPr>
          <w:p w14:paraId="71447F46" w14:textId="77777777" w:rsidR="00983E5B" w:rsidRDefault="00983E5B" w:rsidP="00983E5B">
            <w:pPr>
              <w:rPr>
                <w:rFonts w:ascii="Arial" w:hAnsi="Arial" w:cs="Arial"/>
                <w:sz w:val="24"/>
                <w:szCs w:val="24"/>
              </w:rPr>
            </w:pPr>
            <w:proofErr w:type="spellStart"/>
            <w:r w:rsidRPr="00FF507F">
              <w:rPr>
                <w:rFonts w:ascii="Arial" w:hAnsi="Arial" w:cs="Arial"/>
                <w:sz w:val="24"/>
                <w:szCs w:val="24"/>
              </w:rPr>
              <w:t>Ymarferiad</w:t>
            </w:r>
            <w:proofErr w:type="spellEnd"/>
            <w:r w:rsidRPr="00FF507F">
              <w:rPr>
                <w:rFonts w:ascii="Arial" w:hAnsi="Arial" w:cs="Arial"/>
                <w:sz w:val="24"/>
                <w:szCs w:val="24"/>
              </w:rPr>
              <w:t xml:space="preserve"> </w:t>
            </w:r>
            <w:proofErr w:type="spellStart"/>
            <w:r w:rsidRPr="00FF507F">
              <w:rPr>
                <w:rFonts w:ascii="Arial" w:hAnsi="Arial" w:cs="Arial"/>
                <w:sz w:val="24"/>
                <w:szCs w:val="24"/>
              </w:rPr>
              <w:t>atodol</w:t>
            </w:r>
            <w:proofErr w:type="spellEnd"/>
            <w:r w:rsidRPr="00FF507F">
              <w:rPr>
                <w:rFonts w:ascii="Arial" w:hAnsi="Arial" w:cs="Arial"/>
                <w:sz w:val="24"/>
                <w:szCs w:val="24"/>
              </w:rPr>
              <w:t xml:space="preserve"> </w:t>
            </w:r>
            <w:proofErr w:type="spellStart"/>
            <w:r w:rsidRPr="00FF507F">
              <w:rPr>
                <w:rFonts w:ascii="Arial" w:hAnsi="Arial" w:cs="Arial"/>
                <w:sz w:val="24"/>
                <w:szCs w:val="24"/>
              </w:rPr>
              <w:t>yw</w:t>
            </w:r>
            <w:proofErr w:type="spellEnd"/>
            <w:r w:rsidRPr="00FF507F">
              <w:rPr>
                <w:rFonts w:ascii="Arial" w:hAnsi="Arial" w:cs="Arial"/>
                <w:sz w:val="24"/>
                <w:szCs w:val="24"/>
              </w:rPr>
              <w:t xml:space="preserve"> hwn a fydd yn eich helpu i </w:t>
            </w:r>
            <w:proofErr w:type="spellStart"/>
            <w:r w:rsidRPr="00FF507F">
              <w:rPr>
                <w:rFonts w:ascii="Arial" w:hAnsi="Arial" w:cs="Arial"/>
                <w:sz w:val="24"/>
                <w:szCs w:val="24"/>
              </w:rPr>
              <w:t>werthuso</w:t>
            </w:r>
            <w:proofErr w:type="spellEnd"/>
            <w:r w:rsidRPr="00FF507F">
              <w:rPr>
                <w:rFonts w:ascii="Arial" w:hAnsi="Arial" w:cs="Arial"/>
                <w:sz w:val="24"/>
                <w:szCs w:val="24"/>
              </w:rPr>
              <w:t xml:space="preserve"> ymyrraeth </w:t>
            </w:r>
            <w:proofErr w:type="spellStart"/>
            <w:r w:rsidRPr="00FF507F">
              <w:rPr>
                <w:rFonts w:ascii="Arial" w:hAnsi="Arial" w:cs="Arial"/>
                <w:sz w:val="24"/>
                <w:szCs w:val="24"/>
              </w:rPr>
              <w:t>gynnar</w:t>
            </w:r>
            <w:proofErr w:type="spellEnd"/>
            <w:r w:rsidRPr="00FF507F">
              <w:rPr>
                <w:rFonts w:ascii="Arial" w:hAnsi="Arial" w:cs="Arial"/>
                <w:sz w:val="24"/>
                <w:szCs w:val="24"/>
              </w:rPr>
              <w:t xml:space="preserve"> yn y </w:t>
            </w:r>
            <w:proofErr w:type="spellStart"/>
            <w:r w:rsidRPr="00FF507F">
              <w:rPr>
                <w:rFonts w:ascii="Arial" w:hAnsi="Arial" w:cs="Arial"/>
                <w:sz w:val="24"/>
                <w:szCs w:val="24"/>
              </w:rPr>
              <w:t>blynyddoedd</w:t>
            </w:r>
            <w:proofErr w:type="spellEnd"/>
            <w:r w:rsidRPr="00FF507F">
              <w:rPr>
                <w:rFonts w:ascii="Arial" w:hAnsi="Arial" w:cs="Arial"/>
                <w:sz w:val="24"/>
                <w:szCs w:val="24"/>
              </w:rPr>
              <w:t xml:space="preserve"> cynnar yn </w:t>
            </w:r>
            <w:proofErr w:type="spellStart"/>
            <w:r w:rsidRPr="00FF507F">
              <w:rPr>
                <w:rFonts w:ascii="Arial" w:hAnsi="Arial" w:cs="Arial"/>
                <w:sz w:val="24"/>
                <w:szCs w:val="24"/>
              </w:rPr>
              <w:t>feirniadol</w:t>
            </w:r>
            <w:proofErr w:type="spellEnd"/>
            <w:r w:rsidRPr="00FF507F">
              <w:rPr>
                <w:rFonts w:ascii="Arial" w:hAnsi="Arial" w:cs="Arial"/>
                <w:sz w:val="24"/>
                <w:szCs w:val="24"/>
              </w:rPr>
              <w:t xml:space="preserve">. </w:t>
            </w:r>
            <w:proofErr w:type="spellStart"/>
            <w:r w:rsidRPr="00FF507F">
              <w:rPr>
                <w:rFonts w:ascii="Arial" w:hAnsi="Arial" w:cs="Arial"/>
                <w:sz w:val="24"/>
                <w:szCs w:val="24"/>
              </w:rPr>
              <w:t>Cyfeiriwch</w:t>
            </w:r>
            <w:proofErr w:type="spellEnd"/>
            <w:r w:rsidRPr="00FF507F">
              <w:rPr>
                <w:rFonts w:ascii="Arial" w:hAnsi="Arial" w:cs="Arial"/>
                <w:sz w:val="24"/>
                <w:szCs w:val="24"/>
              </w:rPr>
              <w:t xml:space="preserve"> hefyd at </w:t>
            </w:r>
            <w:proofErr w:type="spellStart"/>
            <w:r w:rsidRPr="00FF507F">
              <w:rPr>
                <w:rFonts w:ascii="Arial" w:hAnsi="Arial" w:cs="Arial"/>
                <w:sz w:val="24"/>
                <w:szCs w:val="24"/>
              </w:rPr>
              <w:t>dudalen</w:t>
            </w:r>
            <w:proofErr w:type="spellEnd"/>
            <w:r w:rsidRPr="00FF507F">
              <w:rPr>
                <w:rFonts w:ascii="Arial" w:hAnsi="Arial" w:cs="Arial"/>
                <w:sz w:val="24"/>
                <w:szCs w:val="24"/>
              </w:rPr>
              <w:t xml:space="preserve"> we Moodle a PowerPoint.</w:t>
            </w:r>
          </w:p>
          <w:p w14:paraId="4DA1F943" w14:textId="77777777" w:rsidR="00983E5B" w:rsidRDefault="00983E5B">
            <w:pPr>
              <w:rPr>
                <w:rFonts w:ascii="Arial" w:hAnsi="Arial" w:cs="Arial"/>
                <w:sz w:val="24"/>
                <w:szCs w:val="24"/>
              </w:rPr>
            </w:pPr>
          </w:p>
        </w:tc>
        <w:tc>
          <w:tcPr>
            <w:tcW w:w="4621" w:type="dxa"/>
          </w:tcPr>
          <w:p w14:paraId="59E44E8A" w14:textId="7D9CA5F2" w:rsidR="00983E5B" w:rsidRDefault="00983E5B">
            <w:pPr>
              <w:rPr>
                <w:rFonts w:ascii="Arial" w:hAnsi="Arial" w:cs="Arial"/>
                <w:sz w:val="24"/>
                <w:szCs w:val="24"/>
              </w:rPr>
            </w:pPr>
            <w:r w:rsidRPr="00FF507F">
              <w:rPr>
                <w:rFonts w:ascii="Arial" w:hAnsi="Arial" w:cs="Arial"/>
                <w:color w:val="0070C0"/>
                <w:sz w:val="24"/>
                <w:szCs w:val="24"/>
              </w:rPr>
              <w:t>This is a supplementary exercise that will help you with critically evaluating early intervention in the early years. Please also refer to the Moodle webpage and PowerPoint.</w:t>
            </w:r>
          </w:p>
        </w:tc>
      </w:tr>
    </w:tbl>
    <w:p w14:paraId="75EADF36" w14:textId="4E950F79" w:rsidR="006A2BE4" w:rsidRDefault="006A2BE4">
      <w:pPr>
        <w:rPr>
          <w:rFonts w:ascii="Arial" w:hAnsi="Arial" w:cs="Arial"/>
          <w:sz w:val="24"/>
          <w:szCs w:val="24"/>
        </w:rPr>
      </w:pPr>
    </w:p>
    <w:p w14:paraId="477F6B93" w14:textId="1E8C4D05" w:rsidR="007921DA" w:rsidRDefault="007921DA">
      <w:pPr>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341CC9" w14:paraId="31BE9501" w14:textId="77777777" w:rsidTr="00341CC9">
        <w:tc>
          <w:tcPr>
            <w:tcW w:w="4621" w:type="dxa"/>
          </w:tcPr>
          <w:p w14:paraId="0F976CBA" w14:textId="77777777" w:rsidR="00341CC9" w:rsidRPr="00341CC9" w:rsidRDefault="00341CC9" w:rsidP="00341CC9">
            <w:pPr>
              <w:rPr>
                <w:rFonts w:ascii="Arial" w:hAnsi="Arial" w:cs="Arial"/>
                <w:b/>
                <w:bCs/>
                <w:sz w:val="24"/>
                <w:szCs w:val="24"/>
              </w:rPr>
            </w:pPr>
            <w:proofErr w:type="spellStart"/>
            <w:r w:rsidRPr="00341CC9">
              <w:rPr>
                <w:rFonts w:ascii="Arial" w:hAnsi="Arial" w:cs="Arial"/>
                <w:b/>
                <w:bCs/>
                <w:sz w:val="24"/>
                <w:szCs w:val="24"/>
              </w:rPr>
              <w:t>Adran</w:t>
            </w:r>
            <w:proofErr w:type="spellEnd"/>
            <w:r w:rsidRPr="00341CC9">
              <w:rPr>
                <w:rFonts w:ascii="Arial" w:hAnsi="Arial" w:cs="Arial"/>
                <w:b/>
                <w:bCs/>
                <w:sz w:val="24"/>
                <w:szCs w:val="24"/>
              </w:rPr>
              <w:t xml:space="preserve"> 3: Rhai </w:t>
            </w:r>
            <w:proofErr w:type="spellStart"/>
            <w:r w:rsidRPr="00341CC9">
              <w:rPr>
                <w:rFonts w:ascii="Arial" w:hAnsi="Arial" w:cs="Arial"/>
                <w:b/>
                <w:bCs/>
                <w:sz w:val="24"/>
                <w:szCs w:val="24"/>
              </w:rPr>
              <w:t>heriau</w:t>
            </w:r>
            <w:proofErr w:type="spellEnd"/>
            <w:r w:rsidRPr="00341CC9">
              <w:rPr>
                <w:rFonts w:ascii="Arial" w:hAnsi="Arial" w:cs="Arial"/>
                <w:b/>
                <w:bCs/>
                <w:sz w:val="24"/>
                <w:szCs w:val="24"/>
              </w:rPr>
              <w:t xml:space="preserve"> allweddol cyffredinol ar gyfer ymyrraeth </w:t>
            </w:r>
            <w:proofErr w:type="spellStart"/>
            <w:r w:rsidRPr="00341CC9">
              <w:rPr>
                <w:rFonts w:ascii="Arial" w:hAnsi="Arial" w:cs="Arial"/>
                <w:b/>
                <w:bCs/>
                <w:sz w:val="24"/>
                <w:szCs w:val="24"/>
              </w:rPr>
              <w:t>gynnar</w:t>
            </w:r>
            <w:proofErr w:type="spellEnd"/>
            <w:r w:rsidRPr="00341CC9">
              <w:rPr>
                <w:rFonts w:ascii="Arial" w:hAnsi="Arial" w:cs="Arial"/>
                <w:b/>
                <w:bCs/>
                <w:sz w:val="24"/>
                <w:szCs w:val="24"/>
              </w:rPr>
              <w:t>:</w:t>
            </w:r>
          </w:p>
          <w:p w14:paraId="3F32DE2F" w14:textId="77777777" w:rsidR="00341CC9" w:rsidRPr="00983E5B" w:rsidRDefault="00341CC9" w:rsidP="00341CC9">
            <w:pPr>
              <w:rPr>
                <w:rFonts w:ascii="Arial" w:hAnsi="Arial" w:cs="Arial"/>
                <w:sz w:val="24"/>
                <w:szCs w:val="24"/>
              </w:rPr>
            </w:pPr>
          </w:p>
          <w:p w14:paraId="1D8276E9" w14:textId="77777777" w:rsidR="00341CC9" w:rsidRDefault="00341CC9" w:rsidP="00341CC9">
            <w:pPr>
              <w:rPr>
                <w:rFonts w:ascii="Arial" w:hAnsi="Arial" w:cs="Arial"/>
                <w:sz w:val="24"/>
                <w:szCs w:val="24"/>
              </w:rPr>
            </w:pPr>
            <w:proofErr w:type="spellStart"/>
            <w:r w:rsidRPr="00983E5B">
              <w:rPr>
                <w:rFonts w:ascii="Arial" w:hAnsi="Arial" w:cs="Arial"/>
                <w:sz w:val="24"/>
                <w:szCs w:val="24"/>
              </w:rPr>
              <w:t>Rhestrwch</w:t>
            </w:r>
            <w:proofErr w:type="spellEnd"/>
            <w:r w:rsidRPr="00983E5B">
              <w:rPr>
                <w:rFonts w:ascii="Arial" w:hAnsi="Arial" w:cs="Arial"/>
                <w:sz w:val="24"/>
                <w:szCs w:val="24"/>
              </w:rPr>
              <w:t xml:space="preserve"> yr </w:t>
            </w:r>
            <w:proofErr w:type="spellStart"/>
            <w:r w:rsidRPr="00983E5B">
              <w:rPr>
                <w:rFonts w:ascii="Arial" w:hAnsi="Arial" w:cs="Arial"/>
                <w:sz w:val="24"/>
                <w:szCs w:val="24"/>
              </w:rPr>
              <w:t>heriau</w:t>
            </w:r>
            <w:proofErr w:type="spellEnd"/>
            <w:r w:rsidRPr="00983E5B">
              <w:rPr>
                <w:rFonts w:ascii="Arial" w:hAnsi="Arial" w:cs="Arial"/>
                <w:sz w:val="24"/>
                <w:szCs w:val="24"/>
              </w:rPr>
              <w:t xml:space="preserve"> allweddol yn y </w:t>
            </w:r>
            <w:proofErr w:type="spellStart"/>
            <w:r w:rsidRPr="00983E5B">
              <w:rPr>
                <w:rFonts w:ascii="Arial" w:hAnsi="Arial" w:cs="Arial"/>
                <w:sz w:val="24"/>
                <w:szCs w:val="24"/>
              </w:rPr>
              <w:t>dogfennau</w:t>
            </w:r>
            <w:proofErr w:type="spellEnd"/>
            <w:r w:rsidRPr="00983E5B">
              <w:rPr>
                <w:rFonts w:ascii="Arial" w:hAnsi="Arial" w:cs="Arial"/>
                <w:sz w:val="24"/>
                <w:szCs w:val="24"/>
              </w:rPr>
              <w:t xml:space="preserve"> hyn</w:t>
            </w:r>
          </w:p>
          <w:p w14:paraId="74765148" w14:textId="77777777" w:rsidR="00341CC9" w:rsidRDefault="00341CC9">
            <w:pPr>
              <w:rPr>
                <w:rFonts w:ascii="Arial" w:hAnsi="Arial" w:cs="Arial"/>
                <w:sz w:val="24"/>
                <w:szCs w:val="24"/>
              </w:rPr>
            </w:pPr>
          </w:p>
        </w:tc>
        <w:tc>
          <w:tcPr>
            <w:tcW w:w="4621" w:type="dxa"/>
          </w:tcPr>
          <w:p w14:paraId="3F6C8E2C" w14:textId="77777777" w:rsidR="00341CC9" w:rsidRPr="00FF507F" w:rsidRDefault="00341CC9" w:rsidP="00341CC9">
            <w:pPr>
              <w:rPr>
                <w:rFonts w:ascii="Arial" w:hAnsi="Arial" w:cs="Arial"/>
                <w:b/>
                <w:bCs/>
                <w:sz w:val="24"/>
                <w:szCs w:val="24"/>
              </w:rPr>
            </w:pPr>
            <w:r w:rsidRPr="00FF507F">
              <w:rPr>
                <w:rFonts w:ascii="Arial" w:hAnsi="Arial" w:cs="Arial"/>
                <w:b/>
                <w:bCs/>
                <w:sz w:val="24"/>
                <w:szCs w:val="24"/>
              </w:rPr>
              <w:t xml:space="preserve">Section 3: </w:t>
            </w:r>
            <w:r>
              <w:rPr>
                <w:rFonts w:ascii="Arial" w:hAnsi="Arial" w:cs="Arial"/>
                <w:b/>
                <w:bCs/>
                <w:sz w:val="24"/>
                <w:szCs w:val="24"/>
              </w:rPr>
              <w:t>Some general k</w:t>
            </w:r>
            <w:r w:rsidRPr="00FF507F">
              <w:rPr>
                <w:rFonts w:ascii="Arial" w:hAnsi="Arial" w:cs="Arial"/>
                <w:b/>
                <w:bCs/>
                <w:sz w:val="24"/>
                <w:szCs w:val="24"/>
              </w:rPr>
              <w:t>ey challenges for early intervention:</w:t>
            </w:r>
          </w:p>
          <w:p w14:paraId="4297159C" w14:textId="77777777" w:rsidR="00341CC9" w:rsidRPr="00141FBF" w:rsidRDefault="00341CC9" w:rsidP="00341CC9">
            <w:pPr>
              <w:rPr>
                <w:rFonts w:ascii="Arial" w:hAnsi="Arial" w:cs="Arial"/>
                <w:sz w:val="24"/>
                <w:szCs w:val="24"/>
              </w:rPr>
            </w:pPr>
          </w:p>
          <w:p w14:paraId="3924E387" w14:textId="77777777" w:rsidR="00341CC9" w:rsidRPr="00BA4BA6" w:rsidRDefault="00341CC9" w:rsidP="00341CC9">
            <w:pPr>
              <w:rPr>
                <w:rFonts w:ascii="Arial" w:hAnsi="Arial" w:cs="Arial"/>
                <w:color w:val="0070C0"/>
                <w:sz w:val="24"/>
                <w:szCs w:val="24"/>
              </w:rPr>
            </w:pPr>
            <w:r w:rsidRPr="00BA4BA6">
              <w:rPr>
                <w:rFonts w:ascii="Arial" w:hAnsi="Arial" w:cs="Arial"/>
                <w:color w:val="0070C0"/>
                <w:sz w:val="24"/>
                <w:szCs w:val="24"/>
              </w:rPr>
              <w:t>List the key challenges in these documents</w:t>
            </w:r>
          </w:p>
          <w:p w14:paraId="7A192573" w14:textId="77777777" w:rsidR="00341CC9" w:rsidRDefault="00341CC9">
            <w:pPr>
              <w:rPr>
                <w:rFonts w:ascii="Arial" w:hAnsi="Arial" w:cs="Arial"/>
                <w:sz w:val="24"/>
                <w:szCs w:val="24"/>
              </w:rPr>
            </w:pPr>
          </w:p>
        </w:tc>
      </w:tr>
    </w:tbl>
    <w:p w14:paraId="572271E8" w14:textId="77777777" w:rsidR="00983E5B" w:rsidRDefault="00983E5B" w:rsidP="00983E5B">
      <w:pPr>
        <w:rPr>
          <w:rFonts w:ascii="Arial" w:hAnsi="Arial" w:cs="Arial"/>
          <w:sz w:val="24"/>
          <w:szCs w:val="24"/>
        </w:rPr>
      </w:pPr>
    </w:p>
    <w:p w14:paraId="31B1403D" w14:textId="77777777" w:rsidR="007D11B0" w:rsidRPr="00141FBF" w:rsidRDefault="007D11B0">
      <w:pPr>
        <w:rPr>
          <w:rFonts w:ascii="Arial" w:hAnsi="Arial" w:cs="Arial"/>
          <w:sz w:val="24"/>
          <w:szCs w:val="24"/>
        </w:rPr>
      </w:pPr>
    </w:p>
    <w:p w14:paraId="25F79DB9" w14:textId="5E0ECCE2" w:rsidR="00D42A19" w:rsidRPr="00BA4BA6" w:rsidRDefault="005545C6">
      <w:pPr>
        <w:rPr>
          <w:rFonts w:ascii="Arial" w:hAnsi="Arial" w:cs="Arial"/>
          <w:color w:val="7030A0"/>
          <w:sz w:val="24"/>
          <w:szCs w:val="24"/>
        </w:rPr>
      </w:pPr>
      <w:hyperlink r:id="rId5" w:history="1">
        <w:r w:rsidRPr="00BA4BA6">
          <w:rPr>
            <w:rStyle w:val="Hyperlink"/>
            <w:rFonts w:ascii="Arial" w:hAnsi="Arial" w:cs="Arial"/>
            <w:color w:val="7030A0"/>
            <w:sz w:val="24"/>
            <w:szCs w:val="24"/>
          </w:rPr>
          <w:t>https://publications.parliament.uk/pa/cm201719/cmselect/cmsctech/506/50607.htm</w:t>
        </w:r>
      </w:hyperlink>
    </w:p>
    <w:p w14:paraId="78D6EC97" w14:textId="683F4BAC" w:rsidR="005545C6" w:rsidRPr="00BA4BA6" w:rsidRDefault="005545C6">
      <w:pPr>
        <w:rPr>
          <w:rFonts w:ascii="Arial" w:hAnsi="Arial" w:cs="Arial"/>
          <w:color w:val="7030A0"/>
          <w:sz w:val="24"/>
          <w:szCs w:val="24"/>
        </w:rPr>
      </w:pPr>
    </w:p>
    <w:p w14:paraId="5F46F833" w14:textId="2383CD59" w:rsidR="005545C6" w:rsidRPr="00BA4BA6" w:rsidRDefault="005545C6">
      <w:pPr>
        <w:rPr>
          <w:rFonts w:ascii="Arial" w:hAnsi="Arial" w:cs="Arial"/>
          <w:color w:val="7030A0"/>
          <w:sz w:val="24"/>
          <w:szCs w:val="24"/>
        </w:rPr>
      </w:pPr>
      <w:hyperlink r:id="rId6" w:history="1">
        <w:r w:rsidRPr="00BA4BA6">
          <w:rPr>
            <w:rStyle w:val="Hyperlink"/>
            <w:rFonts w:ascii="Arial" w:hAnsi="Arial" w:cs="Arial"/>
            <w:color w:val="7030A0"/>
            <w:sz w:val="24"/>
            <w:szCs w:val="24"/>
          </w:rPr>
          <w:t>https://www.actionforchildren.org.uk/our-work-and-impact/policy-work-campaigns-and-research/policy-reports/barriers-to-accessing-early-years-services-for-children/#:~:text=The%20most%20common%20barriers%20to,on%20themselves%20or%20their%20child</w:t>
        </w:r>
      </w:hyperlink>
      <w:r w:rsidRPr="00BA4BA6">
        <w:rPr>
          <w:rFonts w:ascii="Arial" w:hAnsi="Arial" w:cs="Arial"/>
          <w:color w:val="7030A0"/>
          <w:sz w:val="24"/>
          <w:szCs w:val="24"/>
        </w:rPr>
        <w:t>.</w:t>
      </w:r>
    </w:p>
    <w:p w14:paraId="60026DC8" w14:textId="255E71EC" w:rsidR="005545C6" w:rsidRDefault="005545C6">
      <w:pPr>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341CC9" w14:paraId="6235F50C" w14:textId="77777777" w:rsidTr="00341CC9">
        <w:tc>
          <w:tcPr>
            <w:tcW w:w="4621" w:type="dxa"/>
          </w:tcPr>
          <w:p w14:paraId="4459BD65" w14:textId="0AB1F892" w:rsidR="00D371E8" w:rsidRPr="00341CC9" w:rsidRDefault="00D371E8" w:rsidP="00341CC9">
            <w:pPr>
              <w:rPr>
                <w:rFonts w:ascii="Arial" w:hAnsi="Arial" w:cs="Arial"/>
                <w:sz w:val="24"/>
                <w:szCs w:val="24"/>
              </w:rPr>
            </w:pPr>
            <w:proofErr w:type="spellStart"/>
            <w:r w:rsidRPr="00D371E8">
              <w:rPr>
                <w:rFonts w:ascii="Arial" w:hAnsi="Arial" w:cs="Arial"/>
                <w:sz w:val="24"/>
                <w:szCs w:val="24"/>
              </w:rPr>
              <w:t>Adran</w:t>
            </w:r>
            <w:proofErr w:type="spellEnd"/>
            <w:r w:rsidRPr="00D371E8">
              <w:rPr>
                <w:rFonts w:ascii="Arial" w:hAnsi="Arial" w:cs="Arial"/>
                <w:sz w:val="24"/>
                <w:szCs w:val="24"/>
              </w:rPr>
              <w:t xml:space="preserve"> 3: </w:t>
            </w:r>
            <w:proofErr w:type="spellStart"/>
            <w:r w:rsidRPr="00D371E8">
              <w:rPr>
                <w:rFonts w:ascii="Arial" w:hAnsi="Arial" w:cs="Arial"/>
                <w:sz w:val="24"/>
                <w:szCs w:val="24"/>
              </w:rPr>
              <w:t>Materion</w:t>
            </w:r>
            <w:proofErr w:type="spellEnd"/>
            <w:r w:rsidRPr="00D371E8">
              <w:rPr>
                <w:rFonts w:ascii="Arial" w:hAnsi="Arial" w:cs="Arial"/>
                <w:sz w:val="24"/>
                <w:szCs w:val="24"/>
              </w:rPr>
              <w:t xml:space="preserve"> allweddol wrth </w:t>
            </w:r>
            <w:proofErr w:type="spellStart"/>
            <w:r w:rsidRPr="00D371E8">
              <w:rPr>
                <w:rFonts w:ascii="Arial" w:hAnsi="Arial" w:cs="Arial"/>
                <w:sz w:val="24"/>
                <w:szCs w:val="24"/>
              </w:rPr>
              <w:t>ganolbwyntio</w:t>
            </w:r>
            <w:proofErr w:type="spellEnd"/>
            <w:r w:rsidRPr="00D371E8">
              <w:rPr>
                <w:rFonts w:ascii="Arial" w:hAnsi="Arial" w:cs="Arial"/>
                <w:sz w:val="24"/>
                <w:szCs w:val="24"/>
              </w:rPr>
              <w:t xml:space="preserve"> ar ACES (</w:t>
            </w:r>
            <w:proofErr w:type="spellStart"/>
            <w:r w:rsidRPr="00D371E8">
              <w:rPr>
                <w:rFonts w:ascii="Arial" w:hAnsi="Arial" w:cs="Arial"/>
                <w:sz w:val="24"/>
                <w:szCs w:val="24"/>
              </w:rPr>
              <w:t>os</w:t>
            </w:r>
            <w:proofErr w:type="spellEnd"/>
            <w:r w:rsidRPr="00D371E8">
              <w:rPr>
                <w:rFonts w:ascii="Arial" w:hAnsi="Arial" w:cs="Arial"/>
                <w:sz w:val="24"/>
                <w:szCs w:val="24"/>
              </w:rPr>
              <w:t xml:space="preserve"> </w:t>
            </w:r>
            <w:proofErr w:type="spellStart"/>
            <w:r w:rsidRPr="00D371E8">
              <w:rPr>
                <w:rFonts w:ascii="Arial" w:hAnsi="Arial" w:cs="Arial"/>
                <w:sz w:val="24"/>
                <w:szCs w:val="24"/>
              </w:rPr>
              <w:t>ydych</w:t>
            </w:r>
            <w:proofErr w:type="spellEnd"/>
            <w:r w:rsidRPr="00D371E8">
              <w:rPr>
                <w:rFonts w:ascii="Arial" w:hAnsi="Arial" w:cs="Arial"/>
                <w:sz w:val="24"/>
                <w:szCs w:val="24"/>
              </w:rPr>
              <w:t xml:space="preserve"> yn </w:t>
            </w:r>
            <w:proofErr w:type="spellStart"/>
            <w:r w:rsidRPr="00D371E8">
              <w:rPr>
                <w:rFonts w:ascii="Arial" w:hAnsi="Arial" w:cs="Arial"/>
                <w:sz w:val="24"/>
                <w:szCs w:val="24"/>
              </w:rPr>
              <w:t>defnyddio</w:t>
            </w:r>
            <w:proofErr w:type="spellEnd"/>
            <w:r w:rsidRPr="00D371E8">
              <w:rPr>
                <w:rFonts w:ascii="Arial" w:hAnsi="Arial" w:cs="Arial"/>
                <w:sz w:val="24"/>
                <w:szCs w:val="24"/>
              </w:rPr>
              <w:t xml:space="preserve"> hwn fel eich mater </w:t>
            </w:r>
            <w:proofErr w:type="spellStart"/>
            <w:r w:rsidRPr="00D371E8">
              <w:rPr>
                <w:rFonts w:ascii="Arial" w:hAnsi="Arial" w:cs="Arial"/>
                <w:sz w:val="24"/>
                <w:szCs w:val="24"/>
              </w:rPr>
              <w:t>cymdeithasegol</w:t>
            </w:r>
            <w:proofErr w:type="spellEnd"/>
            <w:r w:rsidRPr="00D371E8">
              <w:rPr>
                <w:rFonts w:ascii="Arial" w:hAnsi="Arial" w:cs="Arial"/>
                <w:sz w:val="24"/>
                <w:szCs w:val="24"/>
              </w:rPr>
              <w:t>):</w:t>
            </w:r>
          </w:p>
          <w:p w14:paraId="7D7CCC60" w14:textId="77777777" w:rsidR="00341CC9" w:rsidRDefault="00341CC9">
            <w:pPr>
              <w:rPr>
                <w:rFonts w:ascii="Arial" w:hAnsi="Arial" w:cs="Arial"/>
                <w:sz w:val="24"/>
                <w:szCs w:val="24"/>
              </w:rPr>
            </w:pPr>
          </w:p>
        </w:tc>
        <w:tc>
          <w:tcPr>
            <w:tcW w:w="4621" w:type="dxa"/>
          </w:tcPr>
          <w:p w14:paraId="384B8046" w14:textId="77777777" w:rsidR="00D371E8" w:rsidRPr="00D371E8" w:rsidRDefault="00D371E8" w:rsidP="00D371E8">
            <w:pPr>
              <w:spacing w:after="160" w:line="259" w:lineRule="auto"/>
              <w:rPr>
                <w:rFonts w:ascii="Arial" w:hAnsi="Arial" w:cs="Arial"/>
                <w:color w:val="0070C0"/>
                <w:sz w:val="24"/>
                <w:szCs w:val="24"/>
              </w:rPr>
            </w:pPr>
            <w:r w:rsidRPr="00D371E8">
              <w:rPr>
                <w:rFonts w:ascii="Arial" w:hAnsi="Arial" w:cs="Arial"/>
                <w:color w:val="0070C0"/>
                <w:sz w:val="24"/>
                <w:szCs w:val="24"/>
              </w:rPr>
              <w:t>Section 3: Key issues with focussing on ACES (if using this as your sociological issue):</w:t>
            </w:r>
          </w:p>
          <w:p w14:paraId="37B97E7B" w14:textId="77777777" w:rsidR="00341CC9" w:rsidRDefault="00341CC9">
            <w:pPr>
              <w:rPr>
                <w:rFonts w:ascii="Arial" w:hAnsi="Arial" w:cs="Arial"/>
                <w:sz w:val="24"/>
                <w:szCs w:val="24"/>
              </w:rPr>
            </w:pPr>
          </w:p>
        </w:tc>
      </w:tr>
    </w:tbl>
    <w:p w14:paraId="273CB188" w14:textId="5E737E6E" w:rsidR="005545C6" w:rsidRPr="00141FBF" w:rsidRDefault="005545C6">
      <w:pPr>
        <w:rPr>
          <w:rFonts w:ascii="Arial" w:hAnsi="Arial" w:cs="Arial"/>
          <w:sz w:val="24"/>
          <w:szCs w:val="24"/>
        </w:rPr>
      </w:pPr>
    </w:p>
    <w:p w14:paraId="0FC61B81" w14:textId="7EC0C0F2" w:rsidR="005545C6" w:rsidRPr="00BA4BA6" w:rsidRDefault="005545C6">
      <w:pPr>
        <w:rPr>
          <w:rFonts w:ascii="Arial" w:hAnsi="Arial" w:cs="Arial"/>
          <w:color w:val="7030A0"/>
          <w:sz w:val="24"/>
          <w:szCs w:val="24"/>
        </w:rPr>
      </w:pPr>
      <w:hyperlink r:id="rId7" w:history="1">
        <w:r w:rsidRPr="00BA4BA6">
          <w:rPr>
            <w:rStyle w:val="Hyperlink"/>
            <w:rFonts w:ascii="Arial" w:hAnsi="Arial" w:cs="Arial"/>
            <w:color w:val="7030A0"/>
            <w:sz w:val="24"/>
            <w:szCs w:val="24"/>
          </w:rPr>
          <w:t>https://publichealthy.co.uk/good-intentions-but-the-right-approach-the-case-of-aces/</w:t>
        </w:r>
      </w:hyperlink>
    </w:p>
    <w:p w14:paraId="43B6FAD3" w14:textId="6FF4BDC9" w:rsidR="005545C6" w:rsidRPr="00BA4BA6" w:rsidRDefault="005545C6">
      <w:pPr>
        <w:rPr>
          <w:rFonts w:ascii="Arial" w:hAnsi="Arial" w:cs="Arial"/>
          <w:color w:val="7030A0"/>
          <w:sz w:val="24"/>
          <w:szCs w:val="24"/>
        </w:rPr>
      </w:pPr>
      <w:hyperlink r:id="rId8" w:history="1">
        <w:r w:rsidRPr="00BA4BA6">
          <w:rPr>
            <w:rStyle w:val="Hyperlink"/>
            <w:rFonts w:ascii="Arial" w:hAnsi="Arial" w:cs="Arial"/>
            <w:color w:val="7030A0"/>
            <w:sz w:val="24"/>
            <w:szCs w:val="24"/>
          </w:rPr>
          <w:t>https://www.childcomwales.org.uk/wp-content/uploads/2018/10/ACEs-Position-Paper-CCFW-Sally-Holland.pdf</w:t>
        </w:r>
      </w:hyperlink>
    </w:p>
    <w:p w14:paraId="33DD1E96" w14:textId="1F5FE7B4" w:rsidR="005545C6" w:rsidRPr="00141FBF" w:rsidRDefault="005545C6">
      <w:pPr>
        <w:rPr>
          <w:rFonts w:ascii="Arial" w:hAnsi="Arial" w:cs="Arial"/>
          <w:sz w:val="24"/>
          <w:szCs w:val="24"/>
        </w:rPr>
      </w:pPr>
    </w:p>
    <w:p w14:paraId="3D48B40A" w14:textId="3B9687E6" w:rsidR="005545C6" w:rsidRPr="00141FBF" w:rsidRDefault="00BA4BA6">
      <w:pPr>
        <w:rPr>
          <w:rFonts w:ascii="Arial" w:hAnsi="Arial" w:cs="Arial"/>
          <w:sz w:val="24"/>
          <w:szCs w:val="24"/>
        </w:rPr>
      </w:pPr>
      <w:proofErr w:type="spellStart"/>
      <w:r w:rsidRPr="00BA4BA6">
        <w:rPr>
          <w:rFonts w:ascii="Arial" w:hAnsi="Arial" w:cs="Arial"/>
          <w:sz w:val="24"/>
          <w:szCs w:val="24"/>
        </w:rPr>
        <w:t>Rhestrwch</w:t>
      </w:r>
      <w:proofErr w:type="spellEnd"/>
      <w:r w:rsidRPr="00BA4BA6">
        <w:rPr>
          <w:rFonts w:ascii="Arial" w:hAnsi="Arial" w:cs="Arial"/>
          <w:sz w:val="24"/>
          <w:szCs w:val="24"/>
        </w:rPr>
        <w:t xml:space="preserve"> y </w:t>
      </w:r>
      <w:proofErr w:type="spellStart"/>
      <w:r w:rsidRPr="00BA4BA6">
        <w:rPr>
          <w:rFonts w:ascii="Arial" w:hAnsi="Arial" w:cs="Arial"/>
          <w:sz w:val="24"/>
          <w:szCs w:val="24"/>
        </w:rPr>
        <w:t>materion</w:t>
      </w:r>
      <w:proofErr w:type="spellEnd"/>
      <w:r w:rsidRPr="00BA4BA6">
        <w:rPr>
          <w:rFonts w:ascii="Arial" w:hAnsi="Arial" w:cs="Arial"/>
          <w:sz w:val="24"/>
          <w:szCs w:val="24"/>
        </w:rPr>
        <w:t xml:space="preserve"> allweddol</w:t>
      </w:r>
      <w:r w:rsidRPr="00BA4BA6">
        <w:rPr>
          <w:rFonts w:ascii="Arial" w:hAnsi="Arial" w:cs="Arial"/>
          <w:color w:val="0070C0"/>
          <w:sz w:val="24"/>
          <w:szCs w:val="24"/>
        </w:rPr>
        <w:t>:</w:t>
      </w:r>
      <w:r w:rsidRPr="00BA4BA6">
        <w:rPr>
          <w:rFonts w:ascii="Arial" w:hAnsi="Arial" w:cs="Arial"/>
          <w:color w:val="0070C0"/>
          <w:sz w:val="24"/>
          <w:szCs w:val="24"/>
        </w:rPr>
        <w:t xml:space="preserve">/ </w:t>
      </w:r>
      <w:r w:rsidR="005545C6" w:rsidRPr="00BA4BA6">
        <w:rPr>
          <w:rFonts w:ascii="Arial" w:hAnsi="Arial" w:cs="Arial"/>
          <w:color w:val="0070C0"/>
          <w:sz w:val="24"/>
          <w:szCs w:val="24"/>
        </w:rPr>
        <w:t>List the key issues:</w:t>
      </w:r>
    </w:p>
    <w:p w14:paraId="000AC90F" w14:textId="38D00257" w:rsidR="00141FBF" w:rsidRPr="00141FBF" w:rsidRDefault="00141FBF">
      <w:pPr>
        <w:rPr>
          <w:rFonts w:ascii="Arial" w:hAnsi="Arial" w:cs="Arial"/>
          <w:sz w:val="24"/>
          <w:szCs w:val="24"/>
        </w:rPr>
      </w:pPr>
    </w:p>
    <w:tbl>
      <w:tblPr>
        <w:tblStyle w:val="TableGrid"/>
        <w:tblW w:w="0" w:type="auto"/>
        <w:tblLook w:val="04A0" w:firstRow="1" w:lastRow="0" w:firstColumn="1" w:lastColumn="0" w:noHBand="0" w:noVBand="1"/>
      </w:tblPr>
      <w:tblGrid>
        <w:gridCol w:w="4621"/>
        <w:gridCol w:w="4621"/>
      </w:tblGrid>
      <w:tr w:rsidR="00BA4BA6" w14:paraId="19271ABC" w14:textId="77777777" w:rsidTr="00BA4BA6">
        <w:tc>
          <w:tcPr>
            <w:tcW w:w="4621" w:type="dxa"/>
          </w:tcPr>
          <w:p w14:paraId="4278252B" w14:textId="4AAFD3DC" w:rsidR="00BA4BA6" w:rsidRPr="00BA4BA6" w:rsidRDefault="00BA4BA6" w:rsidP="00BA4BA6">
            <w:pPr>
              <w:spacing w:after="160" w:line="259" w:lineRule="auto"/>
              <w:rPr>
                <w:rFonts w:ascii="Arial" w:hAnsi="Arial" w:cs="Arial"/>
                <w:b/>
                <w:bCs/>
                <w:sz w:val="24"/>
                <w:szCs w:val="24"/>
              </w:rPr>
            </w:pPr>
            <w:proofErr w:type="spellStart"/>
            <w:r w:rsidRPr="00BA4BA6">
              <w:rPr>
                <w:rFonts w:ascii="Arial" w:hAnsi="Arial" w:cs="Arial"/>
                <w:b/>
                <w:bCs/>
                <w:sz w:val="24"/>
                <w:szCs w:val="24"/>
              </w:rPr>
              <w:lastRenderedPageBreak/>
              <w:t>Darllenwch</w:t>
            </w:r>
            <w:proofErr w:type="spellEnd"/>
            <w:r w:rsidRPr="00BA4BA6">
              <w:rPr>
                <w:rFonts w:ascii="Arial" w:hAnsi="Arial" w:cs="Arial"/>
                <w:b/>
                <w:bCs/>
                <w:sz w:val="24"/>
                <w:szCs w:val="24"/>
              </w:rPr>
              <w:t xml:space="preserve"> </w:t>
            </w:r>
            <w:proofErr w:type="spellStart"/>
            <w:r w:rsidRPr="00BA4BA6">
              <w:rPr>
                <w:rFonts w:ascii="Arial" w:hAnsi="Arial" w:cs="Arial"/>
                <w:b/>
                <w:bCs/>
                <w:sz w:val="24"/>
                <w:szCs w:val="24"/>
              </w:rPr>
              <w:t>erthygl</w:t>
            </w:r>
            <w:proofErr w:type="spellEnd"/>
          </w:p>
          <w:p w14:paraId="56264877" w14:textId="0CB62362" w:rsidR="00BA4BA6" w:rsidRPr="005C49B4" w:rsidRDefault="00BA4BA6" w:rsidP="00BA4BA6">
            <w:pPr>
              <w:rPr>
                <w:rFonts w:ascii="Arial" w:hAnsi="Arial" w:cs="Arial"/>
                <w:sz w:val="24"/>
                <w:szCs w:val="24"/>
              </w:rPr>
            </w:pPr>
            <w:proofErr w:type="spellStart"/>
            <w:r w:rsidRPr="005C49B4">
              <w:rPr>
                <w:rFonts w:ascii="Arial" w:hAnsi="Arial" w:cs="Arial"/>
                <w:sz w:val="24"/>
                <w:szCs w:val="24"/>
              </w:rPr>
              <w:t>Meddyliwch</w:t>
            </w:r>
            <w:proofErr w:type="spellEnd"/>
            <w:r w:rsidRPr="005C49B4">
              <w:rPr>
                <w:rFonts w:ascii="Arial" w:hAnsi="Arial" w:cs="Arial"/>
                <w:sz w:val="24"/>
                <w:szCs w:val="24"/>
              </w:rPr>
              <w:t xml:space="preserve"> a yw’r ffordd yr ydym yn </w:t>
            </w:r>
            <w:proofErr w:type="spellStart"/>
            <w:r w:rsidRPr="005C49B4">
              <w:rPr>
                <w:rFonts w:ascii="Arial" w:hAnsi="Arial" w:cs="Arial"/>
                <w:sz w:val="24"/>
                <w:szCs w:val="24"/>
              </w:rPr>
              <w:t>ystyried</w:t>
            </w:r>
            <w:proofErr w:type="spellEnd"/>
            <w:r w:rsidRPr="005C49B4">
              <w:rPr>
                <w:rFonts w:ascii="Arial" w:hAnsi="Arial" w:cs="Arial"/>
                <w:sz w:val="24"/>
                <w:szCs w:val="24"/>
              </w:rPr>
              <w:t xml:space="preserve"> rhieni / plant fel rhai sydd angen </w:t>
            </w:r>
            <w:proofErr w:type="spellStart"/>
            <w:r w:rsidRPr="005C49B4">
              <w:rPr>
                <w:rFonts w:ascii="Arial" w:hAnsi="Arial" w:cs="Arial"/>
                <w:sz w:val="24"/>
                <w:szCs w:val="24"/>
              </w:rPr>
              <w:t>cymorth</w:t>
            </w:r>
            <w:proofErr w:type="spellEnd"/>
            <w:r w:rsidRPr="005C49B4">
              <w:rPr>
                <w:rFonts w:ascii="Arial" w:hAnsi="Arial" w:cs="Arial"/>
                <w:sz w:val="24"/>
                <w:szCs w:val="24"/>
              </w:rPr>
              <w:t xml:space="preserve"> yn dod o </w:t>
            </w:r>
            <w:proofErr w:type="spellStart"/>
            <w:r w:rsidRPr="005C49B4">
              <w:rPr>
                <w:rFonts w:ascii="Arial" w:hAnsi="Arial" w:cs="Arial"/>
                <w:sz w:val="24"/>
                <w:szCs w:val="24"/>
              </w:rPr>
              <w:t>olwg</w:t>
            </w:r>
            <w:proofErr w:type="spellEnd"/>
            <w:r w:rsidRPr="005C49B4">
              <w:rPr>
                <w:rFonts w:ascii="Arial" w:hAnsi="Arial" w:cs="Arial"/>
                <w:sz w:val="24"/>
                <w:szCs w:val="24"/>
              </w:rPr>
              <w:t xml:space="preserve"> </w:t>
            </w:r>
            <w:proofErr w:type="spellStart"/>
            <w:r w:rsidRPr="005C49B4">
              <w:rPr>
                <w:rFonts w:ascii="Arial" w:hAnsi="Arial" w:cs="Arial"/>
                <w:sz w:val="24"/>
                <w:szCs w:val="24"/>
              </w:rPr>
              <w:t>diffygiol</w:t>
            </w:r>
            <w:proofErr w:type="spellEnd"/>
            <w:r w:rsidRPr="005C49B4">
              <w:rPr>
                <w:rFonts w:ascii="Arial" w:hAnsi="Arial" w:cs="Arial"/>
                <w:sz w:val="24"/>
                <w:szCs w:val="24"/>
              </w:rPr>
              <w:t xml:space="preserve"> ar blant a’u teuluoedd. Gallai hyn gael ei weld fel her allweddol mewn ymyrraeth </w:t>
            </w:r>
            <w:proofErr w:type="spellStart"/>
            <w:r w:rsidRPr="005C49B4">
              <w:rPr>
                <w:rFonts w:ascii="Arial" w:hAnsi="Arial" w:cs="Arial"/>
                <w:sz w:val="24"/>
                <w:szCs w:val="24"/>
              </w:rPr>
              <w:t>gynnar</w:t>
            </w:r>
            <w:proofErr w:type="spellEnd"/>
            <w:r w:rsidRPr="005C49B4">
              <w:rPr>
                <w:rFonts w:ascii="Arial" w:hAnsi="Arial" w:cs="Arial"/>
                <w:sz w:val="24"/>
                <w:szCs w:val="24"/>
              </w:rPr>
              <w:t>.</w:t>
            </w:r>
          </w:p>
          <w:p w14:paraId="57A46CB1" w14:textId="77777777" w:rsidR="00BA4BA6" w:rsidRDefault="00BA4BA6">
            <w:pPr>
              <w:rPr>
                <w:rFonts w:ascii="Arial" w:hAnsi="Arial" w:cs="Arial"/>
                <w:b/>
                <w:bCs/>
                <w:sz w:val="24"/>
                <w:szCs w:val="24"/>
              </w:rPr>
            </w:pPr>
          </w:p>
        </w:tc>
        <w:tc>
          <w:tcPr>
            <w:tcW w:w="4621" w:type="dxa"/>
          </w:tcPr>
          <w:p w14:paraId="75BA720C" w14:textId="77777777" w:rsidR="00BA4BA6" w:rsidRPr="00614521" w:rsidRDefault="00BA4BA6" w:rsidP="00BA4BA6">
            <w:pPr>
              <w:rPr>
                <w:rFonts w:ascii="Arial" w:hAnsi="Arial" w:cs="Arial"/>
                <w:b/>
                <w:bCs/>
                <w:sz w:val="24"/>
                <w:szCs w:val="24"/>
              </w:rPr>
            </w:pPr>
            <w:r w:rsidRPr="00614521">
              <w:rPr>
                <w:rFonts w:ascii="Arial" w:hAnsi="Arial" w:cs="Arial"/>
                <w:b/>
                <w:bCs/>
                <w:sz w:val="24"/>
                <w:szCs w:val="24"/>
              </w:rPr>
              <w:t>Article to read</w:t>
            </w:r>
          </w:p>
          <w:p w14:paraId="473B47AF" w14:textId="77777777" w:rsidR="00BA4BA6" w:rsidRPr="005C49B4" w:rsidRDefault="00BA4BA6" w:rsidP="00BA4BA6">
            <w:pPr>
              <w:rPr>
                <w:rFonts w:ascii="Arial" w:hAnsi="Arial" w:cs="Arial"/>
                <w:color w:val="0070C0"/>
                <w:sz w:val="24"/>
                <w:szCs w:val="24"/>
              </w:rPr>
            </w:pPr>
            <w:r w:rsidRPr="005C49B4">
              <w:rPr>
                <w:rFonts w:ascii="Arial" w:hAnsi="Arial" w:cs="Arial"/>
                <w:color w:val="0070C0"/>
                <w:sz w:val="24"/>
                <w:szCs w:val="24"/>
              </w:rPr>
              <w:t>Think about whether the way we view parents / children as needing support comes from a deficit view of children and their families. This could be seen as a key challenge in early intervention.</w:t>
            </w:r>
          </w:p>
          <w:p w14:paraId="59EAA0C9" w14:textId="77777777" w:rsidR="00BA4BA6" w:rsidRDefault="00BA4BA6" w:rsidP="00BA4BA6">
            <w:pPr>
              <w:rPr>
                <w:rFonts w:ascii="Arial" w:hAnsi="Arial" w:cs="Arial"/>
                <w:b/>
                <w:bCs/>
                <w:sz w:val="24"/>
                <w:szCs w:val="24"/>
              </w:rPr>
            </w:pPr>
          </w:p>
        </w:tc>
      </w:tr>
    </w:tbl>
    <w:p w14:paraId="28455EA5" w14:textId="084CA1F5" w:rsidR="00141FBF" w:rsidRPr="00141FBF" w:rsidRDefault="00141FBF">
      <w:pPr>
        <w:rPr>
          <w:rFonts w:ascii="Arial" w:hAnsi="Arial" w:cs="Arial"/>
          <w:sz w:val="24"/>
          <w:szCs w:val="24"/>
        </w:rPr>
      </w:pPr>
    </w:p>
    <w:p w14:paraId="07FB89AE" w14:textId="77777777" w:rsidR="00141FBF" w:rsidRPr="00141FBF" w:rsidRDefault="00141FBF" w:rsidP="00141FBF">
      <w:pPr>
        <w:shd w:val="clear" w:color="auto" w:fill="FFFFFF"/>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hAnsi="Arial" w:cs="Arial"/>
          <w:color w:val="333333"/>
          <w:sz w:val="24"/>
          <w:szCs w:val="24"/>
          <w:shd w:val="clear" w:color="auto" w:fill="FFFFFF"/>
        </w:rPr>
        <w:t>Cooper, K. (2021). Are Poor Parents Poor Parents? The Relationship between Poverty and Parenting among Mothers in the UK. </w:t>
      </w:r>
      <w:r w:rsidRPr="00141FBF">
        <w:rPr>
          <w:rFonts w:ascii="Arial" w:hAnsi="Arial" w:cs="Arial"/>
          <w:i/>
          <w:iCs/>
          <w:color w:val="333333"/>
          <w:sz w:val="24"/>
          <w:szCs w:val="24"/>
          <w:shd w:val="clear" w:color="auto" w:fill="FFFFFF"/>
        </w:rPr>
        <w:t>Sociology</w:t>
      </w:r>
      <w:r w:rsidRPr="00141FBF">
        <w:rPr>
          <w:rFonts w:ascii="Arial" w:hAnsi="Arial" w:cs="Arial"/>
          <w:color w:val="333333"/>
          <w:sz w:val="24"/>
          <w:szCs w:val="24"/>
          <w:shd w:val="clear" w:color="auto" w:fill="FFFFFF"/>
        </w:rPr>
        <w:t>, </w:t>
      </w:r>
      <w:r w:rsidRPr="00141FBF">
        <w:rPr>
          <w:rFonts w:ascii="Arial" w:hAnsi="Arial" w:cs="Arial"/>
          <w:i/>
          <w:iCs/>
          <w:color w:val="333333"/>
          <w:sz w:val="24"/>
          <w:szCs w:val="24"/>
          <w:shd w:val="clear" w:color="auto" w:fill="FFFFFF"/>
        </w:rPr>
        <w:t>55</w:t>
      </w:r>
      <w:r w:rsidRPr="00141FBF">
        <w:rPr>
          <w:rFonts w:ascii="Arial" w:hAnsi="Arial" w:cs="Arial"/>
          <w:color w:val="333333"/>
          <w:sz w:val="24"/>
          <w:szCs w:val="24"/>
          <w:shd w:val="clear" w:color="auto" w:fill="FFFFFF"/>
        </w:rPr>
        <w:t>(2), 349–383. </w:t>
      </w:r>
      <w:hyperlink r:id="rId9" w:history="1">
        <w:r w:rsidRPr="00141FBF">
          <w:rPr>
            <w:rStyle w:val="Hyperlink"/>
            <w:rFonts w:ascii="Arial" w:hAnsi="Arial" w:cs="Arial"/>
            <w:color w:val="006ACC"/>
            <w:sz w:val="24"/>
            <w:szCs w:val="24"/>
            <w:shd w:val="clear" w:color="auto" w:fill="FFFFFF"/>
          </w:rPr>
          <w:t>https://doi.org/10.1177/0038038520939397</w:t>
        </w:r>
      </w:hyperlink>
    </w:p>
    <w:p w14:paraId="57DD7C1A" w14:textId="77777777" w:rsidR="00141FBF" w:rsidRPr="00141FBF" w:rsidRDefault="00141FBF" w:rsidP="00141FBF">
      <w:pPr>
        <w:shd w:val="clear" w:color="auto" w:fill="FFFFFF"/>
        <w:spacing w:before="100" w:beforeAutospacing="1" w:after="100" w:afterAutospacing="1" w:line="240" w:lineRule="auto"/>
        <w:outlineLvl w:val="1"/>
        <w:rPr>
          <w:rFonts w:ascii="Arial" w:eastAsia="Times New Roman" w:hAnsi="Arial" w:cs="Arial"/>
          <w:color w:val="000000"/>
          <w:sz w:val="24"/>
          <w:szCs w:val="24"/>
        </w:rPr>
      </w:pPr>
    </w:p>
    <w:p w14:paraId="66EECB82" w14:textId="77777777" w:rsidR="00141FBF" w:rsidRPr="00141FBF" w:rsidRDefault="00141FBF" w:rsidP="00141FBF">
      <w:pPr>
        <w:shd w:val="clear" w:color="auto" w:fill="FFFFFF"/>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Abstract</w:t>
      </w:r>
    </w:p>
    <w:p w14:paraId="720220CD" w14:textId="77777777" w:rsidR="00141FBF" w:rsidRPr="00141FBF" w:rsidRDefault="00141FBF" w:rsidP="00141FBF">
      <w:pPr>
        <w:shd w:val="clear" w:color="auto" w:fill="FFFFFF"/>
        <w:spacing w:after="0" w:line="240" w:lineRule="auto"/>
        <w:rPr>
          <w:rFonts w:ascii="Arial" w:eastAsia="Times New Roman" w:hAnsi="Arial" w:cs="Arial"/>
          <w:color w:val="333333"/>
          <w:sz w:val="24"/>
          <w:szCs w:val="24"/>
        </w:rPr>
      </w:pPr>
      <w:r w:rsidRPr="00141FBF">
        <w:rPr>
          <w:rFonts w:ascii="Arial" w:eastAsia="Times New Roman" w:hAnsi="Arial" w:cs="Arial"/>
          <w:color w:val="333333"/>
          <w:sz w:val="24"/>
          <w:szCs w:val="24"/>
        </w:rPr>
        <w:t>Low-income parents have long been demonised in both political discourses and mainstream media, portrayed as lacking in parenting skills not just financial resources. Using the Millennium Cohort Study (MCS) this article examines to what extent there are differences in the parenting of low-income mothers by examining parenting behaviours of low-, middle- and high-income mothers. The findings show that where there are negative differences in the parenting of low-income mothers these are often part of a broader income gradient that extends all the way up the distribution, rather than unique to low-income mothers. Furthermore, there are some positive differences in parenting among low-income mothers compared to middle-income mothers. These findings have important implications: low-income parents are not an unusual or deviant group parenting differently to everyone else. The findings suggest more attention ought to be given to parenting differences higher up the income distribution. In focusing on low-income parents only, existing evidence exaggerates differences and wrongly identifies low-income parents as problematic.</w:t>
      </w:r>
    </w:p>
    <w:p w14:paraId="56B14BDC"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Introduction</w:t>
      </w:r>
    </w:p>
    <w:p w14:paraId="6AB82CA2"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Over the last few decades, attention and concern has focused on a particular sort of mother. She is portrayed as irresponsible, immature, immoral, and a potential threat to the security and stability of </w:t>
      </w:r>
      <w:proofErr w:type="gramStart"/>
      <w:r w:rsidRPr="00141FBF">
        <w:rPr>
          <w:rFonts w:ascii="Arial" w:eastAsia="Times New Roman" w:hAnsi="Arial" w:cs="Arial"/>
          <w:sz w:val="24"/>
          <w:szCs w:val="24"/>
        </w:rPr>
        <w:t>society as a whole</w:t>
      </w:r>
      <w:proofErr w:type="gramEnd"/>
      <w:r w:rsidRPr="00141FBF">
        <w:rPr>
          <w:rFonts w:ascii="Arial" w:eastAsia="Times New Roman" w:hAnsi="Arial" w:cs="Arial"/>
          <w:sz w:val="24"/>
          <w:szCs w:val="24"/>
        </w:rPr>
        <w:t>. While this type of mother is accused of bad parenting, it is her status as poor and marginalised that sees her located at the centre of society’s ills. (</w:t>
      </w:r>
      <w:hyperlink r:id="rId10" w:anchor="bibr21-0038038520939397" w:history="1">
        <w:r w:rsidRPr="00141FBF">
          <w:rPr>
            <w:rFonts w:ascii="Arial" w:eastAsia="Times New Roman" w:hAnsi="Arial" w:cs="Arial"/>
            <w:color w:val="006ACC"/>
            <w:sz w:val="24"/>
            <w:szCs w:val="24"/>
            <w:u w:val="single"/>
          </w:rPr>
          <w:t>Gillies, 2007</w:t>
        </w:r>
      </w:hyperlink>
      <w:r w:rsidRPr="00141FBF">
        <w:rPr>
          <w:rFonts w:ascii="Arial" w:eastAsia="Times New Roman" w:hAnsi="Arial" w:cs="Arial"/>
          <w:sz w:val="24"/>
          <w:szCs w:val="24"/>
        </w:rPr>
        <w:t>: 1)</w:t>
      </w:r>
    </w:p>
    <w:p w14:paraId="36952A6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 demonisation of parents from low-income backgrounds has a long history. </w:t>
      </w:r>
      <w:hyperlink r:id="rId11" w:anchor="bibr36-0038038520939397" w:history="1">
        <w:r w:rsidRPr="00141FBF">
          <w:rPr>
            <w:rFonts w:ascii="Arial" w:eastAsia="Times New Roman" w:hAnsi="Arial" w:cs="Arial"/>
            <w:color w:val="006ACC"/>
            <w:sz w:val="24"/>
            <w:szCs w:val="24"/>
            <w:u w:val="single"/>
          </w:rPr>
          <w:t>Lewis (1980)</w:t>
        </w:r>
      </w:hyperlink>
      <w:r w:rsidRPr="00141FBF">
        <w:rPr>
          <w:rFonts w:ascii="Arial" w:eastAsia="Times New Roman" w:hAnsi="Arial" w:cs="Arial"/>
          <w:sz w:val="24"/>
          <w:szCs w:val="24"/>
        </w:rPr>
        <w:t xml:space="preserve"> for example, describes how in the early 1900s working-class mothers were ‘educated’ </w:t>
      </w:r>
      <w:proofErr w:type="gramStart"/>
      <w:r w:rsidRPr="00141FBF">
        <w:rPr>
          <w:rFonts w:ascii="Arial" w:eastAsia="Times New Roman" w:hAnsi="Arial" w:cs="Arial"/>
          <w:sz w:val="24"/>
          <w:szCs w:val="24"/>
        </w:rPr>
        <w:t>in order to</w:t>
      </w:r>
      <w:proofErr w:type="gramEnd"/>
      <w:r w:rsidRPr="00141FBF">
        <w:rPr>
          <w:rFonts w:ascii="Arial" w:eastAsia="Times New Roman" w:hAnsi="Arial" w:cs="Arial"/>
          <w:sz w:val="24"/>
          <w:szCs w:val="24"/>
        </w:rPr>
        <w:t xml:space="preserve"> reduce infant mortality. Concerns surfaced about changes in family structure in the 1960s and 1970s (</w:t>
      </w:r>
      <w:hyperlink r:id="rId12" w:anchor="bibr21-0038038520939397" w:history="1">
        <w:r w:rsidRPr="00141FBF">
          <w:rPr>
            <w:rFonts w:ascii="Arial" w:eastAsia="Times New Roman" w:hAnsi="Arial" w:cs="Arial"/>
            <w:color w:val="006ACC"/>
            <w:sz w:val="24"/>
            <w:szCs w:val="24"/>
            <w:u w:val="single"/>
          </w:rPr>
          <w:t>Gillies, 2007</w:t>
        </w:r>
      </w:hyperlink>
      <w:r w:rsidRPr="00141FBF">
        <w:rPr>
          <w:rFonts w:ascii="Arial" w:eastAsia="Times New Roman" w:hAnsi="Arial" w:cs="Arial"/>
          <w:sz w:val="24"/>
          <w:szCs w:val="24"/>
        </w:rPr>
        <w:t>: 5) and theories of an ‘underclass’ and ‘culture of dependency’ in the 1990s (</w:t>
      </w:r>
      <w:hyperlink r:id="rId13" w:anchor="bibr37-0038038520939397" w:history="1">
        <w:r w:rsidRPr="00141FBF">
          <w:rPr>
            <w:rFonts w:ascii="Arial" w:eastAsia="Times New Roman" w:hAnsi="Arial" w:cs="Arial"/>
            <w:color w:val="006ACC"/>
            <w:sz w:val="24"/>
            <w:szCs w:val="24"/>
            <w:u w:val="single"/>
          </w:rPr>
          <w:t>Lister, 1996</w:t>
        </w:r>
      </w:hyperlink>
      <w:r w:rsidRPr="00141FBF">
        <w:rPr>
          <w:rFonts w:ascii="Arial" w:eastAsia="Times New Roman" w:hAnsi="Arial" w:cs="Arial"/>
          <w:sz w:val="24"/>
          <w:szCs w:val="24"/>
        </w:rPr>
        <w:t>). More recently the English riots in 2011 predictably led to accusations of bad parenting, with then Prime Minister David Cameron highlighting ‘The question people asked over and over again [. . .] was “where are the parents?”’ and concluding that ‘Either there was no one at home, they didn’t much care, or they’d lost control’ (</w:t>
      </w:r>
      <w:hyperlink r:id="rId14" w:anchor="bibr10-0038038520939397" w:history="1">
        <w:r w:rsidRPr="00141FBF">
          <w:rPr>
            <w:rFonts w:ascii="Arial" w:eastAsia="Times New Roman" w:hAnsi="Arial" w:cs="Arial"/>
            <w:color w:val="006ACC"/>
            <w:sz w:val="24"/>
            <w:szCs w:val="24"/>
            <w:u w:val="single"/>
          </w:rPr>
          <w:t>Cameron, 2011</w:t>
        </w:r>
      </w:hyperlink>
      <w:r w:rsidRPr="00141FBF">
        <w:rPr>
          <w:rFonts w:ascii="Arial" w:eastAsia="Times New Roman" w:hAnsi="Arial" w:cs="Arial"/>
          <w:sz w:val="24"/>
          <w:szCs w:val="24"/>
        </w:rPr>
        <w:t>).</w:t>
      </w:r>
    </w:p>
    <w:p w14:paraId="13888C4F"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lastRenderedPageBreak/>
        <w:t>Writing about social class and parenting in the USA, </w:t>
      </w:r>
      <w:hyperlink r:id="rId15" w:anchor="bibr35-0038038520939397" w:history="1">
        <w:r w:rsidRPr="00141FBF">
          <w:rPr>
            <w:rFonts w:ascii="Arial" w:eastAsia="Times New Roman" w:hAnsi="Arial" w:cs="Arial"/>
            <w:color w:val="006ACC"/>
            <w:sz w:val="24"/>
            <w:szCs w:val="24"/>
            <w:u w:val="single"/>
          </w:rPr>
          <w:t>Lareau (2003</w:t>
        </w:r>
      </w:hyperlink>
      <w:r w:rsidRPr="00141FBF">
        <w:rPr>
          <w:rFonts w:ascii="Arial" w:eastAsia="Times New Roman" w:hAnsi="Arial" w:cs="Arial"/>
          <w:sz w:val="24"/>
          <w:szCs w:val="24"/>
        </w:rPr>
        <w:t>: 13) highlights how mainstream the demonisation of working-class parents is, not just in the media and politicians’ speeches, but also in the endorsement by teachers and other professionals of middle-class parenting while ‘the strategies of working-class or poor families are generally denigrated and seen as unhelpful or even harmful to children’s life chances’.</w:t>
      </w:r>
    </w:p>
    <w:p w14:paraId="787B72D6"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In this context this article examines whether there are indeed negative differences in low-income mothers’ parenting and importantly whether such differences are specific to low-income mothers, in other words whether low-income mothers are deviant as these discourses suggest. This research contributes new evidence on this topic, as most existing research focuses on parents in poverty only.</w:t>
      </w:r>
    </w:p>
    <w:p w14:paraId="32F1682A"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Parenting in Poverty as Different, not Deficient</w:t>
      </w:r>
    </w:p>
    <w:p w14:paraId="7235E6CD" w14:textId="77777777" w:rsidR="00141FBF" w:rsidRPr="00141FBF" w:rsidRDefault="00141FBF" w:rsidP="00141FBF">
      <w:pPr>
        <w:spacing w:after="120" w:line="240" w:lineRule="auto"/>
        <w:rPr>
          <w:rFonts w:ascii="Arial" w:eastAsia="Times New Roman" w:hAnsi="Arial" w:cs="Arial"/>
          <w:sz w:val="24"/>
          <w:szCs w:val="24"/>
        </w:rPr>
      </w:pPr>
      <w:proofErr w:type="gramStart"/>
      <w:r w:rsidRPr="00141FBF">
        <w:rPr>
          <w:rFonts w:ascii="Arial" w:eastAsia="Times New Roman" w:hAnsi="Arial" w:cs="Arial"/>
          <w:sz w:val="24"/>
          <w:szCs w:val="24"/>
        </w:rPr>
        <w:t>A number of</w:t>
      </w:r>
      <w:proofErr w:type="gramEnd"/>
      <w:r w:rsidRPr="00141FBF">
        <w:rPr>
          <w:rFonts w:ascii="Arial" w:eastAsia="Times New Roman" w:hAnsi="Arial" w:cs="Arial"/>
          <w:sz w:val="24"/>
          <w:szCs w:val="24"/>
        </w:rPr>
        <w:t xml:space="preserve"> sociologists have challenged the notion that low-income parents are deficient in their parenting practices as political and mainstream media discourses suggest. From her ethnographic study of parenting in the USA, </w:t>
      </w:r>
      <w:hyperlink r:id="rId16" w:anchor="bibr35-0038038520939397" w:history="1">
        <w:r w:rsidRPr="00141FBF">
          <w:rPr>
            <w:rFonts w:ascii="Arial" w:eastAsia="Times New Roman" w:hAnsi="Arial" w:cs="Arial"/>
            <w:color w:val="006ACC"/>
            <w:sz w:val="24"/>
            <w:szCs w:val="24"/>
            <w:u w:val="single"/>
          </w:rPr>
          <w:t>Lareau (2003)</w:t>
        </w:r>
      </w:hyperlink>
      <w:r w:rsidRPr="00141FBF">
        <w:rPr>
          <w:rFonts w:ascii="Arial" w:eastAsia="Times New Roman" w:hAnsi="Arial" w:cs="Arial"/>
          <w:sz w:val="24"/>
          <w:szCs w:val="24"/>
        </w:rPr>
        <w:t xml:space="preserve"> identified different cultural logics of childrearing across social class backgrounds. Lareau describes the parenting style of middle-class parents as a process of ‘concerted cultivation’, aiming at developing the child into a successful adult and cultivating skills through organised activities. By contrast, the parenting of poor or working-class parents aims at the ‘accomplishment of natural growth’, focusing on meeting the child’s needs and looking after their </w:t>
      </w:r>
      <w:proofErr w:type="gramStart"/>
      <w:r w:rsidRPr="00141FBF">
        <w:rPr>
          <w:rFonts w:ascii="Arial" w:eastAsia="Times New Roman" w:hAnsi="Arial" w:cs="Arial"/>
          <w:sz w:val="24"/>
          <w:szCs w:val="24"/>
        </w:rPr>
        <w:t>well-being;</w:t>
      </w:r>
      <w:proofErr w:type="gramEnd"/>
      <w:r w:rsidRPr="00141FBF">
        <w:rPr>
          <w:rFonts w:ascii="Arial" w:eastAsia="Times New Roman" w:hAnsi="Arial" w:cs="Arial"/>
          <w:sz w:val="24"/>
          <w:szCs w:val="24"/>
        </w:rPr>
        <w:t xml:space="preserve"> aiming for children to be healthy and happy. While Lareau acknowledges that society’s institutions tend to reward children whose parents’ childrearing logic is of ‘concerted cultivation’ she argues that this approach to parenting is not superior, and indeed emphasises some of the negative consequences of this approach and some of the positive consequences of parents focusing on the ‘accomplishment of natural growth’. Importantly, </w:t>
      </w:r>
      <w:hyperlink r:id="rId17" w:anchor="bibr35-0038038520939397" w:history="1">
        <w:r w:rsidRPr="00141FBF">
          <w:rPr>
            <w:rFonts w:ascii="Arial" w:eastAsia="Times New Roman" w:hAnsi="Arial" w:cs="Arial"/>
            <w:color w:val="006ACC"/>
            <w:sz w:val="24"/>
            <w:szCs w:val="24"/>
            <w:u w:val="single"/>
          </w:rPr>
          <w:t>Lareau (2003</w:t>
        </w:r>
      </w:hyperlink>
      <w:r w:rsidRPr="00141FBF">
        <w:rPr>
          <w:rFonts w:ascii="Arial" w:eastAsia="Times New Roman" w:hAnsi="Arial" w:cs="Arial"/>
          <w:sz w:val="24"/>
          <w:szCs w:val="24"/>
        </w:rPr>
        <w:t>: 5) highlights these different childrearing approaches are in part due to the economic context in which parenting takes place: ensuring children’s basic needs are met is challenging in a context of economic disadvantage. Additionally, it is worth observing that many of the activities that fit with the middle-class approach Lareau describes also require financial resources, such as paying for sports clubs, music lessons and cultural trips out.</w:t>
      </w:r>
    </w:p>
    <w:p w14:paraId="18E4349F"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 work of </w:t>
      </w:r>
      <w:hyperlink r:id="rId18" w:anchor="bibr21-0038038520939397" w:history="1">
        <w:r w:rsidRPr="00141FBF">
          <w:rPr>
            <w:rFonts w:ascii="Arial" w:eastAsia="Times New Roman" w:hAnsi="Arial" w:cs="Arial"/>
            <w:color w:val="006ACC"/>
            <w:sz w:val="24"/>
            <w:szCs w:val="24"/>
            <w:u w:val="single"/>
          </w:rPr>
          <w:t>Gillies (2007)</w:t>
        </w:r>
      </w:hyperlink>
      <w:r w:rsidRPr="00141FBF">
        <w:rPr>
          <w:rFonts w:ascii="Arial" w:eastAsia="Times New Roman" w:hAnsi="Arial" w:cs="Arial"/>
          <w:sz w:val="24"/>
          <w:szCs w:val="24"/>
        </w:rPr>
        <w:t> also seeks to challenge the deficit model of low-income parenting. Through depth interviews with parents in England and Scotland, </w:t>
      </w:r>
      <w:hyperlink r:id="rId19" w:anchor="bibr20-0038038520939397" w:history="1">
        <w:r w:rsidRPr="00141FBF">
          <w:rPr>
            <w:rFonts w:ascii="Arial" w:eastAsia="Times New Roman" w:hAnsi="Arial" w:cs="Arial"/>
            <w:color w:val="006ACC"/>
            <w:sz w:val="24"/>
            <w:szCs w:val="24"/>
            <w:u w:val="single"/>
          </w:rPr>
          <w:t>Gillies (2005)</w:t>
        </w:r>
      </w:hyperlink>
      <w:r w:rsidRPr="00141FBF">
        <w:rPr>
          <w:rFonts w:ascii="Arial" w:eastAsia="Times New Roman" w:hAnsi="Arial" w:cs="Arial"/>
          <w:sz w:val="24"/>
          <w:szCs w:val="24"/>
        </w:rPr>
        <w:t> demonstrates how parenting is shaped by economic, cultural, social and emotional capital. </w:t>
      </w:r>
      <w:hyperlink r:id="rId20" w:anchor="bibr20-0038038520939397" w:history="1">
        <w:r w:rsidRPr="00141FBF">
          <w:rPr>
            <w:rFonts w:ascii="Arial" w:eastAsia="Times New Roman" w:hAnsi="Arial" w:cs="Arial"/>
            <w:color w:val="006ACC"/>
            <w:sz w:val="24"/>
            <w:szCs w:val="24"/>
            <w:u w:val="single"/>
          </w:rPr>
          <w:t>Gillies (2005)</w:t>
        </w:r>
      </w:hyperlink>
      <w:r w:rsidRPr="00141FBF">
        <w:rPr>
          <w:rFonts w:ascii="Arial" w:eastAsia="Times New Roman" w:hAnsi="Arial" w:cs="Arial"/>
          <w:sz w:val="24"/>
          <w:szCs w:val="24"/>
        </w:rPr>
        <w:t xml:space="preserve"> documents the ways in which middle-class parents in her sample view their children as exceptional and entitled to special </w:t>
      </w:r>
      <w:proofErr w:type="gramStart"/>
      <w:r w:rsidRPr="00141FBF">
        <w:rPr>
          <w:rFonts w:ascii="Arial" w:eastAsia="Times New Roman" w:hAnsi="Arial" w:cs="Arial"/>
          <w:sz w:val="24"/>
          <w:szCs w:val="24"/>
        </w:rPr>
        <w:t>attention, and</w:t>
      </w:r>
      <w:proofErr w:type="gramEnd"/>
      <w:r w:rsidRPr="00141FBF">
        <w:rPr>
          <w:rFonts w:ascii="Arial" w:eastAsia="Times New Roman" w:hAnsi="Arial" w:cs="Arial"/>
          <w:sz w:val="24"/>
          <w:szCs w:val="24"/>
        </w:rPr>
        <w:t xml:space="preserve"> draw on different types of capital to protect their privilege and pass on educational advantage. By contrast, Gillies found that working-class parents did not expect special treatment for their children, had a more difficult relationship with their child’s school and less access to resources including social and cultural capital. Despite this Gillies highlights the great efforts working-class parents went to in helping their children navigate their disadvantaged positions. Like Lareau, Gillies describes different aims of working-class parents for their children, based on the reality of the disadvantages they face.</w:t>
      </w:r>
    </w:p>
    <w:p w14:paraId="05C36BD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Finally, work by </w:t>
      </w:r>
      <w:hyperlink r:id="rId21" w:anchor="bibr13-0038038520939397" w:history="1">
        <w:r w:rsidRPr="00141FBF">
          <w:rPr>
            <w:rFonts w:ascii="Arial" w:eastAsia="Times New Roman" w:hAnsi="Arial" w:cs="Arial"/>
            <w:color w:val="006ACC"/>
            <w:sz w:val="24"/>
            <w:szCs w:val="24"/>
            <w:u w:val="single"/>
          </w:rPr>
          <w:t>Daly and Kelly (2015)</w:t>
        </w:r>
      </w:hyperlink>
      <w:r w:rsidRPr="00141FBF">
        <w:rPr>
          <w:rFonts w:ascii="Arial" w:eastAsia="Times New Roman" w:hAnsi="Arial" w:cs="Arial"/>
          <w:sz w:val="24"/>
          <w:szCs w:val="24"/>
        </w:rPr>
        <w:t xml:space="preserve"> based on semi-structured interviews with low-income parents in Northern Ireland also highlights the commitment of low-income </w:t>
      </w:r>
      <w:r w:rsidRPr="00141FBF">
        <w:rPr>
          <w:rFonts w:ascii="Arial" w:eastAsia="Times New Roman" w:hAnsi="Arial" w:cs="Arial"/>
          <w:sz w:val="24"/>
          <w:szCs w:val="24"/>
        </w:rPr>
        <w:lastRenderedPageBreak/>
        <w:t>parents to be ‘good parents’, though this is in the context of being constrained by resources and might look different to notions of good parenting shared by parents who are better off. </w:t>
      </w:r>
      <w:hyperlink r:id="rId22" w:anchor="bibr13-0038038520939397" w:history="1">
        <w:r w:rsidRPr="00141FBF">
          <w:rPr>
            <w:rFonts w:ascii="Arial" w:eastAsia="Times New Roman" w:hAnsi="Arial" w:cs="Arial"/>
            <w:color w:val="006ACC"/>
            <w:sz w:val="24"/>
            <w:szCs w:val="24"/>
            <w:u w:val="single"/>
          </w:rPr>
          <w:t>Daly and Kelly (2015</w:t>
        </w:r>
      </w:hyperlink>
      <w:r w:rsidRPr="00141FBF">
        <w:rPr>
          <w:rFonts w:ascii="Arial" w:eastAsia="Times New Roman" w:hAnsi="Arial" w:cs="Arial"/>
          <w:sz w:val="24"/>
          <w:szCs w:val="24"/>
        </w:rPr>
        <w:t xml:space="preserve">: 193–194) describe children as being the most important focal point of the family and parents often going without </w:t>
      </w:r>
      <w:proofErr w:type="gramStart"/>
      <w:r w:rsidRPr="00141FBF">
        <w:rPr>
          <w:rFonts w:ascii="Arial" w:eastAsia="Times New Roman" w:hAnsi="Arial" w:cs="Arial"/>
          <w:sz w:val="24"/>
          <w:szCs w:val="24"/>
        </w:rPr>
        <w:t>in order to</w:t>
      </w:r>
      <w:proofErr w:type="gramEnd"/>
      <w:r w:rsidRPr="00141FBF">
        <w:rPr>
          <w:rFonts w:ascii="Arial" w:eastAsia="Times New Roman" w:hAnsi="Arial" w:cs="Arial"/>
          <w:sz w:val="24"/>
          <w:szCs w:val="24"/>
        </w:rPr>
        <w:t xml:space="preserve"> provide for them as well as going to great efforts to protect their children from the family’s struggles and the disadvantage they faced in the outside world.</w:t>
      </w:r>
    </w:p>
    <w:p w14:paraId="350CD3CC"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Though employing different sociological frameworks, what is common among these works is the emphasis on characterising low-income parenting as different rather than deficient – but acknowledging there are differences to be </w:t>
      </w:r>
      <w:proofErr w:type="gramStart"/>
      <w:r w:rsidRPr="00141FBF">
        <w:rPr>
          <w:rFonts w:ascii="Arial" w:eastAsia="Times New Roman" w:hAnsi="Arial" w:cs="Arial"/>
          <w:sz w:val="24"/>
          <w:szCs w:val="24"/>
        </w:rPr>
        <w:t>explained</w:t>
      </w:r>
      <w:proofErr w:type="gramEnd"/>
      <w:r w:rsidRPr="00141FBF">
        <w:rPr>
          <w:rFonts w:ascii="Arial" w:eastAsia="Times New Roman" w:hAnsi="Arial" w:cs="Arial"/>
          <w:sz w:val="24"/>
          <w:szCs w:val="24"/>
        </w:rPr>
        <w:t xml:space="preserve"> nonetheless. In their own qualitative </w:t>
      </w:r>
      <w:proofErr w:type="gramStart"/>
      <w:r w:rsidRPr="00141FBF">
        <w:rPr>
          <w:rFonts w:ascii="Arial" w:eastAsia="Times New Roman" w:hAnsi="Arial" w:cs="Arial"/>
          <w:sz w:val="24"/>
          <w:szCs w:val="24"/>
        </w:rPr>
        <w:t>research</w:t>
      </w:r>
      <w:proofErr w:type="gramEnd"/>
      <w:r w:rsidRPr="00141FBF">
        <w:rPr>
          <w:rFonts w:ascii="Arial" w:eastAsia="Times New Roman" w:hAnsi="Arial" w:cs="Arial"/>
          <w:sz w:val="24"/>
          <w:szCs w:val="24"/>
        </w:rPr>
        <w:t xml:space="preserve"> the authors justify the logic of these differences and challenge the idea that low-income parenting is problematic.</w:t>
      </w:r>
    </w:p>
    <w:p w14:paraId="482617E5"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Quantifying Differences in Low-Income Parenting</w:t>
      </w:r>
    </w:p>
    <w:p w14:paraId="786F7D69"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The qualitative studies described above offer insight into how low-income parents approach parenting and what processes shape this, as well as importantly revealing processes that shape the parenting of those who are financially better off. However, </w:t>
      </w:r>
      <w:proofErr w:type="gramStart"/>
      <w:r w:rsidRPr="00141FBF">
        <w:rPr>
          <w:rFonts w:ascii="Arial" w:eastAsia="Times New Roman" w:hAnsi="Arial" w:cs="Arial"/>
          <w:sz w:val="24"/>
          <w:szCs w:val="24"/>
        </w:rPr>
        <w:t>in order to</w:t>
      </w:r>
      <w:proofErr w:type="gramEnd"/>
      <w:r w:rsidRPr="00141FBF">
        <w:rPr>
          <w:rFonts w:ascii="Arial" w:eastAsia="Times New Roman" w:hAnsi="Arial" w:cs="Arial"/>
          <w:sz w:val="24"/>
          <w:szCs w:val="24"/>
        </w:rPr>
        <w:t xml:space="preserve"> understand </w:t>
      </w:r>
      <w:r w:rsidRPr="00141FBF">
        <w:rPr>
          <w:rFonts w:ascii="Arial" w:eastAsia="Times New Roman" w:hAnsi="Arial" w:cs="Arial"/>
          <w:i/>
          <w:iCs/>
          <w:sz w:val="24"/>
          <w:szCs w:val="24"/>
        </w:rPr>
        <w:t>how much</w:t>
      </w:r>
      <w:r w:rsidRPr="00141FBF">
        <w:rPr>
          <w:rFonts w:ascii="Arial" w:eastAsia="Times New Roman" w:hAnsi="Arial" w:cs="Arial"/>
          <w:sz w:val="24"/>
          <w:szCs w:val="24"/>
        </w:rPr>
        <w:t> difference there is in low-income parenting in the first place we need to look to quantitative evidence. There is little quantitative evidence on parenting within the sociological literature; most of the evidence on poverty and parenting analyses parenting as a mediator between poverty</w:t>
      </w:r>
      <w:hyperlink r:id="rId23" w:anchor="fn1-0038038520939397" w:history="1">
        <w:r w:rsidRPr="00141FBF">
          <w:rPr>
            <w:rFonts w:ascii="Arial" w:eastAsia="Times New Roman" w:hAnsi="Arial" w:cs="Arial"/>
            <w:color w:val="006ACC"/>
            <w:sz w:val="24"/>
            <w:szCs w:val="24"/>
            <w:u w:val="single"/>
            <w:vertAlign w:val="superscript"/>
          </w:rPr>
          <w:t>1</w:t>
        </w:r>
      </w:hyperlink>
      <w:r w:rsidRPr="00141FBF">
        <w:rPr>
          <w:rFonts w:ascii="Arial" w:eastAsia="Times New Roman" w:hAnsi="Arial" w:cs="Arial"/>
          <w:sz w:val="24"/>
          <w:szCs w:val="24"/>
        </w:rPr>
        <w:t> and children’s outcomes (</w:t>
      </w:r>
      <w:hyperlink r:id="rId24" w:anchor="bibr9-0038038520939397" w:history="1">
        <w:r w:rsidRPr="00141FBF">
          <w:rPr>
            <w:rFonts w:ascii="Arial" w:eastAsia="Times New Roman" w:hAnsi="Arial" w:cs="Arial"/>
            <w:color w:val="006ACC"/>
            <w:sz w:val="24"/>
            <w:szCs w:val="24"/>
            <w:u w:val="single"/>
          </w:rPr>
          <w:t>Burgess et al., 2006</w:t>
        </w:r>
      </w:hyperlink>
      <w:r w:rsidRPr="00141FBF">
        <w:rPr>
          <w:rFonts w:ascii="Arial" w:eastAsia="Times New Roman" w:hAnsi="Arial" w:cs="Arial"/>
          <w:sz w:val="24"/>
          <w:szCs w:val="24"/>
        </w:rPr>
        <w:t>; </w:t>
      </w:r>
      <w:hyperlink r:id="rId25" w:anchor="bibr17-0038038520939397" w:history="1">
        <w:r w:rsidRPr="00141FBF">
          <w:rPr>
            <w:rFonts w:ascii="Arial" w:eastAsia="Times New Roman" w:hAnsi="Arial" w:cs="Arial"/>
            <w:color w:val="006ACC"/>
            <w:sz w:val="24"/>
            <w:szCs w:val="24"/>
            <w:u w:val="single"/>
          </w:rPr>
          <w:t xml:space="preserve">Dickerson and </w:t>
        </w:r>
        <w:proofErr w:type="spellStart"/>
        <w:r w:rsidRPr="00141FBF">
          <w:rPr>
            <w:rFonts w:ascii="Arial" w:eastAsia="Times New Roman" w:hAnsi="Arial" w:cs="Arial"/>
            <w:color w:val="006ACC"/>
            <w:sz w:val="24"/>
            <w:szCs w:val="24"/>
            <w:u w:val="single"/>
          </w:rPr>
          <w:t>Popli</w:t>
        </w:r>
        <w:proofErr w:type="spellEnd"/>
        <w:r w:rsidRPr="00141FBF">
          <w:rPr>
            <w:rFonts w:ascii="Arial" w:eastAsia="Times New Roman" w:hAnsi="Arial" w:cs="Arial"/>
            <w:color w:val="006ACC"/>
            <w:sz w:val="24"/>
            <w:szCs w:val="24"/>
            <w:u w:val="single"/>
          </w:rPr>
          <w:t>, 2016</w:t>
        </w:r>
      </w:hyperlink>
      <w:r w:rsidRPr="00141FBF">
        <w:rPr>
          <w:rFonts w:ascii="Arial" w:eastAsia="Times New Roman" w:hAnsi="Arial" w:cs="Arial"/>
          <w:sz w:val="24"/>
          <w:szCs w:val="24"/>
        </w:rPr>
        <w:t>; </w:t>
      </w:r>
      <w:hyperlink r:id="rId26" w:anchor="bibr22-0038038520939397" w:history="1">
        <w:r w:rsidRPr="00141FBF">
          <w:rPr>
            <w:rFonts w:ascii="Arial" w:eastAsia="Times New Roman" w:hAnsi="Arial" w:cs="Arial"/>
            <w:color w:val="006ACC"/>
            <w:sz w:val="24"/>
            <w:szCs w:val="24"/>
            <w:u w:val="single"/>
          </w:rPr>
          <w:t>Gutman and Feinstein, 2010</w:t>
        </w:r>
      </w:hyperlink>
      <w:r w:rsidRPr="00141FBF">
        <w:rPr>
          <w:rFonts w:ascii="Arial" w:eastAsia="Times New Roman" w:hAnsi="Arial" w:cs="Arial"/>
          <w:sz w:val="24"/>
          <w:szCs w:val="24"/>
        </w:rPr>
        <w:t>;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"bibr46-0038038520939397"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Violato</w:t>
      </w:r>
      <w:proofErr w:type="spellEnd"/>
      <w:r w:rsidRPr="00141FBF">
        <w:rPr>
          <w:rFonts w:ascii="Arial" w:eastAsia="Times New Roman" w:hAnsi="Arial" w:cs="Arial"/>
          <w:color w:val="006ACC"/>
          <w:sz w:val="24"/>
          <w:szCs w:val="24"/>
          <w:u w:val="single"/>
        </w:rPr>
        <w:t xml:space="preserve"> et al., 2011</w:t>
      </w:r>
      <w:r w:rsidRPr="00141FBF">
        <w:rPr>
          <w:rFonts w:ascii="Arial" w:eastAsia="Times New Roman" w:hAnsi="Arial" w:cs="Arial"/>
          <w:sz w:val="24"/>
          <w:szCs w:val="24"/>
        </w:rPr>
        <w:fldChar w:fldCharType="end"/>
      </w:r>
      <w:r w:rsidRPr="00141FBF">
        <w:rPr>
          <w:rFonts w:ascii="Arial" w:eastAsia="Times New Roman" w:hAnsi="Arial" w:cs="Arial"/>
          <w:sz w:val="24"/>
          <w:szCs w:val="24"/>
        </w:rPr>
        <w:t>). Experience of poverty has been found to be associated with a number of differences in parenting, including children being read to less frequently, a lower likelihood of library visits, lower maternal warmth and irregular meal and bedtimes (</w:t>
      </w:r>
      <w:hyperlink r:id="rId27" w:anchor="bibr27-0038038520939397" w:history="1">
        <w:r w:rsidRPr="00141FBF">
          <w:rPr>
            <w:rFonts w:ascii="Arial" w:eastAsia="Times New Roman" w:hAnsi="Arial" w:cs="Arial"/>
            <w:color w:val="006ACC"/>
            <w:sz w:val="24"/>
            <w:szCs w:val="24"/>
            <w:u w:val="single"/>
          </w:rPr>
          <w:t>Holmes and Kiernan, 2013</w:t>
        </w:r>
      </w:hyperlink>
      <w:r w:rsidRPr="00141FBF">
        <w:rPr>
          <w:rFonts w:ascii="Arial" w:eastAsia="Times New Roman" w:hAnsi="Arial" w:cs="Arial"/>
          <w:sz w:val="24"/>
          <w:szCs w:val="24"/>
        </w:rPr>
        <w:t>). In terms of the size of the effect a number of studies find that parenting explains around 40–50% of the negative relationship between poverty and children’s outcomes (</w:t>
      </w:r>
      <w:hyperlink r:id="rId28" w:anchor="bibr27-0038038520939397" w:history="1">
        <w:r w:rsidRPr="00141FBF">
          <w:rPr>
            <w:rFonts w:ascii="Arial" w:eastAsia="Times New Roman" w:hAnsi="Arial" w:cs="Arial"/>
            <w:color w:val="006ACC"/>
            <w:sz w:val="24"/>
            <w:szCs w:val="24"/>
            <w:u w:val="single"/>
          </w:rPr>
          <w:t>Holmes and Kiernan, 2013</w:t>
        </w:r>
      </w:hyperlink>
      <w:r w:rsidRPr="00141FBF">
        <w:rPr>
          <w:rFonts w:ascii="Arial" w:eastAsia="Times New Roman" w:hAnsi="Arial" w:cs="Arial"/>
          <w:sz w:val="24"/>
          <w:szCs w:val="24"/>
        </w:rPr>
        <w:t>; </w:t>
      </w:r>
      <w:hyperlink r:id="rId29" w:anchor="bibr31-0038038520939397" w:history="1">
        <w:r w:rsidRPr="00141FBF">
          <w:rPr>
            <w:rFonts w:ascii="Arial" w:eastAsia="Times New Roman" w:hAnsi="Arial" w:cs="Arial"/>
            <w:color w:val="006ACC"/>
            <w:sz w:val="24"/>
            <w:szCs w:val="24"/>
            <w:u w:val="single"/>
          </w:rPr>
          <w:t>Kiernan and Huerta, 2008</w:t>
        </w:r>
      </w:hyperlink>
      <w:r w:rsidRPr="00141FBF">
        <w:rPr>
          <w:rFonts w:ascii="Arial" w:eastAsia="Times New Roman" w:hAnsi="Arial" w:cs="Arial"/>
          <w:sz w:val="24"/>
          <w:szCs w:val="24"/>
        </w:rPr>
        <w:t>; </w:t>
      </w:r>
      <w:hyperlink r:id="rId30" w:anchor="bibr32-0038038520939397" w:history="1">
        <w:r w:rsidRPr="00141FBF">
          <w:rPr>
            <w:rFonts w:ascii="Arial" w:eastAsia="Times New Roman" w:hAnsi="Arial" w:cs="Arial"/>
            <w:color w:val="006ACC"/>
            <w:sz w:val="24"/>
            <w:szCs w:val="24"/>
            <w:u w:val="single"/>
          </w:rPr>
          <w:t>Kiernan and Mensah, 2011</w:t>
        </w:r>
      </w:hyperlink>
      <w:r w:rsidRPr="00141FBF">
        <w:rPr>
          <w:rFonts w:ascii="Arial" w:eastAsia="Times New Roman" w:hAnsi="Arial" w:cs="Arial"/>
          <w:sz w:val="24"/>
          <w:szCs w:val="24"/>
        </w:rPr>
        <w:t>).</w:t>
      </w:r>
    </w:p>
    <w:p w14:paraId="682B2173"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One important exception to this body of evidence, which is sociologically orientated, is the work of </w:t>
      </w:r>
      <w:hyperlink r:id="rId31" w:anchor="bibr16-0038038520939397" w:history="1">
        <w:r w:rsidRPr="00141FBF">
          <w:rPr>
            <w:rFonts w:ascii="Arial" w:eastAsia="Times New Roman" w:hAnsi="Arial" w:cs="Arial"/>
            <w:color w:val="006ACC"/>
            <w:sz w:val="24"/>
            <w:szCs w:val="24"/>
            <w:u w:val="single"/>
          </w:rPr>
          <w:t xml:space="preserve">Dermott and </w:t>
        </w:r>
        <w:proofErr w:type="spellStart"/>
        <w:r w:rsidRPr="00141FBF">
          <w:rPr>
            <w:rFonts w:ascii="Arial" w:eastAsia="Times New Roman" w:hAnsi="Arial" w:cs="Arial"/>
            <w:color w:val="006ACC"/>
            <w:sz w:val="24"/>
            <w:szCs w:val="24"/>
            <w:u w:val="single"/>
          </w:rPr>
          <w:t>Pomati</w:t>
        </w:r>
        <w:proofErr w:type="spellEnd"/>
        <w:r w:rsidRPr="00141FBF">
          <w:rPr>
            <w:rFonts w:ascii="Arial" w:eastAsia="Times New Roman" w:hAnsi="Arial" w:cs="Arial"/>
            <w:color w:val="006ACC"/>
            <w:sz w:val="24"/>
            <w:szCs w:val="24"/>
            <w:u w:val="single"/>
          </w:rPr>
          <w:t xml:space="preserve"> (2016)</w:t>
        </w:r>
      </w:hyperlink>
      <w:r w:rsidRPr="00141FBF">
        <w:rPr>
          <w:rFonts w:ascii="Arial" w:eastAsia="Times New Roman" w:hAnsi="Arial" w:cs="Arial"/>
          <w:sz w:val="24"/>
          <w:szCs w:val="24"/>
        </w:rPr>
        <w:t xml:space="preserve"> which analyses the importance of poverty, education and time for parenting practices. The authors included seven measures of parenting, related to educational activities, leisure activities and family </w:t>
      </w:r>
      <w:proofErr w:type="gramStart"/>
      <w:r w:rsidRPr="00141FBF">
        <w:rPr>
          <w:rFonts w:ascii="Arial" w:eastAsia="Times New Roman" w:hAnsi="Arial" w:cs="Arial"/>
          <w:sz w:val="24"/>
          <w:szCs w:val="24"/>
        </w:rPr>
        <w:t>meal times</w:t>
      </w:r>
      <w:proofErr w:type="gramEnd"/>
      <w:r w:rsidRPr="00141FBF">
        <w:rPr>
          <w:rFonts w:ascii="Arial" w:eastAsia="Times New Roman" w:hAnsi="Arial" w:cs="Arial"/>
          <w:sz w:val="24"/>
          <w:szCs w:val="24"/>
        </w:rPr>
        <w:t>. They found that poverty, whether measured objectively (less than 60% median income) or subjectively (feeling poor) is </w:t>
      </w:r>
      <w:r w:rsidRPr="00141FBF">
        <w:rPr>
          <w:rFonts w:ascii="Arial" w:eastAsia="Times New Roman" w:hAnsi="Arial" w:cs="Arial"/>
          <w:i/>
          <w:iCs/>
          <w:sz w:val="24"/>
          <w:szCs w:val="24"/>
        </w:rPr>
        <w:t>not</w:t>
      </w:r>
      <w:r w:rsidRPr="00141FBF">
        <w:rPr>
          <w:rFonts w:ascii="Arial" w:eastAsia="Times New Roman" w:hAnsi="Arial" w:cs="Arial"/>
          <w:sz w:val="24"/>
          <w:szCs w:val="24"/>
        </w:rPr>
        <w:t> significantly related to parenting. There were two exceptions to this which can be interpreted as positive differences: parents in income poverty were more likely to watch television with their child and more frequently eat evening meals with their child. The authors concluded that ‘despite the frequently made association between poverty and a lack of appropriate parenting, there is no clear evidence for this relationship in our findings’ (</w:t>
      </w:r>
      <w:hyperlink r:id="rId32" w:anchor="bibr16-0038038520939397" w:history="1">
        <w:r w:rsidRPr="00141FBF">
          <w:rPr>
            <w:rFonts w:ascii="Arial" w:eastAsia="Times New Roman" w:hAnsi="Arial" w:cs="Arial"/>
            <w:color w:val="006ACC"/>
            <w:sz w:val="24"/>
            <w:szCs w:val="24"/>
            <w:u w:val="single"/>
          </w:rPr>
          <w:t>2016</w:t>
        </w:r>
      </w:hyperlink>
      <w:r w:rsidRPr="00141FBF">
        <w:rPr>
          <w:rFonts w:ascii="Arial" w:eastAsia="Times New Roman" w:hAnsi="Arial" w:cs="Arial"/>
          <w:sz w:val="24"/>
          <w:szCs w:val="24"/>
        </w:rPr>
        <w:t>: 135).</w:t>
      </w:r>
    </w:p>
    <w:p w14:paraId="59AF1FCD"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An important limitation of the existing evidence, including that of </w:t>
      </w:r>
      <w:hyperlink r:id="rId33" w:anchor="bibr16-0038038520939397" w:history="1">
        <w:r w:rsidRPr="00141FBF">
          <w:rPr>
            <w:rFonts w:ascii="Arial" w:eastAsia="Times New Roman" w:hAnsi="Arial" w:cs="Arial"/>
            <w:color w:val="006ACC"/>
            <w:sz w:val="24"/>
            <w:szCs w:val="24"/>
            <w:u w:val="single"/>
          </w:rPr>
          <w:t xml:space="preserve">Dermott and </w:t>
        </w:r>
        <w:proofErr w:type="spellStart"/>
        <w:r w:rsidRPr="00141FBF">
          <w:rPr>
            <w:rFonts w:ascii="Arial" w:eastAsia="Times New Roman" w:hAnsi="Arial" w:cs="Arial"/>
            <w:color w:val="006ACC"/>
            <w:sz w:val="24"/>
            <w:szCs w:val="24"/>
            <w:u w:val="single"/>
          </w:rPr>
          <w:t>Pomati</w:t>
        </w:r>
        <w:proofErr w:type="spellEnd"/>
        <w:r w:rsidRPr="00141FBF">
          <w:rPr>
            <w:rFonts w:ascii="Arial" w:eastAsia="Times New Roman" w:hAnsi="Arial" w:cs="Arial"/>
            <w:color w:val="006ACC"/>
            <w:sz w:val="24"/>
            <w:szCs w:val="24"/>
            <w:u w:val="single"/>
          </w:rPr>
          <w:t xml:space="preserve"> (2016)</w:t>
        </w:r>
      </w:hyperlink>
      <w:r w:rsidRPr="00141FBF">
        <w:rPr>
          <w:rFonts w:ascii="Arial" w:eastAsia="Times New Roman" w:hAnsi="Arial" w:cs="Arial"/>
          <w:sz w:val="24"/>
          <w:szCs w:val="24"/>
        </w:rPr>
        <w:t>, is that it focuses on parents in poverty rather than analysing parenting across the income distribution. This is problematic for two reasons; first, in focusing on parents in poverty it potentially obscures differences in parenting further up the income distribution, perhaps also exaggerating differences between parents in poverty and all other parents. Second, and more fundamentally, focusing only on those who are disadvantaged can contribute to problematizing those who are disadvantaged (</w:t>
      </w:r>
      <w:hyperlink r:id="rId34" w:anchor="bibr14-0038038520939397" w:history="1">
        <w:r w:rsidRPr="00141FBF">
          <w:rPr>
            <w:rFonts w:ascii="Arial" w:eastAsia="Times New Roman" w:hAnsi="Arial" w:cs="Arial"/>
            <w:color w:val="006ACC"/>
            <w:sz w:val="24"/>
            <w:szCs w:val="24"/>
            <w:u w:val="single"/>
          </w:rPr>
          <w:t>Dean and Platt, 2016</w:t>
        </w:r>
      </w:hyperlink>
      <w:r w:rsidRPr="00141FBF">
        <w:rPr>
          <w:rFonts w:ascii="Arial" w:eastAsia="Times New Roman" w:hAnsi="Arial" w:cs="Arial"/>
          <w:sz w:val="24"/>
          <w:szCs w:val="24"/>
        </w:rPr>
        <w:t>).</w:t>
      </w:r>
    </w:p>
    <w:p w14:paraId="2E63F24F"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lastRenderedPageBreak/>
        <w:t xml:space="preserve">There are also </w:t>
      </w:r>
      <w:proofErr w:type="gramStart"/>
      <w:r w:rsidRPr="00141FBF">
        <w:rPr>
          <w:rFonts w:ascii="Arial" w:eastAsia="Times New Roman" w:hAnsi="Arial" w:cs="Arial"/>
          <w:sz w:val="24"/>
          <w:szCs w:val="24"/>
        </w:rPr>
        <w:t>a number of</w:t>
      </w:r>
      <w:proofErr w:type="gramEnd"/>
      <w:r w:rsidRPr="00141FBF">
        <w:rPr>
          <w:rFonts w:ascii="Arial" w:eastAsia="Times New Roman" w:hAnsi="Arial" w:cs="Arial"/>
          <w:sz w:val="24"/>
          <w:szCs w:val="24"/>
        </w:rPr>
        <w:t xml:space="preserve"> other gaps in existing evidence: there is no attempt to distinguish whether differences reflect low-income parents behaving in ways we would consider to be inadequate for children’s healthy development or whether the differences are actually an artefact of the benchmark being pushed up by the most advantaged parents. It is also unclear how much diversity there is in low-income parenting; whether most parents experiencing poverty are parenting differently, or whether these differences are </w:t>
      </w:r>
      <w:proofErr w:type="gramStart"/>
      <w:r w:rsidRPr="00141FBF">
        <w:rPr>
          <w:rFonts w:ascii="Arial" w:eastAsia="Times New Roman" w:hAnsi="Arial" w:cs="Arial"/>
          <w:sz w:val="24"/>
          <w:szCs w:val="24"/>
        </w:rPr>
        <w:t>actually driven</w:t>
      </w:r>
      <w:proofErr w:type="gramEnd"/>
      <w:r w:rsidRPr="00141FBF">
        <w:rPr>
          <w:rFonts w:ascii="Arial" w:eastAsia="Times New Roman" w:hAnsi="Arial" w:cs="Arial"/>
          <w:sz w:val="24"/>
          <w:szCs w:val="24"/>
        </w:rPr>
        <w:t xml:space="preserve"> by an extreme minority. Finally, existing studies focus on a narrow range of parenting behaviours preventing analysis of whether low income is related to different types of parenting behaviours in different ways. For example, Lareau’s work would lead us to expect minimal differences in meeting children’s physical needs but bigger differences when it comes to extra-curricular activities which are associated with a concerted cultivation approach to parenting. This article seeks to address these gaps.</w:t>
      </w:r>
    </w:p>
    <w:p w14:paraId="4B539DAF"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Analytical Approach</w:t>
      </w:r>
    </w:p>
    <w:p w14:paraId="61D52C5F"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I approach this analysis differently from previous research in </w:t>
      </w:r>
      <w:proofErr w:type="gramStart"/>
      <w:r w:rsidRPr="00141FBF">
        <w:rPr>
          <w:rFonts w:ascii="Arial" w:eastAsia="Times New Roman" w:hAnsi="Arial" w:cs="Arial"/>
          <w:sz w:val="24"/>
          <w:szCs w:val="24"/>
        </w:rPr>
        <w:t>a number of</w:t>
      </w:r>
      <w:proofErr w:type="gramEnd"/>
      <w:r w:rsidRPr="00141FBF">
        <w:rPr>
          <w:rFonts w:ascii="Arial" w:eastAsia="Times New Roman" w:hAnsi="Arial" w:cs="Arial"/>
          <w:sz w:val="24"/>
          <w:szCs w:val="24"/>
        </w:rPr>
        <w:t xml:space="preserve"> ways. First, instead of comparing those in poverty with all other parents, I analyse parenting behaviours across income quintiles. This is for two reasons: first, to allow for comparisons between parents with low incomes and parents with middle incomes. This is important because poor parents are often represented as being deficient in their parenting compared with parents who are not poor (</w:t>
      </w:r>
      <w:hyperlink r:id="rId35" w:anchor="bibr38-0038038520939397" w:history="1">
        <w:r w:rsidRPr="00141FBF">
          <w:rPr>
            <w:rFonts w:ascii="Arial" w:eastAsia="Times New Roman" w:hAnsi="Arial" w:cs="Arial"/>
            <w:color w:val="006ACC"/>
            <w:sz w:val="24"/>
            <w:szCs w:val="24"/>
            <w:u w:val="single"/>
          </w:rPr>
          <w:t>Magnuson and Duncan, 2002</w:t>
        </w:r>
      </w:hyperlink>
      <w:r w:rsidRPr="00141FBF">
        <w:rPr>
          <w:rFonts w:ascii="Arial" w:eastAsia="Times New Roman" w:hAnsi="Arial" w:cs="Arial"/>
          <w:sz w:val="24"/>
          <w:szCs w:val="24"/>
        </w:rPr>
        <w:t>: 104; </w:t>
      </w:r>
      <w:hyperlink r:id="rId36" w:anchor="bibr45-0038038520939397" w:history="1">
        <w:r w:rsidRPr="00141FBF">
          <w:rPr>
            <w:rFonts w:ascii="Arial" w:eastAsia="Times New Roman" w:hAnsi="Arial" w:cs="Arial"/>
            <w:color w:val="006ACC"/>
            <w:sz w:val="24"/>
            <w:szCs w:val="24"/>
            <w:u w:val="single"/>
          </w:rPr>
          <w:t>Taylor et al., 2000</w:t>
        </w:r>
      </w:hyperlink>
      <w:r w:rsidRPr="00141FBF">
        <w:rPr>
          <w:rFonts w:ascii="Arial" w:eastAsia="Times New Roman" w:hAnsi="Arial" w:cs="Arial"/>
          <w:sz w:val="24"/>
          <w:szCs w:val="24"/>
        </w:rPr>
        <w:t xml:space="preserve">). Middle-income parents are therefore the implicit reference group in the dominant discourses. It may be the case for instance that low-income </w:t>
      </w:r>
      <w:proofErr w:type="gramStart"/>
      <w:r w:rsidRPr="00141FBF">
        <w:rPr>
          <w:rFonts w:ascii="Arial" w:eastAsia="Times New Roman" w:hAnsi="Arial" w:cs="Arial"/>
          <w:sz w:val="24"/>
          <w:szCs w:val="24"/>
        </w:rPr>
        <w:t>parents</w:t>
      </w:r>
      <w:proofErr w:type="gramEnd"/>
      <w:r w:rsidRPr="00141FBF">
        <w:rPr>
          <w:rFonts w:ascii="Arial" w:eastAsia="Times New Roman" w:hAnsi="Arial" w:cs="Arial"/>
          <w:sz w:val="24"/>
          <w:szCs w:val="24"/>
        </w:rPr>
        <w:t xml:space="preserve"> parent differently to high-income parents or the rich, but not compared with those on median incomes. When comparisons are made between low-income parents and everyone else, including the rich, differences may be exaggerated.</w:t>
      </w:r>
    </w:p>
    <w:p w14:paraId="4A1424A2"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Second, using income quintiles enables an assessment of the association between income and parenting behaviours across the income distribution. This will identify whether any differences in parenting between mothers on low and middle incomes are because low-income parents are a distinct group that are uniquely different (again suggested in some discourses), or whether any differences are part of a broader pattern, of which the lowest-income parents might do worst, but the median-income parents still parent differently to those at the top.</w:t>
      </w:r>
    </w:p>
    <w:p w14:paraId="01CE38D1"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Additionally, if there are significant differences in the parenting behaviours of mothers in the lowest- compared to the middle-income group, this analysis seeks to examine how common these differences are among low-income parents and whether they indicate low-income parents merely do less of the ‘ideal’ parenting behaviours (e.g. reading with their child four times a week instead of five times a week), or whether their parenting behaviours would actually give cause for concern.</w:t>
      </w:r>
    </w:p>
    <w:p w14:paraId="5F6654DC"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Finally, this analysis will distinguish between different types of parenting behaviours allowing for any differences in the relationship with income by type of parenting behaviour to become clear.</w:t>
      </w:r>
    </w:p>
    <w:p w14:paraId="73D258D5"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Using this analytical approach this article aims to answer the following research questions:</w:t>
      </w:r>
    </w:p>
    <w:p w14:paraId="67A6DD36"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t>•</w:t>
      </w:r>
    </w:p>
    <w:p w14:paraId="078147F2"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Do low-income parents parent differently compared with middle-income parents?</w:t>
      </w:r>
    </w:p>
    <w:p w14:paraId="05B1D4E7"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lastRenderedPageBreak/>
        <w:t>•</w:t>
      </w:r>
    </w:p>
    <w:p w14:paraId="1241480F"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Are low-income parents a unique group behaving differently from all other income groups?</w:t>
      </w:r>
    </w:p>
    <w:p w14:paraId="6D762C61"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t>•</w:t>
      </w:r>
    </w:p>
    <w:p w14:paraId="699189A2"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Are low-income parents less likely to parent in ways that </w:t>
      </w:r>
      <w:proofErr w:type="gramStart"/>
      <w:r w:rsidRPr="00141FBF">
        <w:rPr>
          <w:rFonts w:ascii="Arial" w:eastAsia="Times New Roman" w:hAnsi="Arial" w:cs="Arial"/>
          <w:sz w:val="24"/>
          <w:szCs w:val="24"/>
        </w:rPr>
        <w:t>are considered to be</w:t>
      </w:r>
      <w:proofErr w:type="gramEnd"/>
      <w:r w:rsidRPr="00141FBF">
        <w:rPr>
          <w:rFonts w:ascii="Arial" w:eastAsia="Times New Roman" w:hAnsi="Arial" w:cs="Arial"/>
          <w:sz w:val="24"/>
          <w:szCs w:val="24"/>
        </w:rPr>
        <w:t xml:space="preserve"> ‘ideal’ or are they more likely to parent in ways that are considered to be ‘poor’?</w:t>
      </w:r>
    </w:p>
    <w:p w14:paraId="0F5A0A8F" w14:textId="77777777" w:rsidR="00141FBF" w:rsidRPr="00141FBF" w:rsidRDefault="00141FBF" w:rsidP="00141FBF">
      <w:pPr>
        <w:spacing w:before="100" w:beforeAutospacing="1" w:after="100" w:afterAutospacing="1" w:line="240" w:lineRule="auto"/>
        <w:outlineLvl w:val="2"/>
        <w:rPr>
          <w:rFonts w:ascii="Arial" w:eastAsia="Times New Roman" w:hAnsi="Arial" w:cs="Arial"/>
          <w:color w:val="000000"/>
          <w:sz w:val="24"/>
          <w:szCs w:val="24"/>
        </w:rPr>
      </w:pPr>
      <w:r w:rsidRPr="00141FBF">
        <w:rPr>
          <w:rFonts w:ascii="Arial" w:eastAsia="Times New Roman" w:hAnsi="Arial" w:cs="Arial"/>
          <w:color w:val="000000"/>
          <w:sz w:val="24"/>
          <w:szCs w:val="24"/>
        </w:rPr>
        <w:t>What Is ‘Good’ Parenting?</w:t>
      </w:r>
    </w:p>
    <w:p w14:paraId="0C53C959"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 concept of parenting is complex and multifaceted and what counts as </w:t>
      </w:r>
      <w:r w:rsidRPr="00141FBF">
        <w:rPr>
          <w:rFonts w:ascii="Arial" w:eastAsia="Times New Roman" w:hAnsi="Arial" w:cs="Arial"/>
          <w:i/>
          <w:iCs/>
          <w:sz w:val="24"/>
          <w:szCs w:val="24"/>
        </w:rPr>
        <w:t>good</w:t>
      </w:r>
      <w:r w:rsidRPr="00141FBF">
        <w:rPr>
          <w:rFonts w:ascii="Arial" w:eastAsia="Times New Roman" w:hAnsi="Arial" w:cs="Arial"/>
          <w:sz w:val="24"/>
          <w:szCs w:val="24"/>
        </w:rPr>
        <w:t> parenting is contested: professional parenting advice is constantly evolving and critics have highlighted that traditionally white middle-class definitions have been favoured presenting working-class parenting or parenting across different ethnic groups as inferior (</w:t>
      </w:r>
      <w:hyperlink r:id="rId37" w:anchor="bibr12-0038038520939397" w:history="1">
        <w:r w:rsidRPr="00141FBF">
          <w:rPr>
            <w:rFonts w:ascii="Arial" w:eastAsia="Times New Roman" w:hAnsi="Arial" w:cs="Arial"/>
            <w:color w:val="006ACC"/>
            <w:sz w:val="24"/>
            <w:szCs w:val="24"/>
            <w:u w:val="single"/>
          </w:rPr>
          <w:t xml:space="preserve">Coll and </w:t>
        </w:r>
        <w:proofErr w:type="spellStart"/>
        <w:r w:rsidRPr="00141FBF">
          <w:rPr>
            <w:rFonts w:ascii="Arial" w:eastAsia="Times New Roman" w:hAnsi="Arial" w:cs="Arial"/>
            <w:color w:val="006ACC"/>
            <w:sz w:val="24"/>
            <w:szCs w:val="24"/>
            <w:u w:val="single"/>
          </w:rPr>
          <w:t>Pachter</w:t>
        </w:r>
        <w:proofErr w:type="spellEnd"/>
        <w:r w:rsidRPr="00141FBF">
          <w:rPr>
            <w:rFonts w:ascii="Arial" w:eastAsia="Times New Roman" w:hAnsi="Arial" w:cs="Arial"/>
            <w:color w:val="006ACC"/>
            <w:sz w:val="24"/>
            <w:szCs w:val="24"/>
            <w:u w:val="single"/>
          </w:rPr>
          <w:t>, 2002</w:t>
        </w:r>
      </w:hyperlink>
      <w:r w:rsidRPr="00141FBF">
        <w:rPr>
          <w:rFonts w:ascii="Arial" w:eastAsia="Times New Roman" w:hAnsi="Arial" w:cs="Arial"/>
          <w:sz w:val="24"/>
          <w:szCs w:val="24"/>
        </w:rPr>
        <w:t>; </w:t>
      </w:r>
      <w:hyperlink r:id="rId38" w:anchor="bibr38-0038038520939397" w:history="1">
        <w:r w:rsidRPr="00141FBF">
          <w:rPr>
            <w:rFonts w:ascii="Arial" w:eastAsia="Times New Roman" w:hAnsi="Arial" w:cs="Arial"/>
            <w:color w:val="006ACC"/>
            <w:sz w:val="24"/>
            <w:szCs w:val="24"/>
            <w:u w:val="single"/>
          </w:rPr>
          <w:t>Magnuson and Duncan, 2002</w:t>
        </w:r>
      </w:hyperlink>
      <w:r w:rsidRPr="00141FBF">
        <w:rPr>
          <w:rFonts w:ascii="Arial" w:eastAsia="Times New Roman" w:hAnsi="Arial" w:cs="Arial"/>
          <w:sz w:val="24"/>
          <w:szCs w:val="24"/>
        </w:rPr>
        <w:t>: 104; </w:t>
      </w:r>
      <w:hyperlink r:id="rId39" w:anchor="bibr45-0038038520939397" w:history="1">
        <w:r w:rsidRPr="00141FBF">
          <w:rPr>
            <w:rFonts w:ascii="Arial" w:eastAsia="Times New Roman" w:hAnsi="Arial" w:cs="Arial"/>
            <w:color w:val="006ACC"/>
            <w:sz w:val="24"/>
            <w:szCs w:val="24"/>
            <w:u w:val="single"/>
          </w:rPr>
          <w:t>Taylor et al., 2000</w:t>
        </w:r>
      </w:hyperlink>
      <w:r w:rsidRPr="00141FBF">
        <w:rPr>
          <w:rFonts w:ascii="Arial" w:eastAsia="Times New Roman" w:hAnsi="Arial" w:cs="Arial"/>
          <w:sz w:val="24"/>
          <w:szCs w:val="24"/>
        </w:rPr>
        <w:t>). A further difficulty in defining good parenting is not only is there diversity in parenting practices across different contexts but the same parenting practices have been found to have different effects depending on a range of factors including the gender and ethnicity of the child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"bibr15-0038038520939397"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Deater</w:t>
      </w:r>
      <w:proofErr w:type="spellEnd"/>
      <w:r w:rsidRPr="00141FBF">
        <w:rPr>
          <w:rFonts w:ascii="Arial" w:eastAsia="Times New Roman" w:hAnsi="Arial" w:cs="Arial"/>
          <w:color w:val="006ACC"/>
          <w:sz w:val="24"/>
          <w:szCs w:val="24"/>
          <w:u w:val="single"/>
        </w:rPr>
        <w:t>-Deckard et al., 1996</w:t>
      </w:r>
      <w:r w:rsidRPr="00141FBF">
        <w:rPr>
          <w:rFonts w:ascii="Arial" w:eastAsia="Times New Roman" w:hAnsi="Arial" w:cs="Arial"/>
          <w:sz w:val="24"/>
          <w:szCs w:val="24"/>
        </w:rPr>
        <w:fldChar w:fldCharType="end"/>
      </w:r>
      <w:r w:rsidRPr="00141FBF">
        <w:rPr>
          <w:rFonts w:ascii="Arial" w:eastAsia="Times New Roman" w:hAnsi="Arial" w:cs="Arial"/>
          <w:sz w:val="24"/>
          <w:szCs w:val="24"/>
        </w:rPr>
        <w:t>; </w:t>
      </w:r>
      <w:hyperlink r:id="rId40" w:anchor="bibr22-0038038520939397" w:history="1">
        <w:r w:rsidRPr="00141FBF">
          <w:rPr>
            <w:rFonts w:ascii="Arial" w:eastAsia="Times New Roman" w:hAnsi="Arial" w:cs="Arial"/>
            <w:color w:val="006ACC"/>
            <w:sz w:val="24"/>
            <w:szCs w:val="24"/>
            <w:u w:val="single"/>
          </w:rPr>
          <w:t>Gutman and Feinstein, 2010</w:t>
        </w:r>
      </w:hyperlink>
      <w:r w:rsidRPr="00141FBF">
        <w:rPr>
          <w:rFonts w:ascii="Arial" w:eastAsia="Times New Roman" w:hAnsi="Arial" w:cs="Arial"/>
          <w:sz w:val="24"/>
          <w:szCs w:val="24"/>
        </w:rPr>
        <w:t xml:space="preserve">). Nevertheless, there is a wealth of evidence which suggests certain parenting behaviours tend to have positive/negative associations with children’s outcomes, though there is a lack of consistency in the measures of parenting used. </w:t>
      </w:r>
      <w:proofErr w:type="gramStart"/>
      <w:r w:rsidRPr="00141FBF">
        <w:rPr>
          <w:rFonts w:ascii="Arial" w:eastAsia="Times New Roman" w:hAnsi="Arial" w:cs="Arial"/>
          <w:sz w:val="24"/>
          <w:szCs w:val="24"/>
        </w:rPr>
        <w:t>In order to</w:t>
      </w:r>
      <w:proofErr w:type="gramEnd"/>
      <w:r w:rsidRPr="00141FBF">
        <w:rPr>
          <w:rFonts w:ascii="Arial" w:eastAsia="Times New Roman" w:hAnsi="Arial" w:cs="Arial"/>
          <w:sz w:val="24"/>
          <w:szCs w:val="24"/>
        </w:rPr>
        <w:t xml:space="preserve"> take a transparent and comprehensive approach to measuring parenting I first briefly review the main theories and evidence of what is good parenting before proposing my own conceptual framework for measuring parenting based on children’s outcomes and the associated goals and practices that relate to these outcomes.</w:t>
      </w:r>
    </w:p>
    <w:p w14:paraId="0560140F"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There are three main theories that explain the relationship between parenting and children’s outcomes. The first is </w:t>
      </w:r>
      <w:hyperlink r:id="rId41" w:anchor="bibr3-0038038520939397" w:history="1">
        <w:r w:rsidRPr="00141FBF">
          <w:rPr>
            <w:rFonts w:ascii="Arial" w:eastAsia="Times New Roman" w:hAnsi="Arial" w:cs="Arial"/>
            <w:color w:val="006ACC"/>
            <w:sz w:val="24"/>
            <w:szCs w:val="24"/>
            <w:u w:val="single"/>
          </w:rPr>
          <w:t>Baumrind’s (1966</w:t>
        </w:r>
      </w:hyperlink>
      <w:r w:rsidRPr="00141FBF">
        <w:rPr>
          <w:rFonts w:ascii="Arial" w:eastAsia="Times New Roman" w:hAnsi="Arial" w:cs="Arial"/>
          <w:sz w:val="24"/>
          <w:szCs w:val="24"/>
        </w:rPr>
        <w:t>, </w:t>
      </w:r>
      <w:hyperlink r:id="rId42" w:anchor="bibr4-0038038520939397" w:history="1">
        <w:r w:rsidRPr="00141FBF">
          <w:rPr>
            <w:rFonts w:ascii="Arial" w:eastAsia="Times New Roman" w:hAnsi="Arial" w:cs="Arial"/>
            <w:color w:val="006ACC"/>
            <w:sz w:val="24"/>
            <w:szCs w:val="24"/>
            <w:u w:val="single"/>
          </w:rPr>
          <w:t>1991</w:t>
        </w:r>
      </w:hyperlink>
      <w:r w:rsidRPr="00141FBF">
        <w:rPr>
          <w:rFonts w:ascii="Arial" w:eastAsia="Times New Roman" w:hAnsi="Arial" w:cs="Arial"/>
          <w:sz w:val="24"/>
          <w:szCs w:val="24"/>
        </w:rPr>
        <w:t>, </w:t>
      </w:r>
      <w:hyperlink r:id="rId43" w:anchor="bibr5-0038038520939397" w:history="1">
        <w:r w:rsidRPr="00141FBF">
          <w:rPr>
            <w:rFonts w:ascii="Arial" w:eastAsia="Times New Roman" w:hAnsi="Arial" w:cs="Arial"/>
            <w:color w:val="006ACC"/>
            <w:sz w:val="24"/>
            <w:szCs w:val="24"/>
            <w:u w:val="single"/>
          </w:rPr>
          <w:t>2005</w:t>
        </w:r>
      </w:hyperlink>
      <w:r w:rsidRPr="00141FBF">
        <w:rPr>
          <w:rFonts w:ascii="Arial" w:eastAsia="Times New Roman" w:hAnsi="Arial" w:cs="Arial"/>
          <w:sz w:val="24"/>
          <w:szCs w:val="24"/>
        </w:rPr>
        <w:t>) typology of parenting styles based on two dimensions: levels of demandingness (behavioural control and monitoring) and levels of responsiveness (warmth, support and reasoned communication). Studies that conceptualise and measure parenting in this way have consistently found that an authoritative parenting style, characterised by both high demandingness and high supportiveness, is associated with better outcomes for children and adolescents compared with other parenting styles (</w:t>
      </w:r>
      <w:hyperlink r:id="rId44" w:anchor="bibr4-0038038520939397" w:history="1">
        <w:r w:rsidRPr="00141FBF">
          <w:rPr>
            <w:rFonts w:ascii="Arial" w:eastAsia="Times New Roman" w:hAnsi="Arial" w:cs="Arial"/>
            <w:color w:val="006ACC"/>
            <w:sz w:val="24"/>
            <w:szCs w:val="24"/>
            <w:u w:val="single"/>
          </w:rPr>
          <w:t>Baumrind, 1991</w:t>
        </w:r>
      </w:hyperlink>
      <w:r w:rsidRPr="00141FBF">
        <w:rPr>
          <w:rFonts w:ascii="Arial" w:eastAsia="Times New Roman" w:hAnsi="Arial" w:cs="Arial"/>
          <w:sz w:val="24"/>
          <w:szCs w:val="24"/>
        </w:rPr>
        <w:t>; </w:t>
      </w:r>
      <w:hyperlink r:id="rId45" w:anchor="bibr6-0038038520939397" w:history="1">
        <w:r w:rsidRPr="00141FBF">
          <w:rPr>
            <w:rFonts w:ascii="Arial" w:eastAsia="Times New Roman" w:hAnsi="Arial" w:cs="Arial"/>
            <w:color w:val="006ACC"/>
            <w:sz w:val="24"/>
            <w:szCs w:val="24"/>
            <w:u w:val="single"/>
          </w:rPr>
          <w:t>Baumrind and Black, 1967</w:t>
        </w:r>
      </w:hyperlink>
      <w:r w:rsidRPr="00141FBF">
        <w:rPr>
          <w:rFonts w:ascii="Arial" w:eastAsia="Times New Roman" w:hAnsi="Arial" w:cs="Arial"/>
          <w:sz w:val="24"/>
          <w:szCs w:val="24"/>
        </w:rPr>
        <w:t>; </w:t>
      </w:r>
      <w:hyperlink r:id="rId46" w:anchor="bibr11-0038038520939397" w:history="1">
        <w:r w:rsidRPr="00141FBF">
          <w:rPr>
            <w:rFonts w:ascii="Arial" w:eastAsia="Times New Roman" w:hAnsi="Arial" w:cs="Arial"/>
            <w:color w:val="006ACC"/>
            <w:sz w:val="24"/>
            <w:szCs w:val="24"/>
            <w:u w:val="single"/>
          </w:rPr>
          <w:t>Chan and Koo, 2011</w:t>
        </w:r>
      </w:hyperlink>
      <w:r w:rsidRPr="00141FBF">
        <w:rPr>
          <w:rFonts w:ascii="Arial" w:eastAsia="Times New Roman" w:hAnsi="Arial" w:cs="Arial"/>
          <w:sz w:val="24"/>
          <w:szCs w:val="24"/>
        </w:rPr>
        <w:t>).</w:t>
      </w:r>
    </w:p>
    <w:p w14:paraId="51EE23D1"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A second dominant theory of parenting is that of attachment theory, which posits that the bond between children and their main caregiver is crucial for children’s development and later outcomes. Having a ‘secure’ or healthy attachment with the parent provides children with a ‘secure base’ from which they can comfortably leave and explore (</w:t>
      </w:r>
      <w:hyperlink r:id="rId47" w:anchor="bibr7-0038038520939397" w:history="1">
        <w:r w:rsidRPr="00141FBF">
          <w:rPr>
            <w:rFonts w:ascii="Arial" w:eastAsia="Times New Roman" w:hAnsi="Arial" w:cs="Arial"/>
            <w:color w:val="006ACC"/>
            <w:sz w:val="24"/>
            <w:szCs w:val="24"/>
            <w:u w:val="single"/>
          </w:rPr>
          <w:t>Bowlby, 1979</w:t>
        </w:r>
      </w:hyperlink>
      <w:r w:rsidRPr="00141FBF">
        <w:rPr>
          <w:rFonts w:ascii="Arial" w:eastAsia="Times New Roman" w:hAnsi="Arial" w:cs="Arial"/>
          <w:sz w:val="24"/>
          <w:szCs w:val="24"/>
        </w:rPr>
        <w:t>: 132) and provides a template for future relationships with others (</w:t>
      </w:r>
      <w:hyperlink r:id="rId48" w:anchor="bibr26-0038038520939397" w:history="1">
        <w:r w:rsidRPr="00141FBF">
          <w:rPr>
            <w:rFonts w:ascii="Arial" w:eastAsia="Times New Roman" w:hAnsi="Arial" w:cs="Arial"/>
            <w:color w:val="006ACC"/>
            <w:sz w:val="24"/>
            <w:szCs w:val="24"/>
            <w:u w:val="single"/>
          </w:rPr>
          <w:t>Holmes, 1993</w:t>
        </w:r>
      </w:hyperlink>
      <w:r w:rsidRPr="00141FBF">
        <w:rPr>
          <w:rFonts w:ascii="Arial" w:eastAsia="Times New Roman" w:hAnsi="Arial" w:cs="Arial"/>
          <w:sz w:val="24"/>
          <w:szCs w:val="24"/>
        </w:rPr>
        <w:t>: 77). In terms of parenting behaviours that foster this secure attachment, this theory emphasises the importance of sensitivity and responsiveness, for example holding and comforting a child when they cry, which enables the child to feel secure and also teaches them they can ‘safely express negative emotion’ and the parent will respond in a way that makes them feel better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"bibr40-0038038520939397"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Moullin</w:t>
      </w:r>
      <w:proofErr w:type="spellEnd"/>
      <w:r w:rsidRPr="00141FBF">
        <w:rPr>
          <w:rFonts w:ascii="Arial" w:eastAsia="Times New Roman" w:hAnsi="Arial" w:cs="Arial"/>
          <w:color w:val="006ACC"/>
          <w:sz w:val="24"/>
          <w:szCs w:val="24"/>
          <w:u w:val="single"/>
        </w:rPr>
        <w:t xml:space="preserve"> et al., 2014</w:t>
      </w:r>
      <w:r w:rsidRPr="00141FBF">
        <w:rPr>
          <w:rFonts w:ascii="Arial" w:eastAsia="Times New Roman" w:hAnsi="Arial" w:cs="Arial"/>
          <w:sz w:val="24"/>
          <w:szCs w:val="24"/>
        </w:rPr>
        <w:fldChar w:fldCharType="end"/>
      </w:r>
      <w:r w:rsidRPr="00141FBF">
        <w:rPr>
          <w:rFonts w:ascii="Arial" w:eastAsia="Times New Roman" w:hAnsi="Arial" w:cs="Arial"/>
          <w:sz w:val="24"/>
          <w:szCs w:val="24"/>
        </w:rPr>
        <w:t>: 9). Studies informed by attachment theory have found that children who have a secure bond with their main caregiver develop healthier psychological dispositions (such as trusting others, not being overly dependent or self-reliant) (</w:t>
      </w:r>
      <w:hyperlink r:id="rId49" w:anchor="bibr7-0038038520939397" w:history="1">
        <w:r w:rsidRPr="00141FBF">
          <w:rPr>
            <w:rFonts w:ascii="Arial" w:eastAsia="Times New Roman" w:hAnsi="Arial" w:cs="Arial"/>
            <w:color w:val="006ACC"/>
            <w:sz w:val="24"/>
            <w:szCs w:val="24"/>
            <w:u w:val="single"/>
          </w:rPr>
          <w:t>Bowlby, 1979</w:t>
        </w:r>
      </w:hyperlink>
      <w:r w:rsidRPr="00141FBF">
        <w:rPr>
          <w:rFonts w:ascii="Arial" w:eastAsia="Times New Roman" w:hAnsi="Arial" w:cs="Arial"/>
          <w:sz w:val="24"/>
          <w:szCs w:val="24"/>
        </w:rPr>
        <w:t>) as well as better physical health, cognitive and language outcomes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"bibr40-0038038520939397"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Moullin</w:t>
      </w:r>
      <w:proofErr w:type="spellEnd"/>
      <w:r w:rsidRPr="00141FBF">
        <w:rPr>
          <w:rFonts w:ascii="Arial" w:eastAsia="Times New Roman" w:hAnsi="Arial" w:cs="Arial"/>
          <w:color w:val="006ACC"/>
          <w:sz w:val="24"/>
          <w:szCs w:val="24"/>
          <w:u w:val="single"/>
        </w:rPr>
        <w:t xml:space="preserve"> et al., 2014</w:t>
      </w:r>
      <w:r w:rsidRPr="00141FBF">
        <w:rPr>
          <w:rFonts w:ascii="Arial" w:eastAsia="Times New Roman" w:hAnsi="Arial" w:cs="Arial"/>
          <w:sz w:val="24"/>
          <w:szCs w:val="24"/>
        </w:rPr>
        <w:fldChar w:fldCharType="end"/>
      </w:r>
      <w:r w:rsidRPr="00141FBF">
        <w:rPr>
          <w:rFonts w:ascii="Arial" w:eastAsia="Times New Roman" w:hAnsi="Arial" w:cs="Arial"/>
          <w:sz w:val="24"/>
          <w:szCs w:val="24"/>
        </w:rPr>
        <w:t>: 11).</w:t>
      </w:r>
    </w:p>
    <w:p w14:paraId="37E0F4C0"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lastRenderedPageBreak/>
        <w:t>Finally, social learning theory maintains that children learn through positive and negative reinforcement of their actions. When a child’s actions have a positive effect, for example they are rewarded for their behaviour; this provides an incentive to repeat that behaviour in the future, and when a child’s actions have negative consequences such as punishment, they avoid repeating these actions again (</w:t>
      </w:r>
      <w:hyperlink r:id="rId50" w:anchor="bibr2-0038038520939397" w:history="1">
        <w:r w:rsidRPr="00141FBF">
          <w:rPr>
            <w:rFonts w:ascii="Arial" w:eastAsia="Times New Roman" w:hAnsi="Arial" w:cs="Arial"/>
            <w:color w:val="006ACC"/>
            <w:sz w:val="24"/>
            <w:szCs w:val="24"/>
            <w:u w:val="single"/>
          </w:rPr>
          <w:t>Bandura, 1977</w:t>
        </w:r>
      </w:hyperlink>
      <w:r w:rsidRPr="00141FBF">
        <w:rPr>
          <w:rFonts w:ascii="Arial" w:eastAsia="Times New Roman" w:hAnsi="Arial" w:cs="Arial"/>
          <w:sz w:val="24"/>
          <w:szCs w:val="24"/>
        </w:rPr>
        <w:t>: 17). In terms of children’s early socialisation this means if children are not taught to respond to social stimuli the child will fail to develop social behaviours (</w:t>
      </w:r>
      <w:hyperlink r:id="rId51" w:anchor="bibr41-0038038520939397" w:history="1">
        <w:r w:rsidRPr="00141FBF">
          <w:rPr>
            <w:rFonts w:ascii="Arial" w:eastAsia="Times New Roman" w:hAnsi="Arial" w:cs="Arial"/>
            <w:color w:val="006ACC"/>
            <w:sz w:val="24"/>
            <w:szCs w:val="24"/>
            <w:u w:val="single"/>
          </w:rPr>
          <w:t>Patterson, 1969</w:t>
        </w:r>
      </w:hyperlink>
      <w:r w:rsidRPr="00141FBF">
        <w:rPr>
          <w:rFonts w:ascii="Arial" w:eastAsia="Times New Roman" w:hAnsi="Arial" w:cs="Arial"/>
          <w:sz w:val="24"/>
          <w:szCs w:val="24"/>
        </w:rPr>
        <w:t>: 343). Because both positive and negative reinforcement are important to this theory the parenting behaviours that are emphasised are again responsiveness but also discipline.</w:t>
      </w:r>
    </w:p>
    <w:p w14:paraId="4C1A2BD6"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Taken together these three theories provide useful frameworks for thinking about what ought to be included in any measure of parenting, though there are other aspects of parenting </w:t>
      </w:r>
      <w:proofErr w:type="gramStart"/>
      <w:r w:rsidRPr="00141FBF">
        <w:rPr>
          <w:rFonts w:ascii="Arial" w:eastAsia="Times New Roman" w:hAnsi="Arial" w:cs="Arial"/>
          <w:sz w:val="24"/>
          <w:szCs w:val="24"/>
        </w:rPr>
        <w:t>not included</w:t>
      </w:r>
      <w:proofErr w:type="gramEnd"/>
      <w:r w:rsidRPr="00141FBF">
        <w:rPr>
          <w:rFonts w:ascii="Arial" w:eastAsia="Times New Roman" w:hAnsi="Arial" w:cs="Arial"/>
          <w:sz w:val="24"/>
          <w:szCs w:val="24"/>
        </w:rPr>
        <w:t xml:space="preserve"> that evidence suggests are important for children’s development. For example, there is much evidence on the importance of the home learning environment for children’s cognitive development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"bibr39-0038038520939397"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Melhuish</w:t>
      </w:r>
      <w:proofErr w:type="spellEnd"/>
      <w:r w:rsidRPr="00141FBF">
        <w:rPr>
          <w:rFonts w:ascii="Arial" w:eastAsia="Times New Roman" w:hAnsi="Arial" w:cs="Arial"/>
          <w:color w:val="006ACC"/>
          <w:sz w:val="24"/>
          <w:szCs w:val="24"/>
          <w:u w:val="single"/>
        </w:rPr>
        <w:t xml:space="preserve"> et al., 2008</w:t>
      </w:r>
      <w:r w:rsidRPr="00141FBF">
        <w:rPr>
          <w:rFonts w:ascii="Arial" w:eastAsia="Times New Roman" w:hAnsi="Arial" w:cs="Arial"/>
          <w:sz w:val="24"/>
          <w:szCs w:val="24"/>
        </w:rPr>
        <w:fldChar w:fldCharType="end"/>
      </w:r>
      <w:r w:rsidRPr="00141FBF">
        <w:rPr>
          <w:rFonts w:ascii="Arial" w:eastAsia="Times New Roman" w:hAnsi="Arial" w:cs="Arial"/>
          <w:sz w:val="24"/>
          <w:szCs w:val="24"/>
        </w:rPr>
        <w:t>;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"bibr48-0038038520939397"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Washbrook</w:t>
      </w:r>
      <w:proofErr w:type="spellEnd"/>
      <w:r w:rsidRPr="00141FBF">
        <w:rPr>
          <w:rFonts w:ascii="Arial" w:eastAsia="Times New Roman" w:hAnsi="Arial" w:cs="Arial"/>
          <w:color w:val="006ACC"/>
          <w:sz w:val="24"/>
          <w:szCs w:val="24"/>
          <w:u w:val="single"/>
        </w:rPr>
        <w:t>, 2010</w:t>
      </w:r>
      <w:r w:rsidRPr="00141FBF">
        <w:rPr>
          <w:rFonts w:ascii="Arial" w:eastAsia="Times New Roman" w:hAnsi="Arial" w:cs="Arial"/>
          <w:sz w:val="24"/>
          <w:szCs w:val="24"/>
        </w:rPr>
        <w:fldChar w:fldCharType="end"/>
      </w:r>
      <w:r w:rsidRPr="00141FBF">
        <w:rPr>
          <w:rFonts w:ascii="Arial" w:eastAsia="Times New Roman" w:hAnsi="Arial" w:cs="Arial"/>
          <w:sz w:val="24"/>
          <w:szCs w:val="24"/>
        </w:rPr>
        <w:t>). In terms of health outcomes children’s diet and the amount of physical activity they do is important (</w:t>
      </w:r>
      <w:hyperlink r:id="rId52" w:anchor="bibr28-0038038520939397" w:history="1">
        <w:r w:rsidRPr="00141FBF">
          <w:rPr>
            <w:rFonts w:ascii="Arial" w:eastAsia="Times New Roman" w:hAnsi="Arial" w:cs="Arial"/>
            <w:color w:val="006ACC"/>
            <w:sz w:val="24"/>
            <w:szCs w:val="24"/>
            <w:u w:val="single"/>
          </w:rPr>
          <w:t>Janssen and LeBlanc, 2010</w:t>
        </w:r>
      </w:hyperlink>
      <w:r w:rsidRPr="00141FBF">
        <w:rPr>
          <w:rFonts w:ascii="Arial" w:eastAsia="Times New Roman" w:hAnsi="Arial" w:cs="Arial"/>
          <w:sz w:val="24"/>
          <w:szCs w:val="24"/>
        </w:rPr>
        <w:t>). Shouting at the child, smacking, having an irregular bedtime and watching more hours of television have negative associations with children’s outcomes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"bibr25-0038038520939397"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Hobcraft</w:t>
      </w:r>
      <w:proofErr w:type="spellEnd"/>
      <w:r w:rsidRPr="00141FBF">
        <w:rPr>
          <w:rFonts w:ascii="Arial" w:eastAsia="Times New Roman" w:hAnsi="Arial" w:cs="Arial"/>
          <w:color w:val="006ACC"/>
          <w:sz w:val="24"/>
          <w:szCs w:val="24"/>
          <w:u w:val="single"/>
        </w:rPr>
        <w:t xml:space="preserve"> and Kiernan, 2010</w:t>
      </w:r>
      <w:r w:rsidRPr="00141FBF">
        <w:rPr>
          <w:rFonts w:ascii="Arial" w:eastAsia="Times New Roman" w:hAnsi="Arial" w:cs="Arial"/>
          <w:sz w:val="24"/>
          <w:szCs w:val="24"/>
        </w:rPr>
        <w:fldChar w:fldCharType="end"/>
      </w:r>
      <w:r w:rsidRPr="00141FBF">
        <w:rPr>
          <w:rFonts w:ascii="Arial" w:eastAsia="Times New Roman" w:hAnsi="Arial" w:cs="Arial"/>
          <w:sz w:val="24"/>
          <w:szCs w:val="24"/>
        </w:rPr>
        <w:t>; </w:t>
      </w:r>
      <w:hyperlink r:id="rId53" w:anchor="bibr29-0038038520939397" w:history="1">
        <w:r w:rsidRPr="00141FBF">
          <w:rPr>
            <w:rFonts w:ascii="Arial" w:eastAsia="Times New Roman" w:hAnsi="Arial" w:cs="Arial"/>
            <w:color w:val="006ACC"/>
            <w:sz w:val="24"/>
            <w:szCs w:val="24"/>
            <w:u w:val="single"/>
          </w:rPr>
          <w:t>Jones et al., 2013</w:t>
        </w:r>
      </w:hyperlink>
      <w:r w:rsidRPr="00141FBF">
        <w:rPr>
          <w:rFonts w:ascii="Arial" w:eastAsia="Times New Roman" w:hAnsi="Arial" w:cs="Arial"/>
          <w:sz w:val="24"/>
          <w:szCs w:val="24"/>
        </w:rPr>
        <w:t>; </w:t>
      </w:r>
      <w:hyperlink r:id="rId54" w:anchor="bibr30-0038038520939397" w:history="1">
        <w:r w:rsidRPr="00141FBF">
          <w:rPr>
            <w:rFonts w:ascii="Arial" w:eastAsia="Times New Roman" w:hAnsi="Arial" w:cs="Arial"/>
            <w:color w:val="006ACC"/>
            <w:sz w:val="24"/>
            <w:szCs w:val="24"/>
            <w:u w:val="single"/>
          </w:rPr>
          <w:t>Kelly et al., 2013</w:t>
        </w:r>
      </w:hyperlink>
      <w:r w:rsidRPr="00141FBF">
        <w:rPr>
          <w:rFonts w:ascii="Arial" w:eastAsia="Times New Roman" w:hAnsi="Arial" w:cs="Arial"/>
          <w:sz w:val="24"/>
          <w:szCs w:val="24"/>
        </w:rPr>
        <w:t>; </w:t>
      </w:r>
      <w:hyperlink r:id="rId55" w:anchor="bibr44-0038038520939397" w:history="1">
        <w:r w:rsidRPr="00141FBF">
          <w:rPr>
            <w:rFonts w:ascii="Arial" w:eastAsia="Times New Roman" w:hAnsi="Arial" w:cs="Arial"/>
            <w:color w:val="006ACC"/>
            <w:sz w:val="24"/>
            <w:szCs w:val="24"/>
            <w:u w:val="single"/>
          </w:rPr>
          <w:t>Scott et al., 2014</w:t>
        </w:r>
      </w:hyperlink>
      <w:r w:rsidRPr="00141FBF">
        <w:rPr>
          <w:rFonts w:ascii="Arial" w:eastAsia="Times New Roman" w:hAnsi="Arial" w:cs="Arial"/>
          <w:sz w:val="24"/>
          <w:szCs w:val="24"/>
        </w:rPr>
        <w:t>). As we would expect there is evidence that different parenting behaviours are important for different types of outcomes, for example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"bibr48-0038038520939397"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Washbrook</w:t>
      </w:r>
      <w:proofErr w:type="spellEnd"/>
      <w:r w:rsidRPr="00141FBF">
        <w:rPr>
          <w:rFonts w:ascii="Arial" w:eastAsia="Times New Roman" w:hAnsi="Arial" w:cs="Arial"/>
          <w:color w:val="006ACC"/>
          <w:sz w:val="24"/>
          <w:szCs w:val="24"/>
          <w:u w:val="single"/>
        </w:rPr>
        <w:t xml:space="preserve"> (2010)</w:t>
      </w:r>
      <w:r w:rsidRPr="00141FBF">
        <w:rPr>
          <w:rFonts w:ascii="Arial" w:eastAsia="Times New Roman" w:hAnsi="Arial" w:cs="Arial"/>
          <w:sz w:val="24"/>
          <w:szCs w:val="24"/>
        </w:rPr>
        <w:fldChar w:fldCharType="end"/>
      </w:r>
      <w:r w:rsidRPr="00141FBF">
        <w:rPr>
          <w:rFonts w:ascii="Arial" w:eastAsia="Times New Roman" w:hAnsi="Arial" w:cs="Arial"/>
          <w:sz w:val="24"/>
          <w:szCs w:val="24"/>
        </w:rPr>
        <w:t> found that the home learning environment was particularly important for children’s cognitive development, parental sensitivity was important for children’s socio-emotional outcomes and parents’ health behaviours were important for children’s health outcomes.</w:t>
      </w:r>
    </w:p>
    <w:p w14:paraId="23109287" w14:textId="77777777" w:rsidR="00141FBF" w:rsidRPr="00141FBF" w:rsidRDefault="00141FBF" w:rsidP="00141FBF">
      <w:pPr>
        <w:spacing w:after="120" w:line="240" w:lineRule="auto"/>
        <w:rPr>
          <w:rFonts w:ascii="Arial" w:eastAsia="Times New Roman" w:hAnsi="Arial" w:cs="Arial"/>
          <w:sz w:val="24"/>
          <w:szCs w:val="24"/>
        </w:rPr>
      </w:pPr>
      <w:proofErr w:type="gramStart"/>
      <w:r w:rsidRPr="00141FBF">
        <w:rPr>
          <w:rFonts w:ascii="Arial" w:eastAsia="Times New Roman" w:hAnsi="Arial" w:cs="Arial"/>
          <w:sz w:val="24"/>
          <w:szCs w:val="24"/>
        </w:rPr>
        <w:t>Taking into account</w:t>
      </w:r>
      <w:proofErr w:type="gramEnd"/>
      <w:r w:rsidRPr="00141FBF">
        <w:rPr>
          <w:rFonts w:ascii="Arial" w:eastAsia="Times New Roman" w:hAnsi="Arial" w:cs="Arial"/>
          <w:sz w:val="24"/>
          <w:szCs w:val="24"/>
        </w:rPr>
        <w:t xml:space="preserve"> the main theories and evidence on parenting it is clear that a range of different parenting behaviours are important for children’s development, though many studies of parenting do not give explicit justification for the parenting measures they focus on. The aims for this conceptual framework for measuring parenting are to be theoretically informed, comprehensive in including all parenting practices likely to be important for children’s development and organised conceptually into parenting domains that are both policy-relevant and replicable in other research. Given that this article is concerned with parenting in terms of what parents do to promote their child’s well-being, I begin by considering children’s outcomes and work back to which parenting practices are likely to be important for these.</w:t>
      </w:r>
    </w:p>
    <w:p w14:paraId="4DD1FA1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Children’s outcomes can be broadly grouped into physical health, social and emotional well-being and cognitive development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"bibr47-0038038520939397"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Waldfogel</w:t>
      </w:r>
      <w:proofErr w:type="spellEnd"/>
      <w:r w:rsidRPr="00141FBF">
        <w:rPr>
          <w:rFonts w:ascii="Arial" w:eastAsia="Times New Roman" w:hAnsi="Arial" w:cs="Arial"/>
          <w:color w:val="006ACC"/>
          <w:sz w:val="24"/>
          <w:szCs w:val="24"/>
          <w:u w:val="single"/>
        </w:rPr>
        <w:t>, 2006</w:t>
      </w:r>
      <w:r w:rsidRPr="00141FBF">
        <w:rPr>
          <w:rFonts w:ascii="Arial" w:eastAsia="Times New Roman" w:hAnsi="Arial" w:cs="Arial"/>
          <w:sz w:val="24"/>
          <w:szCs w:val="24"/>
        </w:rPr>
        <w:fldChar w:fldCharType="end"/>
      </w:r>
      <w:r w:rsidRPr="00141FBF">
        <w:rPr>
          <w:rFonts w:ascii="Arial" w:eastAsia="Times New Roman" w:hAnsi="Arial" w:cs="Arial"/>
          <w:sz w:val="24"/>
          <w:szCs w:val="24"/>
        </w:rPr>
        <w:t>: 11). From these I consider the overall parenting goals that relate to each of these outcomes, for example the practice of feeding a child has the overall goal of meeting the child’s physical needs.</w:t>
      </w:r>
    </w:p>
    <w:p w14:paraId="0B74354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Specific parenting practices are organised under one of the four parenting goals outlined in </w:t>
      </w:r>
      <w:hyperlink r:id="rId56" w:anchor="table1-0038038520939397" w:history="1">
        <w:r w:rsidRPr="00141FBF">
          <w:rPr>
            <w:rFonts w:ascii="Arial" w:eastAsia="Times New Roman" w:hAnsi="Arial" w:cs="Arial"/>
            <w:color w:val="006ACC"/>
            <w:sz w:val="24"/>
            <w:szCs w:val="24"/>
            <w:u w:val="single"/>
          </w:rPr>
          <w:t>Table 1</w:t>
        </w:r>
      </w:hyperlink>
      <w:r w:rsidRPr="00141FBF">
        <w:rPr>
          <w:rFonts w:ascii="Arial" w:eastAsia="Times New Roman" w:hAnsi="Arial" w:cs="Arial"/>
          <w:sz w:val="24"/>
          <w:szCs w:val="24"/>
        </w:rPr>
        <w:t xml:space="preserve">, although many parenting behaviours will contribute to multiple goals simultaneously. For example, reading to a child will be cognitively stimulating but is also likely to contribute to a more positive parent–child relationship. Specific practices will change as the child ages but arguably they are still aimed at the same overarching goals. For example, facilitation of learning may take the form of play </w:t>
      </w:r>
      <w:r w:rsidRPr="00141FBF">
        <w:rPr>
          <w:rFonts w:ascii="Arial" w:eastAsia="Times New Roman" w:hAnsi="Arial" w:cs="Arial"/>
          <w:sz w:val="24"/>
          <w:szCs w:val="24"/>
        </w:rPr>
        <w:lastRenderedPageBreak/>
        <w:t>when the child is a baby and as the child ages this will change to teaching letters and numbers and eventually include activities such as helping with homework.</w:t>
      </w:r>
    </w:p>
    <w:p w14:paraId="042C8E02"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b/>
          <w:bCs/>
          <w:sz w:val="24"/>
          <w:szCs w:val="24"/>
        </w:rPr>
        <w:t>Table 1</w:t>
      </w:r>
      <w:r w:rsidRPr="00141FBF">
        <w:rPr>
          <w:rFonts w:ascii="Arial" w:eastAsia="Times New Roman" w:hAnsi="Arial" w:cs="Arial"/>
          <w:sz w:val="24"/>
          <w:szCs w:val="24"/>
        </w:rPr>
        <w:t>. The relationship between child outcomes, parenting goals and parenting practices.</w:t>
      </w:r>
    </w:p>
    <w:tbl>
      <w:tblPr>
        <w:tblW w:w="12090" w:type="dxa"/>
        <w:tblCellSpacing w:w="15" w:type="dxa"/>
        <w:tblCellMar>
          <w:top w:w="15" w:type="dxa"/>
          <w:left w:w="15" w:type="dxa"/>
          <w:bottom w:w="15" w:type="dxa"/>
          <w:right w:w="15" w:type="dxa"/>
        </w:tblCellMar>
        <w:tblLook w:val="04A0" w:firstRow="1" w:lastRow="0" w:firstColumn="1" w:lastColumn="0" w:noHBand="0" w:noVBand="1"/>
      </w:tblPr>
      <w:tblGrid>
        <w:gridCol w:w="2072"/>
        <w:gridCol w:w="2733"/>
        <w:gridCol w:w="7285"/>
      </w:tblGrid>
      <w:tr w:rsidR="00141FBF" w:rsidRPr="00141FBF" w14:paraId="110D208E" w14:textId="77777777" w:rsidTr="00DA0250">
        <w:trPr>
          <w:tblHeader/>
          <w:tblCellSpacing w:w="15" w:type="dxa"/>
        </w:trPr>
        <w:tc>
          <w:tcPr>
            <w:tcW w:w="0" w:type="auto"/>
            <w:tcBorders>
              <w:top w:val="nil"/>
              <w:left w:val="nil"/>
              <w:bottom w:val="single" w:sz="6" w:space="0" w:color="CCCCCC"/>
              <w:right w:val="single" w:sz="6" w:space="0" w:color="CCCCCC"/>
            </w:tcBorders>
            <w:shd w:val="clear" w:color="auto" w:fill="F0F0F0"/>
            <w:vAlign w:val="center"/>
            <w:hideMark/>
          </w:tcPr>
          <w:p w14:paraId="3C509275" w14:textId="77777777" w:rsidR="00141FBF" w:rsidRPr="00141FBF" w:rsidRDefault="00141FBF" w:rsidP="00DA0250">
            <w:pPr>
              <w:spacing w:after="0" w:line="240" w:lineRule="auto"/>
              <w:jc w:val="center"/>
              <w:rPr>
                <w:rFonts w:ascii="Arial" w:eastAsia="Times New Roman" w:hAnsi="Arial" w:cs="Arial"/>
                <w:b/>
                <w:bCs/>
                <w:color w:val="000000"/>
                <w:sz w:val="24"/>
                <w:szCs w:val="24"/>
              </w:rPr>
            </w:pPr>
            <w:r w:rsidRPr="00141FBF">
              <w:rPr>
                <w:rFonts w:ascii="Arial" w:eastAsia="Times New Roman" w:hAnsi="Arial" w:cs="Arial"/>
                <w:b/>
                <w:bCs/>
                <w:color w:val="000000"/>
                <w:sz w:val="24"/>
                <w:szCs w:val="24"/>
              </w:rPr>
              <w:t>Child outcomes</w:t>
            </w:r>
          </w:p>
        </w:tc>
        <w:tc>
          <w:tcPr>
            <w:tcW w:w="0" w:type="auto"/>
            <w:tcBorders>
              <w:top w:val="nil"/>
              <w:left w:val="single" w:sz="6" w:space="0" w:color="CCCCCC"/>
              <w:bottom w:val="single" w:sz="6" w:space="0" w:color="CCCCCC"/>
              <w:right w:val="single" w:sz="6" w:space="0" w:color="CCCCCC"/>
            </w:tcBorders>
            <w:shd w:val="clear" w:color="auto" w:fill="F0F0F0"/>
            <w:vAlign w:val="center"/>
            <w:hideMark/>
          </w:tcPr>
          <w:p w14:paraId="7A0F6107" w14:textId="77777777" w:rsidR="00141FBF" w:rsidRPr="00141FBF" w:rsidRDefault="00141FBF" w:rsidP="00DA0250">
            <w:pPr>
              <w:spacing w:after="0" w:line="240" w:lineRule="auto"/>
              <w:jc w:val="center"/>
              <w:rPr>
                <w:rFonts w:ascii="Arial" w:eastAsia="Times New Roman" w:hAnsi="Arial" w:cs="Arial"/>
                <w:b/>
                <w:bCs/>
                <w:color w:val="000000"/>
                <w:sz w:val="24"/>
                <w:szCs w:val="24"/>
              </w:rPr>
            </w:pPr>
            <w:r w:rsidRPr="00141FBF">
              <w:rPr>
                <w:rFonts w:ascii="Arial" w:eastAsia="Times New Roman" w:hAnsi="Arial" w:cs="Arial"/>
                <w:b/>
                <w:bCs/>
                <w:color w:val="000000"/>
                <w:sz w:val="24"/>
                <w:szCs w:val="24"/>
              </w:rPr>
              <w:t>Parenting goals</w:t>
            </w:r>
          </w:p>
        </w:tc>
        <w:tc>
          <w:tcPr>
            <w:tcW w:w="0" w:type="auto"/>
            <w:tcBorders>
              <w:top w:val="nil"/>
              <w:left w:val="single" w:sz="6" w:space="0" w:color="CCCCCC"/>
              <w:bottom w:val="single" w:sz="6" w:space="0" w:color="CCCCCC"/>
              <w:right w:val="nil"/>
            </w:tcBorders>
            <w:shd w:val="clear" w:color="auto" w:fill="F0F0F0"/>
            <w:vAlign w:val="center"/>
            <w:hideMark/>
          </w:tcPr>
          <w:p w14:paraId="3B0A312B" w14:textId="77777777" w:rsidR="00141FBF" w:rsidRPr="00141FBF" w:rsidRDefault="00141FBF" w:rsidP="00DA0250">
            <w:pPr>
              <w:spacing w:after="0" w:line="240" w:lineRule="auto"/>
              <w:jc w:val="center"/>
              <w:rPr>
                <w:rFonts w:ascii="Arial" w:eastAsia="Times New Roman" w:hAnsi="Arial" w:cs="Arial"/>
                <w:b/>
                <w:bCs/>
                <w:color w:val="000000"/>
                <w:sz w:val="24"/>
                <w:szCs w:val="24"/>
              </w:rPr>
            </w:pPr>
            <w:r w:rsidRPr="00141FBF">
              <w:rPr>
                <w:rFonts w:ascii="Arial" w:eastAsia="Times New Roman" w:hAnsi="Arial" w:cs="Arial"/>
                <w:b/>
                <w:bCs/>
                <w:color w:val="000000"/>
                <w:sz w:val="24"/>
                <w:szCs w:val="24"/>
              </w:rPr>
              <w:t>Examples of associated parenting behaviours</w:t>
            </w:r>
          </w:p>
        </w:tc>
      </w:tr>
      <w:tr w:rsidR="00141FBF" w:rsidRPr="00141FBF" w14:paraId="76779CE2" w14:textId="77777777" w:rsidTr="00DA0250">
        <w:trPr>
          <w:tblCellSpacing w:w="15" w:type="dxa"/>
        </w:trPr>
        <w:tc>
          <w:tcPr>
            <w:tcW w:w="0" w:type="auto"/>
            <w:tcBorders>
              <w:top w:val="single" w:sz="6" w:space="0" w:color="CCCCCC"/>
              <w:left w:val="nil"/>
              <w:bottom w:val="single" w:sz="6" w:space="0" w:color="CCCCCC"/>
              <w:right w:val="single" w:sz="6" w:space="0" w:color="CCCCCC"/>
            </w:tcBorders>
            <w:vAlign w:val="bottom"/>
            <w:hideMark/>
          </w:tcPr>
          <w:p w14:paraId="3FA6AA92"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Physical health</w:t>
            </w:r>
          </w:p>
        </w:tc>
        <w:tc>
          <w:tcPr>
            <w:tcW w:w="0" w:type="auto"/>
            <w:tcBorders>
              <w:top w:val="single" w:sz="6" w:space="0" w:color="CCCCCC"/>
              <w:left w:val="single" w:sz="6" w:space="0" w:color="CCCCCC"/>
              <w:bottom w:val="single" w:sz="6" w:space="0" w:color="CCCCCC"/>
              <w:right w:val="single" w:sz="6" w:space="0" w:color="CCCCCC"/>
            </w:tcBorders>
            <w:vAlign w:val="bottom"/>
            <w:hideMark/>
          </w:tcPr>
          <w:p w14:paraId="77EA8BB6"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Meeting the child’s physical needs</w:t>
            </w:r>
          </w:p>
        </w:tc>
        <w:tc>
          <w:tcPr>
            <w:tcW w:w="0" w:type="auto"/>
            <w:tcBorders>
              <w:top w:val="single" w:sz="6" w:space="0" w:color="CCCCCC"/>
              <w:left w:val="single" w:sz="6" w:space="0" w:color="CCCCCC"/>
              <w:bottom w:val="single" w:sz="6" w:space="0" w:color="CCCCCC"/>
              <w:right w:val="nil"/>
            </w:tcBorders>
            <w:vAlign w:val="bottom"/>
            <w:hideMark/>
          </w:tcPr>
          <w:p w14:paraId="7BFEBBCD"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Feeding, washing, physical activity</w:t>
            </w:r>
          </w:p>
        </w:tc>
      </w:tr>
      <w:tr w:rsidR="00141FBF" w:rsidRPr="00141FBF" w14:paraId="37B462E5" w14:textId="77777777" w:rsidTr="00DA0250">
        <w:trPr>
          <w:tblCellSpacing w:w="15" w:type="dxa"/>
        </w:trPr>
        <w:tc>
          <w:tcPr>
            <w:tcW w:w="0" w:type="auto"/>
            <w:tcBorders>
              <w:top w:val="single" w:sz="6" w:space="0" w:color="CCCCCC"/>
              <w:left w:val="nil"/>
              <w:bottom w:val="single" w:sz="6" w:space="0" w:color="CCCCCC"/>
              <w:right w:val="single" w:sz="6" w:space="0" w:color="CCCCCC"/>
            </w:tcBorders>
            <w:shd w:val="clear" w:color="auto" w:fill="F0F0F0"/>
            <w:vAlign w:val="bottom"/>
            <w:hideMark/>
          </w:tcPr>
          <w:p w14:paraId="65CA7C37"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Social and emotional development</w:t>
            </w:r>
          </w:p>
        </w:tc>
        <w:tc>
          <w:tcPr>
            <w:tcW w:w="0" w:type="auto"/>
            <w:tcBorders>
              <w:top w:val="single" w:sz="6" w:space="0" w:color="CCCCCC"/>
              <w:left w:val="single" w:sz="6" w:space="0" w:color="CCCCCC"/>
              <w:bottom w:val="single" w:sz="6" w:space="0" w:color="CCCCCC"/>
              <w:right w:val="single" w:sz="6" w:space="0" w:color="CCCCCC"/>
            </w:tcBorders>
            <w:shd w:val="clear" w:color="auto" w:fill="F0F0F0"/>
            <w:vAlign w:val="bottom"/>
            <w:hideMark/>
          </w:tcPr>
          <w:p w14:paraId="240C3C66"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Meeting the child’s emotional needs</w:t>
            </w:r>
          </w:p>
        </w:tc>
        <w:tc>
          <w:tcPr>
            <w:tcW w:w="0" w:type="auto"/>
            <w:tcBorders>
              <w:top w:val="single" w:sz="6" w:space="0" w:color="CCCCCC"/>
              <w:left w:val="single" w:sz="6" w:space="0" w:color="CCCCCC"/>
              <w:bottom w:val="single" w:sz="6" w:space="0" w:color="CCCCCC"/>
              <w:right w:val="nil"/>
            </w:tcBorders>
            <w:shd w:val="clear" w:color="auto" w:fill="F0F0F0"/>
            <w:vAlign w:val="bottom"/>
            <w:hideMark/>
          </w:tcPr>
          <w:p w14:paraId="0475D68C"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Warmth, affection, responsiveness. These types of parenting behaviours are also likely to foster secure parent–child relationships as described in attachment theory</w:t>
            </w:r>
          </w:p>
        </w:tc>
      </w:tr>
      <w:tr w:rsidR="00141FBF" w:rsidRPr="00141FBF" w14:paraId="34CD5A6B" w14:textId="77777777" w:rsidTr="00DA0250">
        <w:trPr>
          <w:tblCellSpacing w:w="15" w:type="dxa"/>
        </w:trPr>
        <w:tc>
          <w:tcPr>
            <w:tcW w:w="0" w:type="auto"/>
            <w:tcBorders>
              <w:top w:val="single" w:sz="6" w:space="0" w:color="CCCCCC"/>
              <w:left w:val="nil"/>
              <w:bottom w:val="single" w:sz="6" w:space="0" w:color="CCCCCC"/>
              <w:right w:val="single" w:sz="6" w:space="0" w:color="CCCCCC"/>
            </w:tcBorders>
            <w:vAlign w:val="bottom"/>
            <w:hideMark/>
          </w:tcPr>
          <w:p w14:paraId="1E42C136"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 </w:t>
            </w:r>
          </w:p>
        </w:tc>
        <w:tc>
          <w:tcPr>
            <w:tcW w:w="0" w:type="auto"/>
            <w:tcBorders>
              <w:top w:val="single" w:sz="6" w:space="0" w:color="CCCCCC"/>
              <w:left w:val="single" w:sz="6" w:space="0" w:color="CCCCCC"/>
              <w:bottom w:val="single" w:sz="6" w:space="0" w:color="CCCCCC"/>
              <w:right w:val="single" w:sz="6" w:space="0" w:color="CCCCCC"/>
            </w:tcBorders>
            <w:vAlign w:val="bottom"/>
            <w:hideMark/>
          </w:tcPr>
          <w:p w14:paraId="01FAFC2E"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Socialising the child’s behaviour through discipline and structure</w:t>
            </w:r>
          </w:p>
        </w:tc>
        <w:tc>
          <w:tcPr>
            <w:tcW w:w="0" w:type="auto"/>
            <w:tcBorders>
              <w:top w:val="single" w:sz="6" w:space="0" w:color="CCCCCC"/>
              <w:left w:val="single" w:sz="6" w:space="0" w:color="CCCCCC"/>
              <w:bottom w:val="single" w:sz="6" w:space="0" w:color="CCCCCC"/>
              <w:right w:val="nil"/>
            </w:tcBorders>
            <w:vAlign w:val="bottom"/>
            <w:hideMark/>
          </w:tcPr>
          <w:p w14:paraId="14A90FBC"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 xml:space="preserve">Enforcement of rules, styles of discipline, routine, </w:t>
            </w:r>
            <w:proofErr w:type="gramStart"/>
            <w:r w:rsidRPr="00141FBF">
              <w:rPr>
                <w:rFonts w:ascii="Arial" w:eastAsia="Times New Roman" w:hAnsi="Arial" w:cs="Arial"/>
                <w:sz w:val="24"/>
                <w:szCs w:val="24"/>
              </w:rPr>
              <w:t>supervision</w:t>
            </w:r>
            <w:proofErr w:type="gramEnd"/>
            <w:r w:rsidRPr="00141FBF">
              <w:rPr>
                <w:rFonts w:ascii="Arial" w:eastAsia="Times New Roman" w:hAnsi="Arial" w:cs="Arial"/>
                <w:sz w:val="24"/>
                <w:szCs w:val="24"/>
              </w:rPr>
              <w:t xml:space="preserve"> and monitoring. These types of parenting behaviours incorporate some of the focus from the parenting style typology as well as social learning theory</w:t>
            </w:r>
          </w:p>
        </w:tc>
      </w:tr>
      <w:tr w:rsidR="00141FBF" w:rsidRPr="00141FBF" w14:paraId="3C9C8A4F" w14:textId="77777777" w:rsidTr="00DA0250">
        <w:trPr>
          <w:tblCellSpacing w:w="15" w:type="dxa"/>
        </w:trPr>
        <w:tc>
          <w:tcPr>
            <w:tcW w:w="0" w:type="auto"/>
            <w:tcBorders>
              <w:top w:val="single" w:sz="6" w:space="0" w:color="CCCCCC"/>
              <w:left w:val="nil"/>
              <w:bottom w:val="single" w:sz="6" w:space="0" w:color="CCCCCC"/>
              <w:right w:val="single" w:sz="6" w:space="0" w:color="CCCCCC"/>
            </w:tcBorders>
            <w:shd w:val="clear" w:color="auto" w:fill="F0F0F0"/>
            <w:vAlign w:val="bottom"/>
            <w:hideMark/>
          </w:tcPr>
          <w:p w14:paraId="4512916A"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Cognitive development</w:t>
            </w:r>
          </w:p>
        </w:tc>
        <w:tc>
          <w:tcPr>
            <w:tcW w:w="0" w:type="auto"/>
            <w:tcBorders>
              <w:top w:val="single" w:sz="6" w:space="0" w:color="CCCCCC"/>
              <w:left w:val="single" w:sz="6" w:space="0" w:color="CCCCCC"/>
              <w:bottom w:val="single" w:sz="6" w:space="0" w:color="CCCCCC"/>
              <w:right w:val="single" w:sz="6" w:space="0" w:color="CCCCCC"/>
            </w:tcBorders>
            <w:shd w:val="clear" w:color="auto" w:fill="F0F0F0"/>
            <w:vAlign w:val="bottom"/>
            <w:hideMark/>
          </w:tcPr>
          <w:p w14:paraId="7461617A"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Facilitation of learning and cognitive stimulation</w:t>
            </w:r>
          </w:p>
        </w:tc>
        <w:tc>
          <w:tcPr>
            <w:tcW w:w="0" w:type="auto"/>
            <w:tcBorders>
              <w:top w:val="single" w:sz="6" w:space="0" w:color="CCCCCC"/>
              <w:left w:val="single" w:sz="6" w:space="0" w:color="CCCCCC"/>
              <w:bottom w:val="single" w:sz="6" w:space="0" w:color="CCCCCC"/>
              <w:right w:val="nil"/>
            </w:tcBorders>
            <w:shd w:val="clear" w:color="auto" w:fill="F0F0F0"/>
            <w:vAlign w:val="bottom"/>
            <w:hideMark/>
          </w:tcPr>
          <w:p w14:paraId="56E57A95"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For example, teaching, reading, playing and other activities that are cognitively stimulating such as talking to the child</w:t>
            </w:r>
          </w:p>
        </w:tc>
      </w:tr>
    </w:tbl>
    <w:p w14:paraId="5C72CCEB" w14:textId="77777777" w:rsidR="00141FBF" w:rsidRPr="00141FBF" w:rsidRDefault="00141FBF" w:rsidP="00141FBF">
      <w:pPr>
        <w:shd w:val="clear" w:color="auto" w:fill="FFFFFF"/>
        <w:spacing w:after="0" w:line="480" w:lineRule="auto"/>
        <w:rPr>
          <w:rFonts w:ascii="Arial" w:eastAsia="Times New Roman" w:hAnsi="Arial" w:cs="Arial"/>
          <w:sz w:val="24"/>
          <w:szCs w:val="24"/>
        </w:rPr>
      </w:pPr>
      <w:hyperlink r:id="rId57" w:anchor="table1-0038038520939397" w:history="1">
        <w:r w:rsidRPr="00141FBF">
          <w:rPr>
            <w:rFonts w:ascii="Arial" w:eastAsia="Times New Roman" w:hAnsi="Arial" w:cs="Arial"/>
            <w:b/>
            <w:bCs/>
            <w:caps/>
            <w:color w:val="FFFFFF"/>
            <w:sz w:val="24"/>
            <w:szCs w:val="24"/>
            <w:bdr w:val="none" w:sz="0" w:space="0" w:color="auto" w:frame="1"/>
            <w:shd w:val="clear" w:color="auto" w:fill="888888"/>
          </w:rPr>
          <w:t>OPEN IN VIEWER</w:t>
        </w:r>
      </w:hyperlink>
    </w:p>
    <w:p w14:paraId="3B2C3381"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 conceptual framework outlined here will be used to inform the measurement of parenting in this article, with specific measures mapped onto the following four parenting domains:</w:t>
      </w:r>
    </w:p>
    <w:p w14:paraId="29C0B76D"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t>1.</w:t>
      </w:r>
    </w:p>
    <w:p w14:paraId="6149A916"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meeting the child’s physical </w:t>
      </w:r>
      <w:proofErr w:type="gramStart"/>
      <w:r w:rsidRPr="00141FBF">
        <w:rPr>
          <w:rFonts w:ascii="Arial" w:eastAsia="Times New Roman" w:hAnsi="Arial" w:cs="Arial"/>
          <w:sz w:val="24"/>
          <w:szCs w:val="24"/>
        </w:rPr>
        <w:t>needs;</w:t>
      </w:r>
      <w:proofErr w:type="gramEnd"/>
    </w:p>
    <w:p w14:paraId="61E89EAF"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t>2.</w:t>
      </w:r>
    </w:p>
    <w:p w14:paraId="341C9CC8"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the parent–child </w:t>
      </w:r>
      <w:proofErr w:type="gramStart"/>
      <w:r w:rsidRPr="00141FBF">
        <w:rPr>
          <w:rFonts w:ascii="Arial" w:eastAsia="Times New Roman" w:hAnsi="Arial" w:cs="Arial"/>
          <w:sz w:val="24"/>
          <w:szCs w:val="24"/>
        </w:rPr>
        <w:t>relationship;</w:t>
      </w:r>
      <w:proofErr w:type="gramEnd"/>
    </w:p>
    <w:p w14:paraId="48B76C23"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t>3.</w:t>
      </w:r>
    </w:p>
    <w:p w14:paraId="3FBC5F7E"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discipline and </w:t>
      </w:r>
      <w:proofErr w:type="gramStart"/>
      <w:r w:rsidRPr="00141FBF">
        <w:rPr>
          <w:rFonts w:ascii="Arial" w:eastAsia="Times New Roman" w:hAnsi="Arial" w:cs="Arial"/>
          <w:sz w:val="24"/>
          <w:szCs w:val="24"/>
        </w:rPr>
        <w:t>routine;</w:t>
      </w:r>
      <w:proofErr w:type="gramEnd"/>
    </w:p>
    <w:p w14:paraId="38A84A61" w14:textId="77777777" w:rsidR="00141FBF" w:rsidRPr="00141FBF" w:rsidRDefault="00141FBF" w:rsidP="00141FBF">
      <w:pPr>
        <w:spacing w:after="0" w:line="240" w:lineRule="auto"/>
        <w:rPr>
          <w:rFonts w:ascii="Arial" w:eastAsia="Times New Roman" w:hAnsi="Arial" w:cs="Arial"/>
          <w:b/>
          <w:bCs/>
          <w:sz w:val="24"/>
          <w:szCs w:val="24"/>
        </w:rPr>
      </w:pPr>
      <w:r w:rsidRPr="00141FBF">
        <w:rPr>
          <w:rFonts w:ascii="Arial" w:eastAsia="Times New Roman" w:hAnsi="Arial" w:cs="Arial"/>
          <w:b/>
          <w:bCs/>
          <w:sz w:val="24"/>
          <w:szCs w:val="24"/>
        </w:rPr>
        <w:t>4.</w:t>
      </w:r>
    </w:p>
    <w:p w14:paraId="2B3A2A68"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cognitive stimulation.</w:t>
      </w:r>
    </w:p>
    <w:p w14:paraId="71798FFA"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Data and Methods</w:t>
      </w:r>
    </w:p>
    <w:p w14:paraId="5F954C80"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This analysis makes use of the third wave of the Millennium Cohort Study (MCS) when children are aged five years.</w:t>
      </w:r>
      <w:hyperlink r:id="rId58" w:anchor="fn2-0038038520939397" w:history="1">
        <w:r w:rsidRPr="00141FBF">
          <w:rPr>
            <w:rFonts w:ascii="Arial" w:eastAsia="Times New Roman" w:hAnsi="Arial" w:cs="Arial"/>
            <w:color w:val="006ACC"/>
            <w:sz w:val="24"/>
            <w:szCs w:val="24"/>
            <w:u w:val="single"/>
            <w:vertAlign w:val="superscript"/>
          </w:rPr>
          <w:t>2</w:t>
        </w:r>
      </w:hyperlink>
      <w:r w:rsidRPr="00141FBF">
        <w:rPr>
          <w:rFonts w:ascii="Arial" w:eastAsia="Times New Roman" w:hAnsi="Arial" w:cs="Arial"/>
          <w:sz w:val="24"/>
          <w:szCs w:val="24"/>
        </w:rPr>
        <w:t> The MCS is a birth cohort study of around 19,000 children from England, Wales, Scotland and Northern Ireland (</w:t>
      </w:r>
      <w:hyperlink r:id="rId59" w:anchor="bibr23-0038038520939397" w:history="1">
        <w:r w:rsidRPr="00141FBF">
          <w:rPr>
            <w:rFonts w:ascii="Arial" w:eastAsia="Times New Roman" w:hAnsi="Arial" w:cs="Arial"/>
            <w:color w:val="006ACC"/>
            <w:sz w:val="24"/>
            <w:szCs w:val="24"/>
            <w:u w:val="single"/>
          </w:rPr>
          <w:t>Hansen, 2012</w:t>
        </w:r>
      </w:hyperlink>
      <w:r w:rsidRPr="00141FBF">
        <w:rPr>
          <w:rFonts w:ascii="Arial" w:eastAsia="Times New Roman" w:hAnsi="Arial" w:cs="Arial"/>
          <w:sz w:val="24"/>
          <w:szCs w:val="24"/>
        </w:rPr>
        <w:t xml:space="preserve">). The sample is clustered geographically and includes boosted samples of families from areas of high child poverty in England. The survey started in 2001/2002 when the children were nine months old, and there have since been six more waves when the children were three, five, seven, 11, 14 and the most recently collected data in 2018 when the children were 17 years old. For all analyses the sample used is restricted to natural mothers only (who are 97% of the original sample). This is because of expected differences in parenting between mothers and fathers, as well as parenting of step, foster and adoptive parents or grandparents/other relatives. Twins and triplets are also excluded from the sample. The effective sample size is </w:t>
      </w:r>
      <w:r w:rsidRPr="00141FBF">
        <w:rPr>
          <w:rFonts w:ascii="Arial" w:eastAsia="Times New Roman" w:hAnsi="Arial" w:cs="Arial"/>
          <w:sz w:val="24"/>
          <w:szCs w:val="24"/>
        </w:rPr>
        <w:lastRenderedPageBreak/>
        <w:t>therefore reduced from 15,246 to 14,595.</w:t>
      </w:r>
      <w:hyperlink r:id="rId60" w:anchor="fn3-0038038520939397" w:history="1">
        <w:r w:rsidRPr="00141FBF">
          <w:rPr>
            <w:rFonts w:ascii="Arial" w:eastAsia="Times New Roman" w:hAnsi="Arial" w:cs="Arial"/>
            <w:color w:val="006ACC"/>
            <w:sz w:val="24"/>
            <w:szCs w:val="24"/>
            <w:u w:val="single"/>
            <w:vertAlign w:val="superscript"/>
          </w:rPr>
          <w:t>3</w:t>
        </w:r>
      </w:hyperlink>
      <w:r w:rsidRPr="00141FBF">
        <w:rPr>
          <w:rFonts w:ascii="Arial" w:eastAsia="Times New Roman" w:hAnsi="Arial" w:cs="Arial"/>
          <w:sz w:val="24"/>
          <w:szCs w:val="24"/>
        </w:rPr>
        <w:t> For analysis and discussion of item non-response see </w:t>
      </w:r>
      <w:hyperlink r:id="rId61" w:anchor="appendix-2" w:history="1">
        <w:r w:rsidRPr="00141FBF">
          <w:rPr>
            <w:rFonts w:ascii="Arial" w:eastAsia="Times New Roman" w:hAnsi="Arial" w:cs="Arial"/>
            <w:color w:val="006ACC"/>
            <w:sz w:val="24"/>
            <w:szCs w:val="24"/>
            <w:u w:val="single"/>
          </w:rPr>
          <w:t>Appendix 2</w:t>
        </w:r>
      </w:hyperlink>
      <w:r w:rsidRPr="00141FBF">
        <w:rPr>
          <w:rFonts w:ascii="Arial" w:eastAsia="Times New Roman" w:hAnsi="Arial" w:cs="Arial"/>
          <w:sz w:val="24"/>
          <w:szCs w:val="24"/>
        </w:rPr>
        <w:t>.</w:t>
      </w:r>
    </w:p>
    <w:p w14:paraId="7DA4ACE1"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 wave when children are aged five was chosen because the early years period has not only received a lot of political attention (e.g. </w:t>
      </w:r>
      <w:hyperlink r:id="rId62" w:anchor="bibr1-0038038520939397" w:history="1">
        <w:r w:rsidRPr="00141FBF">
          <w:rPr>
            <w:rFonts w:ascii="Arial" w:eastAsia="Times New Roman" w:hAnsi="Arial" w:cs="Arial"/>
            <w:color w:val="006ACC"/>
            <w:sz w:val="24"/>
            <w:szCs w:val="24"/>
            <w:u w:val="single"/>
          </w:rPr>
          <w:t>Allen, 2011</w:t>
        </w:r>
      </w:hyperlink>
      <w:r w:rsidRPr="00141FBF">
        <w:rPr>
          <w:rFonts w:ascii="Arial" w:eastAsia="Times New Roman" w:hAnsi="Arial" w:cs="Arial"/>
          <w:sz w:val="24"/>
          <w:szCs w:val="24"/>
        </w:rPr>
        <w:t>; </w:t>
      </w:r>
      <w:hyperlink r:id="rId63" w:anchor="bibr19-0038038520939397" w:history="1">
        <w:r w:rsidRPr="00141FBF">
          <w:rPr>
            <w:rFonts w:ascii="Arial" w:eastAsia="Times New Roman" w:hAnsi="Arial" w:cs="Arial"/>
            <w:color w:val="006ACC"/>
            <w:sz w:val="24"/>
            <w:szCs w:val="24"/>
            <w:u w:val="single"/>
          </w:rPr>
          <w:t>Field, 2010</w:t>
        </w:r>
      </w:hyperlink>
      <w:r w:rsidRPr="00141FBF">
        <w:rPr>
          <w:rFonts w:ascii="Arial" w:eastAsia="Times New Roman" w:hAnsi="Arial" w:cs="Arial"/>
          <w:sz w:val="24"/>
          <w:szCs w:val="24"/>
        </w:rPr>
        <w:t>), but there is also evidence which suggests that this is an important period because development at these early ages occurs at an accelerated rate and also influences development at later ages (</w:t>
      </w:r>
      <w:hyperlink r:id="rId64" w:anchor="bibr18-0038038520939397" w:history="1">
        <w:r w:rsidRPr="00141FBF">
          <w:rPr>
            <w:rFonts w:ascii="Arial" w:eastAsia="Times New Roman" w:hAnsi="Arial" w:cs="Arial"/>
            <w:color w:val="006ACC"/>
            <w:sz w:val="24"/>
            <w:szCs w:val="24"/>
            <w:u w:val="single"/>
          </w:rPr>
          <w:t>Feinstein and Duckworth, 2006</w:t>
        </w:r>
      </w:hyperlink>
      <w:r w:rsidRPr="00141FBF">
        <w:rPr>
          <w:rFonts w:ascii="Arial" w:eastAsia="Times New Roman" w:hAnsi="Arial" w:cs="Arial"/>
          <w:sz w:val="24"/>
          <w:szCs w:val="24"/>
        </w:rPr>
        <w:t>). Therefore, children’s environments and experiences at this age are of particular significance.</w:t>
      </w:r>
    </w:p>
    <w:p w14:paraId="31892089"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The analysis focuses on unadjusted raw differences in parenting by income quintile. It does not control for any factors associated with low income because it is important to adequately establish whether there are differences in parenting in the first place, before attempting to unpick what contributing factors may explain some of these, such as maternal education or work hours. Given that both the range of parenting measures and the comparison across the income distribution has not yet been explored, estimating the bivariate relationships is a substantial </w:t>
      </w:r>
      <w:proofErr w:type="gramStart"/>
      <w:r w:rsidRPr="00141FBF">
        <w:rPr>
          <w:rFonts w:ascii="Arial" w:eastAsia="Times New Roman" w:hAnsi="Arial" w:cs="Arial"/>
          <w:sz w:val="24"/>
          <w:szCs w:val="24"/>
        </w:rPr>
        <w:t>task in itself</w:t>
      </w:r>
      <w:proofErr w:type="gramEnd"/>
      <w:r w:rsidRPr="00141FBF">
        <w:rPr>
          <w:rFonts w:ascii="Arial" w:eastAsia="Times New Roman" w:hAnsi="Arial" w:cs="Arial"/>
          <w:sz w:val="24"/>
          <w:szCs w:val="24"/>
        </w:rPr>
        <w:t>.</w:t>
      </w:r>
    </w:p>
    <w:p w14:paraId="74B1F7B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I estimate binary logistic regression models to assess the relationship between income quintile and ‘ideal’ and ‘poor’ parenting behaviours. Income is measured using the derived Organisation for Economic Co-operation and Development (OECD) equivalised household net income quintiles, which takes into account differences in household size (</w:t>
      </w:r>
      <w:hyperlink r:id="rId65" w:anchor="bibr24-0038038520939397" w:history="1">
        <w:r w:rsidRPr="00141FBF">
          <w:rPr>
            <w:rFonts w:ascii="Arial" w:eastAsia="Times New Roman" w:hAnsi="Arial" w:cs="Arial"/>
            <w:color w:val="006ACC"/>
            <w:sz w:val="24"/>
            <w:szCs w:val="24"/>
            <w:u w:val="single"/>
          </w:rPr>
          <w:t>Hansen, 2014</w:t>
        </w:r>
      </w:hyperlink>
      <w:r w:rsidRPr="00141FBF">
        <w:rPr>
          <w:rFonts w:ascii="Arial" w:eastAsia="Times New Roman" w:hAnsi="Arial" w:cs="Arial"/>
          <w:sz w:val="24"/>
          <w:szCs w:val="24"/>
        </w:rPr>
        <w:t>: 86). Sample weights are used for all analyses, to adjust for the stratified cluster sample design used (more information about can be found in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"bibr42-0038038520939397"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Plewis</w:t>
      </w:r>
      <w:proofErr w:type="spellEnd"/>
      <w:r w:rsidRPr="00141FBF">
        <w:rPr>
          <w:rFonts w:ascii="Arial" w:eastAsia="Times New Roman" w:hAnsi="Arial" w:cs="Arial"/>
          <w:color w:val="006ACC"/>
          <w:sz w:val="24"/>
          <w:szCs w:val="24"/>
          <w:u w:val="single"/>
        </w:rPr>
        <w:t>, 2007a</w:t>
      </w:r>
      <w:r w:rsidRPr="00141FBF">
        <w:rPr>
          <w:rFonts w:ascii="Arial" w:eastAsia="Times New Roman" w:hAnsi="Arial" w:cs="Arial"/>
          <w:sz w:val="24"/>
          <w:szCs w:val="24"/>
        </w:rPr>
        <w:fldChar w:fldCharType="end"/>
      </w:r>
      <w:r w:rsidRPr="00141FBF">
        <w:rPr>
          <w:rFonts w:ascii="Arial" w:eastAsia="Times New Roman" w:hAnsi="Arial" w:cs="Arial"/>
          <w:sz w:val="24"/>
          <w:szCs w:val="24"/>
        </w:rPr>
        <w:t>, </w:t>
      </w:r>
      <w:hyperlink r:id="rId66" w:anchor="bibr43-0038038520939397" w:history="1">
        <w:r w:rsidRPr="00141FBF">
          <w:rPr>
            <w:rFonts w:ascii="Arial" w:eastAsia="Times New Roman" w:hAnsi="Arial" w:cs="Arial"/>
            <w:color w:val="006ACC"/>
            <w:sz w:val="24"/>
            <w:szCs w:val="24"/>
            <w:u w:val="single"/>
          </w:rPr>
          <w:t>2007b</w:t>
        </w:r>
      </w:hyperlink>
      <w:r w:rsidRPr="00141FBF">
        <w:rPr>
          <w:rFonts w:ascii="Arial" w:eastAsia="Times New Roman" w:hAnsi="Arial" w:cs="Arial"/>
          <w:sz w:val="24"/>
          <w:szCs w:val="24"/>
        </w:rPr>
        <w:t>).</w:t>
      </w:r>
    </w:p>
    <w:p w14:paraId="6A79206A" w14:textId="77777777" w:rsidR="00141FBF" w:rsidRPr="00141FBF" w:rsidRDefault="00141FBF" w:rsidP="00141FBF">
      <w:pPr>
        <w:spacing w:before="100" w:beforeAutospacing="1" w:after="100" w:afterAutospacing="1" w:line="240" w:lineRule="auto"/>
        <w:outlineLvl w:val="2"/>
        <w:rPr>
          <w:rFonts w:ascii="Arial" w:eastAsia="Times New Roman" w:hAnsi="Arial" w:cs="Arial"/>
          <w:color w:val="000000"/>
          <w:sz w:val="24"/>
          <w:szCs w:val="24"/>
        </w:rPr>
      </w:pPr>
      <w:r w:rsidRPr="00141FBF">
        <w:rPr>
          <w:rFonts w:ascii="Arial" w:eastAsia="Times New Roman" w:hAnsi="Arial" w:cs="Arial"/>
          <w:color w:val="000000"/>
          <w:sz w:val="24"/>
          <w:szCs w:val="24"/>
        </w:rPr>
        <w:t>Measuring Parenting</w:t>
      </w:r>
    </w:p>
    <w:p w14:paraId="43DD62F1"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There are 38 measures of parenting as well as one measure of how good a parent respondents think they are, all of which are included in the analysis presented here. Throughout the analysis these parenting measures are organised into the parenting domains outlined in the conceptual framework. A number of parenting behaviours could fit into two or more of these categories simultaneously, but to save repetition each parenting measure is grouped into one primary parenting domain (see </w:t>
      </w:r>
      <w:hyperlink r:id="rId67" w:anchor="table2-0038038520939397" w:history="1">
        <w:r w:rsidRPr="00141FBF">
          <w:rPr>
            <w:rFonts w:ascii="Arial" w:eastAsia="Times New Roman" w:hAnsi="Arial" w:cs="Arial"/>
            <w:color w:val="006ACC"/>
            <w:sz w:val="24"/>
            <w:szCs w:val="24"/>
            <w:u w:val="single"/>
          </w:rPr>
          <w:t>Table 2</w:t>
        </w:r>
      </w:hyperlink>
      <w:r w:rsidRPr="00141FBF">
        <w:rPr>
          <w:rFonts w:ascii="Arial" w:eastAsia="Times New Roman" w:hAnsi="Arial" w:cs="Arial"/>
          <w:sz w:val="24"/>
          <w:szCs w:val="24"/>
        </w:rPr>
        <w:t>).</w:t>
      </w:r>
    </w:p>
    <w:p w14:paraId="1F2988A0"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b/>
          <w:bCs/>
          <w:sz w:val="24"/>
          <w:szCs w:val="24"/>
        </w:rPr>
        <w:t>Table 2</w:t>
      </w:r>
      <w:r w:rsidRPr="00141FBF">
        <w:rPr>
          <w:rFonts w:ascii="Arial" w:eastAsia="Times New Roman" w:hAnsi="Arial" w:cs="Arial"/>
          <w:sz w:val="24"/>
          <w:szCs w:val="24"/>
        </w:rPr>
        <w:t>. Measures of parenting from MCS wave 3 mapped onto the conceptual framework.</w:t>
      </w:r>
    </w:p>
    <w:tbl>
      <w:tblPr>
        <w:tblW w:w="12090" w:type="dxa"/>
        <w:tblCellSpacing w:w="15" w:type="dxa"/>
        <w:tblCellMar>
          <w:top w:w="15" w:type="dxa"/>
          <w:left w:w="15" w:type="dxa"/>
          <w:bottom w:w="15" w:type="dxa"/>
          <w:right w:w="15" w:type="dxa"/>
        </w:tblCellMar>
        <w:tblLook w:val="04A0" w:firstRow="1" w:lastRow="0" w:firstColumn="1" w:lastColumn="0" w:noHBand="0" w:noVBand="1"/>
      </w:tblPr>
      <w:tblGrid>
        <w:gridCol w:w="2032"/>
        <w:gridCol w:w="10058"/>
      </w:tblGrid>
      <w:tr w:rsidR="00141FBF" w:rsidRPr="00141FBF" w14:paraId="6F1E8AD4" w14:textId="77777777" w:rsidTr="00DA0250">
        <w:trPr>
          <w:tblHeader/>
          <w:tblCellSpacing w:w="15" w:type="dxa"/>
        </w:trPr>
        <w:tc>
          <w:tcPr>
            <w:tcW w:w="0" w:type="auto"/>
            <w:tcBorders>
              <w:top w:val="nil"/>
              <w:left w:val="nil"/>
              <w:bottom w:val="single" w:sz="6" w:space="0" w:color="CCCCCC"/>
              <w:right w:val="single" w:sz="6" w:space="0" w:color="CCCCCC"/>
            </w:tcBorders>
            <w:shd w:val="clear" w:color="auto" w:fill="F0F0F0"/>
            <w:vAlign w:val="center"/>
            <w:hideMark/>
          </w:tcPr>
          <w:p w14:paraId="176B2A22" w14:textId="77777777" w:rsidR="00141FBF" w:rsidRPr="00141FBF" w:rsidRDefault="00141FBF" w:rsidP="00DA0250">
            <w:pPr>
              <w:spacing w:after="0" w:line="240" w:lineRule="auto"/>
              <w:jc w:val="center"/>
              <w:rPr>
                <w:rFonts w:ascii="Arial" w:eastAsia="Times New Roman" w:hAnsi="Arial" w:cs="Arial"/>
                <w:b/>
                <w:bCs/>
                <w:color w:val="000000"/>
                <w:sz w:val="24"/>
                <w:szCs w:val="24"/>
              </w:rPr>
            </w:pPr>
            <w:r w:rsidRPr="00141FBF">
              <w:rPr>
                <w:rFonts w:ascii="Arial" w:eastAsia="Times New Roman" w:hAnsi="Arial" w:cs="Arial"/>
                <w:b/>
                <w:bCs/>
                <w:color w:val="000000"/>
                <w:sz w:val="24"/>
                <w:szCs w:val="24"/>
              </w:rPr>
              <w:t>Parenting domain</w:t>
            </w:r>
          </w:p>
        </w:tc>
        <w:tc>
          <w:tcPr>
            <w:tcW w:w="0" w:type="auto"/>
            <w:tcBorders>
              <w:top w:val="nil"/>
              <w:left w:val="single" w:sz="6" w:space="0" w:color="CCCCCC"/>
              <w:bottom w:val="single" w:sz="6" w:space="0" w:color="CCCCCC"/>
              <w:right w:val="nil"/>
            </w:tcBorders>
            <w:shd w:val="clear" w:color="auto" w:fill="F0F0F0"/>
            <w:vAlign w:val="center"/>
            <w:hideMark/>
          </w:tcPr>
          <w:p w14:paraId="053C2330" w14:textId="77777777" w:rsidR="00141FBF" w:rsidRPr="00141FBF" w:rsidRDefault="00141FBF" w:rsidP="00DA0250">
            <w:pPr>
              <w:spacing w:after="0" w:line="240" w:lineRule="auto"/>
              <w:jc w:val="center"/>
              <w:rPr>
                <w:rFonts w:ascii="Arial" w:eastAsia="Times New Roman" w:hAnsi="Arial" w:cs="Arial"/>
                <w:b/>
                <w:bCs/>
                <w:color w:val="000000"/>
                <w:sz w:val="24"/>
                <w:szCs w:val="24"/>
              </w:rPr>
            </w:pPr>
            <w:r w:rsidRPr="00141FBF">
              <w:rPr>
                <w:rFonts w:ascii="Arial" w:eastAsia="Times New Roman" w:hAnsi="Arial" w:cs="Arial"/>
                <w:b/>
                <w:bCs/>
                <w:color w:val="000000"/>
                <w:sz w:val="24"/>
                <w:szCs w:val="24"/>
              </w:rPr>
              <w:t>MCS wave 3 parenting measures</w:t>
            </w:r>
          </w:p>
        </w:tc>
      </w:tr>
      <w:tr w:rsidR="00141FBF" w:rsidRPr="00141FBF" w14:paraId="758168AE" w14:textId="77777777" w:rsidTr="00DA0250">
        <w:trPr>
          <w:tblCellSpacing w:w="15" w:type="dxa"/>
        </w:trPr>
        <w:tc>
          <w:tcPr>
            <w:tcW w:w="0" w:type="auto"/>
            <w:tcBorders>
              <w:top w:val="single" w:sz="6" w:space="0" w:color="CCCCCC"/>
              <w:left w:val="nil"/>
              <w:bottom w:val="single" w:sz="6" w:space="0" w:color="CCCCCC"/>
              <w:right w:val="single" w:sz="6" w:space="0" w:color="CCCCCC"/>
            </w:tcBorders>
            <w:vAlign w:val="bottom"/>
            <w:hideMark/>
          </w:tcPr>
          <w:p w14:paraId="01C0CF2C"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Meeting physical needs</w:t>
            </w:r>
          </w:p>
        </w:tc>
        <w:tc>
          <w:tcPr>
            <w:tcW w:w="0" w:type="auto"/>
            <w:tcBorders>
              <w:top w:val="single" w:sz="6" w:space="0" w:color="CCCCCC"/>
              <w:left w:val="single" w:sz="6" w:space="0" w:color="CCCCCC"/>
              <w:bottom w:val="single" w:sz="6" w:space="0" w:color="CCCCCC"/>
              <w:right w:val="nil"/>
            </w:tcBorders>
            <w:vAlign w:val="bottom"/>
            <w:hideMark/>
          </w:tcPr>
          <w:p w14:paraId="5CD86AAD"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How many days a week does [child] usually eat breakfast?</w:t>
            </w:r>
            <w:r w:rsidRPr="00141FBF">
              <w:rPr>
                <w:rFonts w:ascii="Arial" w:eastAsia="Times New Roman" w:hAnsi="Arial" w:cs="Arial"/>
                <w:sz w:val="24"/>
                <w:szCs w:val="24"/>
              </w:rPr>
              <w:br/>
              <w:t>On a typical day, how many portions of fresh, frozen, tinned or dried fruit does [child] eat?</w:t>
            </w:r>
            <w:r w:rsidRPr="00141FBF">
              <w:rPr>
                <w:rFonts w:ascii="Arial" w:eastAsia="Times New Roman" w:hAnsi="Arial" w:cs="Arial"/>
                <w:sz w:val="24"/>
                <w:szCs w:val="24"/>
              </w:rPr>
              <w:br/>
              <w:t>How often do you play sports or physically active games outdoors or indoors with [child]?</w:t>
            </w:r>
            <w:r w:rsidRPr="00141FBF">
              <w:rPr>
                <w:rFonts w:ascii="Arial" w:eastAsia="Times New Roman" w:hAnsi="Arial" w:cs="Arial"/>
                <w:sz w:val="24"/>
                <w:szCs w:val="24"/>
              </w:rPr>
              <w:br/>
              <w:t>On average how many days a week does [child] go to a club or class to do sport or any other physical activity like swimming, gymnastics, football, dancing?</w:t>
            </w:r>
            <w:r w:rsidRPr="00141FBF">
              <w:rPr>
                <w:rFonts w:ascii="Arial" w:eastAsia="Times New Roman" w:hAnsi="Arial" w:cs="Arial"/>
                <w:sz w:val="24"/>
                <w:szCs w:val="24"/>
              </w:rPr>
              <w:br/>
              <w:t>How often do you take [child] to the park or to an outdoor playground?</w:t>
            </w:r>
            <w:r w:rsidRPr="00141FBF">
              <w:rPr>
                <w:rFonts w:ascii="Arial" w:eastAsia="Times New Roman" w:hAnsi="Arial" w:cs="Arial"/>
                <w:sz w:val="24"/>
                <w:szCs w:val="24"/>
              </w:rPr>
              <w:br/>
              <w:t>How often do you [or your partner] take part in physical activities (e.g. swimming, walking) with [child]?</w:t>
            </w:r>
          </w:p>
        </w:tc>
      </w:tr>
      <w:tr w:rsidR="00141FBF" w:rsidRPr="00141FBF" w14:paraId="0A47EA0F" w14:textId="77777777" w:rsidTr="00DA0250">
        <w:trPr>
          <w:tblCellSpacing w:w="15" w:type="dxa"/>
        </w:trPr>
        <w:tc>
          <w:tcPr>
            <w:tcW w:w="0" w:type="auto"/>
            <w:tcBorders>
              <w:top w:val="single" w:sz="6" w:space="0" w:color="CCCCCC"/>
              <w:left w:val="nil"/>
              <w:bottom w:val="single" w:sz="6" w:space="0" w:color="CCCCCC"/>
              <w:right w:val="single" w:sz="6" w:space="0" w:color="CCCCCC"/>
            </w:tcBorders>
            <w:shd w:val="clear" w:color="auto" w:fill="F0F0F0"/>
            <w:vAlign w:val="bottom"/>
            <w:hideMark/>
          </w:tcPr>
          <w:p w14:paraId="0099D965"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Parent–child relationship</w:t>
            </w:r>
          </w:p>
        </w:tc>
        <w:tc>
          <w:tcPr>
            <w:tcW w:w="0" w:type="auto"/>
            <w:tcBorders>
              <w:top w:val="single" w:sz="6" w:space="0" w:color="CCCCCC"/>
              <w:left w:val="single" w:sz="6" w:space="0" w:color="CCCCCC"/>
              <w:bottom w:val="single" w:sz="6" w:space="0" w:color="CCCCCC"/>
              <w:right w:val="nil"/>
            </w:tcBorders>
            <w:shd w:val="clear" w:color="auto" w:fill="F0F0F0"/>
            <w:vAlign w:val="bottom"/>
            <w:hideMark/>
          </w:tcPr>
          <w:p w14:paraId="2935A6AC"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Overall, how close would you say you are to [child]?</w:t>
            </w:r>
          </w:p>
        </w:tc>
      </w:tr>
      <w:tr w:rsidR="00141FBF" w:rsidRPr="00141FBF" w14:paraId="71695DE1" w14:textId="77777777" w:rsidTr="00DA0250">
        <w:trPr>
          <w:tblCellSpacing w:w="15" w:type="dxa"/>
        </w:trPr>
        <w:tc>
          <w:tcPr>
            <w:tcW w:w="0" w:type="auto"/>
            <w:tcBorders>
              <w:top w:val="single" w:sz="6" w:space="0" w:color="CCCCCC"/>
              <w:left w:val="nil"/>
              <w:bottom w:val="single" w:sz="6" w:space="0" w:color="CCCCCC"/>
              <w:right w:val="single" w:sz="6" w:space="0" w:color="CCCCCC"/>
            </w:tcBorders>
            <w:vAlign w:val="bottom"/>
            <w:hideMark/>
          </w:tcPr>
          <w:p w14:paraId="03EAEAB4"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lastRenderedPageBreak/>
              <w:t>Discipline and routine</w:t>
            </w:r>
          </w:p>
        </w:tc>
        <w:tc>
          <w:tcPr>
            <w:tcW w:w="0" w:type="auto"/>
            <w:tcBorders>
              <w:top w:val="single" w:sz="6" w:space="0" w:color="CCCCCC"/>
              <w:left w:val="single" w:sz="6" w:space="0" w:color="CCCCCC"/>
              <w:bottom w:val="single" w:sz="6" w:space="0" w:color="CCCCCC"/>
              <w:right w:val="nil"/>
            </w:tcBorders>
            <w:vAlign w:val="bottom"/>
            <w:hideMark/>
          </w:tcPr>
          <w:p w14:paraId="663A9B6C"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How often do you do the following when [child] is naughty?</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Send to bedroom/naughty chair, etc.</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Take away treats</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Tell [him/her] off</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Try to reason with [him/her]</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Smack [him/her]</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Shout at [him/her]</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Bribe [him/her] (e.g. with sweets, or a treat)</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Ignore [him/her]</w:t>
            </w:r>
            <w:r w:rsidRPr="00141FBF">
              <w:rPr>
                <w:rFonts w:ascii="Arial" w:eastAsia="Times New Roman" w:hAnsi="Arial" w:cs="Arial"/>
                <w:sz w:val="24"/>
                <w:szCs w:val="24"/>
              </w:rPr>
              <w:br/>
              <w:t>When you give [child] an instruction or make a request to do something, how often do you make sure that [he/she] does it?</w:t>
            </w:r>
            <w:r w:rsidRPr="00141FBF">
              <w:rPr>
                <w:rFonts w:ascii="Arial" w:eastAsia="Times New Roman" w:hAnsi="Arial" w:cs="Arial"/>
                <w:sz w:val="24"/>
                <w:szCs w:val="24"/>
              </w:rPr>
              <w:br/>
              <w:t>On weekdays during term time, does [child] go to bed at a regular time?</w:t>
            </w:r>
            <w:r w:rsidRPr="00141FBF">
              <w:rPr>
                <w:rFonts w:ascii="Arial" w:eastAsia="Times New Roman" w:hAnsi="Arial" w:cs="Arial"/>
                <w:sz w:val="24"/>
                <w:szCs w:val="24"/>
              </w:rPr>
              <w:br/>
              <w:t>Does [child] have meals at regular times?</w:t>
            </w:r>
          </w:p>
        </w:tc>
      </w:tr>
      <w:tr w:rsidR="00141FBF" w:rsidRPr="00141FBF" w14:paraId="4C770872" w14:textId="77777777" w:rsidTr="00DA0250">
        <w:trPr>
          <w:tblCellSpacing w:w="15" w:type="dxa"/>
        </w:trPr>
        <w:tc>
          <w:tcPr>
            <w:tcW w:w="0" w:type="auto"/>
            <w:tcBorders>
              <w:top w:val="single" w:sz="6" w:space="0" w:color="CCCCCC"/>
              <w:left w:val="nil"/>
              <w:bottom w:val="single" w:sz="6" w:space="0" w:color="CCCCCC"/>
              <w:right w:val="single" w:sz="6" w:space="0" w:color="CCCCCC"/>
            </w:tcBorders>
            <w:shd w:val="clear" w:color="auto" w:fill="F0F0F0"/>
            <w:vAlign w:val="bottom"/>
            <w:hideMark/>
          </w:tcPr>
          <w:p w14:paraId="72436896"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Cognitive stimulation</w:t>
            </w:r>
          </w:p>
        </w:tc>
        <w:tc>
          <w:tcPr>
            <w:tcW w:w="0" w:type="auto"/>
            <w:tcBorders>
              <w:top w:val="single" w:sz="6" w:space="0" w:color="CCCCCC"/>
              <w:left w:val="single" w:sz="6" w:space="0" w:color="CCCCCC"/>
              <w:bottom w:val="single" w:sz="6" w:space="0" w:color="CCCCCC"/>
              <w:right w:val="nil"/>
            </w:tcBorders>
            <w:shd w:val="clear" w:color="auto" w:fill="F0F0F0"/>
            <w:vAlign w:val="bottom"/>
            <w:hideMark/>
          </w:tcPr>
          <w:p w14:paraId="1F103968"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Over the past 12 months, which, if any, of the places on this card has [child] been to?</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xml:space="preserve">1. Play, pantomime, music concert, </w:t>
            </w:r>
            <w:proofErr w:type="gramStart"/>
            <w:r w:rsidRPr="00141FBF">
              <w:rPr>
                <w:rFonts w:ascii="Arial" w:eastAsia="Times New Roman" w:hAnsi="Arial" w:cs="Arial"/>
                <w:sz w:val="24"/>
                <w:szCs w:val="24"/>
              </w:rPr>
              <w:t>circus</w:t>
            </w:r>
            <w:proofErr w:type="gramEnd"/>
            <w:r w:rsidRPr="00141FBF">
              <w:rPr>
                <w:rFonts w:ascii="Arial" w:eastAsia="Times New Roman" w:hAnsi="Arial" w:cs="Arial"/>
                <w:sz w:val="24"/>
                <w:szCs w:val="24"/>
              </w:rPr>
              <w:t xml:space="preserve"> or other live show</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xml:space="preserve">2. Art gallery, </w:t>
            </w:r>
            <w:proofErr w:type="gramStart"/>
            <w:r w:rsidRPr="00141FBF">
              <w:rPr>
                <w:rFonts w:ascii="Arial" w:eastAsia="Times New Roman" w:hAnsi="Arial" w:cs="Arial"/>
                <w:sz w:val="24"/>
                <w:szCs w:val="24"/>
              </w:rPr>
              <w:t>museum</w:t>
            </w:r>
            <w:proofErr w:type="gramEnd"/>
            <w:r w:rsidRPr="00141FBF">
              <w:rPr>
                <w:rFonts w:ascii="Arial" w:eastAsia="Times New Roman" w:hAnsi="Arial" w:cs="Arial"/>
                <w:sz w:val="24"/>
                <w:szCs w:val="24"/>
              </w:rPr>
              <w:t xml:space="preserve"> or historical site</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3. Zoo, aquarium, wildlife reserve or farm</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 xml:space="preserve">4. </w:t>
            </w:r>
            <w:proofErr w:type="gramStart"/>
            <w:r w:rsidRPr="00141FBF">
              <w:rPr>
                <w:rFonts w:ascii="Arial" w:eastAsia="Times New Roman" w:hAnsi="Arial" w:cs="Arial"/>
                <w:sz w:val="24"/>
                <w:szCs w:val="24"/>
              </w:rPr>
              <w:t>Theme park</w:t>
            </w:r>
            <w:proofErr w:type="gramEnd"/>
            <w:r w:rsidRPr="00141FBF">
              <w:rPr>
                <w:rFonts w:ascii="Arial" w:eastAsia="Times New Roman" w:hAnsi="Arial" w:cs="Arial"/>
                <w:sz w:val="24"/>
                <w:szCs w:val="24"/>
              </w:rPr>
              <w:t xml:space="preserve"> or funfair</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5. Cinema</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6. Professional sporting event as a spectator</w:t>
            </w:r>
            <w:r w:rsidRPr="00141FBF">
              <w:rPr>
                <w:rFonts w:ascii="Arial" w:eastAsia="Times New Roman" w:hAnsi="Arial" w:cs="Arial"/>
                <w:sz w:val="24"/>
                <w:szCs w:val="24"/>
              </w:rPr>
              <w:br/>
            </w:r>
            <w:r w:rsidRPr="00141FBF">
              <w:rPr>
                <w:rFonts w:ascii="Arial" w:eastAsia="Times New Roman" w:hAnsi="Arial" w:cs="Arial"/>
                <w:sz w:val="24"/>
                <w:szCs w:val="24"/>
              </w:rPr>
              <w:t> </w:t>
            </w:r>
            <w:r w:rsidRPr="00141FBF">
              <w:rPr>
                <w:rFonts w:ascii="Arial" w:eastAsia="Times New Roman" w:hAnsi="Arial" w:cs="Arial"/>
                <w:sz w:val="24"/>
                <w:szCs w:val="24"/>
              </w:rPr>
              <w:t>7. None</w:t>
            </w:r>
            <w:r w:rsidRPr="00141FBF">
              <w:rPr>
                <w:rFonts w:ascii="Arial" w:eastAsia="Times New Roman" w:hAnsi="Arial" w:cs="Arial"/>
                <w:sz w:val="24"/>
                <w:szCs w:val="24"/>
              </w:rPr>
              <w:br/>
              <w:t>On a normal weekday during term time, how many hours does [child] spend watching television, videos or DVDs?</w:t>
            </w:r>
            <w:r w:rsidRPr="00141FBF">
              <w:rPr>
                <w:rFonts w:ascii="Arial" w:eastAsia="Times New Roman" w:hAnsi="Arial" w:cs="Arial"/>
                <w:sz w:val="24"/>
                <w:szCs w:val="24"/>
              </w:rPr>
              <w:br/>
              <w:t>On a normal weekday during term time, how many hours does [child] spend using a computer or playing electronic games outside school lessons?</w:t>
            </w:r>
            <w:r w:rsidRPr="00141FBF">
              <w:rPr>
                <w:rFonts w:ascii="Arial" w:eastAsia="Times New Roman" w:hAnsi="Arial" w:cs="Arial"/>
                <w:sz w:val="24"/>
                <w:szCs w:val="24"/>
              </w:rPr>
              <w:br/>
              <w:t>How often do you read to [child]?</w:t>
            </w:r>
            <w:r w:rsidRPr="00141FBF">
              <w:rPr>
                <w:rFonts w:ascii="Arial" w:eastAsia="Times New Roman" w:hAnsi="Arial" w:cs="Arial"/>
                <w:sz w:val="24"/>
                <w:szCs w:val="24"/>
              </w:rPr>
              <w:br/>
              <w:t>How often do you tell stories to [child] not from a book?</w:t>
            </w:r>
            <w:r w:rsidRPr="00141FBF">
              <w:rPr>
                <w:rFonts w:ascii="Arial" w:eastAsia="Times New Roman" w:hAnsi="Arial" w:cs="Arial"/>
                <w:sz w:val="24"/>
                <w:szCs w:val="24"/>
              </w:rPr>
              <w:br/>
              <w:t>How often do you play music, listen to music, sing songs or nursery rhymes, dance or do other musical activities with [child]?</w:t>
            </w:r>
            <w:r w:rsidRPr="00141FBF">
              <w:rPr>
                <w:rFonts w:ascii="Arial" w:eastAsia="Times New Roman" w:hAnsi="Arial" w:cs="Arial"/>
                <w:sz w:val="24"/>
                <w:szCs w:val="24"/>
              </w:rPr>
              <w:br/>
              <w:t>How often do you draw, paint or make things with [child]?</w:t>
            </w:r>
            <w:r w:rsidRPr="00141FBF">
              <w:rPr>
                <w:rFonts w:ascii="Arial" w:eastAsia="Times New Roman" w:hAnsi="Arial" w:cs="Arial"/>
                <w:sz w:val="24"/>
                <w:szCs w:val="24"/>
              </w:rPr>
              <w:br/>
              <w:t>How often do you play with toys or games indoors with [child]?</w:t>
            </w:r>
          </w:p>
        </w:tc>
      </w:tr>
      <w:tr w:rsidR="00141FBF" w:rsidRPr="00141FBF" w14:paraId="34145E77" w14:textId="77777777" w:rsidTr="00DA0250">
        <w:trPr>
          <w:tblCellSpacing w:w="15" w:type="dxa"/>
        </w:trPr>
        <w:tc>
          <w:tcPr>
            <w:tcW w:w="0" w:type="auto"/>
            <w:tcBorders>
              <w:top w:val="single" w:sz="6" w:space="0" w:color="CCCCCC"/>
              <w:left w:val="nil"/>
              <w:bottom w:val="single" w:sz="6" w:space="0" w:color="CCCCCC"/>
              <w:right w:val="single" w:sz="6" w:space="0" w:color="CCCCCC"/>
            </w:tcBorders>
            <w:vAlign w:val="bottom"/>
            <w:hideMark/>
          </w:tcPr>
          <w:p w14:paraId="0D8BEA10" w14:textId="77777777" w:rsidR="00141FBF" w:rsidRPr="00141FBF" w:rsidRDefault="00141FBF" w:rsidP="00DA0250">
            <w:pPr>
              <w:spacing w:after="0" w:line="240" w:lineRule="auto"/>
              <w:rPr>
                <w:rFonts w:ascii="Arial" w:eastAsia="Times New Roman" w:hAnsi="Arial" w:cs="Arial"/>
                <w:sz w:val="24"/>
                <w:szCs w:val="24"/>
              </w:rPr>
            </w:pPr>
            <w:r w:rsidRPr="00141FBF">
              <w:rPr>
                <w:rFonts w:ascii="Arial" w:eastAsia="Times New Roman" w:hAnsi="Arial" w:cs="Arial"/>
                <w:sz w:val="24"/>
                <w:szCs w:val="24"/>
              </w:rPr>
              <w:t> </w:t>
            </w:r>
          </w:p>
        </w:tc>
        <w:tc>
          <w:tcPr>
            <w:tcW w:w="0" w:type="auto"/>
            <w:tcBorders>
              <w:top w:val="single" w:sz="6" w:space="0" w:color="CCCCCC"/>
              <w:left w:val="single" w:sz="6" w:space="0" w:color="CCCCCC"/>
              <w:bottom w:val="single" w:sz="6" w:space="0" w:color="CCCCCC"/>
              <w:right w:val="nil"/>
            </w:tcBorders>
            <w:vAlign w:val="bottom"/>
            <w:hideMark/>
          </w:tcPr>
          <w:p w14:paraId="4B9F29D3" w14:textId="77777777" w:rsidR="00141FBF" w:rsidRPr="00141FBF" w:rsidRDefault="00141FBF" w:rsidP="00DA0250">
            <w:pPr>
              <w:spacing w:after="0" w:line="240" w:lineRule="auto"/>
              <w:jc w:val="center"/>
              <w:rPr>
                <w:rFonts w:ascii="Arial" w:eastAsia="Times New Roman" w:hAnsi="Arial" w:cs="Arial"/>
                <w:sz w:val="24"/>
                <w:szCs w:val="24"/>
              </w:rPr>
            </w:pPr>
            <w:r w:rsidRPr="00141FBF">
              <w:rPr>
                <w:rFonts w:ascii="Arial" w:eastAsia="Times New Roman" w:hAnsi="Arial" w:cs="Arial"/>
                <w:sz w:val="24"/>
                <w:szCs w:val="24"/>
              </w:rPr>
              <w:t>How often does [child] spend time with [his/her] friends outside school?</w:t>
            </w:r>
            <w:r w:rsidRPr="00141FBF">
              <w:rPr>
                <w:rFonts w:ascii="Arial" w:eastAsia="Times New Roman" w:hAnsi="Arial" w:cs="Arial"/>
                <w:sz w:val="24"/>
                <w:szCs w:val="24"/>
              </w:rPr>
              <w:br/>
              <w:t>How often do all or most of your family spend an evening or part of the weekend at home, doing things together such as watching television or playing an indoor game?</w:t>
            </w:r>
            <w:r w:rsidRPr="00141FBF">
              <w:rPr>
                <w:rFonts w:ascii="Arial" w:eastAsia="Times New Roman" w:hAnsi="Arial" w:cs="Arial"/>
                <w:sz w:val="24"/>
                <w:szCs w:val="24"/>
              </w:rPr>
              <w:br/>
              <w:t>Does </w:t>
            </w:r>
            <w:r w:rsidRPr="00141FBF">
              <w:rPr>
                <w:rFonts w:ascii="Arial" w:eastAsia="Times New Roman" w:hAnsi="Arial" w:cs="Arial"/>
                <w:i/>
                <w:iCs/>
                <w:sz w:val="24"/>
                <w:szCs w:val="24"/>
              </w:rPr>
              <w:t>anyone</w:t>
            </w:r>
            <w:r w:rsidRPr="00141FBF">
              <w:rPr>
                <w:rFonts w:ascii="Arial" w:eastAsia="Times New Roman" w:hAnsi="Arial" w:cs="Arial"/>
                <w:sz w:val="24"/>
                <w:szCs w:val="24"/>
              </w:rPr>
              <w:t> at home help [child] with reading (including a homework book from school)? How often?</w:t>
            </w:r>
            <w:r w:rsidRPr="00141FBF">
              <w:rPr>
                <w:rFonts w:ascii="Arial" w:eastAsia="Times New Roman" w:hAnsi="Arial" w:cs="Arial"/>
                <w:sz w:val="24"/>
                <w:szCs w:val="24"/>
              </w:rPr>
              <w:br/>
              <w:t>Does </w:t>
            </w:r>
            <w:r w:rsidRPr="00141FBF">
              <w:rPr>
                <w:rFonts w:ascii="Arial" w:eastAsia="Times New Roman" w:hAnsi="Arial" w:cs="Arial"/>
                <w:i/>
                <w:iCs/>
                <w:sz w:val="24"/>
                <w:szCs w:val="24"/>
              </w:rPr>
              <w:t>anyone</w:t>
            </w:r>
            <w:r w:rsidRPr="00141FBF">
              <w:rPr>
                <w:rFonts w:ascii="Arial" w:eastAsia="Times New Roman" w:hAnsi="Arial" w:cs="Arial"/>
                <w:sz w:val="24"/>
                <w:szCs w:val="24"/>
              </w:rPr>
              <w:t> at home help [child] with writing? How often?</w:t>
            </w:r>
            <w:r w:rsidRPr="00141FBF">
              <w:rPr>
                <w:rFonts w:ascii="Arial" w:eastAsia="Times New Roman" w:hAnsi="Arial" w:cs="Arial"/>
                <w:sz w:val="24"/>
                <w:szCs w:val="24"/>
              </w:rPr>
              <w:br/>
              <w:t>Does </w:t>
            </w:r>
            <w:r w:rsidRPr="00141FBF">
              <w:rPr>
                <w:rFonts w:ascii="Arial" w:eastAsia="Times New Roman" w:hAnsi="Arial" w:cs="Arial"/>
                <w:i/>
                <w:iCs/>
                <w:sz w:val="24"/>
                <w:szCs w:val="24"/>
              </w:rPr>
              <w:t>anyone</w:t>
            </w:r>
            <w:r w:rsidRPr="00141FBF">
              <w:rPr>
                <w:rFonts w:ascii="Arial" w:eastAsia="Times New Roman" w:hAnsi="Arial" w:cs="Arial"/>
                <w:sz w:val="24"/>
                <w:szCs w:val="24"/>
              </w:rPr>
              <w:t> at home help [child] with numbers, counting and adding up? How often?</w:t>
            </w:r>
            <w:r w:rsidRPr="00141FBF">
              <w:rPr>
                <w:rFonts w:ascii="Arial" w:eastAsia="Times New Roman" w:hAnsi="Arial" w:cs="Arial"/>
                <w:sz w:val="24"/>
                <w:szCs w:val="24"/>
              </w:rPr>
              <w:br/>
              <w:t>Over the past 12 months, how often has [child] been to a library (not a school library)?</w:t>
            </w:r>
            <w:r w:rsidRPr="00141FBF">
              <w:rPr>
                <w:rFonts w:ascii="Arial" w:eastAsia="Times New Roman" w:hAnsi="Arial" w:cs="Arial"/>
                <w:sz w:val="24"/>
                <w:szCs w:val="24"/>
              </w:rPr>
              <w:br/>
              <w:t>During this school year has anyone at home been to a parents evening or similar event?</w:t>
            </w:r>
          </w:p>
        </w:tc>
      </w:tr>
    </w:tbl>
    <w:p w14:paraId="0C78DAC4" w14:textId="77777777" w:rsidR="00141FBF" w:rsidRPr="00141FBF" w:rsidRDefault="00141FBF" w:rsidP="00141FBF">
      <w:pPr>
        <w:shd w:val="clear" w:color="auto" w:fill="FFFFFF"/>
        <w:spacing w:after="0" w:line="480" w:lineRule="auto"/>
        <w:rPr>
          <w:rFonts w:ascii="Arial" w:eastAsia="Times New Roman" w:hAnsi="Arial" w:cs="Arial"/>
          <w:sz w:val="24"/>
          <w:szCs w:val="24"/>
        </w:rPr>
      </w:pPr>
      <w:hyperlink r:id="rId68" w:anchor="table2-0038038520939397" w:history="1">
        <w:r w:rsidRPr="00141FBF">
          <w:rPr>
            <w:rFonts w:ascii="Arial" w:eastAsia="Times New Roman" w:hAnsi="Arial" w:cs="Arial"/>
            <w:b/>
            <w:bCs/>
            <w:caps/>
            <w:color w:val="FFFFFF"/>
            <w:sz w:val="24"/>
            <w:szCs w:val="24"/>
            <w:bdr w:val="none" w:sz="0" w:space="0" w:color="auto" w:frame="1"/>
            <w:shd w:val="clear" w:color="auto" w:fill="888888"/>
          </w:rPr>
          <w:t>OPEN IN VIEWER</w:t>
        </w:r>
      </w:hyperlink>
    </w:p>
    <w:p w14:paraId="136D5B63" w14:textId="77777777" w:rsidR="00141FBF" w:rsidRPr="00141FBF" w:rsidRDefault="00141FBF" w:rsidP="00141FBF">
      <w:pPr>
        <w:spacing w:after="120" w:line="240" w:lineRule="auto"/>
        <w:rPr>
          <w:rFonts w:ascii="Arial" w:eastAsia="Times New Roman" w:hAnsi="Arial" w:cs="Arial"/>
          <w:sz w:val="24"/>
          <w:szCs w:val="24"/>
        </w:rPr>
      </w:pPr>
      <w:proofErr w:type="gramStart"/>
      <w:r w:rsidRPr="00141FBF">
        <w:rPr>
          <w:rFonts w:ascii="Arial" w:eastAsia="Times New Roman" w:hAnsi="Arial" w:cs="Arial"/>
          <w:sz w:val="24"/>
          <w:szCs w:val="24"/>
        </w:rPr>
        <w:t>The majority of</w:t>
      </w:r>
      <w:proofErr w:type="gramEnd"/>
      <w:r w:rsidRPr="00141FBF">
        <w:rPr>
          <w:rFonts w:ascii="Arial" w:eastAsia="Times New Roman" w:hAnsi="Arial" w:cs="Arial"/>
          <w:sz w:val="24"/>
          <w:szCs w:val="24"/>
        </w:rPr>
        <w:t xml:space="preserve"> the parenting measures are ordinal with five or more categories. However, in order to answer the research question ‘Are low-income parents less likely to parent in ways that are considered to be “ideal” or are they more likely to parent in ways that are considered to be “poor”?’ the measures were recoded into two sets of binary variables, one concentrated on the ‘ideal’ end comparing the best </w:t>
      </w:r>
      <w:r w:rsidRPr="00141FBF">
        <w:rPr>
          <w:rFonts w:ascii="Arial" w:eastAsia="Times New Roman" w:hAnsi="Arial" w:cs="Arial"/>
          <w:sz w:val="24"/>
          <w:szCs w:val="24"/>
        </w:rPr>
        <w:lastRenderedPageBreak/>
        <w:t>categories to the rest, and one binary variable to capture what would be considered as ‘poor’ parenting compared to all other categories (see </w:t>
      </w:r>
      <w:hyperlink r:id="rId69" w:anchor="appendix-1" w:history="1">
        <w:r w:rsidRPr="00141FBF">
          <w:rPr>
            <w:rFonts w:ascii="Arial" w:eastAsia="Times New Roman" w:hAnsi="Arial" w:cs="Arial"/>
            <w:color w:val="006ACC"/>
            <w:sz w:val="24"/>
            <w:szCs w:val="24"/>
            <w:u w:val="single"/>
          </w:rPr>
          <w:t>Appendix 1</w:t>
        </w:r>
      </w:hyperlink>
      <w:r w:rsidRPr="00141FBF">
        <w:rPr>
          <w:rFonts w:ascii="Arial" w:eastAsia="Times New Roman" w:hAnsi="Arial" w:cs="Arial"/>
          <w:sz w:val="24"/>
          <w:szCs w:val="24"/>
        </w:rPr>
        <w:t> for details).</w:t>
      </w:r>
    </w:p>
    <w:p w14:paraId="655791B2"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Some might object to these categorisations of parenting as being inherently biased towards middle-class parenting. Idealising the top categories arguably endorses intensive (or ‘helicopter’ parenting), typically associated with the middle classes (</w:t>
      </w:r>
      <w:hyperlink r:id="rId70" w:anchor="bibr8-0038038520939397" w:history="1">
        <w:r w:rsidRPr="00141FBF">
          <w:rPr>
            <w:rFonts w:ascii="Arial" w:eastAsia="Times New Roman" w:hAnsi="Arial" w:cs="Arial"/>
            <w:color w:val="006ACC"/>
            <w:sz w:val="24"/>
            <w:szCs w:val="24"/>
            <w:u w:val="single"/>
          </w:rPr>
          <w:t>Bristow, 2015</w:t>
        </w:r>
      </w:hyperlink>
      <w:r w:rsidRPr="00141FBF">
        <w:rPr>
          <w:rFonts w:ascii="Arial" w:eastAsia="Times New Roman" w:hAnsi="Arial" w:cs="Arial"/>
          <w:sz w:val="24"/>
          <w:szCs w:val="24"/>
        </w:rPr>
        <w:t>). However, for the purpose of exploring differences in parenting behaviours it seems clear that doing more positive behaviours (such as reading to their child) and less of the behaviours that are negative (such as shouting), can be evaluated as better or worse comparatively (though precisely where to draw the line is not always clear). The analysis is also restricted by the data themselves, which, while rich with many parenting measures, could be critiqued for mostly including measures which reflect typically middle-class ideals of parenting, for example focusing on activities that are characteristic of ‘concerted cultivation’.</w:t>
      </w:r>
    </w:p>
    <w:p w14:paraId="6B7D445C"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In the absence of evidence-based guidelines two approaches could be taken for deciding which categories to include in the ‘ideal’ and ‘poor’ parenting measures. A distribution-based approach could be used, taking a certain proportion of the sample from the top and bottom to define ‘ideal’ and ‘poor’ (</w:t>
      </w:r>
      <w:proofErr w:type="gramStart"/>
      <w:r w:rsidRPr="00141FBF">
        <w:rPr>
          <w:rFonts w:ascii="Arial" w:eastAsia="Times New Roman" w:hAnsi="Arial" w:cs="Arial"/>
          <w:sz w:val="24"/>
          <w:szCs w:val="24"/>
        </w:rPr>
        <w:t>e.g.</w:t>
      </w:r>
      <w:proofErr w:type="gramEnd"/>
      <w:r w:rsidRPr="00141FBF">
        <w:rPr>
          <w:rFonts w:ascii="Arial" w:eastAsia="Times New Roman" w:hAnsi="Arial" w:cs="Arial"/>
          <w:sz w:val="24"/>
          <w:szCs w:val="24"/>
        </w:rPr>
        <w:t xml:space="preserve"> top 30% and bottom 30%). The problem with this is that many measures are skewed towards the ‘ideal’ end of parenting behaviours, often with more than 50% of the sample represented in the top category (see </w:t>
      </w:r>
      <w:hyperlink r:id="rId71" w:anchor="appendix-1" w:history="1">
        <w:r w:rsidRPr="00141FBF">
          <w:rPr>
            <w:rFonts w:ascii="Arial" w:eastAsia="Times New Roman" w:hAnsi="Arial" w:cs="Arial"/>
            <w:color w:val="006ACC"/>
            <w:sz w:val="24"/>
            <w:szCs w:val="24"/>
            <w:u w:val="single"/>
          </w:rPr>
          <w:t>Appendix 1</w:t>
        </w:r>
      </w:hyperlink>
      <w:r w:rsidRPr="00141FBF">
        <w:rPr>
          <w:rFonts w:ascii="Arial" w:eastAsia="Times New Roman" w:hAnsi="Arial" w:cs="Arial"/>
          <w:sz w:val="24"/>
          <w:szCs w:val="24"/>
        </w:rPr>
        <w:t> for the distributions of all parenting measures). An alternative approach is to use the categories themselves, simply selecting the top and bottom categories as representing ‘ideal’ and ‘poor’ parenting. However, this approach faces the same issues of a skewed distribution with the lowest categories often including less than 1% of the sample; this would make comparisons of ‘poor’ parenting less meaningful if categories were constructed that applied to almost none of the respondents. It would also place undue emphasis on the scales constructed for each question. I therefore use a combination of both approaches: behaviours were categorised as ‘ideal’ by taking the top categories that included the top 5% of the sample (as mentioned this was often much more than 5%, so in most cases amounted to taking the top category). Behaviours were categorised as ‘poor’ by taking the bottom categories that included the bottom 5% of the sample (this often meant taking the bottom two or three categories). This allowed for a consistent approach to recoding the measures and minimised the subjectivity of the process. </w:t>
      </w:r>
      <w:hyperlink r:id="rId72" w:anchor="appendix-1" w:history="1">
        <w:r w:rsidRPr="00141FBF">
          <w:rPr>
            <w:rFonts w:ascii="Arial" w:eastAsia="Times New Roman" w:hAnsi="Arial" w:cs="Arial"/>
            <w:color w:val="006ACC"/>
            <w:sz w:val="24"/>
            <w:szCs w:val="24"/>
            <w:u w:val="single"/>
          </w:rPr>
          <w:t>Appendix 1</w:t>
        </w:r>
      </w:hyperlink>
      <w:r w:rsidRPr="00141FBF">
        <w:rPr>
          <w:rFonts w:ascii="Arial" w:eastAsia="Times New Roman" w:hAnsi="Arial" w:cs="Arial"/>
          <w:sz w:val="24"/>
          <w:szCs w:val="24"/>
        </w:rPr>
        <w:t> presents descriptive statistics for each of the binary parenting measures alongside the distributions of the original measures they are based on.</w:t>
      </w:r>
    </w:p>
    <w:p w14:paraId="3FB47070"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A couple of caveats to the measures are worth observing; since this approach </w:t>
      </w:r>
      <w:proofErr w:type="gramStart"/>
      <w:r w:rsidRPr="00141FBF">
        <w:rPr>
          <w:rFonts w:ascii="Arial" w:eastAsia="Times New Roman" w:hAnsi="Arial" w:cs="Arial"/>
          <w:sz w:val="24"/>
          <w:szCs w:val="24"/>
        </w:rPr>
        <w:t>is based on the assumption</w:t>
      </w:r>
      <w:proofErr w:type="gramEnd"/>
      <w:r w:rsidRPr="00141FBF">
        <w:rPr>
          <w:rFonts w:ascii="Arial" w:eastAsia="Times New Roman" w:hAnsi="Arial" w:cs="Arial"/>
          <w:sz w:val="24"/>
          <w:szCs w:val="24"/>
        </w:rPr>
        <w:t xml:space="preserve"> that a higher frequency of good parenting behaviours is always better (and a lower frequency of good behaviours is worse), this has meant that often extreme categories are counted as ‘ideal’. However, it is questionable whether the most extreme categories are necessarily ideal. For example, watching television never or less than an hour a day might be considered less than optimal and moderate amounts of television may be stimulating. Nevertheless, these categories represent the top end of the spectrum in terms of parental input.</w:t>
      </w:r>
    </w:p>
    <w:p w14:paraId="084A4BA3"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Finally, an important limitation is that the parenting measures are self-reported. Inevitably social desirability bias (</w:t>
      </w:r>
      <w:proofErr w:type="spellStart"/>
      <w:r w:rsidRPr="00141FBF">
        <w:rPr>
          <w:rFonts w:ascii="Arial" w:eastAsia="Times New Roman" w:hAnsi="Arial" w:cs="Arial"/>
          <w:sz w:val="24"/>
          <w:szCs w:val="24"/>
        </w:rPr>
        <w:fldChar w:fldCharType="begin"/>
      </w:r>
      <w:r w:rsidRPr="00141FBF">
        <w:rPr>
          <w:rFonts w:ascii="Arial" w:eastAsia="Times New Roman" w:hAnsi="Arial" w:cs="Arial"/>
          <w:sz w:val="24"/>
          <w:szCs w:val="24"/>
        </w:rPr>
        <w:instrText xml:space="preserve"> HYPERLINK "https://journals.sagepub.com/doi/full/10.1177/0038038520939397" \l "bibr34-0038038520939397" </w:instrText>
      </w:r>
      <w:r w:rsidRPr="00141FBF">
        <w:rPr>
          <w:rFonts w:ascii="Arial" w:eastAsia="Times New Roman" w:hAnsi="Arial" w:cs="Arial"/>
          <w:sz w:val="24"/>
          <w:szCs w:val="24"/>
        </w:rPr>
      </w:r>
      <w:r w:rsidRPr="00141FBF">
        <w:rPr>
          <w:rFonts w:ascii="Arial" w:eastAsia="Times New Roman" w:hAnsi="Arial" w:cs="Arial"/>
          <w:sz w:val="24"/>
          <w:szCs w:val="24"/>
        </w:rPr>
        <w:fldChar w:fldCharType="separate"/>
      </w:r>
      <w:r w:rsidRPr="00141FBF">
        <w:rPr>
          <w:rFonts w:ascii="Arial" w:eastAsia="Times New Roman" w:hAnsi="Arial" w:cs="Arial"/>
          <w:color w:val="006ACC"/>
          <w:sz w:val="24"/>
          <w:szCs w:val="24"/>
          <w:u w:val="single"/>
        </w:rPr>
        <w:t>Krumpal</w:t>
      </w:r>
      <w:proofErr w:type="spellEnd"/>
      <w:r w:rsidRPr="00141FBF">
        <w:rPr>
          <w:rFonts w:ascii="Arial" w:eastAsia="Times New Roman" w:hAnsi="Arial" w:cs="Arial"/>
          <w:color w:val="006ACC"/>
          <w:sz w:val="24"/>
          <w:szCs w:val="24"/>
          <w:u w:val="single"/>
        </w:rPr>
        <w:t>, 2013</w:t>
      </w:r>
      <w:r w:rsidRPr="00141FBF">
        <w:rPr>
          <w:rFonts w:ascii="Arial" w:eastAsia="Times New Roman" w:hAnsi="Arial" w:cs="Arial"/>
          <w:sz w:val="24"/>
          <w:szCs w:val="24"/>
        </w:rPr>
        <w:fldChar w:fldCharType="end"/>
      </w:r>
      <w:r w:rsidRPr="00141FBF">
        <w:rPr>
          <w:rFonts w:ascii="Arial" w:eastAsia="Times New Roman" w:hAnsi="Arial" w:cs="Arial"/>
          <w:sz w:val="24"/>
          <w:szCs w:val="24"/>
        </w:rPr>
        <w:t xml:space="preserve">) will mean that certain behaviours, such as smacking, will be under-reported and others, such as portions of fruit consumed, will be over-reported. Some of the more sensitive questions were answered anonymously using the self-completion questionnaire which should reduce </w:t>
      </w:r>
      <w:r w:rsidRPr="00141FBF">
        <w:rPr>
          <w:rFonts w:ascii="Arial" w:eastAsia="Times New Roman" w:hAnsi="Arial" w:cs="Arial"/>
          <w:sz w:val="24"/>
          <w:szCs w:val="24"/>
        </w:rPr>
        <w:lastRenderedPageBreak/>
        <w:t>this problem. However, these are still not direct measures of parenting behaviours but are reflections from parents themselves on their own behaviours.</w:t>
      </w:r>
    </w:p>
    <w:p w14:paraId="2544629D"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Results</w:t>
      </w:r>
    </w:p>
    <w:p w14:paraId="4B87F5EE" w14:textId="77777777" w:rsidR="00141FBF" w:rsidRPr="00141FBF" w:rsidRDefault="00141FBF" w:rsidP="00141FBF">
      <w:pPr>
        <w:spacing w:after="120" w:line="240" w:lineRule="auto"/>
        <w:rPr>
          <w:rFonts w:ascii="Arial" w:eastAsia="Times New Roman" w:hAnsi="Arial" w:cs="Arial"/>
          <w:sz w:val="24"/>
          <w:szCs w:val="24"/>
        </w:rPr>
      </w:pPr>
      <w:hyperlink r:id="rId73" w:anchor="fig1-0038038520939397" w:history="1">
        <w:r w:rsidRPr="00141FBF">
          <w:rPr>
            <w:rFonts w:ascii="Arial" w:eastAsia="Times New Roman" w:hAnsi="Arial" w:cs="Arial"/>
            <w:color w:val="006ACC"/>
            <w:sz w:val="24"/>
            <w:szCs w:val="24"/>
            <w:u w:val="single"/>
          </w:rPr>
          <w:t>Figures 1</w:t>
        </w:r>
      </w:hyperlink>
      <w:r w:rsidRPr="00141FBF">
        <w:rPr>
          <w:rFonts w:ascii="Arial" w:eastAsia="Times New Roman" w:hAnsi="Arial" w:cs="Arial"/>
          <w:sz w:val="24"/>
          <w:szCs w:val="24"/>
        </w:rPr>
        <w:t>–</w:t>
      </w:r>
      <w:hyperlink r:id="rId74" w:anchor="fig6-0038038520939397" w:history="1">
        <w:r w:rsidRPr="00141FBF">
          <w:rPr>
            <w:rFonts w:ascii="Arial" w:eastAsia="Times New Roman" w:hAnsi="Arial" w:cs="Arial"/>
            <w:color w:val="006ACC"/>
            <w:sz w:val="24"/>
            <w:szCs w:val="24"/>
            <w:u w:val="single"/>
          </w:rPr>
          <w:t>6</w:t>
        </w:r>
      </w:hyperlink>
      <w:r w:rsidRPr="00141FBF">
        <w:rPr>
          <w:rFonts w:ascii="Arial" w:eastAsia="Times New Roman" w:hAnsi="Arial" w:cs="Arial"/>
          <w:sz w:val="24"/>
          <w:szCs w:val="24"/>
        </w:rPr>
        <w:t> present the results in a series of bar charts which show the percentage of parents who report particular ‘ideal’ or ‘poor’ parenting, across the five income groups. Results are only included in the bar charts where there is a significant difference (at 95%) between mothers in the low- and middle-income group. All charts have the same scale from 0–100%; though this makes some of the smaller significant differences less visible this is more transparent and puts parenting differences in context.</w:t>
      </w:r>
    </w:p>
    <w:p w14:paraId="39F27D95"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noProof/>
          <w:sz w:val="24"/>
          <w:szCs w:val="24"/>
        </w:rPr>
        <w:drawing>
          <wp:inline distT="0" distB="0" distL="0" distR="0" wp14:anchorId="629D1EF3" wp14:editId="40B92B2A">
            <wp:extent cx="5731510" cy="3196590"/>
            <wp:effectExtent l="0" t="0" r="2540" b="3810"/>
            <wp:docPr id="6" name="Picture 6" descr="Chart, bar 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 surface chart&#10;&#10;Description automatically generated"/>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31510" cy="3196590"/>
                    </a:xfrm>
                    <a:prstGeom prst="rect">
                      <a:avLst/>
                    </a:prstGeom>
                    <a:noFill/>
                    <a:ln>
                      <a:noFill/>
                    </a:ln>
                  </pic:spPr>
                </pic:pic>
              </a:graphicData>
            </a:graphic>
          </wp:inline>
        </w:drawing>
      </w:r>
      <w:r w:rsidRPr="00141FBF">
        <w:rPr>
          <w:rFonts w:ascii="Arial" w:eastAsia="Times New Roman" w:hAnsi="Arial" w:cs="Arial"/>
          <w:b/>
          <w:bCs/>
          <w:sz w:val="24"/>
          <w:szCs w:val="24"/>
        </w:rPr>
        <w:t>Figure 1</w:t>
      </w:r>
      <w:r w:rsidRPr="00141FBF">
        <w:rPr>
          <w:rFonts w:ascii="Arial" w:eastAsia="Times New Roman" w:hAnsi="Arial" w:cs="Arial"/>
          <w:sz w:val="24"/>
          <w:szCs w:val="24"/>
        </w:rPr>
        <w:t xml:space="preserve">. ‘Ideal’ parenting behaviours that significantly more low-income mothers report doing than middle-income </w:t>
      </w:r>
      <w:proofErr w:type="spellStart"/>
      <w:r w:rsidRPr="00141FBF">
        <w:rPr>
          <w:rFonts w:ascii="Arial" w:eastAsia="Times New Roman" w:hAnsi="Arial" w:cs="Arial"/>
          <w:sz w:val="24"/>
          <w:szCs w:val="24"/>
        </w:rPr>
        <w:t>mothers.</w:t>
      </w:r>
      <w:hyperlink r:id="rId76" w:anchor="fig1-0038038520939397" w:history="1">
        <w:r w:rsidRPr="00141FBF">
          <w:rPr>
            <w:rFonts w:ascii="Arial" w:eastAsia="Times New Roman" w:hAnsi="Arial" w:cs="Arial"/>
            <w:b/>
            <w:bCs/>
            <w:caps/>
            <w:color w:val="FFFFFF"/>
            <w:sz w:val="24"/>
            <w:szCs w:val="24"/>
            <w:bdr w:val="none" w:sz="0" w:space="0" w:color="auto" w:frame="1"/>
            <w:shd w:val="clear" w:color="auto" w:fill="888888"/>
          </w:rPr>
          <w:t>OPEN</w:t>
        </w:r>
        <w:proofErr w:type="spellEnd"/>
        <w:r w:rsidRPr="00141FBF">
          <w:rPr>
            <w:rFonts w:ascii="Arial" w:eastAsia="Times New Roman" w:hAnsi="Arial" w:cs="Arial"/>
            <w:b/>
            <w:bCs/>
            <w:caps/>
            <w:color w:val="FFFFFF"/>
            <w:sz w:val="24"/>
            <w:szCs w:val="24"/>
            <w:bdr w:val="none" w:sz="0" w:space="0" w:color="auto" w:frame="1"/>
            <w:shd w:val="clear" w:color="auto" w:fill="888888"/>
          </w:rPr>
          <w:t xml:space="preserve"> IN VIEWER</w:t>
        </w:r>
      </w:hyperlink>
    </w:p>
    <w:p w14:paraId="26C899F8"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noProof/>
          <w:sz w:val="24"/>
          <w:szCs w:val="24"/>
        </w:rPr>
        <w:drawing>
          <wp:inline distT="0" distB="0" distL="0" distR="0" wp14:anchorId="1AB9D0C3" wp14:editId="658A8EE5">
            <wp:extent cx="5731510" cy="1693545"/>
            <wp:effectExtent l="0" t="0" r="2540" b="1905"/>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1693545"/>
                    </a:xfrm>
                    <a:prstGeom prst="rect">
                      <a:avLst/>
                    </a:prstGeom>
                    <a:noFill/>
                    <a:ln>
                      <a:noFill/>
                    </a:ln>
                  </pic:spPr>
                </pic:pic>
              </a:graphicData>
            </a:graphic>
          </wp:inline>
        </w:drawing>
      </w:r>
      <w:r w:rsidRPr="00141FBF">
        <w:rPr>
          <w:rFonts w:ascii="Arial" w:eastAsia="Times New Roman" w:hAnsi="Arial" w:cs="Arial"/>
          <w:b/>
          <w:bCs/>
          <w:sz w:val="24"/>
          <w:szCs w:val="24"/>
        </w:rPr>
        <w:t>Figure 2</w:t>
      </w:r>
      <w:r w:rsidRPr="00141FBF">
        <w:rPr>
          <w:rFonts w:ascii="Arial" w:eastAsia="Times New Roman" w:hAnsi="Arial" w:cs="Arial"/>
          <w:sz w:val="24"/>
          <w:szCs w:val="24"/>
        </w:rPr>
        <w:t xml:space="preserve">. Parenting measures related to meeting physical needs that have a significant income </w:t>
      </w:r>
      <w:proofErr w:type="spellStart"/>
      <w:r w:rsidRPr="00141FBF">
        <w:rPr>
          <w:rFonts w:ascii="Arial" w:eastAsia="Times New Roman" w:hAnsi="Arial" w:cs="Arial"/>
          <w:sz w:val="24"/>
          <w:szCs w:val="24"/>
        </w:rPr>
        <w:t>gradient.</w:t>
      </w:r>
      <w:hyperlink r:id="rId78" w:anchor="fig2-0038038520939397" w:history="1">
        <w:r w:rsidRPr="00141FBF">
          <w:rPr>
            <w:rFonts w:ascii="Arial" w:eastAsia="Times New Roman" w:hAnsi="Arial" w:cs="Arial"/>
            <w:b/>
            <w:bCs/>
            <w:caps/>
            <w:color w:val="FFFFFF"/>
            <w:sz w:val="24"/>
            <w:szCs w:val="24"/>
            <w:bdr w:val="none" w:sz="0" w:space="0" w:color="auto" w:frame="1"/>
            <w:shd w:val="clear" w:color="auto" w:fill="888888"/>
          </w:rPr>
          <w:t>OPEN</w:t>
        </w:r>
        <w:proofErr w:type="spellEnd"/>
        <w:r w:rsidRPr="00141FBF">
          <w:rPr>
            <w:rFonts w:ascii="Arial" w:eastAsia="Times New Roman" w:hAnsi="Arial" w:cs="Arial"/>
            <w:b/>
            <w:bCs/>
            <w:caps/>
            <w:color w:val="FFFFFF"/>
            <w:sz w:val="24"/>
            <w:szCs w:val="24"/>
            <w:bdr w:val="none" w:sz="0" w:space="0" w:color="auto" w:frame="1"/>
            <w:shd w:val="clear" w:color="auto" w:fill="888888"/>
          </w:rPr>
          <w:t xml:space="preserve"> IN VIEWER</w:t>
        </w:r>
      </w:hyperlink>
    </w:p>
    <w:p w14:paraId="78C77497"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noProof/>
          <w:sz w:val="24"/>
          <w:szCs w:val="24"/>
        </w:rPr>
        <w:lastRenderedPageBreak/>
        <w:drawing>
          <wp:inline distT="0" distB="0" distL="0" distR="0" wp14:anchorId="0F98E107" wp14:editId="76FD8A5A">
            <wp:extent cx="5731510" cy="3184525"/>
            <wp:effectExtent l="0" t="0" r="2540"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31510" cy="3184525"/>
                    </a:xfrm>
                    <a:prstGeom prst="rect">
                      <a:avLst/>
                    </a:prstGeom>
                    <a:noFill/>
                    <a:ln>
                      <a:noFill/>
                    </a:ln>
                  </pic:spPr>
                </pic:pic>
              </a:graphicData>
            </a:graphic>
          </wp:inline>
        </w:drawing>
      </w:r>
      <w:r w:rsidRPr="00141FBF">
        <w:rPr>
          <w:rFonts w:ascii="Arial" w:eastAsia="Times New Roman" w:hAnsi="Arial" w:cs="Arial"/>
          <w:b/>
          <w:bCs/>
          <w:sz w:val="24"/>
          <w:szCs w:val="24"/>
        </w:rPr>
        <w:t>Figure 3</w:t>
      </w:r>
      <w:r w:rsidRPr="00141FBF">
        <w:rPr>
          <w:rFonts w:ascii="Arial" w:eastAsia="Times New Roman" w:hAnsi="Arial" w:cs="Arial"/>
          <w:sz w:val="24"/>
          <w:szCs w:val="24"/>
        </w:rPr>
        <w:t xml:space="preserve">. Measure related to the parent–child relationship that has a significant income </w:t>
      </w:r>
      <w:proofErr w:type="spellStart"/>
      <w:r w:rsidRPr="00141FBF">
        <w:rPr>
          <w:rFonts w:ascii="Arial" w:eastAsia="Times New Roman" w:hAnsi="Arial" w:cs="Arial"/>
          <w:sz w:val="24"/>
          <w:szCs w:val="24"/>
        </w:rPr>
        <w:t>gradient.</w:t>
      </w:r>
      <w:hyperlink r:id="rId80" w:anchor="fig3-0038038520939397" w:history="1">
        <w:r w:rsidRPr="00141FBF">
          <w:rPr>
            <w:rFonts w:ascii="Arial" w:eastAsia="Times New Roman" w:hAnsi="Arial" w:cs="Arial"/>
            <w:b/>
            <w:bCs/>
            <w:caps/>
            <w:color w:val="FFFFFF"/>
            <w:sz w:val="24"/>
            <w:szCs w:val="24"/>
            <w:bdr w:val="none" w:sz="0" w:space="0" w:color="auto" w:frame="1"/>
            <w:shd w:val="clear" w:color="auto" w:fill="888888"/>
          </w:rPr>
          <w:t>OPEN</w:t>
        </w:r>
        <w:proofErr w:type="spellEnd"/>
        <w:r w:rsidRPr="00141FBF">
          <w:rPr>
            <w:rFonts w:ascii="Arial" w:eastAsia="Times New Roman" w:hAnsi="Arial" w:cs="Arial"/>
            <w:b/>
            <w:bCs/>
            <w:caps/>
            <w:color w:val="FFFFFF"/>
            <w:sz w:val="24"/>
            <w:szCs w:val="24"/>
            <w:bdr w:val="none" w:sz="0" w:space="0" w:color="auto" w:frame="1"/>
            <w:shd w:val="clear" w:color="auto" w:fill="888888"/>
          </w:rPr>
          <w:t xml:space="preserve"> IN VIEWER</w:t>
        </w:r>
      </w:hyperlink>
    </w:p>
    <w:p w14:paraId="16D0B939"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noProof/>
          <w:sz w:val="24"/>
          <w:szCs w:val="24"/>
        </w:rPr>
        <w:drawing>
          <wp:inline distT="0" distB="0" distL="0" distR="0" wp14:anchorId="77B1A377" wp14:editId="74D90756">
            <wp:extent cx="5731510" cy="1634490"/>
            <wp:effectExtent l="0" t="0" r="2540" b="3810"/>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731510" cy="1634490"/>
                    </a:xfrm>
                    <a:prstGeom prst="rect">
                      <a:avLst/>
                    </a:prstGeom>
                    <a:noFill/>
                    <a:ln>
                      <a:noFill/>
                    </a:ln>
                  </pic:spPr>
                </pic:pic>
              </a:graphicData>
            </a:graphic>
          </wp:inline>
        </w:drawing>
      </w:r>
      <w:r w:rsidRPr="00141FBF">
        <w:rPr>
          <w:rFonts w:ascii="Arial" w:eastAsia="Times New Roman" w:hAnsi="Arial" w:cs="Arial"/>
          <w:b/>
          <w:bCs/>
          <w:sz w:val="24"/>
          <w:szCs w:val="24"/>
        </w:rPr>
        <w:t>Figure 4</w:t>
      </w:r>
      <w:r w:rsidRPr="00141FBF">
        <w:rPr>
          <w:rFonts w:ascii="Arial" w:eastAsia="Times New Roman" w:hAnsi="Arial" w:cs="Arial"/>
          <w:sz w:val="24"/>
          <w:szCs w:val="24"/>
        </w:rPr>
        <w:t xml:space="preserve">. Parenting measures related to discipline and routine that have a significant income </w:t>
      </w:r>
      <w:proofErr w:type="spellStart"/>
      <w:r w:rsidRPr="00141FBF">
        <w:rPr>
          <w:rFonts w:ascii="Arial" w:eastAsia="Times New Roman" w:hAnsi="Arial" w:cs="Arial"/>
          <w:sz w:val="24"/>
          <w:szCs w:val="24"/>
        </w:rPr>
        <w:t>gradient.</w:t>
      </w:r>
      <w:hyperlink r:id="rId82" w:anchor="fig4-0038038520939397" w:history="1">
        <w:r w:rsidRPr="00141FBF">
          <w:rPr>
            <w:rFonts w:ascii="Arial" w:eastAsia="Times New Roman" w:hAnsi="Arial" w:cs="Arial"/>
            <w:b/>
            <w:bCs/>
            <w:caps/>
            <w:color w:val="FFFFFF"/>
            <w:sz w:val="24"/>
            <w:szCs w:val="24"/>
            <w:bdr w:val="none" w:sz="0" w:space="0" w:color="auto" w:frame="1"/>
            <w:shd w:val="clear" w:color="auto" w:fill="888888"/>
          </w:rPr>
          <w:t>OPEN</w:t>
        </w:r>
        <w:proofErr w:type="spellEnd"/>
        <w:r w:rsidRPr="00141FBF">
          <w:rPr>
            <w:rFonts w:ascii="Arial" w:eastAsia="Times New Roman" w:hAnsi="Arial" w:cs="Arial"/>
            <w:b/>
            <w:bCs/>
            <w:caps/>
            <w:color w:val="FFFFFF"/>
            <w:sz w:val="24"/>
            <w:szCs w:val="24"/>
            <w:bdr w:val="none" w:sz="0" w:space="0" w:color="auto" w:frame="1"/>
            <w:shd w:val="clear" w:color="auto" w:fill="888888"/>
          </w:rPr>
          <w:t xml:space="preserve"> IN VIEWER</w:t>
        </w:r>
      </w:hyperlink>
    </w:p>
    <w:p w14:paraId="605E76A1"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noProof/>
          <w:sz w:val="24"/>
          <w:szCs w:val="24"/>
        </w:rPr>
        <w:drawing>
          <wp:inline distT="0" distB="0" distL="0" distR="0" wp14:anchorId="44FB58DD" wp14:editId="798D0267">
            <wp:extent cx="5731510" cy="1686560"/>
            <wp:effectExtent l="0" t="0" r="2540" b="889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731510" cy="1686560"/>
                    </a:xfrm>
                    <a:prstGeom prst="rect">
                      <a:avLst/>
                    </a:prstGeom>
                    <a:noFill/>
                    <a:ln>
                      <a:noFill/>
                    </a:ln>
                  </pic:spPr>
                </pic:pic>
              </a:graphicData>
            </a:graphic>
          </wp:inline>
        </w:drawing>
      </w:r>
      <w:r w:rsidRPr="00141FBF">
        <w:rPr>
          <w:rFonts w:ascii="Arial" w:eastAsia="Times New Roman" w:hAnsi="Arial" w:cs="Arial"/>
          <w:b/>
          <w:bCs/>
          <w:sz w:val="24"/>
          <w:szCs w:val="24"/>
        </w:rPr>
        <w:t>Figure 5</w:t>
      </w:r>
      <w:r w:rsidRPr="00141FBF">
        <w:rPr>
          <w:rFonts w:ascii="Arial" w:eastAsia="Times New Roman" w:hAnsi="Arial" w:cs="Arial"/>
          <w:sz w:val="24"/>
          <w:szCs w:val="24"/>
        </w:rPr>
        <w:t xml:space="preserve">. Parenting measures related to cognitive stimulation that have a significant income </w:t>
      </w:r>
      <w:proofErr w:type="spellStart"/>
      <w:r w:rsidRPr="00141FBF">
        <w:rPr>
          <w:rFonts w:ascii="Arial" w:eastAsia="Times New Roman" w:hAnsi="Arial" w:cs="Arial"/>
          <w:sz w:val="24"/>
          <w:szCs w:val="24"/>
        </w:rPr>
        <w:t>gradient.</w:t>
      </w:r>
      <w:hyperlink r:id="rId84" w:anchor="fig5-0038038520939397" w:history="1">
        <w:r w:rsidRPr="00141FBF">
          <w:rPr>
            <w:rFonts w:ascii="Arial" w:eastAsia="Times New Roman" w:hAnsi="Arial" w:cs="Arial"/>
            <w:b/>
            <w:bCs/>
            <w:caps/>
            <w:color w:val="FFFFFF"/>
            <w:sz w:val="24"/>
            <w:szCs w:val="24"/>
            <w:bdr w:val="none" w:sz="0" w:space="0" w:color="auto" w:frame="1"/>
            <w:shd w:val="clear" w:color="auto" w:fill="888888"/>
          </w:rPr>
          <w:t>OPEN</w:t>
        </w:r>
        <w:proofErr w:type="spellEnd"/>
        <w:r w:rsidRPr="00141FBF">
          <w:rPr>
            <w:rFonts w:ascii="Arial" w:eastAsia="Times New Roman" w:hAnsi="Arial" w:cs="Arial"/>
            <w:b/>
            <w:bCs/>
            <w:caps/>
            <w:color w:val="FFFFFF"/>
            <w:sz w:val="24"/>
            <w:szCs w:val="24"/>
            <w:bdr w:val="none" w:sz="0" w:space="0" w:color="auto" w:frame="1"/>
            <w:shd w:val="clear" w:color="auto" w:fill="888888"/>
          </w:rPr>
          <w:t xml:space="preserve"> IN VIEWER</w:t>
        </w:r>
      </w:hyperlink>
    </w:p>
    <w:p w14:paraId="22F9DDCD" w14:textId="77777777" w:rsidR="00141FBF" w:rsidRPr="00141FBF" w:rsidRDefault="00141FBF" w:rsidP="00141FBF">
      <w:pPr>
        <w:shd w:val="clear" w:color="auto" w:fill="FFFFFF"/>
        <w:spacing w:after="0" w:line="480" w:lineRule="auto"/>
        <w:rPr>
          <w:rFonts w:ascii="Arial" w:eastAsia="Times New Roman" w:hAnsi="Arial" w:cs="Arial"/>
          <w:sz w:val="24"/>
          <w:szCs w:val="24"/>
        </w:rPr>
      </w:pPr>
      <w:r w:rsidRPr="00141FBF">
        <w:rPr>
          <w:rFonts w:ascii="Arial" w:eastAsia="Times New Roman" w:hAnsi="Arial" w:cs="Arial"/>
          <w:noProof/>
          <w:sz w:val="24"/>
          <w:szCs w:val="24"/>
        </w:rPr>
        <w:lastRenderedPageBreak/>
        <w:drawing>
          <wp:inline distT="0" distB="0" distL="0" distR="0" wp14:anchorId="31A22DBE" wp14:editId="35C1A379">
            <wp:extent cx="5731510" cy="1682750"/>
            <wp:effectExtent l="0" t="0" r="2540" b="0"/>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731510" cy="1682750"/>
                    </a:xfrm>
                    <a:prstGeom prst="rect">
                      <a:avLst/>
                    </a:prstGeom>
                    <a:noFill/>
                    <a:ln>
                      <a:noFill/>
                    </a:ln>
                  </pic:spPr>
                </pic:pic>
              </a:graphicData>
            </a:graphic>
          </wp:inline>
        </w:drawing>
      </w:r>
      <w:r w:rsidRPr="00141FBF">
        <w:rPr>
          <w:rFonts w:ascii="Arial" w:eastAsia="Times New Roman" w:hAnsi="Arial" w:cs="Arial"/>
          <w:b/>
          <w:bCs/>
          <w:sz w:val="24"/>
          <w:szCs w:val="24"/>
        </w:rPr>
        <w:t>Figure 6</w:t>
      </w:r>
      <w:r w:rsidRPr="00141FBF">
        <w:rPr>
          <w:rFonts w:ascii="Arial" w:eastAsia="Times New Roman" w:hAnsi="Arial" w:cs="Arial"/>
          <w:sz w:val="24"/>
          <w:szCs w:val="24"/>
        </w:rPr>
        <w:t xml:space="preserve">. Significant differences in parenting (compared to the middle-income group) that are unique to the lowest-income quintiles </w:t>
      </w:r>
      <w:proofErr w:type="spellStart"/>
      <w:r w:rsidRPr="00141FBF">
        <w:rPr>
          <w:rFonts w:ascii="Arial" w:eastAsia="Times New Roman" w:hAnsi="Arial" w:cs="Arial"/>
          <w:sz w:val="24"/>
          <w:szCs w:val="24"/>
        </w:rPr>
        <w:t>only.</w:t>
      </w:r>
      <w:hyperlink r:id="rId86" w:anchor="fig6-0038038520939397" w:history="1">
        <w:r w:rsidRPr="00141FBF">
          <w:rPr>
            <w:rFonts w:ascii="Arial" w:eastAsia="Times New Roman" w:hAnsi="Arial" w:cs="Arial"/>
            <w:b/>
            <w:bCs/>
            <w:caps/>
            <w:color w:val="FFFFFF"/>
            <w:sz w:val="24"/>
            <w:szCs w:val="24"/>
            <w:bdr w:val="none" w:sz="0" w:space="0" w:color="auto" w:frame="1"/>
            <w:shd w:val="clear" w:color="auto" w:fill="888888"/>
          </w:rPr>
          <w:t>OPEN</w:t>
        </w:r>
        <w:proofErr w:type="spellEnd"/>
        <w:r w:rsidRPr="00141FBF">
          <w:rPr>
            <w:rFonts w:ascii="Arial" w:eastAsia="Times New Roman" w:hAnsi="Arial" w:cs="Arial"/>
            <w:b/>
            <w:bCs/>
            <w:caps/>
            <w:color w:val="FFFFFF"/>
            <w:sz w:val="24"/>
            <w:szCs w:val="24"/>
            <w:bdr w:val="none" w:sz="0" w:space="0" w:color="auto" w:frame="1"/>
            <w:shd w:val="clear" w:color="auto" w:fill="888888"/>
          </w:rPr>
          <w:t xml:space="preserve"> IN VIEWER</w:t>
        </w:r>
      </w:hyperlink>
    </w:p>
    <w:p w14:paraId="66BEB6BF" w14:textId="77777777" w:rsidR="00141FBF" w:rsidRPr="00141FBF" w:rsidRDefault="00141FBF" w:rsidP="00141FBF">
      <w:pPr>
        <w:spacing w:before="100" w:beforeAutospacing="1" w:after="100" w:afterAutospacing="1" w:line="240" w:lineRule="auto"/>
        <w:outlineLvl w:val="2"/>
        <w:rPr>
          <w:rFonts w:ascii="Arial" w:eastAsia="Times New Roman" w:hAnsi="Arial" w:cs="Arial"/>
          <w:color w:val="000000"/>
          <w:sz w:val="24"/>
          <w:szCs w:val="24"/>
        </w:rPr>
      </w:pPr>
      <w:r w:rsidRPr="00141FBF">
        <w:rPr>
          <w:rFonts w:ascii="Arial" w:eastAsia="Times New Roman" w:hAnsi="Arial" w:cs="Arial"/>
          <w:color w:val="000000"/>
          <w:sz w:val="24"/>
          <w:szCs w:val="24"/>
        </w:rPr>
        <w:t>Do Low-Income Parents Parent Differently Compared with Middle-Income Parents?</w:t>
      </w:r>
    </w:p>
    <w:p w14:paraId="3D759CD9"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Overall, there are significant differences in parenting between mothers in the lowest- and middle-income groups. Only 11 out of the 72 measures showed no significant difference (at 95%). There are 16 measures of parenting where mothers in the lowest-income group are more likely to report ‘ideal’ parenting behaviours than middle-income mothers, as shown in </w:t>
      </w:r>
      <w:hyperlink r:id="rId87" w:anchor="fig1-0038038520939397" w:history="1">
        <w:r w:rsidRPr="00141FBF">
          <w:rPr>
            <w:rFonts w:ascii="Arial" w:eastAsia="Times New Roman" w:hAnsi="Arial" w:cs="Arial"/>
            <w:color w:val="006ACC"/>
            <w:sz w:val="24"/>
            <w:szCs w:val="24"/>
            <w:u w:val="single"/>
          </w:rPr>
          <w:t>Figure 1</w:t>
        </w:r>
      </w:hyperlink>
      <w:r w:rsidRPr="00141FBF">
        <w:rPr>
          <w:rFonts w:ascii="Arial" w:eastAsia="Times New Roman" w:hAnsi="Arial" w:cs="Arial"/>
          <w:sz w:val="24"/>
          <w:szCs w:val="24"/>
        </w:rPr>
        <w:t xml:space="preserve">. These positive differences in low-income parenting are mainly related to discipline and cognitively stimulating activities. For </w:t>
      </w:r>
      <w:proofErr w:type="gramStart"/>
      <w:r w:rsidRPr="00141FBF">
        <w:rPr>
          <w:rFonts w:ascii="Arial" w:eastAsia="Times New Roman" w:hAnsi="Arial" w:cs="Arial"/>
          <w:sz w:val="24"/>
          <w:szCs w:val="24"/>
        </w:rPr>
        <w:t>the majority of</w:t>
      </w:r>
      <w:proofErr w:type="gramEnd"/>
      <w:r w:rsidRPr="00141FBF">
        <w:rPr>
          <w:rFonts w:ascii="Arial" w:eastAsia="Times New Roman" w:hAnsi="Arial" w:cs="Arial"/>
          <w:sz w:val="24"/>
          <w:szCs w:val="24"/>
        </w:rPr>
        <w:t xml:space="preserve"> these measures (12 of the 16) mothers in the lowest-income group have a greater probability than the middle-income group of doing both the ‘ideal’ and ‘poor’ type of parenting behaviour; that is, they are over-represented in both extreme categories.</w:t>
      </w:r>
    </w:p>
    <w:p w14:paraId="640EF40A" w14:textId="77777777" w:rsidR="00141FBF" w:rsidRPr="00141FBF" w:rsidRDefault="00141FBF" w:rsidP="00141FBF">
      <w:pPr>
        <w:spacing w:before="100" w:beforeAutospacing="1" w:after="100" w:afterAutospacing="1" w:line="240" w:lineRule="auto"/>
        <w:outlineLvl w:val="2"/>
        <w:rPr>
          <w:rFonts w:ascii="Arial" w:eastAsia="Times New Roman" w:hAnsi="Arial" w:cs="Arial"/>
          <w:color w:val="000000"/>
          <w:sz w:val="24"/>
          <w:szCs w:val="24"/>
        </w:rPr>
      </w:pPr>
      <w:r w:rsidRPr="00141FBF">
        <w:rPr>
          <w:rFonts w:ascii="Arial" w:eastAsia="Times New Roman" w:hAnsi="Arial" w:cs="Arial"/>
          <w:color w:val="000000"/>
          <w:sz w:val="24"/>
          <w:szCs w:val="24"/>
        </w:rPr>
        <w:t>Are Low-Income Parents a Unique Group Behaving Differently from All Other Income Groups?</w:t>
      </w:r>
    </w:p>
    <w:p w14:paraId="2CB5213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For over half of the parenting behaviours analysed (45 of the 72) low-income mothers were significantly more likely to be doing worse than middle-income mothers. Importantly, where there are negative differences in parenting the majority of these differences between low-income and middle-income mothers (33 of the 45) are actually part of a wider gradient across </w:t>
      </w:r>
      <w:r w:rsidRPr="00141FBF">
        <w:rPr>
          <w:rFonts w:ascii="Arial" w:eastAsia="Times New Roman" w:hAnsi="Arial" w:cs="Arial"/>
          <w:i/>
          <w:iCs/>
          <w:sz w:val="24"/>
          <w:szCs w:val="24"/>
        </w:rPr>
        <w:t>all</w:t>
      </w:r>
      <w:r w:rsidRPr="00141FBF">
        <w:rPr>
          <w:rFonts w:ascii="Arial" w:eastAsia="Times New Roman" w:hAnsi="Arial" w:cs="Arial"/>
          <w:sz w:val="24"/>
          <w:szCs w:val="24"/>
        </w:rPr>
        <w:t> income groups rather than differences that are specific to low-income mothers only (see </w:t>
      </w:r>
      <w:hyperlink r:id="rId88" w:anchor="fig2-0038038520939397" w:history="1">
        <w:r w:rsidRPr="00141FBF">
          <w:rPr>
            <w:rFonts w:ascii="Arial" w:eastAsia="Times New Roman" w:hAnsi="Arial" w:cs="Arial"/>
            <w:color w:val="006ACC"/>
            <w:sz w:val="24"/>
            <w:szCs w:val="24"/>
            <w:u w:val="single"/>
          </w:rPr>
          <w:t>Figures 2</w:t>
        </w:r>
      </w:hyperlink>
      <w:r w:rsidRPr="00141FBF">
        <w:rPr>
          <w:rFonts w:ascii="Arial" w:eastAsia="Times New Roman" w:hAnsi="Arial" w:cs="Arial"/>
          <w:sz w:val="24"/>
          <w:szCs w:val="24"/>
        </w:rPr>
        <w:t>–</w:t>
      </w:r>
      <w:hyperlink r:id="rId89" w:anchor="fig5-0038038520939397" w:history="1">
        <w:r w:rsidRPr="00141FBF">
          <w:rPr>
            <w:rFonts w:ascii="Arial" w:eastAsia="Times New Roman" w:hAnsi="Arial" w:cs="Arial"/>
            <w:color w:val="006ACC"/>
            <w:sz w:val="24"/>
            <w:szCs w:val="24"/>
            <w:u w:val="single"/>
          </w:rPr>
          <w:t>5</w:t>
        </w:r>
      </w:hyperlink>
      <w:r w:rsidRPr="00141FBF">
        <w:rPr>
          <w:rFonts w:ascii="Arial" w:eastAsia="Times New Roman" w:hAnsi="Arial" w:cs="Arial"/>
          <w:sz w:val="24"/>
          <w:szCs w:val="24"/>
        </w:rPr>
        <w:t>).</w:t>
      </w:r>
      <w:hyperlink r:id="rId90" w:anchor="fn4-0038038520939397" w:history="1">
        <w:r w:rsidRPr="00141FBF">
          <w:rPr>
            <w:rFonts w:ascii="Arial" w:eastAsia="Times New Roman" w:hAnsi="Arial" w:cs="Arial"/>
            <w:color w:val="006ACC"/>
            <w:sz w:val="24"/>
            <w:szCs w:val="24"/>
            <w:u w:val="single"/>
            <w:vertAlign w:val="superscript"/>
          </w:rPr>
          <w:t>4</w:t>
        </w:r>
      </w:hyperlink>
      <w:r w:rsidRPr="00141FBF">
        <w:rPr>
          <w:rFonts w:ascii="Arial" w:eastAsia="Times New Roman" w:hAnsi="Arial" w:cs="Arial"/>
          <w:sz w:val="24"/>
          <w:szCs w:val="24"/>
        </w:rPr>
        <w:t> That is to say that the probability of being in the ‘poor’ parenting categories decreases with an increase in income and for the ‘ideal’ parenting behaviours the probability of doing these behaviours increases with income.</w:t>
      </w:r>
    </w:p>
    <w:p w14:paraId="3BC7FEF1"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Only 12 of the (45) negative differences in parenting were unique to mothers in the lowest-income quintile. However, as can be seen from </w:t>
      </w:r>
      <w:hyperlink r:id="rId91" w:anchor="fig6-0038038520939397" w:history="1">
        <w:r w:rsidRPr="00141FBF">
          <w:rPr>
            <w:rFonts w:ascii="Arial" w:eastAsia="Times New Roman" w:hAnsi="Arial" w:cs="Arial"/>
            <w:color w:val="006ACC"/>
            <w:sz w:val="24"/>
            <w:szCs w:val="24"/>
            <w:u w:val="single"/>
          </w:rPr>
          <w:t>Figure 6</w:t>
        </w:r>
      </w:hyperlink>
      <w:r w:rsidRPr="00141FBF">
        <w:rPr>
          <w:rFonts w:ascii="Arial" w:eastAsia="Times New Roman" w:hAnsi="Arial" w:cs="Arial"/>
          <w:sz w:val="24"/>
          <w:szCs w:val="24"/>
        </w:rPr>
        <w:t> although only the differences between mothers in the lowest/two lowest-income groups reach statistical significance compared to middle-income mothers the pattern still clearly shows an income gradient across the full income distribution. Furthermore, the differences are small, for instance, as can be seen in </w:t>
      </w:r>
      <w:hyperlink r:id="rId92" w:anchor="fig6-0038038520939397" w:history="1">
        <w:r w:rsidRPr="00141FBF">
          <w:rPr>
            <w:rFonts w:ascii="Arial" w:eastAsia="Times New Roman" w:hAnsi="Arial" w:cs="Arial"/>
            <w:color w:val="006ACC"/>
            <w:sz w:val="24"/>
            <w:szCs w:val="24"/>
            <w:u w:val="single"/>
          </w:rPr>
          <w:t>Figure 6</w:t>
        </w:r>
      </w:hyperlink>
      <w:r w:rsidRPr="00141FBF">
        <w:rPr>
          <w:rFonts w:ascii="Arial" w:eastAsia="Times New Roman" w:hAnsi="Arial" w:cs="Arial"/>
          <w:sz w:val="24"/>
          <w:szCs w:val="24"/>
        </w:rPr>
        <w:t>, while 60% of low-income mothers report their child always has a regular bedtime this only increases to 64% for middle-income mothers.</w:t>
      </w:r>
    </w:p>
    <w:p w14:paraId="028C33BA"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Given the attention that low-income parenting receives it is a striking finding that most differences in parenting are not specific to parents on low incomes, rather there </w:t>
      </w:r>
      <w:r w:rsidRPr="00141FBF">
        <w:rPr>
          <w:rFonts w:ascii="Arial" w:eastAsia="Times New Roman" w:hAnsi="Arial" w:cs="Arial"/>
          <w:sz w:val="24"/>
          <w:szCs w:val="24"/>
        </w:rPr>
        <w:lastRenderedPageBreak/>
        <w:t>is a gradient across all income groups. Further, almost half of the differences that are specific to low-income parents only relate to positive differences in parenting of mothers in the lowest-income group.</w:t>
      </w:r>
    </w:p>
    <w:p w14:paraId="57A927AF" w14:textId="77777777" w:rsidR="00141FBF" w:rsidRPr="00141FBF" w:rsidRDefault="00141FBF" w:rsidP="00141FBF">
      <w:pPr>
        <w:spacing w:before="100" w:beforeAutospacing="1" w:after="100" w:afterAutospacing="1" w:line="240" w:lineRule="auto"/>
        <w:outlineLvl w:val="2"/>
        <w:rPr>
          <w:rFonts w:ascii="Arial" w:eastAsia="Times New Roman" w:hAnsi="Arial" w:cs="Arial"/>
          <w:color w:val="000000"/>
          <w:sz w:val="24"/>
          <w:szCs w:val="24"/>
        </w:rPr>
      </w:pPr>
      <w:r w:rsidRPr="00141FBF">
        <w:rPr>
          <w:rFonts w:ascii="Arial" w:eastAsia="Times New Roman" w:hAnsi="Arial" w:cs="Arial"/>
          <w:color w:val="000000"/>
          <w:sz w:val="24"/>
          <w:szCs w:val="24"/>
        </w:rPr>
        <w:t>Are Low-Income Parents Less Likely to Parent in Ways That Are Considered to Be ‘Ideal’ or Are They More Likely to Parent in Ways That Are Considered to Be ‘Poor’?</w:t>
      </w:r>
    </w:p>
    <w:p w14:paraId="0F643880"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Where there are significant negative differences in parenting between mothers in the lowest- and middle-income group, the majority of these (27 of the 45) relate to mothers in the lowest-income group being over-represented in the ‘poor’ parenting categories. It is worth reiterating however, that it is still a minority of low-income mothers who report ‘poor’ parenting as can be seen from </w:t>
      </w:r>
      <w:hyperlink r:id="rId93" w:anchor="fig2-0038038520939397" w:history="1">
        <w:r w:rsidRPr="00141FBF">
          <w:rPr>
            <w:rFonts w:ascii="Arial" w:eastAsia="Times New Roman" w:hAnsi="Arial" w:cs="Arial"/>
            <w:color w:val="006ACC"/>
            <w:sz w:val="24"/>
            <w:szCs w:val="24"/>
            <w:u w:val="single"/>
          </w:rPr>
          <w:t>Figures 2</w:t>
        </w:r>
      </w:hyperlink>
      <w:r w:rsidRPr="00141FBF">
        <w:rPr>
          <w:rFonts w:ascii="Arial" w:eastAsia="Times New Roman" w:hAnsi="Arial" w:cs="Arial"/>
          <w:sz w:val="24"/>
          <w:szCs w:val="24"/>
        </w:rPr>
        <w:t>, </w:t>
      </w:r>
      <w:hyperlink r:id="rId94" w:anchor="fig4-0038038520939397" w:history="1">
        <w:r w:rsidRPr="00141FBF">
          <w:rPr>
            <w:rFonts w:ascii="Arial" w:eastAsia="Times New Roman" w:hAnsi="Arial" w:cs="Arial"/>
            <w:color w:val="006ACC"/>
            <w:sz w:val="24"/>
            <w:szCs w:val="24"/>
            <w:u w:val="single"/>
          </w:rPr>
          <w:t>4</w:t>
        </w:r>
      </w:hyperlink>
      <w:r w:rsidRPr="00141FBF">
        <w:rPr>
          <w:rFonts w:ascii="Arial" w:eastAsia="Times New Roman" w:hAnsi="Arial" w:cs="Arial"/>
          <w:sz w:val="24"/>
          <w:szCs w:val="24"/>
        </w:rPr>
        <w:t>, </w:t>
      </w:r>
      <w:hyperlink r:id="rId95" w:anchor="fig5-0038038520939397" w:history="1">
        <w:r w:rsidRPr="00141FBF">
          <w:rPr>
            <w:rFonts w:ascii="Arial" w:eastAsia="Times New Roman" w:hAnsi="Arial" w:cs="Arial"/>
            <w:color w:val="006ACC"/>
            <w:sz w:val="24"/>
            <w:szCs w:val="24"/>
            <w:u w:val="single"/>
          </w:rPr>
          <w:t>5</w:t>
        </w:r>
      </w:hyperlink>
      <w:r w:rsidRPr="00141FBF">
        <w:rPr>
          <w:rFonts w:ascii="Arial" w:eastAsia="Times New Roman" w:hAnsi="Arial" w:cs="Arial"/>
          <w:sz w:val="24"/>
          <w:szCs w:val="24"/>
        </w:rPr>
        <w:t> and </w:t>
      </w:r>
      <w:hyperlink r:id="rId96" w:anchor="fig6-0038038520939397" w:history="1">
        <w:r w:rsidRPr="00141FBF">
          <w:rPr>
            <w:rFonts w:ascii="Arial" w:eastAsia="Times New Roman" w:hAnsi="Arial" w:cs="Arial"/>
            <w:color w:val="006ACC"/>
            <w:sz w:val="24"/>
            <w:szCs w:val="24"/>
            <w:u w:val="single"/>
          </w:rPr>
          <w:t>6</w:t>
        </w:r>
      </w:hyperlink>
      <w:r w:rsidRPr="00141FBF">
        <w:rPr>
          <w:rFonts w:ascii="Arial" w:eastAsia="Times New Roman" w:hAnsi="Arial" w:cs="Arial"/>
          <w:sz w:val="24"/>
          <w:szCs w:val="24"/>
        </w:rPr>
        <w:t>.</w:t>
      </w:r>
    </w:p>
    <w:p w14:paraId="12D83B67"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Discussion and Conclusion</w:t>
      </w:r>
    </w:p>
    <w:p w14:paraId="0C6B9B0A"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The qualitative literature on poverty and parenting has focused on explaining low-income parenting as different rather than deficient and illuminating the processes that shape these differences. This article addresses a gap in the quantitative evidence on parenting and poverty, by analysing to what extent there </w:t>
      </w:r>
      <w:r w:rsidRPr="00141FBF">
        <w:rPr>
          <w:rFonts w:ascii="Arial" w:eastAsia="Times New Roman" w:hAnsi="Arial" w:cs="Arial"/>
          <w:i/>
          <w:iCs/>
          <w:sz w:val="24"/>
          <w:szCs w:val="24"/>
        </w:rPr>
        <w:t>are</w:t>
      </w:r>
      <w:r w:rsidRPr="00141FBF">
        <w:rPr>
          <w:rFonts w:ascii="Arial" w:eastAsia="Times New Roman" w:hAnsi="Arial" w:cs="Arial"/>
          <w:sz w:val="24"/>
          <w:szCs w:val="24"/>
        </w:rPr>
        <w:t xml:space="preserve"> differences in parenting across income groups and the size of any such differences. The findings demonstrate that although there are significant differences in parenting between low- and middle-income mothers, there are important qualifications to these differences. First, most of these differences were found to be part of a broader gradient in parenting across all income groups. Second, although low-income mothers are more likely to report ‘poor’ parenting behaviours, it is still a minority of low-income mothers that describe their parenting in this way and likewise, still a large proportion (often around 50%) of mothers in the lowest-income group report ‘ideal’ parenting behaviours. Finally, for some parenting behaviours low-income mothers are </w:t>
      </w:r>
      <w:proofErr w:type="gramStart"/>
      <w:r w:rsidRPr="00141FBF">
        <w:rPr>
          <w:rFonts w:ascii="Arial" w:eastAsia="Times New Roman" w:hAnsi="Arial" w:cs="Arial"/>
          <w:sz w:val="24"/>
          <w:szCs w:val="24"/>
        </w:rPr>
        <w:t>actually </w:t>
      </w:r>
      <w:r w:rsidRPr="00141FBF">
        <w:rPr>
          <w:rFonts w:ascii="Arial" w:eastAsia="Times New Roman" w:hAnsi="Arial" w:cs="Arial"/>
          <w:i/>
          <w:iCs/>
          <w:sz w:val="24"/>
          <w:szCs w:val="24"/>
        </w:rPr>
        <w:t>more</w:t>
      </w:r>
      <w:proofErr w:type="gramEnd"/>
      <w:r w:rsidRPr="00141FBF">
        <w:rPr>
          <w:rFonts w:ascii="Arial" w:eastAsia="Times New Roman" w:hAnsi="Arial" w:cs="Arial"/>
          <w:sz w:val="24"/>
          <w:szCs w:val="24"/>
        </w:rPr>
        <w:t> likely to behave in ‘ideal’ ways compared to middle-income mothers. For example, children in the lowest-income group are more likely to have someone at home helping with maths and writing every day, and more likely to paint/draw, do musical activities and play games with their mother every day. Parents in the lowest-income group are also more likely to report never smacking and never or rarely shouting at their child when naughty. These findings of positive differences are in line with </w:t>
      </w:r>
      <w:hyperlink r:id="rId97" w:anchor="bibr16-0038038520939397" w:history="1">
        <w:r w:rsidRPr="00141FBF">
          <w:rPr>
            <w:rFonts w:ascii="Arial" w:eastAsia="Times New Roman" w:hAnsi="Arial" w:cs="Arial"/>
            <w:color w:val="006ACC"/>
            <w:sz w:val="24"/>
            <w:szCs w:val="24"/>
            <w:u w:val="single"/>
          </w:rPr>
          <w:t xml:space="preserve">Dermott and </w:t>
        </w:r>
        <w:proofErr w:type="spellStart"/>
        <w:r w:rsidRPr="00141FBF">
          <w:rPr>
            <w:rFonts w:ascii="Arial" w:eastAsia="Times New Roman" w:hAnsi="Arial" w:cs="Arial"/>
            <w:color w:val="006ACC"/>
            <w:sz w:val="24"/>
            <w:szCs w:val="24"/>
            <w:u w:val="single"/>
          </w:rPr>
          <w:t>Pomati’s</w:t>
        </w:r>
        <w:proofErr w:type="spellEnd"/>
        <w:r w:rsidRPr="00141FBF">
          <w:rPr>
            <w:rFonts w:ascii="Arial" w:eastAsia="Times New Roman" w:hAnsi="Arial" w:cs="Arial"/>
            <w:color w:val="006ACC"/>
            <w:sz w:val="24"/>
            <w:szCs w:val="24"/>
            <w:u w:val="single"/>
          </w:rPr>
          <w:t xml:space="preserve"> (2016)</w:t>
        </w:r>
      </w:hyperlink>
      <w:r w:rsidRPr="00141FBF">
        <w:rPr>
          <w:rFonts w:ascii="Arial" w:eastAsia="Times New Roman" w:hAnsi="Arial" w:cs="Arial"/>
          <w:sz w:val="24"/>
          <w:szCs w:val="24"/>
        </w:rPr>
        <w:t> analysis which found that parents in poverty were more likely to report having family time with their children. They also support assertions based on qualitative evidence that low-income parents go to great efforts to support and provide for their children (</w:t>
      </w:r>
      <w:hyperlink r:id="rId98" w:anchor="bibr13-0038038520939397" w:history="1">
        <w:r w:rsidRPr="00141FBF">
          <w:rPr>
            <w:rFonts w:ascii="Arial" w:eastAsia="Times New Roman" w:hAnsi="Arial" w:cs="Arial"/>
            <w:color w:val="006ACC"/>
            <w:sz w:val="24"/>
            <w:szCs w:val="24"/>
            <w:u w:val="single"/>
          </w:rPr>
          <w:t>Daly and Kelly, 2015</w:t>
        </w:r>
      </w:hyperlink>
      <w:r w:rsidRPr="00141FBF">
        <w:rPr>
          <w:rFonts w:ascii="Arial" w:eastAsia="Times New Roman" w:hAnsi="Arial" w:cs="Arial"/>
          <w:sz w:val="24"/>
          <w:szCs w:val="24"/>
        </w:rPr>
        <w:t>; </w:t>
      </w:r>
      <w:hyperlink r:id="rId99" w:anchor="bibr20-0038038520939397" w:history="1">
        <w:r w:rsidRPr="00141FBF">
          <w:rPr>
            <w:rFonts w:ascii="Arial" w:eastAsia="Times New Roman" w:hAnsi="Arial" w:cs="Arial"/>
            <w:color w:val="006ACC"/>
            <w:sz w:val="24"/>
            <w:szCs w:val="24"/>
            <w:u w:val="single"/>
          </w:rPr>
          <w:t>Gillies, 2005</w:t>
        </w:r>
      </w:hyperlink>
      <w:r w:rsidRPr="00141FBF">
        <w:rPr>
          <w:rFonts w:ascii="Arial" w:eastAsia="Times New Roman" w:hAnsi="Arial" w:cs="Arial"/>
          <w:sz w:val="24"/>
          <w:szCs w:val="24"/>
        </w:rPr>
        <w:t>).</w:t>
      </w:r>
    </w:p>
    <w:p w14:paraId="17278017"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This article also developed a new framework for analysing parenting across four different domains: meeting physical needs, the parent–child relationship, discipline and routine and cognitive stimulation. Based on </w:t>
      </w:r>
      <w:hyperlink r:id="rId100" w:anchor="bibr35-0038038520939397" w:history="1">
        <w:r w:rsidRPr="00141FBF">
          <w:rPr>
            <w:rFonts w:ascii="Arial" w:eastAsia="Times New Roman" w:hAnsi="Arial" w:cs="Arial"/>
            <w:color w:val="006ACC"/>
            <w:sz w:val="24"/>
            <w:szCs w:val="24"/>
            <w:u w:val="single"/>
          </w:rPr>
          <w:t>Lareau’s (2003)</w:t>
        </w:r>
      </w:hyperlink>
      <w:r w:rsidRPr="00141FBF">
        <w:rPr>
          <w:rFonts w:ascii="Arial" w:eastAsia="Times New Roman" w:hAnsi="Arial" w:cs="Arial"/>
          <w:sz w:val="24"/>
          <w:szCs w:val="24"/>
        </w:rPr>
        <w:t xml:space="preserve"> ethnographic research we would expect fewer differences in parenting related to meeting the child’s physical needs, as low-income parents would be focused on ‘accomplishment of natural growth’ and more differences related to cognitively stimulating activities, as middle-income parents aim at ‘concerted cultivation’. However, the findings do not neatly map onto this framework, as the positive differences described above demonstrate, which relate mostly to low-income mothers reporting more frequent activities that facilitate cognitive stimulation. Furthermore, </w:t>
      </w:r>
      <w:proofErr w:type="gramStart"/>
      <w:r w:rsidRPr="00141FBF">
        <w:rPr>
          <w:rFonts w:ascii="Arial" w:eastAsia="Times New Roman" w:hAnsi="Arial" w:cs="Arial"/>
          <w:sz w:val="24"/>
          <w:szCs w:val="24"/>
        </w:rPr>
        <w:t>a number of</w:t>
      </w:r>
      <w:proofErr w:type="gramEnd"/>
      <w:r w:rsidRPr="00141FBF">
        <w:rPr>
          <w:rFonts w:ascii="Arial" w:eastAsia="Times New Roman" w:hAnsi="Arial" w:cs="Arial"/>
          <w:sz w:val="24"/>
          <w:szCs w:val="24"/>
        </w:rPr>
        <w:t xml:space="preserve"> negative differences are found in low-income parenting related to meeting physical needs, </w:t>
      </w:r>
      <w:r w:rsidRPr="00141FBF">
        <w:rPr>
          <w:rFonts w:ascii="Arial" w:eastAsia="Times New Roman" w:hAnsi="Arial" w:cs="Arial"/>
          <w:sz w:val="24"/>
          <w:szCs w:val="24"/>
        </w:rPr>
        <w:lastRenderedPageBreak/>
        <w:t>including how often the child has breakfast and how many portions of fruit the child has per day.</w:t>
      </w:r>
    </w:p>
    <w:p w14:paraId="6169A155" w14:textId="77777777" w:rsidR="00141FBF" w:rsidRPr="00141FBF" w:rsidRDefault="00141FBF" w:rsidP="00141FBF">
      <w:pPr>
        <w:spacing w:before="100" w:beforeAutospacing="1" w:after="100" w:afterAutospacing="1" w:line="240" w:lineRule="auto"/>
        <w:outlineLvl w:val="2"/>
        <w:rPr>
          <w:rFonts w:ascii="Arial" w:eastAsia="Times New Roman" w:hAnsi="Arial" w:cs="Arial"/>
          <w:color w:val="000000"/>
          <w:sz w:val="24"/>
          <w:szCs w:val="24"/>
        </w:rPr>
      </w:pPr>
      <w:r w:rsidRPr="00141FBF">
        <w:rPr>
          <w:rFonts w:ascii="Arial" w:eastAsia="Times New Roman" w:hAnsi="Arial" w:cs="Arial"/>
          <w:color w:val="000000"/>
          <w:sz w:val="24"/>
          <w:szCs w:val="24"/>
        </w:rPr>
        <w:t>Limitations and Future Research</w:t>
      </w:r>
    </w:p>
    <w:p w14:paraId="2C5F35D0"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A limitation of this study is that it relies on self-reported parenting measures and is therefore prone to social desirability bias. Middle-class parents tend to be more familiar with expert advice on parenting (</w:t>
      </w:r>
      <w:hyperlink r:id="rId101" w:anchor="bibr35-0038038520939397" w:history="1">
        <w:r w:rsidRPr="00141FBF">
          <w:rPr>
            <w:rFonts w:ascii="Arial" w:eastAsia="Times New Roman" w:hAnsi="Arial" w:cs="Arial"/>
            <w:color w:val="006ACC"/>
            <w:sz w:val="24"/>
            <w:szCs w:val="24"/>
            <w:u w:val="single"/>
          </w:rPr>
          <w:t>Lareau, 2003</w:t>
        </w:r>
      </w:hyperlink>
      <w:r w:rsidRPr="00141FBF">
        <w:rPr>
          <w:rFonts w:ascii="Arial" w:eastAsia="Times New Roman" w:hAnsi="Arial" w:cs="Arial"/>
          <w:sz w:val="24"/>
          <w:szCs w:val="24"/>
        </w:rPr>
        <w:t>: 248), and may therefore be more susceptible to social desirability bias. One implication of this is that differences between low- and middle-income mothers may be over-estimated if middle-income mothers are under-reporting negative parenting practices and over-reporting positive parenting practices more than low-income mothers.</w:t>
      </w:r>
    </w:p>
    <w:p w14:paraId="5BA030AC"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This research has focused on quantifying the extent of differences in parenting across income groups rather than seeking to explore the mechanisms that explain any such </w:t>
      </w:r>
      <w:proofErr w:type="gramStart"/>
      <w:r w:rsidRPr="00141FBF">
        <w:rPr>
          <w:rFonts w:ascii="Arial" w:eastAsia="Times New Roman" w:hAnsi="Arial" w:cs="Arial"/>
          <w:sz w:val="24"/>
          <w:szCs w:val="24"/>
        </w:rPr>
        <w:t>differences;</w:t>
      </w:r>
      <w:proofErr w:type="gramEnd"/>
      <w:r w:rsidRPr="00141FBF">
        <w:rPr>
          <w:rFonts w:ascii="Arial" w:eastAsia="Times New Roman" w:hAnsi="Arial" w:cs="Arial"/>
          <w:sz w:val="24"/>
          <w:szCs w:val="24"/>
        </w:rPr>
        <w:t xml:space="preserve"> as outlined in the literature review qualitative research is much better placed to explore the complex processes at play. However, future quantitative research could contribute to unpicking some of these income-related patterns found in parenting. For </w:t>
      </w:r>
      <w:proofErr w:type="gramStart"/>
      <w:r w:rsidRPr="00141FBF">
        <w:rPr>
          <w:rFonts w:ascii="Arial" w:eastAsia="Times New Roman" w:hAnsi="Arial" w:cs="Arial"/>
          <w:sz w:val="24"/>
          <w:szCs w:val="24"/>
        </w:rPr>
        <w:t>example</w:t>
      </w:r>
      <w:proofErr w:type="gramEnd"/>
      <w:r w:rsidRPr="00141FBF">
        <w:rPr>
          <w:rFonts w:ascii="Arial" w:eastAsia="Times New Roman" w:hAnsi="Arial" w:cs="Arial"/>
          <w:sz w:val="24"/>
          <w:szCs w:val="24"/>
        </w:rPr>
        <w:t xml:space="preserve"> the positive differences in parenting related to cognitive stimulation, whereby low-income mothers are more likely to report helping with maths and writing as well as drawing and musical activities every day, may be explained by the mother having more time with the child and could therefore be related to differences in work hours. It could also be more directly related to financial resources which restrict the kinds of activities the mother can do with the child, resulting in more activities with the child in the home rather than organised activities outside of the home which are likely to cost more. Some of the largest differences that show an income gradient are related to trips outside of the home, which lend support to this suggestion.</w:t>
      </w:r>
    </w:p>
    <w:p w14:paraId="2B781499"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The parenting measures could also be further developed in future research. Having been explored individually it would be useful to combine them into domain-specific parenting indices. This would give a better understanding of the overall experience of the child than can be gained from focusing on individual parenting measures. While some behaviours are clearly important in themselves, such as having breakfast every day, other behaviours may be substitutive. For instance, a parent may rarely do painting or drawing with their child but may do many other creative games and activities. Parenting indices would go some way towards addressing this.</w:t>
      </w:r>
    </w:p>
    <w:p w14:paraId="38BAEA74"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Conclusion</w:t>
      </w:r>
    </w:p>
    <w:p w14:paraId="75C138CE" w14:textId="77777777" w:rsidR="00141FBF" w:rsidRPr="00141FBF" w:rsidRDefault="00141FBF" w:rsidP="00141FBF">
      <w:pPr>
        <w:spacing w:after="120" w:line="240" w:lineRule="auto"/>
        <w:rPr>
          <w:rFonts w:ascii="Arial" w:eastAsia="Times New Roman" w:hAnsi="Arial" w:cs="Arial"/>
          <w:sz w:val="24"/>
          <w:szCs w:val="24"/>
        </w:rPr>
      </w:pPr>
      <w:r w:rsidRPr="00141FBF">
        <w:rPr>
          <w:rFonts w:ascii="Arial" w:eastAsia="Times New Roman" w:hAnsi="Arial" w:cs="Arial"/>
          <w:sz w:val="24"/>
          <w:szCs w:val="24"/>
        </w:rPr>
        <w:t xml:space="preserve">This article makes three main contributions to the literature on low-income parenting. In examining parenting behaviours across the income </w:t>
      </w:r>
      <w:proofErr w:type="gramStart"/>
      <w:r w:rsidRPr="00141FBF">
        <w:rPr>
          <w:rFonts w:ascii="Arial" w:eastAsia="Times New Roman" w:hAnsi="Arial" w:cs="Arial"/>
          <w:sz w:val="24"/>
          <w:szCs w:val="24"/>
        </w:rPr>
        <w:t>distribution</w:t>
      </w:r>
      <w:proofErr w:type="gramEnd"/>
      <w:r w:rsidRPr="00141FBF">
        <w:rPr>
          <w:rFonts w:ascii="Arial" w:eastAsia="Times New Roman" w:hAnsi="Arial" w:cs="Arial"/>
          <w:sz w:val="24"/>
          <w:szCs w:val="24"/>
        </w:rPr>
        <w:t xml:space="preserve"> it reveals an income gradient in many parenting behaviours as well as positive differences between low- and middle-income parenting. These findings are not evident in most previous studies, because often the focus is on parents in poverty only, thereby exaggerating differences between low-income parents and other parents and reinforcing the notion that low-income parents are uniquely deviant. Second, unlike previous studies this article distinguishes the ways in which parenting behaviours differ for low-income mothers – specifically whether low-income mothers are doing less ‘ideal’ parenting behaviours or whether they are doing more ‘poor’ parenting behaviours. Finally, this analysis offers a comprehensive overview of the relationship </w:t>
      </w:r>
      <w:r w:rsidRPr="00141FBF">
        <w:rPr>
          <w:rFonts w:ascii="Arial" w:eastAsia="Times New Roman" w:hAnsi="Arial" w:cs="Arial"/>
          <w:sz w:val="24"/>
          <w:szCs w:val="24"/>
        </w:rPr>
        <w:lastRenderedPageBreak/>
        <w:t xml:space="preserve">between income and parenting by examining all available measures of parenting in what </w:t>
      </w:r>
      <w:proofErr w:type="gramStart"/>
      <w:r w:rsidRPr="00141FBF">
        <w:rPr>
          <w:rFonts w:ascii="Arial" w:eastAsia="Times New Roman" w:hAnsi="Arial" w:cs="Arial"/>
          <w:sz w:val="24"/>
          <w:szCs w:val="24"/>
        </w:rPr>
        <w:t>is a considerably rich dataset</w:t>
      </w:r>
      <w:proofErr w:type="gramEnd"/>
      <w:r w:rsidRPr="00141FBF">
        <w:rPr>
          <w:rFonts w:ascii="Arial" w:eastAsia="Times New Roman" w:hAnsi="Arial" w:cs="Arial"/>
          <w:sz w:val="24"/>
          <w:szCs w:val="24"/>
        </w:rPr>
        <w:t>. Furthermore, in doing so it has proposed a new framework for measuring parenting behaviours across four domains: meeting physical needs; the parent–child relationship; discipline and routine; and cognitive stimulation.</w:t>
      </w:r>
    </w:p>
    <w:p w14:paraId="10AD40C8"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The findings have important implications for our understanding of the relationship between income and parenting. The demonisation of poor parents that is prevalent in media and political rhetoric is unjustified. While there were significant differences in parenting by income group for most of the parenting measures these differences were small; </w:t>
      </w:r>
      <w:proofErr w:type="gramStart"/>
      <w:r w:rsidRPr="00141FBF">
        <w:rPr>
          <w:rFonts w:ascii="Arial" w:eastAsia="Times New Roman" w:hAnsi="Arial" w:cs="Arial"/>
          <w:sz w:val="24"/>
          <w:szCs w:val="24"/>
        </w:rPr>
        <w:t>the majority of</w:t>
      </w:r>
      <w:proofErr w:type="gramEnd"/>
      <w:r w:rsidRPr="00141FBF">
        <w:rPr>
          <w:rFonts w:ascii="Arial" w:eastAsia="Times New Roman" w:hAnsi="Arial" w:cs="Arial"/>
          <w:sz w:val="24"/>
          <w:szCs w:val="24"/>
        </w:rPr>
        <w:t xml:space="preserve"> parents regardless of income were more likely to report ‘ideal’ rather than ‘poor’ parenting. Furthermore, differences were not always negative. In identifying an income gradient for many parenting behaviours this work has raised important questions about the difference income can make to parenting across the full income distribution and suggests attention should not be concentrated on low-income parents only.</w:t>
      </w:r>
    </w:p>
    <w:p w14:paraId="619AFB91"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Acknowledgments</w:t>
      </w:r>
    </w:p>
    <w:p w14:paraId="11B1CB63"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 xml:space="preserve">This article draws on data from the Millennium Cohort Study. I am grateful to the Centre for Longitudinal Studies (CLS), for the use of these data and to the UK Data Service for making them available. The author bears sole responsibility for the analysis and interpretation of the data. I would like to extend my gratitude to the respondents of the survey also. I am grateful to Kitty Stewart, Lucinda Platt, Polina </w:t>
      </w:r>
      <w:proofErr w:type="spellStart"/>
      <w:r w:rsidRPr="00141FBF">
        <w:rPr>
          <w:rFonts w:ascii="Arial" w:eastAsia="Times New Roman" w:hAnsi="Arial" w:cs="Arial"/>
          <w:sz w:val="24"/>
          <w:szCs w:val="24"/>
        </w:rPr>
        <w:t>Obolenskaya</w:t>
      </w:r>
      <w:proofErr w:type="spellEnd"/>
      <w:r w:rsidRPr="00141FBF">
        <w:rPr>
          <w:rFonts w:ascii="Arial" w:eastAsia="Times New Roman" w:hAnsi="Arial" w:cs="Arial"/>
          <w:sz w:val="24"/>
          <w:szCs w:val="24"/>
        </w:rPr>
        <w:t xml:space="preserve">, Tania </w:t>
      </w:r>
      <w:proofErr w:type="spellStart"/>
      <w:r w:rsidRPr="00141FBF">
        <w:rPr>
          <w:rFonts w:ascii="Arial" w:eastAsia="Times New Roman" w:hAnsi="Arial" w:cs="Arial"/>
          <w:sz w:val="24"/>
          <w:szCs w:val="24"/>
        </w:rPr>
        <w:t>Burchardt</w:t>
      </w:r>
      <w:proofErr w:type="spellEnd"/>
      <w:r w:rsidRPr="00141FBF">
        <w:rPr>
          <w:rFonts w:ascii="Arial" w:eastAsia="Times New Roman" w:hAnsi="Arial" w:cs="Arial"/>
          <w:sz w:val="24"/>
          <w:szCs w:val="24"/>
        </w:rPr>
        <w:t xml:space="preserve">, Katharina Hecht, Tammy </w:t>
      </w:r>
      <w:proofErr w:type="gramStart"/>
      <w:r w:rsidRPr="00141FBF">
        <w:rPr>
          <w:rFonts w:ascii="Arial" w:eastAsia="Times New Roman" w:hAnsi="Arial" w:cs="Arial"/>
          <w:sz w:val="24"/>
          <w:szCs w:val="24"/>
        </w:rPr>
        <w:t>Campbell</w:t>
      </w:r>
      <w:proofErr w:type="gramEnd"/>
      <w:r w:rsidRPr="00141FBF">
        <w:rPr>
          <w:rFonts w:ascii="Arial" w:eastAsia="Times New Roman" w:hAnsi="Arial" w:cs="Arial"/>
          <w:sz w:val="24"/>
          <w:szCs w:val="24"/>
        </w:rPr>
        <w:t xml:space="preserve"> and Nina Zhang for reviewing early versions of the article. I would also like to thank three anonymous reviewers for their constructive feedback.</w:t>
      </w:r>
    </w:p>
    <w:p w14:paraId="6CD4430B" w14:textId="77777777" w:rsidR="00141FBF" w:rsidRPr="00141FBF" w:rsidRDefault="00141FBF" w:rsidP="00141FBF">
      <w:pPr>
        <w:spacing w:before="100" w:beforeAutospacing="1" w:after="100" w:afterAutospacing="1" w:line="240" w:lineRule="auto"/>
        <w:outlineLvl w:val="1"/>
        <w:rPr>
          <w:rFonts w:ascii="Arial" w:eastAsia="Times New Roman" w:hAnsi="Arial" w:cs="Arial"/>
          <w:color w:val="000000"/>
          <w:sz w:val="24"/>
          <w:szCs w:val="24"/>
        </w:rPr>
      </w:pPr>
      <w:r w:rsidRPr="00141FBF">
        <w:rPr>
          <w:rFonts w:ascii="Arial" w:eastAsia="Times New Roman" w:hAnsi="Arial" w:cs="Arial"/>
          <w:color w:val="000000"/>
          <w:sz w:val="24"/>
          <w:szCs w:val="24"/>
        </w:rPr>
        <w:t>Funding</w:t>
      </w:r>
    </w:p>
    <w:p w14:paraId="261CF209" w14:textId="77777777" w:rsidR="00141FBF" w:rsidRPr="00141FBF" w:rsidRDefault="00141FBF" w:rsidP="00141FBF">
      <w:pPr>
        <w:spacing w:line="240" w:lineRule="auto"/>
        <w:rPr>
          <w:rFonts w:ascii="Arial" w:eastAsia="Times New Roman" w:hAnsi="Arial" w:cs="Arial"/>
          <w:sz w:val="24"/>
          <w:szCs w:val="24"/>
        </w:rPr>
      </w:pPr>
      <w:r w:rsidRPr="00141FBF">
        <w:rPr>
          <w:rFonts w:ascii="Arial" w:eastAsia="Times New Roman" w:hAnsi="Arial" w:cs="Arial"/>
          <w:sz w:val="24"/>
          <w:szCs w:val="24"/>
        </w:rPr>
        <w:t>The author disclosed receipt of the following financial support for the research, authorship and/or publication of this article: this research was funded by the Economic and Social Research Council [grant number ES/J500070/1].</w:t>
      </w:r>
    </w:p>
    <w:p w14:paraId="3F7E129E" w14:textId="77777777" w:rsidR="00141FBF" w:rsidRPr="00141FBF" w:rsidRDefault="00141FBF" w:rsidP="00141FBF">
      <w:pPr>
        <w:rPr>
          <w:rFonts w:ascii="Arial" w:hAnsi="Arial" w:cs="Arial"/>
          <w:sz w:val="24"/>
          <w:szCs w:val="24"/>
        </w:rPr>
      </w:pPr>
    </w:p>
    <w:p w14:paraId="7EEDE873" w14:textId="77777777" w:rsidR="00141FBF" w:rsidRPr="00141FBF" w:rsidRDefault="00141FBF">
      <w:pPr>
        <w:rPr>
          <w:rFonts w:ascii="Arial" w:hAnsi="Arial" w:cs="Arial"/>
          <w:sz w:val="24"/>
          <w:szCs w:val="24"/>
        </w:rPr>
      </w:pPr>
    </w:p>
    <w:sectPr w:rsidR="00141FBF" w:rsidRPr="00141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D11B0"/>
    <w:rsid w:val="000D2EA5"/>
    <w:rsid w:val="00141FBF"/>
    <w:rsid w:val="0017345E"/>
    <w:rsid w:val="00210E57"/>
    <w:rsid w:val="00341CC9"/>
    <w:rsid w:val="005545C6"/>
    <w:rsid w:val="005C49B4"/>
    <w:rsid w:val="00614521"/>
    <w:rsid w:val="006A2BE4"/>
    <w:rsid w:val="007921DA"/>
    <w:rsid w:val="007C7B8F"/>
    <w:rsid w:val="007D11B0"/>
    <w:rsid w:val="00983E5B"/>
    <w:rsid w:val="00B331ED"/>
    <w:rsid w:val="00BA4BA6"/>
    <w:rsid w:val="00D371E8"/>
    <w:rsid w:val="00D42A19"/>
    <w:rsid w:val="00FF50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2FB3B"/>
  <w15:docId w15:val="{FF475B21-4ED8-4407-85AD-D86A80635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45C6"/>
    <w:rPr>
      <w:color w:val="0563C1" w:themeColor="hyperlink"/>
      <w:u w:val="single"/>
    </w:rPr>
  </w:style>
  <w:style w:type="character" w:styleId="UnresolvedMention">
    <w:name w:val="Unresolved Mention"/>
    <w:basedOn w:val="DefaultParagraphFont"/>
    <w:uiPriority w:val="99"/>
    <w:semiHidden/>
    <w:unhideWhenUsed/>
    <w:rsid w:val="005545C6"/>
    <w:rPr>
      <w:color w:val="605E5C"/>
      <w:shd w:val="clear" w:color="auto" w:fill="E1DFDD"/>
    </w:rPr>
  </w:style>
  <w:style w:type="table" w:styleId="TableGrid">
    <w:name w:val="Table Grid"/>
    <w:basedOn w:val="TableNormal"/>
    <w:uiPriority w:val="39"/>
    <w:rsid w:val="00983E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journals.sagepub.com/doi/full/10.1177/0038038520939397" TargetMode="External"/><Relationship Id="rId21" Type="http://schemas.openxmlformats.org/officeDocument/2006/relationships/hyperlink" Target="https://journals.sagepub.com/doi/full/10.1177/0038038520939397" TargetMode="External"/><Relationship Id="rId42" Type="http://schemas.openxmlformats.org/officeDocument/2006/relationships/hyperlink" Target="https://journals.sagepub.com/doi/full/10.1177/0038038520939397" TargetMode="External"/><Relationship Id="rId47" Type="http://schemas.openxmlformats.org/officeDocument/2006/relationships/hyperlink" Target="https://journals.sagepub.com/doi/full/10.1177/0038038520939397" TargetMode="External"/><Relationship Id="rId63" Type="http://schemas.openxmlformats.org/officeDocument/2006/relationships/hyperlink" Target="https://journals.sagepub.com/doi/full/10.1177/0038038520939397" TargetMode="External"/><Relationship Id="rId68" Type="http://schemas.openxmlformats.org/officeDocument/2006/relationships/hyperlink" Target="https://journals.sagepub.com/doi/full/10.1177/0038038520939397" TargetMode="External"/><Relationship Id="rId84" Type="http://schemas.openxmlformats.org/officeDocument/2006/relationships/hyperlink" Target="https://journals.sagepub.com/doi/full/10.1177/0038038520939397" TargetMode="External"/><Relationship Id="rId89" Type="http://schemas.openxmlformats.org/officeDocument/2006/relationships/hyperlink" Target="https://journals.sagepub.com/doi/full/10.1177/0038038520939397" TargetMode="External"/><Relationship Id="rId16" Type="http://schemas.openxmlformats.org/officeDocument/2006/relationships/hyperlink" Target="https://journals.sagepub.com/doi/full/10.1177/0038038520939397" TargetMode="External"/><Relationship Id="rId11" Type="http://schemas.openxmlformats.org/officeDocument/2006/relationships/hyperlink" Target="https://journals.sagepub.com/doi/full/10.1177/0038038520939397" TargetMode="External"/><Relationship Id="rId32" Type="http://schemas.openxmlformats.org/officeDocument/2006/relationships/hyperlink" Target="https://journals.sagepub.com/doi/full/10.1177/0038038520939397" TargetMode="External"/><Relationship Id="rId37" Type="http://schemas.openxmlformats.org/officeDocument/2006/relationships/hyperlink" Target="https://journals.sagepub.com/doi/full/10.1177/0038038520939397" TargetMode="External"/><Relationship Id="rId53" Type="http://schemas.openxmlformats.org/officeDocument/2006/relationships/hyperlink" Target="https://journals.sagepub.com/doi/full/10.1177/0038038520939397" TargetMode="External"/><Relationship Id="rId58" Type="http://schemas.openxmlformats.org/officeDocument/2006/relationships/hyperlink" Target="https://journals.sagepub.com/doi/full/10.1177/0038038520939397" TargetMode="External"/><Relationship Id="rId74" Type="http://schemas.openxmlformats.org/officeDocument/2006/relationships/hyperlink" Target="https://journals.sagepub.com/doi/full/10.1177/0038038520939397" TargetMode="External"/><Relationship Id="rId79" Type="http://schemas.openxmlformats.org/officeDocument/2006/relationships/image" Target="media/image3.jpeg"/><Relationship Id="rId102" Type="http://schemas.openxmlformats.org/officeDocument/2006/relationships/fontTable" Target="fontTable.xml"/><Relationship Id="rId5" Type="http://schemas.openxmlformats.org/officeDocument/2006/relationships/hyperlink" Target="https://publications.parliament.uk/pa/cm201719/cmselect/cmsctech/506/50607.htm" TargetMode="External"/><Relationship Id="rId90" Type="http://schemas.openxmlformats.org/officeDocument/2006/relationships/hyperlink" Target="https://journals.sagepub.com/doi/full/10.1177/0038038520939397" TargetMode="External"/><Relationship Id="rId95" Type="http://schemas.openxmlformats.org/officeDocument/2006/relationships/hyperlink" Target="https://journals.sagepub.com/doi/full/10.1177/0038038520939397" TargetMode="External"/><Relationship Id="rId22" Type="http://schemas.openxmlformats.org/officeDocument/2006/relationships/hyperlink" Target="https://journals.sagepub.com/doi/full/10.1177/0038038520939397" TargetMode="External"/><Relationship Id="rId27" Type="http://schemas.openxmlformats.org/officeDocument/2006/relationships/hyperlink" Target="https://journals.sagepub.com/doi/full/10.1177/0038038520939397" TargetMode="External"/><Relationship Id="rId43" Type="http://schemas.openxmlformats.org/officeDocument/2006/relationships/hyperlink" Target="https://journals.sagepub.com/doi/full/10.1177/0038038520939397" TargetMode="External"/><Relationship Id="rId48" Type="http://schemas.openxmlformats.org/officeDocument/2006/relationships/hyperlink" Target="https://journals.sagepub.com/doi/full/10.1177/0038038520939397" TargetMode="External"/><Relationship Id="rId64" Type="http://schemas.openxmlformats.org/officeDocument/2006/relationships/hyperlink" Target="https://journals.sagepub.com/doi/full/10.1177/0038038520939397" TargetMode="External"/><Relationship Id="rId69" Type="http://schemas.openxmlformats.org/officeDocument/2006/relationships/hyperlink" Target="https://journals.sagepub.com/doi/full/10.1177/0038038520939397" TargetMode="External"/><Relationship Id="rId80" Type="http://schemas.openxmlformats.org/officeDocument/2006/relationships/hyperlink" Target="https://journals.sagepub.com/doi/full/10.1177/0038038520939397" TargetMode="External"/><Relationship Id="rId85" Type="http://schemas.openxmlformats.org/officeDocument/2006/relationships/image" Target="media/image6.jpeg"/><Relationship Id="rId12" Type="http://schemas.openxmlformats.org/officeDocument/2006/relationships/hyperlink" Target="https://journals.sagepub.com/doi/full/10.1177/0038038520939397" TargetMode="External"/><Relationship Id="rId17" Type="http://schemas.openxmlformats.org/officeDocument/2006/relationships/hyperlink" Target="https://journals.sagepub.com/doi/full/10.1177/0038038520939397" TargetMode="External"/><Relationship Id="rId25" Type="http://schemas.openxmlformats.org/officeDocument/2006/relationships/hyperlink" Target="https://journals.sagepub.com/doi/full/10.1177/0038038520939397" TargetMode="External"/><Relationship Id="rId33" Type="http://schemas.openxmlformats.org/officeDocument/2006/relationships/hyperlink" Target="https://journals.sagepub.com/doi/full/10.1177/0038038520939397" TargetMode="External"/><Relationship Id="rId38" Type="http://schemas.openxmlformats.org/officeDocument/2006/relationships/hyperlink" Target="https://journals.sagepub.com/doi/full/10.1177/0038038520939397" TargetMode="External"/><Relationship Id="rId46" Type="http://schemas.openxmlformats.org/officeDocument/2006/relationships/hyperlink" Target="https://journals.sagepub.com/doi/full/10.1177/0038038520939397" TargetMode="External"/><Relationship Id="rId59" Type="http://schemas.openxmlformats.org/officeDocument/2006/relationships/hyperlink" Target="https://journals.sagepub.com/doi/full/10.1177/0038038520939397" TargetMode="External"/><Relationship Id="rId67" Type="http://schemas.openxmlformats.org/officeDocument/2006/relationships/hyperlink" Target="https://journals.sagepub.com/doi/full/10.1177/0038038520939397" TargetMode="External"/><Relationship Id="rId103" Type="http://schemas.openxmlformats.org/officeDocument/2006/relationships/theme" Target="theme/theme1.xml"/><Relationship Id="rId20" Type="http://schemas.openxmlformats.org/officeDocument/2006/relationships/hyperlink" Target="https://journals.sagepub.com/doi/full/10.1177/0038038520939397" TargetMode="External"/><Relationship Id="rId41" Type="http://schemas.openxmlformats.org/officeDocument/2006/relationships/hyperlink" Target="https://journals.sagepub.com/doi/full/10.1177/0038038520939397" TargetMode="External"/><Relationship Id="rId54" Type="http://schemas.openxmlformats.org/officeDocument/2006/relationships/hyperlink" Target="https://journals.sagepub.com/doi/full/10.1177/0038038520939397" TargetMode="External"/><Relationship Id="rId62" Type="http://schemas.openxmlformats.org/officeDocument/2006/relationships/hyperlink" Target="https://journals.sagepub.com/doi/full/10.1177/0038038520939397" TargetMode="External"/><Relationship Id="rId70" Type="http://schemas.openxmlformats.org/officeDocument/2006/relationships/hyperlink" Target="https://journals.sagepub.com/doi/full/10.1177/0038038520939397" TargetMode="External"/><Relationship Id="rId75" Type="http://schemas.openxmlformats.org/officeDocument/2006/relationships/image" Target="media/image1.jpeg"/><Relationship Id="rId83" Type="http://schemas.openxmlformats.org/officeDocument/2006/relationships/image" Target="media/image5.jpeg"/><Relationship Id="rId88" Type="http://schemas.openxmlformats.org/officeDocument/2006/relationships/hyperlink" Target="https://journals.sagepub.com/doi/full/10.1177/0038038520939397" TargetMode="External"/><Relationship Id="rId91" Type="http://schemas.openxmlformats.org/officeDocument/2006/relationships/hyperlink" Target="https://journals.sagepub.com/doi/full/10.1177/0038038520939397" TargetMode="External"/><Relationship Id="rId96" Type="http://schemas.openxmlformats.org/officeDocument/2006/relationships/hyperlink" Target="https://journals.sagepub.com/doi/full/10.1177/0038038520939397" TargetMode="External"/><Relationship Id="rId1" Type="http://schemas.openxmlformats.org/officeDocument/2006/relationships/customXml" Target="../customXml/item1.xml"/><Relationship Id="rId6" Type="http://schemas.openxmlformats.org/officeDocument/2006/relationships/hyperlink" Target="https://www.actionforchildren.org.uk/our-work-and-impact/policy-work-campaigns-and-research/policy-reports/barriers-to-accessing-early-years-services-for-children/#:~:text=The%20most%20common%20barriers%20to,on%20themselves%20or%20their%20child" TargetMode="External"/><Relationship Id="rId15" Type="http://schemas.openxmlformats.org/officeDocument/2006/relationships/hyperlink" Target="https://journals.sagepub.com/doi/full/10.1177/0038038520939397" TargetMode="External"/><Relationship Id="rId23" Type="http://schemas.openxmlformats.org/officeDocument/2006/relationships/hyperlink" Target="https://journals.sagepub.com/doi/full/10.1177/0038038520939397" TargetMode="External"/><Relationship Id="rId28" Type="http://schemas.openxmlformats.org/officeDocument/2006/relationships/hyperlink" Target="https://journals.sagepub.com/doi/full/10.1177/0038038520939397" TargetMode="External"/><Relationship Id="rId36" Type="http://schemas.openxmlformats.org/officeDocument/2006/relationships/hyperlink" Target="https://journals.sagepub.com/doi/full/10.1177/0038038520939397" TargetMode="External"/><Relationship Id="rId49" Type="http://schemas.openxmlformats.org/officeDocument/2006/relationships/hyperlink" Target="https://journals.sagepub.com/doi/full/10.1177/0038038520939397" TargetMode="External"/><Relationship Id="rId57" Type="http://schemas.openxmlformats.org/officeDocument/2006/relationships/hyperlink" Target="https://journals.sagepub.com/doi/full/10.1177/0038038520939397" TargetMode="External"/><Relationship Id="rId10" Type="http://schemas.openxmlformats.org/officeDocument/2006/relationships/hyperlink" Target="https://journals.sagepub.com/doi/full/10.1177/0038038520939397" TargetMode="External"/><Relationship Id="rId31" Type="http://schemas.openxmlformats.org/officeDocument/2006/relationships/hyperlink" Target="https://journals.sagepub.com/doi/full/10.1177/0038038520939397" TargetMode="External"/><Relationship Id="rId44" Type="http://schemas.openxmlformats.org/officeDocument/2006/relationships/hyperlink" Target="https://journals.sagepub.com/doi/full/10.1177/0038038520939397" TargetMode="External"/><Relationship Id="rId52" Type="http://schemas.openxmlformats.org/officeDocument/2006/relationships/hyperlink" Target="https://journals.sagepub.com/doi/full/10.1177/0038038520939397" TargetMode="External"/><Relationship Id="rId60" Type="http://schemas.openxmlformats.org/officeDocument/2006/relationships/hyperlink" Target="https://journals.sagepub.com/doi/full/10.1177/0038038520939397" TargetMode="External"/><Relationship Id="rId65" Type="http://schemas.openxmlformats.org/officeDocument/2006/relationships/hyperlink" Target="https://journals.sagepub.com/doi/full/10.1177/0038038520939397" TargetMode="External"/><Relationship Id="rId73" Type="http://schemas.openxmlformats.org/officeDocument/2006/relationships/hyperlink" Target="https://journals.sagepub.com/doi/full/10.1177/0038038520939397" TargetMode="External"/><Relationship Id="rId78" Type="http://schemas.openxmlformats.org/officeDocument/2006/relationships/hyperlink" Target="https://journals.sagepub.com/doi/full/10.1177/0038038520939397" TargetMode="External"/><Relationship Id="rId81" Type="http://schemas.openxmlformats.org/officeDocument/2006/relationships/image" Target="media/image4.jpeg"/><Relationship Id="rId86" Type="http://schemas.openxmlformats.org/officeDocument/2006/relationships/hyperlink" Target="https://journals.sagepub.com/doi/full/10.1177/0038038520939397" TargetMode="External"/><Relationship Id="rId94" Type="http://schemas.openxmlformats.org/officeDocument/2006/relationships/hyperlink" Target="https://journals.sagepub.com/doi/full/10.1177/0038038520939397" TargetMode="External"/><Relationship Id="rId99" Type="http://schemas.openxmlformats.org/officeDocument/2006/relationships/hyperlink" Target="https://journals.sagepub.com/doi/full/10.1177/0038038520939397" TargetMode="External"/><Relationship Id="rId101" Type="http://schemas.openxmlformats.org/officeDocument/2006/relationships/hyperlink" Target="https://journals.sagepub.com/doi/full/10.1177/0038038520939397" TargetMode="External"/><Relationship Id="rId4" Type="http://schemas.openxmlformats.org/officeDocument/2006/relationships/webSettings" Target="webSettings.xml"/><Relationship Id="rId9" Type="http://schemas.openxmlformats.org/officeDocument/2006/relationships/hyperlink" Target="https://doi.org/10.1177/0038038520939397" TargetMode="External"/><Relationship Id="rId13" Type="http://schemas.openxmlformats.org/officeDocument/2006/relationships/hyperlink" Target="https://journals.sagepub.com/doi/full/10.1177/0038038520939397" TargetMode="External"/><Relationship Id="rId18" Type="http://schemas.openxmlformats.org/officeDocument/2006/relationships/hyperlink" Target="https://journals.sagepub.com/doi/full/10.1177/0038038520939397" TargetMode="External"/><Relationship Id="rId39" Type="http://schemas.openxmlformats.org/officeDocument/2006/relationships/hyperlink" Target="https://journals.sagepub.com/doi/full/10.1177/0038038520939397" TargetMode="External"/><Relationship Id="rId34" Type="http://schemas.openxmlformats.org/officeDocument/2006/relationships/hyperlink" Target="https://journals.sagepub.com/doi/full/10.1177/0038038520939397" TargetMode="External"/><Relationship Id="rId50" Type="http://schemas.openxmlformats.org/officeDocument/2006/relationships/hyperlink" Target="https://journals.sagepub.com/doi/full/10.1177/0038038520939397" TargetMode="External"/><Relationship Id="rId55" Type="http://schemas.openxmlformats.org/officeDocument/2006/relationships/hyperlink" Target="https://journals.sagepub.com/doi/full/10.1177/0038038520939397" TargetMode="External"/><Relationship Id="rId76" Type="http://schemas.openxmlformats.org/officeDocument/2006/relationships/hyperlink" Target="https://journals.sagepub.com/doi/full/10.1177/0038038520939397" TargetMode="External"/><Relationship Id="rId97" Type="http://schemas.openxmlformats.org/officeDocument/2006/relationships/hyperlink" Target="https://journals.sagepub.com/doi/full/10.1177/0038038520939397" TargetMode="External"/><Relationship Id="rId7" Type="http://schemas.openxmlformats.org/officeDocument/2006/relationships/hyperlink" Target="https://publichealthy.co.uk/good-intentions-but-the-right-approach-the-case-of-aces/" TargetMode="External"/><Relationship Id="rId71" Type="http://schemas.openxmlformats.org/officeDocument/2006/relationships/hyperlink" Target="https://journals.sagepub.com/doi/full/10.1177/0038038520939397" TargetMode="External"/><Relationship Id="rId92" Type="http://schemas.openxmlformats.org/officeDocument/2006/relationships/hyperlink" Target="https://journals.sagepub.com/doi/full/10.1177/0038038520939397" TargetMode="External"/><Relationship Id="rId2" Type="http://schemas.openxmlformats.org/officeDocument/2006/relationships/styles" Target="styles.xml"/><Relationship Id="rId29" Type="http://schemas.openxmlformats.org/officeDocument/2006/relationships/hyperlink" Target="https://journals.sagepub.com/doi/full/10.1177/0038038520939397" TargetMode="External"/><Relationship Id="rId24" Type="http://schemas.openxmlformats.org/officeDocument/2006/relationships/hyperlink" Target="https://journals.sagepub.com/doi/full/10.1177/0038038520939397" TargetMode="External"/><Relationship Id="rId40" Type="http://schemas.openxmlformats.org/officeDocument/2006/relationships/hyperlink" Target="https://journals.sagepub.com/doi/full/10.1177/0038038520939397" TargetMode="External"/><Relationship Id="rId45" Type="http://schemas.openxmlformats.org/officeDocument/2006/relationships/hyperlink" Target="https://journals.sagepub.com/doi/full/10.1177/0038038520939397" TargetMode="External"/><Relationship Id="rId66" Type="http://schemas.openxmlformats.org/officeDocument/2006/relationships/hyperlink" Target="https://journals.sagepub.com/doi/full/10.1177/0038038520939397" TargetMode="External"/><Relationship Id="rId87" Type="http://schemas.openxmlformats.org/officeDocument/2006/relationships/hyperlink" Target="https://journals.sagepub.com/doi/full/10.1177/0038038520939397" TargetMode="External"/><Relationship Id="rId61" Type="http://schemas.openxmlformats.org/officeDocument/2006/relationships/hyperlink" Target="https://journals.sagepub.com/doi/full/10.1177/0038038520939397" TargetMode="External"/><Relationship Id="rId82" Type="http://schemas.openxmlformats.org/officeDocument/2006/relationships/hyperlink" Target="https://journals.sagepub.com/doi/full/10.1177/0038038520939397" TargetMode="External"/><Relationship Id="rId19" Type="http://schemas.openxmlformats.org/officeDocument/2006/relationships/hyperlink" Target="https://journals.sagepub.com/doi/full/10.1177/0038038520939397" TargetMode="External"/><Relationship Id="rId14" Type="http://schemas.openxmlformats.org/officeDocument/2006/relationships/hyperlink" Target="https://journals.sagepub.com/doi/full/10.1177/0038038520939397" TargetMode="External"/><Relationship Id="rId30" Type="http://schemas.openxmlformats.org/officeDocument/2006/relationships/hyperlink" Target="https://journals.sagepub.com/doi/full/10.1177/0038038520939397" TargetMode="External"/><Relationship Id="rId35" Type="http://schemas.openxmlformats.org/officeDocument/2006/relationships/hyperlink" Target="https://journals.sagepub.com/doi/full/10.1177/0038038520939397" TargetMode="External"/><Relationship Id="rId56" Type="http://schemas.openxmlformats.org/officeDocument/2006/relationships/hyperlink" Target="https://journals.sagepub.com/doi/full/10.1177/0038038520939397" TargetMode="External"/><Relationship Id="rId77" Type="http://schemas.openxmlformats.org/officeDocument/2006/relationships/image" Target="media/image2.jpeg"/><Relationship Id="rId100" Type="http://schemas.openxmlformats.org/officeDocument/2006/relationships/hyperlink" Target="https://journals.sagepub.com/doi/full/10.1177/0038038520939397" TargetMode="External"/><Relationship Id="rId8" Type="http://schemas.openxmlformats.org/officeDocument/2006/relationships/hyperlink" Target="https://www.childcomwales.org.uk/wp-content/uploads/2018/10/ACEs-Position-Paper-CCFW-Sally-Holland.pdf" TargetMode="External"/><Relationship Id="rId51" Type="http://schemas.openxmlformats.org/officeDocument/2006/relationships/hyperlink" Target="https://journals.sagepub.com/doi/full/10.1177/0038038520939397" TargetMode="External"/><Relationship Id="rId72" Type="http://schemas.openxmlformats.org/officeDocument/2006/relationships/hyperlink" Target="https://journals.sagepub.com/doi/full/10.1177/0038038520939397" TargetMode="External"/><Relationship Id="rId93" Type="http://schemas.openxmlformats.org/officeDocument/2006/relationships/hyperlink" Target="https://journals.sagepub.com/doi/full/10.1177/0038038520939397" TargetMode="External"/><Relationship Id="rId98" Type="http://schemas.openxmlformats.org/officeDocument/2006/relationships/hyperlink" Target="https://journals.sagepub.com/doi/full/10.1177/003803852093939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BEEABE-603C-46FC-B78B-60C4F4F29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8630</Words>
  <Characters>49191</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57706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Pitman</dc:creator>
  <cp:keywords/>
  <dc:description/>
  <cp:lastModifiedBy>Jessica Pitman</cp:lastModifiedBy>
  <cp:revision>2</cp:revision>
  <dcterms:created xsi:type="dcterms:W3CDTF">2023-02-10T12:59:00Z</dcterms:created>
  <dcterms:modified xsi:type="dcterms:W3CDTF">2023-02-10T12:59:00Z</dcterms:modified>
</cp:coreProperties>
</file>