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4C1869" w14:textId="77777777" w:rsidR="00C44F0B" w:rsidRDefault="00C44F0B">
      <w:pPr>
        <w:rPr>
          <w:b/>
          <w:bCs/>
        </w:rPr>
      </w:pPr>
    </w:p>
    <w:p w14:paraId="005AE947" w14:textId="77777777" w:rsidR="00985367" w:rsidRDefault="00985367" w:rsidP="00985367">
      <w:pPr>
        <w:jc w:val="center"/>
        <w:rPr>
          <w:rFonts w:asciiTheme="majorHAnsi" w:eastAsia="Times New Roman" w:hAnsiTheme="majorHAnsi" w:cstheme="majorHAnsi"/>
          <w:b/>
          <w:bCs/>
          <w:sz w:val="40"/>
          <w:szCs w:val="40"/>
          <w:shd w:val="clear" w:color="auto" w:fill="FFFFFF"/>
          <w:lang w:eastAsia="en-GB"/>
        </w:rPr>
      </w:pPr>
    </w:p>
    <w:p w14:paraId="2800FC4D" w14:textId="77777777" w:rsidR="00985367" w:rsidRDefault="00985367" w:rsidP="00985367">
      <w:pPr>
        <w:jc w:val="center"/>
        <w:rPr>
          <w:rFonts w:asciiTheme="majorHAnsi" w:eastAsia="Times New Roman" w:hAnsiTheme="majorHAnsi" w:cstheme="majorHAnsi"/>
          <w:b/>
          <w:bCs/>
          <w:sz w:val="40"/>
          <w:szCs w:val="40"/>
          <w:shd w:val="clear" w:color="auto" w:fill="FFFFFF"/>
          <w:lang w:eastAsia="en-GB"/>
        </w:rPr>
      </w:pPr>
    </w:p>
    <w:p w14:paraId="33252E71" w14:textId="77777777" w:rsidR="00985367" w:rsidRDefault="00985367" w:rsidP="00985367">
      <w:pPr>
        <w:jc w:val="center"/>
        <w:rPr>
          <w:rFonts w:asciiTheme="majorHAnsi" w:eastAsia="Times New Roman" w:hAnsiTheme="majorHAnsi" w:cstheme="majorHAnsi"/>
          <w:b/>
          <w:bCs/>
          <w:sz w:val="40"/>
          <w:szCs w:val="40"/>
          <w:shd w:val="clear" w:color="auto" w:fill="FFFFFF"/>
          <w:lang w:eastAsia="en-GB"/>
        </w:rPr>
      </w:pPr>
    </w:p>
    <w:p w14:paraId="4BE0B922" w14:textId="77777777" w:rsidR="00985367" w:rsidRPr="00BA05BD" w:rsidRDefault="00985367" w:rsidP="00985367">
      <w:pPr>
        <w:jc w:val="center"/>
        <w:rPr>
          <w:rFonts w:asciiTheme="majorHAnsi" w:eastAsia="Times New Roman" w:hAnsiTheme="majorHAnsi" w:cstheme="majorHAnsi"/>
          <w:b/>
          <w:bCs/>
          <w:sz w:val="40"/>
          <w:szCs w:val="40"/>
          <w:shd w:val="clear" w:color="auto" w:fill="FFFFFF"/>
          <w:lang w:eastAsia="en-GB"/>
        </w:rPr>
      </w:pPr>
    </w:p>
    <w:p w14:paraId="35A2C355" w14:textId="11396944" w:rsidR="00196DB1" w:rsidRPr="00BA05BD" w:rsidRDefault="00196DB1" w:rsidP="00BA05BD">
      <w:pPr>
        <w:jc w:val="center"/>
        <w:rPr>
          <w:rFonts w:asciiTheme="majorHAnsi" w:eastAsia="Times New Roman" w:hAnsiTheme="majorHAnsi" w:cstheme="majorHAnsi"/>
          <w:b/>
          <w:bCs/>
          <w:sz w:val="40"/>
          <w:szCs w:val="40"/>
          <w:shd w:val="clear" w:color="auto" w:fill="FFFFFF"/>
          <w:lang w:eastAsia="en-GB"/>
        </w:rPr>
      </w:pPr>
      <w:r w:rsidRPr="00196DB1">
        <w:rPr>
          <w:rFonts w:asciiTheme="majorHAnsi" w:eastAsia="Times New Roman" w:hAnsiTheme="majorHAnsi" w:cstheme="majorHAnsi"/>
          <w:b/>
          <w:bCs/>
          <w:sz w:val="40"/>
          <w:szCs w:val="40"/>
          <w:shd w:val="clear" w:color="auto" w:fill="FFFFFF"/>
          <w:lang w:eastAsia="en-GB"/>
        </w:rPr>
        <w:t>How effective is the implementation of cold calling as an intervention strategy to address the issue of lack of student participation in raising their hands when asked questions in the classroom?</w:t>
      </w:r>
    </w:p>
    <w:p w14:paraId="3F67431B" w14:textId="77777777" w:rsidR="00BA05BD" w:rsidRPr="00196DB1" w:rsidRDefault="00BA05BD" w:rsidP="00985367">
      <w:pPr>
        <w:jc w:val="center"/>
        <w:rPr>
          <w:rFonts w:asciiTheme="majorHAnsi" w:eastAsia="Times New Roman" w:hAnsiTheme="majorHAnsi" w:cstheme="majorHAnsi"/>
          <w:b/>
          <w:bCs/>
          <w:sz w:val="52"/>
          <w:szCs w:val="52"/>
          <w:lang w:eastAsia="en-GB"/>
        </w:rPr>
      </w:pPr>
    </w:p>
    <w:p w14:paraId="42527A73" w14:textId="77777777" w:rsidR="00C44F0B" w:rsidRPr="00985367" w:rsidRDefault="00C44F0B" w:rsidP="00985367">
      <w:pPr>
        <w:jc w:val="center"/>
        <w:rPr>
          <w:rFonts w:asciiTheme="majorHAnsi" w:hAnsiTheme="majorHAnsi" w:cstheme="majorHAnsi"/>
          <w:b/>
          <w:bCs/>
        </w:rPr>
      </w:pPr>
    </w:p>
    <w:p w14:paraId="1CA1616A" w14:textId="77777777" w:rsidR="00196DB1" w:rsidRPr="00985367" w:rsidRDefault="00196DB1" w:rsidP="00985367">
      <w:pPr>
        <w:jc w:val="center"/>
        <w:rPr>
          <w:rFonts w:asciiTheme="majorHAnsi" w:hAnsiTheme="majorHAnsi" w:cstheme="majorHAnsi"/>
          <w:b/>
          <w:bCs/>
        </w:rPr>
      </w:pPr>
    </w:p>
    <w:p w14:paraId="35630CE9" w14:textId="77777777" w:rsidR="00196DB1" w:rsidRPr="00985367" w:rsidRDefault="00196DB1" w:rsidP="00985367">
      <w:pPr>
        <w:jc w:val="center"/>
        <w:rPr>
          <w:rFonts w:asciiTheme="majorHAnsi" w:hAnsiTheme="majorHAnsi" w:cstheme="majorHAnsi"/>
          <w:b/>
          <w:bCs/>
        </w:rPr>
      </w:pPr>
    </w:p>
    <w:p w14:paraId="125CF946" w14:textId="02495282" w:rsidR="00196DB1" w:rsidRPr="00985367" w:rsidRDefault="00196DB1" w:rsidP="00985367">
      <w:pPr>
        <w:jc w:val="center"/>
        <w:rPr>
          <w:rFonts w:asciiTheme="majorHAnsi" w:hAnsiTheme="majorHAnsi" w:cstheme="majorHAnsi"/>
          <w:b/>
          <w:bCs/>
          <w:sz w:val="32"/>
          <w:szCs w:val="32"/>
        </w:rPr>
      </w:pPr>
      <w:r w:rsidRPr="00985367">
        <w:rPr>
          <w:rFonts w:asciiTheme="majorHAnsi" w:hAnsiTheme="majorHAnsi" w:cstheme="majorHAnsi"/>
          <w:b/>
          <w:bCs/>
          <w:sz w:val="32"/>
          <w:szCs w:val="32"/>
        </w:rPr>
        <w:t>Student Number:</w:t>
      </w:r>
      <w:r w:rsidR="00985367" w:rsidRPr="00985367">
        <w:rPr>
          <w:rFonts w:asciiTheme="majorHAnsi" w:hAnsiTheme="majorHAnsi" w:cstheme="majorHAnsi"/>
          <w:b/>
          <w:bCs/>
          <w:sz w:val="32"/>
          <w:szCs w:val="32"/>
        </w:rPr>
        <w:t xml:space="preserve"> </w:t>
      </w:r>
      <w:r w:rsidR="00985367" w:rsidRPr="00985367">
        <w:rPr>
          <w:rFonts w:asciiTheme="majorHAnsi" w:hAnsiTheme="majorHAnsi" w:cstheme="majorHAnsi"/>
          <w:sz w:val="32"/>
          <w:szCs w:val="32"/>
        </w:rPr>
        <w:t>2205934</w:t>
      </w:r>
    </w:p>
    <w:p w14:paraId="2B6A2923" w14:textId="5EA28571" w:rsidR="00985367" w:rsidRPr="00985367" w:rsidRDefault="00985367" w:rsidP="00985367">
      <w:pPr>
        <w:jc w:val="center"/>
        <w:rPr>
          <w:rFonts w:asciiTheme="majorHAnsi" w:hAnsiTheme="majorHAnsi" w:cstheme="majorHAnsi"/>
          <w:b/>
          <w:bCs/>
          <w:sz w:val="32"/>
          <w:szCs w:val="32"/>
        </w:rPr>
      </w:pPr>
      <w:r w:rsidRPr="00985367">
        <w:rPr>
          <w:rFonts w:asciiTheme="majorHAnsi" w:hAnsiTheme="majorHAnsi" w:cstheme="majorHAnsi"/>
          <w:b/>
          <w:bCs/>
          <w:sz w:val="32"/>
          <w:szCs w:val="32"/>
        </w:rPr>
        <w:t xml:space="preserve">Name: </w:t>
      </w:r>
      <w:r w:rsidRPr="00985367">
        <w:rPr>
          <w:rFonts w:asciiTheme="majorHAnsi" w:hAnsiTheme="majorHAnsi" w:cstheme="majorHAnsi"/>
          <w:sz w:val="32"/>
          <w:szCs w:val="32"/>
        </w:rPr>
        <w:t>Courtney Payne</w:t>
      </w:r>
    </w:p>
    <w:p w14:paraId="3394E9AA" w14:textId="78C2B61B" w:rsidR="00985367" w:rsidRPr="002841D8" w:rsidRDefault="00985367" w:rsidP="00985367">
      <w:pPr>
        <w:jc w:val="center"/>
        <w:rPr>
          <w:rFonts w:asciiTheme="majorHAnsi" w:hAnsiTheme="majorHAnsi" w:cstheme="majorHAnsi"/>
          <w:sz w:val="32"/>
          <w:szCs w:val="32"/>
        </w:rPr>
      </w:pPr>
      <w:r w:rsidRPr="00985367">
        <w:rPr>
          <w:rFonts w:asciiTheme="majorHAnsi" w:hAnsiTheme="majorHAnsi" w:cstheme="majorHAnsi"/>
          <w:b/>
          <w:bCs/>
          <w:sz w:val="32"/>
          <w:szCs w:val="32"/>
        </w:rPr>
        <w:t>Word Count:</w:t>
      </w:r>
      <w:r w:rsidR="002841D8">
        <w:rPr>
          <w:rFonts w:asciiTheme="majorHAnsi" w:hAnsiTheme="majorHAnsi" w:cstheme="majorHAnsi"/>
          <w:b/>
          <w:bCs/>
          <w:sz w:val="32"/>
          <w:szCs w:val="32"/>
        </w:rPr>
        <w:t xml:space="preserve"> </w:t>
      </w:r>
      <w:r w:rsidR="002841D8" w:rsidRPr="002841D8">
        <w:rPr>
          <w:rFonts w:asciiTheme="majorHAnsi" w:hAnsiTheme="majorHAnsi" w:cstheme="majorHAnsi"/>
          <w:sz w:val="32"/>
          <w:szCs w:val="32"/>
        </w:rPr>
        <w:t>43</w:t>
      </w:r>
      <w:r w:rsidR="00D83BDB">
        <w:rPr>
          <w:rFonts w:asciiTheme="majorHAnsi" w:hAnsiTheme="majorHAnsi" w:cstheme="majorHAnsi"/>
          <w:sz w:val="32"/>
          <w:szCs w:val="32"/>
        </w:rPr>
        <w:t>62</w:t>
      </w:r>
    </w:p>
    <w:p w14:paraId="67717C2D" w14:textId="77777777" w:rsidR="00C44F0B" w:rsidRPr="00985367" w:rsidRDefault="00C44F0B" w:rsidP="00985367">
      <w:pPr>
        <w:jc w:val="center"/>
        <w:rPr>
          <w:b/>
          <w:bCs/>
          <w:sz w:val="32"/>
          <w:szCs w:val="32"/>
        </w:rPr>
      </w:pPr>
    </w:p>
    <w:p w14:paraId="5E96950A" w14:textId="77777777" w:rsidR="00C44F0B" w:rsidRDefault="00C44F0B">
      <w:pPr>
        <w:rPr>
          <w:b/>
          <w:bCs/>
        </w:rPr>
      </w:pPr>
    </w:p>
    <w:p w14:paraId="2D53F3C9" w14:textId="77777777" w:rsidR="00C44F0B" w:rsidRDefault="00C44F0B">
      <w:pPr>
        <w:rPr>
          <w:b/>
          <w:bCs/>
        </w:rPr>
      </w:pPr>
    </w:p>
    <w:p w14:paraId="341C63F2" w14:textId="77777777" w:rsidR="00C44F0B" w:rsidRDefault="00C44F0B">
      <w:pPr>
        <w:rPr>
          <w:b/>
          <w:bCs/>
        </w:rPr>
      </w:pPr>
    </w:p>
    <w:p w14:paraId="027C441E" w14:textId="77777777" w:rsidR="00C44F0B" w:rsidRDefault="00C44F0B">
      <w:pPr>
        <w:rPr>
          <w:b/>
          <w:bCs/>
        </w:rPr>
      </w:pPr>
    </w:p>
    <w:p w14:paraId="6B18C7B8" w14:textId="77777777" w:rsidR="00C44F0B" w:rsidRDefault="00C44F0B">
      <w:pPr>
        <w:rPr>
          <w:b/>
          <w:bCs/>
        </w:rPr>
      </w:pPr>
    </w:p>
    <w:p w14:paraId="58568B9B" w14:textId="77777777" w:rsidR="00C44F0B" w:rsidRDefault="00C44F0B">
      <w:pPr>
        <w:rPr>
          <w:b/>
          <w:bCs/>
        </w:rPr>
      </w:pPr>
    </w:p>
    <w:p w14:paraId="4A052FF7" w14:textId="77777777" w:rsidR="00C44F0B" w:rsidRDefault="00C44F0B">
      <w:pPr>
        <w:rPr>
          <w:b/>
          <w:bCs/>
        </w:rPr>
      </w:pPr>
    </w:p>
    <w:p w14:paraId="65A204E8" w14:textId="77777777" w:rsidR="00C44F0B" w:rsidRDefault="00C44F0B">
      <w:pPr>
        <w:rPr>
          <w:b/>
          <w:bCs/>
        </w:rPr>
      </w:pPr>
    </w:p>
    <w:p w14:paraId="76A9AB00" w14:textId="77777777" w:rsidR="00C44F0B" w:rsidRDefault="00C44F0B">
      <w:pPr>
        <w:rPr>
          <w:b/>
          <w:bCs/>
        </w:rPr>
      </w:pPr>
    </w:p>
    <w:p w14:paraId="79795B49" w14:textId="6FA82B55" w:rsidR="00BA05BD" w:rsidRDefault="00BA05BD" w:rsidP="00BA05BD">
      <w:pPr>
        <w:pStyle w:val="paragraph"/>
        <w:spacing w:before="0" w:beforeAutospacing="0" w:after="0" w:afterAutospacing="0"/>
        <w:jc w:val="center"/>
        <w:textAlignment w:val="baseline"/>
        <w:rPr>
          <w:rFonts w:ascii="Segoe UI" w:hAnsi="Segoe UI" w:cs="Segoe UI"/>
          <w:sz w:val="18"/>
          <w:szCs w:val="18"/>
        </w:rPr>
      </w:pPr>
      <w:r>
        <w:rPr>
          <w:rFonts w:asciiTheme="minorHAnsi" w:eastAsiaTheme="minorHAnsi" w:hAnsiTheme="minorHAnsi" w:cstheme="minorBidi"/>
          <w:b/>
          <w:bCs/>
          <w:noProof/>
          <w:lang w:eastAsia="en-US"/>
        </w:rPr>
        <w:drawing>
          <wp:inline distT="0" distB="0" distL="0" distR="0" wp14:anchorId="294C9192" wp14:editId="6A63F480">
            <wp:extent cx="3756270" cy="1936413"/>
            <wp:effectExtent l="0" t="0" r="0" b="0"/>
            <wp:docPr id="1" name="Picture 1" descr="A yellow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yellow and white logo&#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68970" cy="1942960"/>
                    </a:xfrm>
                    <a:prstGeom prst="rect">
                      <a:avLst/>
                    </a:prstGeom>
                    <a:noFill/>
                    <a:ln>
                      <a:noFill/>
                    </a:ln>
                  </pic:spPr>
                </pic:pic>
              </a:graphicData>
            </a:graphic>
          </wp:inline>
        </w:drawing>
      </w:r>
      <w:r>
        <w:rPr>
          <w:rStyle w:val="eop"/>
          <w:rFonts w:ascii="Calibri" w:hAnsi="Calibri" w:cs="Calibri"/>
        </w:rPr>
        <w:t> </w:t>
      </w:r>
    </w:p>
    <w:p w14:paraId="3FB00A23" w14:textId="77777777" w:rsidR="00BA05BD" w:rsidRDefault="00BA05BD" w:rsidP="00BA05BD">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rPr>
        <w:t> </w:t>
      </w:r>
    </w:p>
    <w:p w14:paraId="5F81BC0D" w14:textId="77777777" w:rsidR="00BA05BD" w:rsidRDefault="00BA05BD" w:rsidP="00BA05BD">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rPr>
        <w:t> </w:t>
      </w:r>
    </w:p>
    <w:p w14:paraId="1ACF6B65" w14:textId="77777777" w:rsidR="00C44F0B" w:rsidRDefault="00C44F0B">
      <w:pPr>
        <w:rPr>
          <w:b/>
          <w:bCs/>
        </w:rPr>
      </w:pPr>
    </w:p>
    <w:p w14:paraId="1B82F0A3" w14:textId="77777777" w:rsidR="00C44F0B" w:rsidRDefault="00C44F0B">
      <w:pPr>
        <w:rPr>
          <w:b/>
          <w:bCs/>
        </w:rPr>
      </w:pPr>
    </w:p>
    <w:p w14:paraId="559168A2" w14:textId="32CD52BE" w:rsidR="00C31B30" w:rsidRPr="00592932" w:rsidRDefault="008279F5">
      <w:pPr>
        <w:rPr>
          <w:b/>
          <w:bCs/>
        </w:rPr>
      </w:pPr>
      <w:r w:rsidRPr="00592932">
        <w:rPr>
          <w:b/>
          <w:bCs/>
        </w:rPr>
        <w:t xml:space="preserve">Aim Focus </w:t>
      </w:r>
    </w:p>
    <w:p w14:paraId="659D7458" w14:textId="77777777" w:rsidR="00AC7CDC" w:rsidRPr="00BF7F1C" w:rsidRDefault="00AC7CDC"/>
    <w:p w14:paraId="28DE84EF" w14:textId="59B6E160" w:rsidR="007D04D3" w:rsidRPr="006322F0" w:rsidRDefault="00AC7CDC" w:rsidP="00456203">
      <w:pPr>
        <w:spacing w:line="360" w:lineRule="auto"/>
        <w:rPr>
          <w:rFonts w:asciiTheme="majorHAnsi" w:eastAsia="Times New Roman" w:hAnsiTheme="majorHAnsi" w:cstheme="majorHAnsi"/>
          <w:sz w:val="22"/>
          <w:szCs w:val="22"/>
          <w:lang w:eastAsia="en-GB"/>
        </w:rPr>
      </w:pPr>
      <w:r w:rsidRPr="00F41B06">
        <w:rPr>
          <w:rFonts w:asciiTheme="majorHAnsi" w:hAnsiTheme="majorHAnsi" w:cstheme="majorHAnsi"/>
        </w:rPr>
        <w:t xml:space="preserve">The </w:t>
      </w:r>
      <w:r w:rsidR="00B555A2">
        <w:rPr>
          <w:rFonts w:asciiTheme="majorHAnsi" w:hAnsiTheme="majorHAnsi" w:cstheme="majorHAnsi"/>
        </w:rPr>
        <w:t xml:space="preserve">following research activity aims </w:t>
      </w:r>
      <w:r w:rsidR="004525D7" w:rsidRPr="006322F0">
        <w:rPr>
          <w:rFonts w:asciiTheme="majorHAnsi" w:hAnsiTheme="majorHAnsi" w:cstheme="majorHAnsi"/>
        </w:rPr>
        <w:t xml:space="preserve">to research </w:t>
      </w:r>
      <w:r w:rsidR="00BF7F1C" w:rsidRPr="006322F0">
        <w:rPr>
          <w:rFonts w:asciiTheme="majorHAnsi" w:hAnsiTheme="majorHAnsi" w:cstheme="majorHAnsi"/>
        </w:rPr>
        <w:t>h</w:t>
      </w:r>
      <w:r w:rsidR="00BF7F1C" w:rsidRPr="006322F0">
        <w:rPr>
          <w:rFonts w:asciiTheme="majorHAnsi" w:eastAsia="Times New Roman" w:hAnsiTheme="majorHAnsi" w:cstheme="majorHAnsi"/>
          <w:sz w:val="22"/>
          <w:szCs w:val="22"/>
          <w:lang w:eastAsia="en-GB"/>
        </w:rPr>
        <w:t>ow effective the implementation of cold calling is as an intervention strategy to address the issue of lack of student participation in raising their hands when asked questions in the classroom.  </w:t>
      </w:r>
      <w:r w:rsidR="00F22B2A" w:rsidRPr="006322F0">
        <w:rPr>
          <w:rFonts w:asciiTheme="majorHAnsi" w:eastAsia="Times New Roman" w:hAnsiTheme="majorHAnsi" w:cstheme="majorHAnsi"/>
          <w:sz w:val="22"/>
          <w:szCs w:val="22"/>
          <w:lang w:eastAsia="en-GB"/>
        </w:rPr>
        <w:t xml:space="preserve">This research study will take place within </w:t>
      </w:r>
      <w:r w:rsidR="008E7740" w:rsidRPr="006322F0">
        <w:rPr>
          <w:rFonts w:asciiTheme="majorHAnsi" w:eastAsia="Times New Roman" w:hAnsiTheme="majorHAnsi" w:cstheme="majorHAnsi"/>
          <w:sz w:val="22"/>
          <w:szCs w:val="22"/>
          <w:lang w:eastAsia="en-GB"/>
        </w:rPr>
        <w:t>a school</w:t>
      </w:r>
      <w:r w:rsidR="00591B51" w:rsidRPr="006322F0">
        <w:rPr>
          <w:rFonts w:asciiTheme="majorHAnsi" w:eastAsia="Times New Roman" w:hAnsiTheme="majorHAnsi" w:cstheme="majorHAnsi"/>
          <w:sz w:val="22"/>
          <w:szCs w:val="22"/>
          <w:lang w:eastAsia="en-GB"/>
        </w:rPr>
        <w:t xml:space="preserve">, </w:t>
      </w:r>
      <w:r w:rsidR="008E7740" w:rsidRPr="006322F0">
        <w:rPr>
          <w:rFonts w:asciiTheme="majorHAnsi" w:eastAsia="Times New Roman" w:hAnsiTheme="majorHAnsi" w:cstheme="majorHAnsi"/>
          <w:sz w:val="22"/>
          <w:szCs w:val="22"/>
          <w:lang w:eastAsia="en-GB"/>
        </w:rPr>
        <w:t>based within the Rhondda Cynon Taf County Borough Council</w:t>
      </w:r>
      <w:r w:rsidR="00321317" w:rsidRPr="006322F0">
        <w:rPr>
          <w:rFonts w:asciiTheme="majorHAnsi" w:eastAsia="Times New Roman" w:hAnsiTheme="majorHAnsi" w:cstheme="majorHAnsi"/>
          <w:sz w:val="22"/>
          <w:szCs w:val="22"/>
          <w:lang w:eastAsia="en-GB"/>
        </w:rPr>
        <w:t>. It</w:t>
      </w:r>
      <w:r w:rsidR="006819F2" w:rsidRPr="006322F0">
        <w:rPr>
          <w:rFonts w:asciiTheme="majorHAnsi" w:eastAsia="Times New Roman" w:hAnsiTheme="majorHAnsi" w:cstheme="majorHAnsi"/>
          <w:sz w:val="22"/>
          <w:szCs w:val="22"/>
          <w:lang w:eastAsia="en-GB"/>
        </w:rPr>
        <w:t xml:space="preserve"> will be referred to within this assignment as ‘School A</w:t>
      </w:r>
      <w:r w:rsidR="008E7740" w:rsidRPr="006322F0">
        <w:rPr>
          <w:rFonts w:asciiTheme="majorHAnsi" w:eastAsia="Times New Roman" w:hAnsiTheme="majorHAnsi" w:cstheme="majorHAnsi"/>
          <w:sz w:val="22"/>
          <w:szCs w:val="22"/>
          <w:lang w:eastAsia="en-GB"/>
        </w:rPr>
        <w:t xml:space="preserve">. </w:t>
      </w:r>
      <w:r w:rsidR="006819F2" w:rsidRPr="006322F0">
        <w:rPr>
          <w:rFonts w:asciiTheme="majorHAnsi" w:eastAsia="Times New Roman" w:hAnsiTheme="majorHAnsi" w:cstheme="majorHAnsi"/>
          <w:sz w:val="22"/>
          <w:szCs w:val="22"/>
          <w:lang w:eastAsia="en-GB"/>
        </w:rPr>
        <w:t>School A</w:t>
      </w:r>
      <w:r w:rsidR="007A7D8A" w:rsidRPr="006322F0">
        <w:rPr>
          <w:rFonts w:asciiTheme="majorHAnsi" w:eastAsia="Times New Roman" w:hAnsiTheme="majorHAnsi" w:cstheme="majorHAnsi"/>
          <w:sz w:val="22"/>
          <w:szCs w:val="22"/>
          <w:lang w:eastAsia="en-GB"/>
        </w:rPr>
        <w:t xml:space="preserve">’s provider language is English and has 199 pupils on </w:t>
      </w:r>
      <w:r w:rsidR="00717D37" w:rsidRPr="006322F0">
        <w:rPr>
          <w:rFonts w:asciiTheme="majorHAnsi" w:eastAsia="Times New Roman" w:hAnsiTheme="majorHAnsi" w:cstheme="majorHAnsi"/>
          <w:sz w:val="22"/>
          <w:szCs w:val="22"/>
          <w:lang w:eastAsia="en-GB"/>
        </w:rPr>
        <w:t xml:space="preserve">the </w:t>
      </w:r>
      <w:r w:rsidR="007A7D8A" w:rsidRPr="006322F0">
        <w:rPr>
          <w:rFonts w:asciiTheme="majorHAnsi" w:eastAsia="Times New Roman" w:hAnsiTheme="majorHAnsi" w:cstheme="majorHAnsi"/>
          <w:sz w:val="22"/>
          <w:szCs w:val="22"/>
          <w:lang w:eastAsia="en-GB"/>
        </w:rPr>
        <w:t xml:space="preserve">role currently (Estyn, 2023). </w:t>
      </w:r>
    </w:p>
    <w:p w14:paraId="0D9BC40E" w14:textId="77777777" w:rsidR="007D04D3" w:rsidRPr="006322F0" w:rsidRDefault="007D04D3" w:rsidP="00456203">
      <w:pPr>
        <w:spacing w:line="360" w:lineRule="auto"/>
        <w:rPr>
          <w:rFonts w:asciiTheme="majorHAnsi" w:eastAsia="Times New Roman" w:hAnsiTheme="majorHAnsi" w:cstheme="majorHAnsi"/>
          <w:sz w:val="22"/>
          <w:szCs w:val="22"/>
          <w:lang w:eastAsia="en-GB"/>
        </w:rPr>
      </w:pPr>
    </w:p>
    <w:p w14:paraId="68E41A33" w14:textId="1D3C8C0B" w:rsidR="00AC7CDC" w:rsidRPr="006322F0" w:rsidRDefault="007D04D3" w:rsidP="00456203">
      <w:pPr>
        <w:spacing w:line="360" w:lineRule="auto"/>
        <w:rPr>
          <w:rFonts w:asciiTheme="majorHAnsi" w:eastAsia="Times New Roman" w:hAnsiTheme="majorHAnsi" w:cstheme="majorHAnsi"/>
          <w:lang w:eastAsia="en-GB"/>
        </w:rPr>
      </w:pPr>
      <w:r w:rsidRPr="006322F0">
        <w:rPr>
          <w:rFonts w:asciiTheme="majorHAnsi" w:eastAsia="Times New Roman" w:hAnsiTheme="majorHAnsi" w:cstheme="majorHAnsi"/>
          <w:sz w:val="22"/>
          <w:szCs w:val="22"/>
          <w:lang w:eastAsia="en-GB"/>
        </w:rPr>
        <w:t>The topic of</w:t>
      </w:r>
      <w:r w:rsidR="00960D46" w:rsidRPr="006322F0">
        <w:rPr>
          <w:rFonts w:asciiTheme="majorHAnsi" w:eastAsia="Times New Roman" w:hAnsiTheme="majorHAnsi" w:cstheme="majorHAnsi"/>
          <w:sz w:val="22"/>
          <w:szCs w:val="22"/>
          <w:lang w:eastAsia="en-GB"/>
        </w:rPr>
        <w:t xml:space="preserve"> cold calling</w:t>
      </w:r>
      <w:r w:rsidRPr="006322F0">
        <w:rPr>
          <w:rFonts w:asciiTheme="majorHAnsi" w:eastAsia="Times New Roman" w:hAnsiTheme="majorHAnsi" w:cstheme="majorHAnsi"/>
          <w:sz w:val="22"/>
          <w:szCs w:val="22"/>
          <w:lang w:eastAsia="en-GB"/>
        </w:rPr>
        <w:t xml:space="preserve"> was selected</w:t>
      </w:r>
      <w:r w:rsidR="00960D46" w:rsidRPr="006322F0">
        <w:rPr>
          <w:rFonts w:asciiTheme="majorHAnsi" w:eastAsia="Times New Roman" w:hAnsiTheme="majorHAnsi" w:cstheme="majorHAnsi"/>
          <w:sz w:val="22"/>
          <w:szCs w:val="22"/>
          <w:lang w:eastAsia="en-GB"/>
        </w:rPr>
        <w:t xml:space="preserve"> due to concerns about </w:t>
      </w:r>
      <w:r w:rsidR="006B0439" w:rsidRPr="006322F0">
        <w:rPr>
          <w:rFonts w:asciiTheme="majorHAnsi" w:eastAsia="Times New Roman" w:hAnsiTheme="majorHAnsi" w:cstheme="majorHAnsi"/>
          <w:sz w:val="22"/>
          <w:szCs w:val="22"/>
          <w:lang w:eastAsia="en-GB"/>
        </w:rPr>
        <w:t>low participation during lessons, with particular students</w:t>
      </w:r>
      <w:r w:rsidR="00FF4B4C" w:rsidRPr="006322F0">
        <w:rPr>
          <w:rFonts w:asciiTheme="majorHAnsi" w:eastAsia="Times New Roman" w:hAnsiTheme="majorHAnsi" w:cstheme="majorHAnsi"/>
          <w:sz w:val="22"/>
          <w:szCs w:val="22"/>
          <w:lang w:eastAsia="en-GB"/>
        </w:rPr>
        <w:t xml:space="preserve"> raising their hands while others remain silent through</w:t>
      </w:r>
      <w:r w:rsidR="00F41B06" w:rsidRPr="006322F0">
        <w:rPr>
          <w:rFonts w:asciiTheme="majorHAnsi" w:eastAsia="Times New Roman" w:hAnsiTheme="majorHAnsi" w:cstheme="majorHAnsi"/>
          <w:sz w:val="22"/>
          <w:szCs w:val="22"/>
          <w:lang w:eastAsia="en-GB"/>
        </w:rPr>
        <w:t>ou</w:t>
      </w:r>
      <w:r w:rsidR="00FF4B4C" w:rsidRPr="006322F0">
        <w:rPr>
          <w:rFonts w:asciiTheme="majorHAnsi" w:eastAsia="Times New Roman" w:hAnsiTheme="majorHAnsi" w:cstheme="majorHAnsi"/>
          <w:sz w:val="22"/>
          <w:szCs w:val="22"/>
          <w:lang w:eastAsia="en-GB"/>
        </w:rPr>
        <w:t>t the day of lessons. This observation prompted me to seek a solut</w:t>
      </w:r>
      <w:r w:rsidR="00F41B06" w:rsidRPr="006322F0">
        <w:rPr>
          <w:rFonts w:asciiTheme="majorHAnsi" w:eastAsia="Times New Roman" w:hAnsiTheme="majorHAnsi" w:cstheme="majorHAnsi"/>
          <w:sz w:val="22"/>
          <w:szCs w:val="22"/>
          <w:lang w:eastAsia="en-GB"/>
        </w:rPr>
        <w:t>io</w:t>
      </w:r>
      <w:r w:rsidR="00FF4B4C" w:rsidRPr="006322F0">
        <w:rPr>
          <w:rFonts w:asciiTheme="majorHAnsi" w:eastAsia="Times New Roman" w:hAnsiTheme="majorHAnsi" w:cstheme="majorHAnsi"/>
          <w:sz w:val="22"/>
          <w:szCs w:val="22"/>
          <w:lang w:eastAsia="en-GB"/>
        </w:rPr>
        <w:t xml:space="preserve">n </w:t>
      </w:r>
      <w:r w:rsidR="00F53269" w:rsidRPr="006322F0">
        <w:rPr>
          <w:rFonts w:asciiTheme="majorHAnsi" w:eastAsia="Times New Roman" w:hAnsiTheme="majorHAnsi" w:cstheme="majorHAnsi"/>
          <w:sz w:val="22"/>
          <w:szCs w:val="22"/>
          <w:lang w:eastAsia="en-GB"/>
        </w:rPr>
        <w:t>to foster</w:t>
      </w:r>
      <w:r w:rsidR="00FF4B4C" w:rsidRPr="006322F0">
        <w:rPr>
          <w:rFonts w:asciiTheme="majorHAnsi" w:eastAsia="Times New Roman" w:hAnsiTheme="majorHAnsi" w:cstheme="majorHAnsi"/>
          <w:sz w:val="22"/>
          <w:szCs w:val="22"/>
          <w:lang w:eastAsia="en-GB"/>
        </w:rPr>
        <w:t xml:space="preserve"> equal opportunities for all pupils to actively engage in class discussions. </w:t>
      </w:r>
      <w:r w:rsidR="00F41B06" w:rsidRPr="006322F0">
        <w:rPr>
          <w:rFonts w:asciiTheme="majorHAnsi" w:eastAsia="Times New Roman" w:hAnsiTheme="majorHAnsi" w:cstheme="majorHAnsi"/>
          <w:sz w:val="22"/>
          <w:szCs w:val="22"/>
          <w:lang w:eastAsia="en-GB"/>
        </w:rPr>
        <w:t>I intend</w:t>
      </w:r>
      <w:r w:rsidR="00FF4B4C" w:rsidRPr="006322F0">
        <w:rPr>
          <w:rFonts w:asciiTheme="majorHAnsi" w:eastAsia="Times New Roman" w:hAnsiTheme="majorHAnsi" w:cstheme="majorHAnsi"/>
          <w:sz w:val="22"/>
          <w:szCs w:val="22"/>
          <w:lang w:eastAsia="en-GB"/>
        </w:rPr>
        <w:t xml:space="preserve"> to implement cold calling to </w:t>
      </w:r>
      <w:r w:rsidR="00F41B06" w:rsidRPr="006322F0">
        <w:rPr>
          <w:rFonts w:asciiTheme="majorHAnsi" w:eastAsia="Times New Roman" w:hAnsiTheme="majorHAnsi" w:cstheme="majorHAnsi"/>
          <w:sz w:val="22"/>
          <w:szCs w:val="22"/>
          <w:lang w:eastAsia="en-GB"/>
        </w:rPr>
        <w:t>en</w:t>
      </w:r>
      <w:r w:rsidR="00FF4B4C" w:rsidRPr="006322F0">
        <w:rPr>
          <w:rFonts w:asciiTheme="majorHAnsi" w:eastAsia="Times New Roman" w:hAnsiTheme="majorHAnsi" w:cstheme="majorHAnsi"/>
          <w:sz w:val="22"/>
          <w:szCs w:val="22"/>
          <w:lang w:eastAsia="en-GB"/>
        </w:rPr>
        <w:t>sure that every pupil has the chan</w:t>
      </w:r>
      <w:r w:rsidR="00F41B06" w:rsidRPr="006322F0">
        <w:rPr>
          <w:rFonts w:asciiTheme="majorHAnsi" w:eastAsia="Times New Roman" w:hAnsiTheme="majorHAnsi" w:cstheme="majorHAnsi"/>
          <w:sz w:val="22"/>
          <w:szCs w:val="22"/>
          <w:lang w:eastAsia="en-GB"/>
        </w:rPr>
        <w:t>c</w:t>
      </w:r>
      <w:r w:rsidR="00FF4B4C" w:rsidRPr="006322F0">
        <w:rPr>
          <w:rFonts w:asciiTheme="majorHAnsi" w:eastAsia="Times New Roman" w:hAnsiTheme="majorHAnsi" w:cstheme="majorHAnsi"/>
          <w:sz w:val="22"/>
          <w:szCs w:val="22"/>
          <w:lang w:eastAsia="en-GB"/>
        </w:rPr>
        <w:t>e to contribute and feel involved in every learning process that occurs. By introducing this in</w:t>
      </w:r>
      <w:r w:rsidR="00473F54" w:rsidRPr="006322F0">
        <w:rPr>
          <w:rFonts w:asciiTheme="majorHAnsi" w:eastAsia="Times New Roman" w:hAnsiTheme="majorHAnsi" w:cstheme="majorHAnsi"/>
          <w:sz w:val="22"/>
          <w:szCs w:val="22"/>
          <w:lang w:eastAsia="en-GB"/>
        </w:rPr>
        <w:t>tervention, I aim to crea</w:t>
      </w:r>
      <w:r w:rsidR="00F41B06" w:rsidRPr="006322F0">
        <w:rPr>
          <w:rFonts w:asciiTheme="majorHAnsi" w:eastAsia="Times New Roman" w:hAnsiTheme="majorHAnsi" w:cstheme="majorHAnsi"/>
          <w:sz w:val="22"/>
          <w:szCs w:val="22"/>
          <w:lang w:eastAsia="en-GB"/>
        </w:rPr>
        <w:t>t</w:t>
      </w:r>
      <w:r w:rsidR="00473F54" w:rsidRPr="006322F0">
        <w:rPr>
          <w:rFonts w:asciiTheme="majorHAnsi" w:eastAsia="Times New Roman" w:hAnsiTheme="majorHAnsi" w:cstheme="majorHAnsi"/>
          <w:sz w:val="22"/>
          <w:szCs w:val="22"/>
          <w:lang w:eastAsia="en-GB"/>
        </w:rPr>
        <w:t xml:space="preserve">e a more inclusive and interactive environment </w:t>
      </w:r>
      <w:r w:rsidR="00DD1AAF" w:rsidRPr="006322F0">
        <w:rPr>
          <w:rFonts w:asciiTheme="majorHAnsi" w:eastAsia="Times New Roman" w:hAnsiTheme="majorHAnsi" w:cstheme="majorHAnsi"/>
          <w:sz w:val="22"/>
          <w:szCs w:val="22"/>
          <w:lang w:eastAsia="en-GB"/>
        </w:rPr>
        <w:t>where all students feel encouraged to participate and share their thoughts</w:t>
      </w:r>
      <w:r w:rsidR="001F7DA2">
        <w:rPr>
          <w:rFonts w:asciiTheme="majorHAnsi" w:eastAsia="Times New Roman" w:hAnsiTheme="majorHAnsi" w:cstheme="majorHAnsi"/>
          <w:sz w:val="22"/>
          <w:szCs w:val="22"/>
          <w:lang w:eastAsia="en-GB"/>
        </w:rPr>
        <w:t xml:space="preserve"> (Sherrington, 2021)</w:t>
      </w:r>
      <w:r w:rsidR="0019492E" w:rsidRPr="006322F0">
        <w:rPr>
          <w:rFonts w:asciiTheme="majorHAnsi" w:eastAsia="Times New Roman" w:hAnsiTheme="majorHAnsi" w:cstheme="majorHAnsi"/>
          <w:sz w:val="22"/>
          <w:szCs w:val="22"/>
          <w:lang w:eastAsia="en-GB"/>
        </w:rPr>
        <w:t xml:space="preserve">. Pupils are encouraged to embrace the possibility of being wrong, and I aim to foster this awareness among the class. </w:t>
      </w:r>
      <w:r w:rsidR="008F4489" w:rsidRPr="006322F0">
        <w:rPr>
          <w:rFonts w:asciiTheme="majorHAnsi" w:eastAsia="Times New Roman" w:hAnsiTheme="majorHAnsi" w:cstheme="majorHAnsi"/>
          <w:sz w:val="22"/>
          <w:szCs w:val="22"/>
          <w:lang w:eastAsia="en-GB"/>
        </w:rPr>
        <w:t>This init</w:t>
      </w:r>
      <w:r w:rsidR="00F41B06" w:rsidRPr="006322F0">
        <w:rPr>
          <w:rFonts w:asciiTheme="majorHAnsi" w:eastAsia="Times New Roman" w:hAnsiTheme="majorHAnsi" w:cstheme="majorHAnsi"/>
          <w:sz w:val="22"/>
          <w:szCs w:val="22"/>
          <w:lang w:eastAsia="en-GB"/>
        </w:rPr>
        <w:t>i</w:t>
      </w:r>
      <w:r w:rsidR="008F4489" w:rsidRPr="006322F0">
        <w:rPr>
          <w:rFonts w:asciiTheme="majorHAnsi" w:eastAsia="Times New Roman" w:hAnsiTheme="majorHAnsi" w:cstheme="majorHAnsi"/>
          <w:sz w:val="22"/>
          <w:szCs w:val="22"/>
          <w:lang w:eastAsia="en-GB"/>
        </w:rPr>
        <w:t>ative not only addresses the issue of unequal participation but also promotes a deeper level of engagement and understanding among pupils</w:t>
      </w:r>
      <w:r w:rsidR="00F37DF3">
        <w:rPr>
          <w:rFonts w:asciiTheme="majorHAnsi" w:eastAsia="Times New Roman" w:hAnsiTheme="majorHAnsi" w:cstheme="majorHAnsi"/>
          <w:sz w:val="22"/>
          <w:szCs w:val="22"/>
          <w:lang w:eastAsia="en-GB"/>
        </w:rPr>
        <w:t xml:space="preserve"> (Lemov, 2015)</w:t>
      </w:r>
      <w:r w:rsidR="00F41B06" w:rsidRPr="006322F0">
        <w:rPr>
          <w:rFonts w:asciiTheme="majorHAnsi" w:eastAsia="Times New Roman" w:hAnsiTheme="majorHAnsi" w:cstheme="majorHAnsi"/>
          <w:sz w:val="22"/>
          <w:szCs w:val="22"/>
          <w:lang w:eastAsia="en-GB"/>
        </w:rPr>
        <w:t xml:space="preserve">. </w:t>
      </w:r>
      <w:r w:rsidR="0040151F" w:rsidRPr="006322F0">
        <w:rPr>
          <w:rFonts w:asciiTheme="majorHAnsi" w:eastAsia="Times New Roman" w:hAnsiTheme="majorHAnsi" w:cstheme="majorHAnsi"/>
          <w:sz w:val="22"/>
          <w:szCs w:val="22"/>
          <w:lang w:eastAsia="en-GB"/>
        </w:rPr>
        <w:t xml:space="preserve">I will be gaining consent from parents and assent from pupils </w:t>
      </w:r>
      <w:r w:rsidR="00990391">
        <w:rPr>
          <w:rFonts w:asciiTheme="majorHAnsi" w:eastAsia="Times New Roman" w:hAnsiTheme="majorHAnsi" w:cstheme="majorHAnsi"/>
          <w:sz w:val="22"/>
          <w:szCs w:val="22"/>
          <w:lang w:eastAsia="en-GB"/>
        </w:rPr>
        <w:t>before</w:t>
      </w:r>
      <w:r w:rsidR="0040151F" w:rsidRPr="006322F0">
        <w:rPr>
          <w:rFonts w:asciiTheme="majorHAnsi" w:eastAsia="Times New Roman" w:hAnsiTheme="majorHAnsi" w:cstheme="majorHAnsi"/>
          <w:sz w:val="22"/>
          <w:szCs w:val="22"/>
          <w:lang w:eastAsia="en-GB"/>
        </w:rPr>
        <w:t xml:space="preserve"> collecting any research data. </w:t>
      </w:r>
      <w:r w:rsidR="006677DC" w:rsidRPr="006322F0">
        <w:rPr>
          <w:rFonts w:asciiTheme="majorHAnsi" w:eastAsia="Times New Roman" w:hAnsiTheme="majorHAnsi" w:cstheme="majorHAnsi"/>
          <w:sz w:val="22"/>
          <w:szCs w:val="22"/>
          <w:lang w:eastAsia="en-GB"/>
        </w:rPr>
        <w:t xml:space="preserve">All </w:t>
      </w:r>
      <w:r w:rsidR="00872C5E">
        <w:rPr>
          <w:rFonts w:asciiTheme="majorHAnsi" w:eastAsia="Times New Roman" w:hAnsiTheme="majorHAnsi" w:cstheme="majorHAnsi"/>
          <w:sz w:val="22"/>
          <w:szCs w:val="22"/>
          <w:lang w:eastAsia="en-GB"/>
        </w:rPr>
        <w:t>volunteers</w:t>
      </w:r>
      <w:r w:rsidR="006677DC" w:rsidRPr="006322F0">
        <w:rPr>
          <w:rFonts w:asciiTheme="majorHAnsi" w:eastAsia="Times New Roman" w:hAnsiTheme="majorHAnsi" w:cstheme="majorHAnsi"/>
          <w:sz w:val="22"/>
          <w:szCs w:val="22"/>
          <w:lang w:eastAsia="en-GB"/>
        </w:rPr>
        <w:t xml:space="preserve"> will be inform</w:t>
      </w:r>
      <w:r w:rsidR="00C859FF" w:rsidRPr="006322F0">
        <w:rPr>
          <w:rFonts w:asciiTheme="majorHAnsi" w:eastAsia="Times New Roman" w:hAnsiTheme="majorHAnsi" w:cstheme="majorHAnsi"/>
          <w:sz w:val="22"/>
          <w:szCs w:val="22"/>
          <w:lang w:eastAsia="en-GB"/>
        </w:rPr>
        <w:t>ed</w:t>
      </w:r>
      <w:r w:rsidR="006677DC" w:rsidRPr="006322F0">
        <w:rPr>
          <w:rFonts w:asciiTheme="majorHAnsi" w:eastAsia="Times New Roman" w:hAnsiTheme="majorHAnsi" w:cstheme="majorHAnsi"/>
          <w:sz w:val="22"/>
          <w:szCs w:val="22"/>
          <w:lang w:eastAsia="en-GB"/>
        </w:rPr>
        <w:t xml:space="preserve"> that they have the right to withdraw at any given time without providing a reason. Any</w:t>
      </w:r>
      <w:r w:rsidR="00FF5F3F" w:rsidRPr="006322F0">
        <w:rPr>
          <w:rFonts w:asciiTheme="majorHAnsi" w:eastAsia="Times New Roman" w:hAnsiTheme="majorHAnsi" w:cstheme="majorHAnsi"/>
          <w:sz w:val="22"/>
          <w:szCs w:val="22"/>
          <w:lang w:eastAsia="en-GB"/>
        </w:rPr>
        <w:t xml:space="preserve"> </w:t>
      </w:r>
      <w:r w:rsidR="006677DC" w:rsidRPr="006322F0">
        <w:rPr>
          <w:rFonts w:asciiTheme="majorHAnsi" w:eastAsia="Times New Roman" w:hAnsiTheme="majorHAnsi" w:cstheme="majorHAnsi"/>
          <w:sz w:val="22"/>
          <w:szCs w:val="22"/>
          <w:lang w:eastAsia="en-GB"/>
        </w:rPr>
        <w:t xml:space="preserve">data collected from the participant </w:t>
      </w:r>
      <w:r w:rsidR="00FF5F3F" w:rsidRPr="006322F0">
        <w:rPr>
          <w:rFonts w:asciiTheme="majorHAnsi" w:eastAsia="Times New Roman" w:hAnsiTheme="majorHAnsi" w:cstheme="majorHAnsi"/>
          <w:sz w:val="22"/>
          <w:szCs w:val="22"/>
          <w:lang w:eastAsia="en-GB"/>
        </w:rPr>
        <w:t>will be promptly de</w:t>
      </w:r>
      <w:r w:rsidR="00BF0CB5" w:rsidRPr="006322F0">
        <w:rPr>
          <w:rFonts w:asciiTheme="majorHAnsi" w:eastAsia="Times New Roman" w:hAnsiTheme="majorHAnsi" w:cstheme="majorHAnsi"/>
          <w:sz w:val="22"/>
          <w:szCs w:val="22"/>
          <w:lang w:eastAsia="en-GB"/>
        </w:rPr>
        <w:t>leted</w:t>
      </w:r>
      <w:r w:rsidR="00C67D1C">
        <w:rPr>
          <w:rFonts w:asciiTheme="majorHAnsi" w:eastAsia="Times New Roman" w:hAnsiTheme="majorHAnsi" w:cstheme="majorHAnsi"/>
          <w:sz w:val="22"/>
          <w:szCs w:val="22"/>
          <w:lang w:eastAsia="en-GB"/>
        </w:rPr>
        <w:t xml:space="preserve"> (BERA, 2018)</w:t>
      </w:r>
      <w:r w:rsidR="00BF0CB5" w:rsidRPr="006322F0">
        <w:rPr>
          <w:rFonts w:asciiTheme="majorHAnsi" w:eastAsia="Times New Roman" w:hAnsiTheme="majorHAnsi" w:cstheme="majorHAnsi"/>
          <w:sz w:val="22"/>
          <w:szCs w:val="22"/>
          <w:lang w:eastAsia="en-GB"/>
        </w:rPr>
        <w:t xml:space="preserve">. </w:t>
      </w:r>
      <w:r w:rsidR="00D37958" w:rsidRPr="006322F0">
        <w:rPr>
          <w:rFonts w:asciiTheme="majorHAnsi" w:eastAsia="Times New Roman" w:hAnsiTheme="majorHAnsi" w:cstheme="majorHAnsi"/>
          <w:sz w:val="22"/>
          <w:szCs w:val="22"/>
          <w:lang w:eastAsia="en-GB"/>
        </w:rPr>
        <w:t>Furthermore</w:t>
      </w:r>
      <w:r w:rsidR="00BF0CB5" w:rsidRPr="006322F0">
        <w:rPr>
          <w:rFonts w:asciiTheme="majorHAnsi" w:eastAsia="Times New Roman" w:hAnsiTheme="majorHAnsi" w:cstheme="majorHAnsi"/>
          <w:sz w:val="22"/>
          <w:szCs w:val="22"/>
          <w:lang w:eastAsia="en-GB"/>
        </w:rPr>
        <w:t xml:space="preserve">, the research study will </w:t>
      </w:r>
      <w:r w:rsidR="0017357B">
        <w:rPr>
          <w:rFonts w:asciiTheme="majorHAnsi" w:eastAsia="Times New Roman" w:hAnsiTheme="majorHAnsi" w:cstheme="majorHAnsi"/>
          <w:sz w:val="22"/>
          <w:szCs w:val="22"/>
          <w:lang w:eastAsia="en-GB"/>
        </w:rPr>
        <w:t>comply with</w:t>
      </w:r>
      <w:r w:rsidR="00BF0CB5" w:rsidRPr="006322F0">
        <w:rPr>
          <w:rFonts w:asciiTheme="majorHAnsi" w:eastAsia="Times New Roman" w:hAnsiTheme="majorHAnsi" w:cstheme="majorHAnsi"/>
          <w:sz w:val="22"/>
          <w:szCs w:val="22"/>
          <w:lang w:eastAsia="en-GB"/>
        </w:rPr>
        <w:t xml:space="preserve"> the </w:t>
      </w:r>
      <w:r w:rsidRPr="006322F0">
        <w:rPr>
          <w:rFonts w:asciiTheme="majorHAnsi" w:eastAsia="Times New Roman" w:hAnsiTheme="majorHAnsi" w:cstheme="majorHAnsi"/>
          <w:sz w:val="22"/>
          <w:szCs w:val="22"/>
          <w:lang w:eastAsia="en-GB"/>
        </w:rPr>
        <w:t xml:space="preserve">British Educational Research Association (BERA) </w:t>
      </w:r>
      <w:r w:rsidR="006B1DC6" w:rsidRPr="006322F0">
        <w:rPr>
          <w:rFonts w:asciiTheme="majorHAnsi" w:eastAsia="Times New Roman" w:hAnsiTheme="majorHAnsi" w:cstheme="majorHAnsi"/>
          <w:sz w:val="22"/>
          <w:szCs w:val="22"/>
          <w:lang w:eastAsia="en-GB"/>
        </w:rPr>
        <w:t xml:space="preserve">guidelines that </w:t>
      </w:r>
      <w:r w:rsidR="00C44F0B" w:rsidRPr="006322F0">
        <w:rPr>
          <w:rFonts w:asciiTheme="majorHAnsi" w:eastAsia="Times New Roman" w:hAnsiTheme="majorHAnsi" w:cstheme="majorHAnsi"/>
          <w:sz w:val="22"/>
          <w:szCs w:val="22"/>
          <w:lang w:eastAsia="en-GB"/>
        </w:rPr>
        <w:t>are</w:t>
      </w:r>
      <w:r w:rsidR="00202206" w:rsidRPr="006322F0">
        <w:rPr>
          <w:rFonts w:asciiTheme="majorHAnsi" w:eastAsia="Times New Roman" w:hAnsiTheme="majorHAnsi" w:cstheme="majorHAnsi"/>
          <w:sz w:val="22"/>
          <w:szCs w:val="22"/>
          <w:lang w:eastAsia="en-GB"/>
        </w:rPr>
        <w:t xml:space="preserve"> designed to </w:t>
      </w:r>
      <w:r w:rsidR="006C4E79" w:rsidRPr="006322F0">
        <w:rPr>
          <w:rFonts w:asciiTheme="majorHAnsi" w:eastAsia="Times New Roman" w:hAnsiTheme="majorHAnsi" w:cstheme="majorHAnsi"/>
          <w:sz w:val="22"/>
          <w:szCs w:val="22"/>
          <w:lang w:eastAsia="en-GB"/>
        </w:rPr>
        <w:t>assist educational researcher</w:t>
      </w:r>
      <w:r w:rsidR="00C44F0B" w:rsidRPr="006322F0">
        <w:rPr>
          <w:rFonts w:asciiTheme="majorHAnsi" w:eastAsia="Times New Roman" w:hAnsiTheme="majorHAnsi" w:cstheme="majorHAnsi"/>
          <w:sz w:val="22"/>
          <w:szCs w:val="22"/>
          <w:lang w:eastAsia="en-GB"/>
        </w:rPr>
        <w:t>s</w:t>
      </w:r>
      <w:r w:rsidR="006C4E79" w:rsidRPr="006322F0">
        <w:rPr>
          <w:rFonts w:asciiTheme="majorHAnsi" w:eastAsia="Times New Roman" w:hAnsiTheme="majorHAnsi" w:cstheme="majorHAnsi"/>
          <w:sz w:val="22"/>
          <w:szCs w:val="22"/>
          <w:lang w:eastAsia="en-GB"/>
        </w:rPr>
        <w:t xml:space="preserve"> in ensuring ethical standards </w:t>
      </w:r>
      <w:r w:rsidR="00C44F0B" w:rsidRPr="006322F0">
        <w:rPr>
          <w:rFonts w:asciiTheme="majorHAnsi" w:eastAsia="Times New Roman" w:hAnsiTheme="majorHAnsi" w:cstheme="majorHAnsi"/>
          <w:sz w:val="22"/>
          <w:szCs w:val="22"/>
          <w:lang w:eastAsia="en-GB"/>
        </w:rPr>
        <w:t xml:space="preserve">are considered across all research contexts (BERA, 2018). </w:t>
      </w:r>
    </w:p>
    <w:p w14:paraId="2CA8E9BA" w14:textId="77777777" w:rsidR="008279F5" w:rsidRPr="006322F0" w:rsidRDefault="008279F5"/>
    <w:p w14:paraId="05D49460" w14:textId="3EE8E0D1" w:rsidR="008279F5" w:rsidRPr="006322F0" w:rsidRDefault="008279F5">
      <w:pPr>
        <w:rPr>
          <w:b/>
          <w:bCs/>
        </w:rPr>
      </w:pPr>
      <w:r w:rsidRPr="006322F0">
        <w:rPr>
          <w:b/>
          <w:bCs/>
        </w:rPr>
        <w:t xml:space="preserve">Overview of relevant literature  </w:t>
      </w:r>
    </w:p>
    <w:p w14:paraId="0356DBBB" w14:textId="77777777" w:rsidR="00BA05BD" w:rsidRPr="006322F0" w:rsidRDefault="00BA05BD"/>
    <w:p w14:paraId="0AF9A188" w14:textId="77777777" w:rsidR="00823685" w:rsidRDefault="00823685" w:rsidP="00823685">
      <w:pPr>
        <w:spacing w:line="360" w:lineRule="auto"/>
        <w:rPr>
          <w:rFonts w:asciiTheme="majorHAnsi" w:hAnsiTheme="majorHAnsi" w:cstheme="majorHAnsi"/>
        </w:rPr>
      </w:pPr>
      <w:r w:rsidRPr="00823685">
        <w:rPr>
          <w:rFonts w:asciiTheme="majorHAnsi" w:hAnsiTheme="majorHAnsi" w:cstheme="majorHAnsi"/>
        </w:rPr>
        <w:t xml:space="preserve">Cold calling can be described as a method used to involve students who do not volunteer in whole-class discussions (Morek et al, 2022). Cold calling is the process whereby students are selected at random for the given question or to share their thoughts instead of depending solely on volunteers to raise their hands (Thulasidas and Gunawan, 2022). The question is posed to students, and they are given time to think before an individual is called upon by their name for their answer (Borders, 2021). Thulasidas and Gunawan (2022) &amp; Morek et al (2022) describe cold calling as a process that promotes active thinking to advocate student </w:t>
      </w:r>
      <w:r w:rsidRPr="00823685">
        <w:rPr>
          <w:rFonts w:asciiTheme="majorHAnsi" w:hAnsiTheme="majorHAnsi" w:cstheme="majorHAnsi"/>
        </w:rPr>
        <w:lastRenderedPageBreak/>
        <w:t>learning. It can be described as a proactive approach to ensure all students are participating in classroom discussions by involving students who typically do not actively engage (Neppl, 2019). </w:t>
      </w:r>
    </w:p>
    <w:p w14:paraId="6F4517AF" w14:textId="77777777" w:rsidR="00823685" w:rsidRPr="00823685" w:rsidRDefault="00823685" w:rsidP="00823685">
      <w:pPr>
        <w:spacing w:line="360" w:lineRule="auto"/>
        <w:rPr>
          <w:rFonts w:asciiTheme="majorHAnsi" w:hAnsiTheme="majorHAnsi" w:cstheme="majorHAnsi"/>
        </w:rPr>
      </w:pPr>
    </w:p>
    <w:p w14:paraId="25B6A43E" w14:textId="0457240B" w:rsidR="00823685" w:rsidRDefault="00823685" w:rsidP="00823685">
      <w:pPr>
        <w:spacing w:line="360" w:lineRule="auto"/>
        <w:rPr>
          <w:rFonts w:asciiTheme="majorHAnsi" w:hAnsiTheme="majorHAnsi" w:cstheme="majorHAnsi"/>
        </w:rPr>
      </w:pPr>
      <w:r w:rsidRPr="00823685">
        <w:rPr>
          <w:rFonts w:asciiTheme="majorHAnsi" w:hAnsiTheme="majorHAnsi" w:cstheme="majorHAnsi"/>
        </w:rPr>
        <w:t xml:space="preserve">Borders (2021) argues that cold calling is a method of questioning that can be used in </w:t>
      </w:r>
      <w:r w:rsidR="00A0304A">
        <w:rPr>
          <w:rFonts w:asciiTheme="majorHAnsi" w:hAnsiTheme="majorHAnsi" w:cstheme="majorHAnsi"/>
        </w:rPr>
        <w:t>an educational setting</w:t>
      </w:r>
      <w:r w:rsidRPr="00823685">
        <w:rPr>
          <w:rFonts w:asciiTheme="majorHAnsi" w:hAnsiTheme="majorHAnsi" w:cstheme="majorHAnsi"/>
        </w:rPr>
        <w:t xml:space="preserve"> to check pupil understanding. He emphasises that when using the ‘hands up’ approach, you will only have hands up from the pupils who understand the information. He believes that consequently, they are the only ones who will be involved in the classroom discussion, and this limits the opportunity to hear any misconceptions from other students (Borders, 2021). Students who are self-assured about their understanding in their knowledge of the content will consistently respond to questions, whereas those who </w:t>
      </w:r>
      <w:r w:rsidR="00A0304A">
        <w:rPr>
          <w:rFonts w:asciiTheme="majorHAnsi" w:hAnsiTheme="majorHAnsi" w:cstheme="majorHAnsi"/>
        </w:rPr>
        <w:t>lack confidence</w:t>
      </w:r>
      <w:r w:rsidRPr="00823685">
        <w:rPr>
          <w:rFonts w:asciiTheme="majorHAnsi" w:hAnsiTheme="majorHAnsi" w:cstheme="majorHAnsi"/>
        </w:rPr>
        <w:t xml:space="preserve"> will refrain from participating (Neppl, 2019 &amp; Lemov, 2015). However, despite the many benefits that cold calling has on student learning, research has highlighted the challenges that cold calling has on students and educators. Morek et al (2022) assert that choosing students who have not volunteered to participate can be perceived as a threat to their dignity and self-esteem. </w:t>
      </w:r>
    </w:p>
    <w:p w14:paraId="5065A748" w14:textId="77777777" w:rsidR="00823685" w:rsidRPr="00823685" w:rsidRDefault="00823685" w:rsidP="00823685">
      <w:pPr>
        <w:spacing w:line="360" w:lineRule="auto"/>
        <w:rPr>
          <w:rFonts w:asciiTheme="majorHAnsi" w:hAnsiTheme="majorHAnsi" w:cstheme="majorHAnsi"/>
        </w:rPr>
      </w:pPr>
    </w:p>
    <w:p w14:paraId="6AC79D16" w14:textId="77777777" w:rsidR="00823685" w:rsidRPr="00823685" w:rsidRDefault="00823685" w:rsidP="00823685">
      <w:pPr>
        <w:spacing w:line="360" w:lineRule="auto"/>
        <w:rPr>
          <w:rFonts w:asciiTheme="majorHAnsi" w:hAnsiTheme="majorHAnsi" w:cstheme="majorHAnsi"/>
        </w:rPr>
      </w:pPr>
      <w:r w:rsidRPr="00823685">
        <w:rPr>
          <w:rFonts w:asciiTheme="majorHAnsi" w:hAnsiTheme="majorHAnsi" w:cstheme="majorHAnsi"/>
        </w:rPr>
        <w:t>Pedler et al (2020) feel educators have an important role in influencing engagement in the classroom. Sherrington (2021) believes that a key aspect of cold calling begins with creating an inclusive environment where pupils feel supported and valued. Creating an environment where pupils are encouraged to feel comfortable to give answers, even if they are incorrect (Sherrington, 2021). However, many teachers also feel and express discomfort when using cold calling to engage students. They express their worries regarding the fear of potential humiliation for students despite the experience being seen as a means to prevent students not being involved in the learning experience (Neppl, 2019). Terada (2023) suggests a strategy for reducing anxiety during cold calling is to employ the intervention in a soft, calm manner. Suggesting that when this method is employed, pupils generally become more confident to participate in class discussions. Lemov (2015) highlights the importance of using cold calling regularly in the classroom if it is a method of questioning you wish to adopt. When used consistently, pupils are aware that there is a possibility they could be called upon, therefore suggesting pupils will be more engaged and focused. </w:t>
      </w:r>
    </w:p>
    <w:p w14:paraId="06E24889" w14:textId="7BF0D42B" w:rsidR="00823685" w:rsidRDefault="00823685" w:rsidP="00823685">
      <w:pPr>
        <w:spacing w:line="360" w:lineRule="auto"/>
        <w:rPr>
          <w:rFonts w:asciiTheme="majorHAnsi" w:hAnsiTheme="majorHAnsi" w:cstheme="majorHAnsi"/>
        </w:rPr>
      </w:pPr>
      <w:r w:rsidRPr="00823685">
        <w:rPr>
          <w:rFonts w:asciiTheme="majorHAnsi" w:hAnsiTheme="majorHAnsi" w:cstheme="majorHAnsi"/>
        </w:rPr>
        <w:lastRenderedPageBreak/>
        <w:t xml:space="preserve">Literature suggests that cold calling has had a positive impact and increased the </w:t>
      </w:r>
      <w:r w:rsidR="004D5272">
        <w:rPr>
          <w:rFonts w:asciiTheme="majorHAnsi" w:hAnsiTheme="majorHAnsi" w:cstheme="majorHAnsi"/>
        </w:rPr>
        <w:t>volume of</w:t>
      </w:r>
      <w:r w:rsidRPr="00823685">
        <w:rPr>
          <w:rFonts w:asciiTheme="majorHAnsi" w:hAnsiTheme="majorHAnsi" w:cstheme="majorHAnsi"/>
        </w:rPr>
        <w:t xml:space="preserve"> pupils who choose to </w:t>
      </w:r>
      <w:r w:rsidR="00485426">
        <w:rPr>
          <w:rFonts w:asciiTheme="majorHAnsi" w:hAnsiTheme="majorHAnsi" w:cstheme="majorHAnsi"/>
        </w:rPr>
        <w:t>contribute</w:t>
      </w:r>
      <w:r w:rsidRPr="00823685">
        <w:rPr>
          <w:rFonts w:asciiTheme="majorHAnsi" w:hAnsiTheme="majorHAnsi" w:cstheme="majorHAnsi"/>
        </w:rPr>
        <w:t xml:space="preserve"> </w:t>
      </w:r>
      <w:proofErr w:type="gramStart"/>
      <w:r w:rsidRPr="00823685">
        <w:rPr>
          <w:rFonts w:asciiTheme="majorHAnsi" w:hAnsiTheme="majorHAnsi" w:cstheme="majorHAnsi"/>
        </w:rPr>
        <w:t>in</w:t>
      </w:r>
      <w:proofErr w:type="gramEnd"/>
      <w:r w:rsidRPr="00823685">
        <w:rPr>
          <w:rFonts w:asciiTheme="majorHAnsi" w:hAnsiTheme="majorHAnsi" w:cstheme="majorHAnsi"/>
        </w:rPr>
        <w:t xml:space="preserve"> the classroom, highlighting this result when cold calling was used continuously in the classroom (Dallimore et al, 2019). Cold calling can be used as a successful formative assessment strategy. Questioning is important for assessing how pupils are progressing. Asking pupils questions allows them to be involved in their learning process, improving pupils’ attainment levels (Doherty, 2017 &amp; Black and Wiliam, 1998). However, studies show that the reliability and validity of questioning are not always accurate. Lemov (2015) believe that it is possible that a pupil could have guessed the answer correctly rather than truly understanding it. To ensure the reliability of an answer, it is </w:t>
      </w:r>
      <w:r w:rsidR="00397D37">
        <w:rPr>
          <w:rFonts w:asciiTheme="majorHAnsi" w:hAnsiTheme="majorHAnsi" w:cstheme="majorHAnsi"/>
        </w:rPr>
        <w:t>essential</w:t>
      </w:r>
      <w:r w:rsidRPr="00823685">
        <w:rPr>
          <w:rFonts w:asciiTheme="majorHAnsi" w:hAnsiTheme="majorHAnsi" w:cstheme="majorHAnsi"/>
        </w:rPr>
        <w:t xml:space="preserve"> to ask additional questions, such as ‘why?’ and ‘how?’ to confirm understanding (Lemov, 2015). To reduce anxiety and discomfort when questioning, research suggests it is important to emphasise the effort and not the answer. Differentiating the questions that were asked, lowered pupils’ anxiety levels when the teacher focused on the effort of their response (Terada, 2023). However, Lemov (2015) discusses the importance of ensuring questions asked to pupils, achieve the learning objectives to allow pupils to demonstrate their understanding when using cold calling as a valid form of assessment. </w:t>
      </w:r>
    </w:p>
    <w:p w14:paraId="3B77EE67" w14:textId="77777777" w:rsidR="00823685" w:rsidRPr="00823685" w:rsidRDefault="00823685" w:rsidP="00823685">
      <w:pPr>
        <w:spacing w:line="360" w:lineRule="auto"/>
        <w:rPr>
          <w:rFonts w:asciiTheme="majorHAnsi" w:hAnsiTheme="majorHAnsi" w:cstheme="majorHAnsi"/>
        </w:rPr>
      </w:pPr>
    </w:p>
    <w:p w14:paraId="320566D8" w14:textId="77777777" w:rsidR="00823685" w:rsidRPr="00823685" w:rsidRDefault="00823685" w:rsidP="00823685">
      <w:pPr>
        <w:spacing w:line="360" w:lineRule="auto"/>
        <w:rPr>
          <w:rFonts w:asciiTheme="majorHAnsi" w:hAnsiTheme="majorHAnsi" w:cstheme="majorHAnsi"/>
        </w:rPr>
      </w:pPr>
      <w:r w:rsidRPr="00823685">
        <w:rPr>
          <w:rFonts w:asciiTheme="majorHAnsi" w:hAnsiTheme="majorHAnsi" w:cstheme="majorHAnsi"/>
        </w:rPr>
        <w:t>Research indicates that student engagement involves behavioural, emotional and cognitive elements of teaching and learning (Pedler et al, 2020). Lemov (2010) believes that cold calling has a positive impact on behaviour. Highlighting that cold calling helps to discourage disruptive behaviours as pupils will be more focused. He also suggests that there will be fewer instances of off-task behaviours as they may be selected at any moment (Lemov, 2010). Despite this, (Borders, 2021) is of the opinion that cold calling should not be used as a behavioural management tool in the classroom. Cold calling is not to embarrass pupils who have been inattentive as this can cause pupils to feel apprehensive. This approach would foster a negative classroom environment, and harm pupils’ well-being (InnerDrive, 2024). </w:t>
      </w:r>
    </w:p>
    <w:p w14:paraId="5034EF8A" w14:textId="77777777" w:rsidR="00D65EC2" w:rsidRPr="006322F0" w:rsidRDefault="00D65EC2" w:rsidP="0029316B">
      <w:pPr>
        <w:spacing w:line="360" w:lineRule="auto"/>
        <w:rPr>
          <w:rFonts w:asciiTheme="majorHAnsi" w:hAnsiTheme="majorHAnsi" w:cstheme="majorHAnsi"/>
        </w:rPr>
      </w:pPr>
    </w:p>
    <w:p w14:paraId="39920CA6" w14:textId="16FE4C79" w:rsidR="008279F5" w:rsidRDefault="008279F5" w:rsidP="00ED0BA2">
      <w:pPr>
        <w:spacing w:line="360" w:lineRule="auto"/>
        <w:rPr>
          <w:rFonts w:asciiTheme="majorHAnsi" w:hAnsiTheme="majorHAnsi" w:cstheme="majorHAnsi"/>
          <w:b/>
          <w:bCs/>
        </w:rPr>
      </w:pPr>
      <w:r w:rsidRPr="006322F0">
        <w:rPr>
          <w:rFonts w:asciiTheme="majorHAnsi" w:hAnsiTheme="majorHAnsi" w:cstheme="majorHAnsi"/>
          <w:b/>
          <w:bCs/>
        </w:rPr>
        <w:t xml:space="preserve">Discussion of research design: case study </w:t>
      </w:r>
    </w:p>
    <w:p w14:paraId="4823643E" w14:textId="77777777" w:rsidR="00E64DDD" w:rsidRPr="006322F0" w:rsidRDefault="00E64DDD" w:rsidP="00ED0BA2">
      <w:pPr>
        <w:spacing w:line="360" w:lineRule="auto"/>
        <w:rPr>
          <w:rFonts w:asciiTheme="majorHAnsi" w:hAnsiTheme="majorHAnsi" w:cstheme="majorHAnsi"/>
          <w:b/>
          <w:bCs/>
        </w:rPr>
      </w:pPr>
    </w:p>
    <w:p w14:paraId="61B98338" w14:textId="2E95B72B" w:rsidR="00E64DDD" w:rsidRDefault="00E64DDD" w:rsidP="00E64DDD">
      <w:pPr>
        <w:spacing w:line="360" w:lineRule="auto"/>
        <w:rPr>
          <w:rFonts w:asciiTheme="majorHAnsi" w:hAnsiTheme="majorHAnsi" w:cstheme="majorHAnsi"/>
        </w:rPr>
      </w:pPr>
      <w:r w:rsidRPr="00E64DDD">
        <w:rPr>
          <w:rFonts w:asciiTheme="majorHAnsi" w:hAnsiTheme="majorHAnsi" w:cstheme="majorHAnsi"/>
        </w:rPr>
        <w:t xml:space="preserve">When designing the research methodology, the case study approach was adopted, focusing on an evaluative case study framework to ensure the effectiveness of implementing cold calling as an intervention to address the lack of student participation in classroom </w:t>
      </w:r>
      <w:r w:rsidRPr="00E64DDD">
        <w:rPr>
          <w:rFonts w:asciiTheme="majorHAnsi" w:hAnsiTheme="majorHAnsi" w:cstheme="majorHAnsi"/>
        </w:rPr>
        <w:lastRenderedPageBreak/>
        <w:t xml:space="preserve">discussions. A case study approach was proposed due to its ability to provide a thorough examination of the subject (Flyvbjerg 2011 &amp; Zainal, 2007). The case study design aims to </w:t>
      </w:r>
      <w:r w:rsidR="008F32B0">
        <w:rPr>
          <w:rFonts w:asciiTheme="majorHAnsi" w:hAnsiTheme="majorHAnsi" w:cstheme="majorHAnsi"/>
        </w:rPr>
        <w:t xml:space="preserve">evaluate </w:t>
      </w:r>
      <w:r w:rsidRPr="00E64DDD">
        <w:rPr>
          <w:rFonts w:asciiTheme="majorHAnsi" w:hAnsiTheme="majorHAnsi" w:cstheme="majorHAnsi"/>
        </w:rPr>
        <w:t>specific data in depth (Zainal, 2007). Typically, a case study approach focuses on small or limited numbers of individuals as subjects of the study. This research study takes the evaluative case study approach. The evaluative case study approach strives for a thorough understanding of the topic, to evaluate and make informed judgements about the situation (US Agency for International Development, 2013). Presenting both quantitative and qualitative data, commonly used together to evaluate data (Patton, 2015). </w:t>
      </w:r>
    </w:p>
    <w:p w14:paraId="6AE710FB" w14:textId="77777777" w:rsidR="0022310C" w:rsidRPr="00E64DDD" w:rsidRDefault="0022310C" w:rsidP="00E64DDD">
      <w:pPr>
        <w:spacing w:line="360" w:lineRule="auto"/>
        <w:rPr>
          <w:rFonts w:asciiTheme="majorHAnsi" w:hAnsiTheme="majorHAnsi" w:cstheme="majorHAnsi"/>
        </w:rPr>
      </w:pPr>
    </w:p>
    <w:p w14:paraId="24EBDD34" w14:textId="77777777" w:rsidR="00E64DDD" w:rsidRPr="00E64DDD" w:rsidRDefault="00E64DDD" w:rsidP="00E64DDD">
      <w:pPr>
        <w:spacing w:line="360" w:lineRule="auto"/>
        <w:rPr>
          <w:rFonts w:asciiTheme="majorHAnsi" w:hAnsiTheme="majorHAnsi" w:cstheme="majorHAnsi"/>
        </w:rPr>
      </w:pPr>
      <w:r w:rsidRPr="00E64DDD">
        <w:rPr>
          <w:rFonts w:asciiTheme="majorHAnsi" w:hAnsiTheme="majorHAnsi" w:cstheme="majorHAnsi"/>
        </w:rPr>
        <w:t>Case studies have many strengths that make them valuable research tools. This case study has allowed the researcher to thoroughly explore cold calling, in turn providing a rich and detailed understanding of the topic (Mcleod, 2024). Case studies allow detailed content allowing factors of real-life situations to be examined (Drew, 2023 &amp; Crowe et al, 2011). Equally as important as collecting in-depth data, case studies offer comprehensive insights into different facets of a topic, aiding a holistic understanding of the issue (Drew, 2023 &amp; Lee and Saunders, 2017).</w:t>
      </w:r>
    </w:p>
    <w:p w14:paraId="40E7CC93" w14:textId="77777777" w:rsidR="00E64DDD" w:rsidRPr="00E64DDD" w:rsidRDefault="00E64DDD" w:rsidP="00E64DDD">
      <w:pPr>
        <w:spacing w:line="360" w:lineRule="auto"/>
        <w:rPr>
          <w:rFonts w:asciiTheme="majorHAnsi" w:hAnsiTheme="majorHAnsi" w:cstheme="majorHAnsi"/>
        </w:rPr>
      </w:pPr>
    </w:p>
    <w:p w14:paraId="0791CFE9" w14:textId="1D4DD9FF" w:rsidR="00E64DDD" w:rsidRPr="00E64DDD" w:rsidRDefault="00E64DDD" w:rsidP="00E64DDD">
      <w:pPr>
        <w:spacing w:line="360" w:lineRule="auto"/>
        <w:rPr>
          <w:rFonts w:asciiTheme="majorHAnsi" w:hAnsiTheme="majorHAnsi" w:cstheme="majorHAnsi"/>
        </w:rPr>
      </w:pPr>
      <w:r w:rsidRPr="00E64DDD">
        <w:rPr>
          <w:rFonts w:asciiTheme="majorHAnsi" w:hAnsiTheme="majorHAnsi" w:cstheme="majorHAnsi"/>
        </w:rPr>
        <w:t xml:space="preserve">Despite many strengths, a case study approach can adopt many limitations. One is the issue of generalisation. Case studies are not generisable as they do not examine a wide range of data, only including information on one case instead of the entire population (Drew, 2023 &amp; Mcleod, 2024). Suggesting the </w:t>
      </w:r>
      <w:r w:rsidR="00F1297E">
        <w:rPr>
          <w:rFonts w:asciiTheme="majorHAnsi" w:hAnsiTheme="majorHAnsi" w:cstheme="majorHAnsi"/>
        </w:rPr>
        <w:t>obtained data</w:t>
      </w:r>
      <w:r w:rsidRPr="00E64DDD">
        <w:rPr>
          <w:rFonts w:asciiTheme="majorHAnsi" w:hAnsiTheme="majorHAnsi" w:cstheme="majorHAnsi"/>
        </w:rPr>
        <w:t xml:space="preserve"> would not </w:t>
      </w:r>
      <w:r w:rsidR="00192F78">
        <w:rPr>
          <w:rFonts w:asciiTheme="majorHAnsi" w:hAnsiTheme="majorHAnsi" w:cstheme="majorHAnsi"/>
        </w:rPr>
        <w:t>act as a representative</w:t>
      </w:r>
      <w:r w:rsidRPr="00E64DDD">
        <w:rPr>
          <w:rFonts w:asciiTheme="majorHAnsi" w:hAnsiTheme="majorHAnsi" w:cstheme="majorHAnsi"/>
        </w:rPr>
        <w:t xml:space="preserve"> </w:t>
      </w:r>
      <w:r w:rsidR="00192F78">
        <w:rPr>
          <w:rFonts w:asciiTheme="majorHAnsi" w:hAnsiTheme="majorHAnsi" w:cstheme="majorHAnsi"/>
        </w:rPr>
        <w:t>for</w:t>
      </w:r>
      <w:r w:rsidRPr="00E64DDD">
        <w:rPr>
          <w:rFonts w:asciiTheme="majorHAnsi" w:hAnsiTheme="majorHAnsi" w:cstheme="majorHAnsi"/>
        </w:rPr>
        <w:t xml:space="preserve"> the wider population. An alternative design study would need to be explored to achieve generalised data across the population (Drew, 2023). Another limitation regarding the case study is the possibility of researcher bias (Mcleod, 2024). Researcher bias can happen unintentionally and may occur when the feelings and beliefs of the researcher influence the case study (Mcleod, 2024 &amp; Šimundić, 2013). Bias occurs when data is deemed inaccurate and potentially results in wrong conclusions (Šimundić, 2013). </w:t>
      </w:r>
    </w:p>
    <w:p w14:paraId="6D75BFB4" w14:textId="77777777" w:rsidR="00E64DDD" w:rsidRPr="00E64DDD" w:rsidRDefault="00E64DDD" w:rsidP="00E64DDD">
      <w:pPr>
        <w:spacing w:line="360" w:lineRule="auto"/>
        <w:rPr>
          <w:rFonts w:asciiTheme="majorHAnsi" w:hAnsiTheme="majorHAnsi" w:cstheme="majorHAnsi"/>
        </w:rPr>
      </w:pPr>
    </w:p>
    <w:p w14:paraId="7FE1E413" w14:textId="2ADF5A4C" w:rsidR="00E64DDD" w:rsidRPr="00E64DDD" w:rsidRDefault="00E64DDD" w:rsidP="00E64DDD">
      <w:pPr>
        <w:spacing w:line="360" w:lineRule="auto"/>
        <w:rPr>
          <w:rFonts w:asciiTheme="majorHAnsi" w:hAnsiTheme="majorHAnsi" w:cstheme="majorHAnsi"/>
        </w:rPr>
      </w:pPr>
      <w:r w:rsidRPr="00E64DDD">
        <w:rPr>
          <w:rFonts w:asciiTheme="majorHAnsi" w:hAnsiTheme="majorHAnsi" w:cstheme="majorHAnsi"/>
        </w:rPr>
        <w:t>To ensure research bias did not occur in the study, a randomised method for sampling participation was adopted. A significant benefit of random sampling is its equitable method of selection, to ensure sampling bias does not occur (Hayes, 2023). Random sampling was adopted to ensure each pupil who had parental consent had a</w:t>
      </w:r>
      <w:r w:rsidR="009E110F">
        <w:rPr>
          <w:rFonts w:asciiTheme="majorHAnsi" w:hAnsiTheme="majorHAnsi" w:cstheme="majorHAnsi"/>
        </w:rPr>
        <w:t xml:space="preserve"> fair opportunity to</w:t>
      </w:r>
      <w:r w:rsidRPr="00E64DDD">
        <w:rPr>
          <w:rFonts w:asciiTheme="majorHAnsi" w:hAnsiTheme="majorHAnsi" w:cstheme="majorHAnsi"/>
        </w:rPr>
        <w:t xml:space="preserve"> </w:t>
      </w:r>
      <w:r w:rsidR="009E110F">
        <w:rPr>
          <w:rFonts w:asciiTheme="majorHAnsi" w:hAnsiTheme="majorHAnsi" w:cstheme="majorHAnsi"/>
        </w:rPr>
        <w:t>be</w:t>
      </w:r>
      <w:r w:rsidRPr="00E64DDD">
        <w:rPr>
          <w:rFonts w:asciiTheme="majorHAnsi" w:hAnsiTheme="majorHAnsi" w:cstheme="majorHAnsi"/>
        </w:rPr>
        <w:t xml:space="preserve"> selected </w:t>
      </w:r>
      <w:r w:rsidR="002C0DBD">
        <w:rPr>
          <w:rFonts w:asciiTheme="majorHAnsi" w:hAnsiTheme="majorHAnsi" w:cstheme="majorHAnsi"/>
        </w:rPr>
        <w:lastRenderedPageBreak/>
        <w:t>as</w:t>
      </w:r>
      <w:r w:rsidRPr="00E64DDD">
        <w:rPr>
          <w:rFonts w:asciiTheme="majorHAnsi" w:hAnsiTheme="majorHAnsi" w:cstheme="majorHAnsi"/>
        </w:rPr>
        <w:t xml:space="preserve"> particip</w:t>
      </w:r>
      <w:r w:rsidR="002C0DBD">
        <w:rPr>
          <w:rFonts w:asciiTheme="majorHAnsi" w:hAnsiTheme="majorHAnsi" w:cstheme="majorHAnsi"/>
        </w:rPr>
        <w:t>ants</w:t>
      </w:r>
      <w:r w:rsidRPr="00E64DDD">
        <w:rPr>
          <w:rFonts w:asciiTheme="majorHAnsi" w:hAnsiTheme="majorHAnsi" w:cstheme="majorHAnsi"/>
        </w:rPr>
        <w:t xml:space="preserve"> in the research. Noor et al (2022) believe simple random sampling works effectively when individuals in the same group are evenly distributed. Possible participants were assigned numbers 1 to 18, as only 18 pupils returned their parental consent forms to participate in the research. A random number generator was used to select 6 numbers, choosing the case study of participants for the study (Hayes, 2023). Randomised sampling was conducted upon the return of parental consent forms (Appendix 2) which were accompanied by information sheets explaining the research purpose (Appendix 3). This process was implemented due to the ethical considerations of the study. To ensure all parents and guardians were fully informed regarding the research and were willing to provide informed consent for their children. All participants were </w:t>
      </w:r>
      <w:r w:rsidR="002C0DBD">
        <w:rPr>
          <w:rFonts w:asciiTheme="majorHAnsi" w:hAnsiTheme="majorHAnsi" w:cstheme="majorHAnsi"/>
        </w:rPr>
        <w:t>informed</w:t>
      </w:r>
      <w:r w:rsidRPr="00E64DDD">
        <w:rPr>
          <w:rFonts w:asciiTheme="majorHAnsi" w:hAnsiTheme="majorHAnsi" w:cstheme="majorHAnsi"/>
        </w:rPr>
        <w:t xml:space="preserve"> of their right to withdraw at any </w:t>
      </w:r>
      <w:r w:rsidR="0025095B">
        <w:rPr>
          <w:rFonts w:asciiTheme="majorHAnsi" w:hAnsiTheme="majorHAnsi" w:cstheme="majorHAnsi"/>
        </w:rPr>
        <w:t>point</w:t>
      </w:r>
      <w:r w:rsidRPr="00E64DDD">
        <w:rPr>
          <w:rFonts w:asciiTheme="majorHAnsi" w:hAnsiTheme="majorHAnsi" w:cstheme="majorHAnsi"/>
        </w:rPr>
        <w:t xml:space="preserve">, and they understood that their participation in the study was completely </w:t>
      </w:r>
      <w:r w:rsidR="00777E2F">
        <w:rPr>
          <w:rFonts w:asciiTheme="majorHAnsi" w:hAnsiTheme="majorHAnsi" w:cstheme="majorHAnsi"/>
        </w:rPr>
        <w:t>optional</w:t>
      </w:r>
      <w:r w:rsidRPr="00E64DDD">
        <w:rPr>
          <w:rFonts w:asciiTheme="majorHAnsi" w:hAnsiTheme="majorHAnsi" w:cstheme="majorHAnsi"/>
        </w:rPr>
        <w:t>. </w:t>
      </w:r>
    </w:p>
    <w:p w14:paraId="39B1ED0F" w14:textId="77777777" w:rsidR="007F0ACC" w:rsidRPr="006322F0" w:rsidRDefault="007F0ACC" w:rsidP="00E64DDD">
      <w:pPr>
        <w:spacing w:line="360" w:lineRule="auto"/>
      </w:pPr>
    </w:p>
    <w:p w14:paraId="7F14C719" w14:textId="4EBCDC67" w:rsidR="008279F5" w:rsidRPr="006322F0" w:rsidRDefault="008279F5">
      <w:r w:rsidRPr="006322F0">
        <w:rPr>
          <w:rFonts w:asciiTheme="majorHAnsi" w:hAnsiTheme="majorHAnsi" w:cstheme="majorHAnsi"/>
          <w:b/>
          <w:bCs/>
        </w:rPr>
        <w:t>Being Ethical</w:t>
      </w:r>
      <w:r w:rsidRPr="006322F0">
        <w:t xml:space="preserve"> </w:t>
      </w:r>
    </w:p>
    <w:p w14:paraId="4248A6EE" w14:textId="77777777" w:rsidR="00A528B1" w:rsidRPr="006322F0" w:rsidRDefault="00A528B1"/>
    <w:p w14:paraId="001B76D7" w14:textId="2B209295" w:rsidR="00750499" w:rsidRPr="00750499" w:rsidRDefault="00F01DC2" w:rsidP="00750499">
      <w:pPr>
        <w:spacing w:before="100" w:beforeAutospacing="1" w:after="100" w:afterAutospacing="1" w:line="360" w:lineRule="auto"/>
        <w:rPr>
          <w:rFonts w:asciiTheme="majorHAnsi" w:eastAsia="Times New Roman" w:hAnsiTheme="majorHAnsi" w:cstheme="majorHAnsi"/>
          <w:color w:val="000000"/>
          <w:lang w:eastAsia="en-GB"/>
        </w:rPr>
      </w:pPr>
      <w:r>
        <w:rPr>
          <w:rFonts w:asciiTheme="majorHAnsi" w:eastAsia="Times New Roman" w:hAnsiTheme="majorHAnsi" w:cstheme="majorHAnsi"/>
          <w:color w:val="000000"/>
          <w:lang w:eastAsia="en-GB"/>
        </w:rPr>
        <w:t>The research project</w:t>
      </w:r>
      <w:r w:rsidR="00750499" w:rsidRPr="00750499">
        <w:rPr>
          <w:rFonts w:asciiTheme="majorHAnsi" w:eastAsia="Times New Roman" w:hAnsiTheme="majorHAnsi" w:cstheme="majorHAnsi"/>
          <w:color w:val="000000"/>
          <w:lang w:eastAsia="en-GB"/>
        </w:rPr>
        <w:t xml:space="preserve"> will follow The British Educational Research Association (BERA) guidelines to ensure the educational research is carried out responsibly, with integrity and full consideration of the rights and well-being of participants (BERA, 2018). Maintaining ethical integrity throughout the research study is paramount to ensure the protection of participants and the credibility and validity of findings (BERA, 2018). Research ethical approval (Appendix 4) has been granted before the start of any research. All participant risks have been evaluated, minimised and deemed permissible (Gelling, 2016).</w:t>
      </w:r>
    </w:p>
    <w:p w14:paraId="38AAC6E2" w14:textId="7CE64A05" w:rsidR="00750499" w:rsidRPr="00750499" w:rsidRDefault="00750499" w:rsidP="00750499">
      <w:pPr>
        <w:spacing w:before="100" w:beforeAutospacing="1" w:after="100" w:afterAutospacing="1" w:line="360" w:lineRule="auto"/>
        <w:rPr>
          <w:rFonts w:asciiTheme="majorHAnsi" w:eastAsia="Times New Roman" w:hAnsiTheme="majorHAnsi" w:cstheme="majorHAnsi"/>
          <w:color w:val="000000"/>
          <w:lang w:eastAsia="en-GB"/>
        </w:rPr>
      </w:pPr>
      <w:r w:rsidRPr="00750499">
        <w:rPr>
          <w:rFonts w:asciiTheme="majorHAnsi" w:eastAsia="Times New Roman" w:hAnsiTheme="majorHAnsi" w:cstheme="majorHAnsi"/>
          <w:color w:val="000000"/>
          <w:lang w:eastAsia="en-GB"/>
        </w:rPr>
        <w:t xml:space="preserve">All individuals involved in the research activity will be treated with respect, confidentiality and anonymity (BERA, 2018). All research will align with the UN Convention on the Rights of the Child, ensuring </w:t>
      </w:r>
      <w:r w:rsidR="001C2802">
        <w:rPr>
          <w:rFonts w:asciiTheme="majorHAnsi" w:eastAsia="Times New Roman" w:hAnsiTheme="majorHAnsi" w:cstheme="majorHAnsi"/>
          <w:color w:val="000000"/>
          <w:lang w:eastAsia="en-GB"/>
        </w:rPr>
        <w:t>every</w:t>
      </w:r>
      <w:r w:rsidRPr="00750499">
        <w:rPr>
          <w:rFonts w:asciiTheme="majorHAnsi" w:eastAsia="Times New Roman" w:hAnsiTheme="majorHAnsi" w:cstheme="majorHAnsi"/>
          <w:color w:val="000000"/>
          <w:lang w:eastAsia="en-GB"/>
        </w:rPr>
        <w:t xml:space="preserve"> involved child</w:t>
      </w:r>
      <w:r w:rsidR="001C2802">
        <w:rPr>
          <w:rFonts w:asciiTheme="majorHAnsi" w:eastAsia="Times New Roman" w:hAnsiTheme="majorHAnsi" w:cstheme="majorHAnsi"/>
          <w:color w:val="000000"/>
          <w:lang w:eastAsia="en-GB"/>
        </w:rPr>
        <w:t xml:space="preserve"> is </w:t>
      </w:r>
      <w:r w:rsidRPr="00750499">
        <w:rPr>
          <w:rFonts w:asciiTheme="majorHAnsi" w:eastAsia="Times New Roman" w:hAnsiTheme="majorHAnsi" w:cstheme="majorHAnsi"/>
          <w:color w:val="000000"/>
          <w:lang w:eastAsia="en-GB"/>
        </w:rPr>
        <w:t xml:space="preserve">protected, listened to and supported (Welsh Government, 2022). All </w:t>
      </w:r>
      <w:r w:rsidR="001C2802">
        <w:rPr>
          <w:rFonts w:asciiTheme="majorHAnsi" w:eastAsia="Times New Roman" w:hAnsiTheme="majorHAnsi" w:cstheme="majorHAnsi"/>
          <w:color w:val="000000"/>
          <w:lang w:eastAsia="en-GB"/>
        </w:rPr>
        <w:t>respondents</w:t>
      </w:r>
      <w:r w:rsidRPr="00750499">
        <w:rPr>
          <w:rFonts w:asciiTheme="majorHAnsi" w:eastAsia="Times New Roman" w:hAnsiTheme="majorHAnsi" w:cstheme="majorHAnsi"/>
          <w:color w:val="000000"/>
          <w:lang w:eastAsia="en-GB"/>
        </w:rPr>
        <w:t xml:space="preserve"> will be aware of the purpose, benefits and risks that may occur during the study as it is a voluntary participation (Bhandari, 2022). All individuals involved in the study have the right to withdraw from the research study at any </w:t>
      </w:r>
      <w:r w:rsidR="002461DC">
        <w:rPr>
          <w:rFonts w:asciiTheme="majorHAnsi" w:eastAsia="Times New Roman" w:hAnsiTheme="majorHAnsi" w:cstheme="majorHAnsi"/>
          <w:color w:val="000000"/>
          <w:lang w:eastAsia="en-GB"/>
        </w:rPr>
        <w:t>parti</w:t>
      </w:r>
      <w:r w:rsidR="003E772F">
        <w:rPr>
          <w:rFonts w:asciiTheme="majorHAnsi" w:eastAsia="Times New Roman" w:hAnsiTheme="majorHAnsi" w:cstheme="majorHAnsi"/>
          <w:color w:val="000000"/>
          <w:lang w:eastAsia="en-GB"/>
        </w:rPr>
        <w:t>cular time</w:t>
      </w:r>
      <w:r w:rsidRPr="00750499">
        <w:rPr>
          <w:rFonts w:asciiTheme="majorHAnsi" w:eastAsia="Times New Roman" w:hAnsiTheme="majorHAnsi" w:cstheme="majorHAnsi"/>
          <w:color w:val="000000"/>
          <w:lang w:eastAsia="en-GB"/>
        </w:rPr>
        <w:t>, they will be aware that this option requires no explanation (BERA, 2018). </w:t>
      </w:r>
    </w:p>
    <w:p w14:paraId="0A9CAF76" w14:textId="12E4A11F" w:rsidR="00750499" w:rsidRPr="00750499" w:rsidRDefault="00750499" w:rsidP="00750499">
      <w:pPr>
        <w:spacing w:before="100" w:beforeAutospacing="1" w:after="100" w:afterAutospacing="1" w:line="360" w:lineRule="auto"/>
        <w:rPr>
          <w:rFonts w:asciiTheme="majorHAnsi" w:eastAsia="Times New Roman" w:hAnsiTheme="majorHAnsi" w:cstheme="majorHAnsi"/>
          <w:color w:val="000000"/>
          <w:lang w:eastAsia="en-GB"/>
        </w:rPr>
      </w:pPr>
      <w:r w:rsidRPr="00750499">
        <w:rPr>
          <w:rFonts w:asciiTheme="majorHAnsi" w:eastAsia="Times New Roman" w:hAnsiTheme="majorHAnsi" w:cstheme="majorHAnsi"/>
          <w:color w:val="000000"/>
          <w:lang w:eastAsia="en-GB"/>
        </w:rPr>
        <w:lastRenderedPageBreak/>
        <w:t xml:space="preserve"> Informed parental consent (Appendix 2) will be required before pupil assent (Appendix 5) is considered. Letters were sent home to the parents and carers of the pupils, to </w:t>
      </w:r>
      <w:r w:rsidR="000E4972">
        <w:rPr>
          <w:rFonts w:asciiTheme="majorHAnsi" w:eastAsia="Times New Roman" w:hAnsiTheme="majorHAnsi" w:cstheme="majorHAnsi"/>
          <w:color w:val="000000"/>
          <w:lang w:eastAsia="en-GB"/>
        </w:rPr>
        <w:t>obtain</w:t>
      </w:r>
      <w:r w:rsidRPr="00750499">
        <w:rPr>
          <w:rFonts w:asciiTheme="majorHAnsi" w:eastAsia="Times New Roman" w:hAnsiTheme="majorHAnsi" w:cstheme="majorHAnsi"/>
          <w:color w:val="000000"/>
          <w:lang w:eastAsia="en-GB"/>
        </w:rPr>
        <w:t xml:space="preserve"> permission for them to be in</w:t>
      </w:r>
      <w:r w:rsidR="000E4972">
        <w:rPr>
          <w:rFonts w:asciiTheme="majorHAnsi" w:eastAsia="Times New Roman" w:hAnsiTheme="majorHAnsi" w:cstheme="majorHAnsi"/>
          <w:color w:val="000000"/>
          <w:lang w:eastAsia="en-GB"/>
        </w:rPr>
        <w:t>cluded</w:t>
      </w:r>
      <w:r w:rsidRPr="00750499">
        <w:rPr>
          <w:rFonts w:asciiTheme="majorHAnsi" w:eastAsia="Times New Roman" w:hAnsiTheme="majorHAnsi" w:cstheme="majorHAnsi"/>
          <w:color w:val="000000"/>
          <w:lang w:eastAsia="en-GB"/>
        </w:rPr>
        <w:t xml:space="preserve"> in the research project, letters that included an information sheet (Appendix 3) regarding all relevant information about the study (NSPCC, 2024). Completed forms must be returned with signatures and dates. Upon obtaining parental consent, pupils will need to confirm their agreement to </w:t>
      </w:r>
      <w:r w:rsidR="00545284">
        <w:rPr>
          <w:rFonts w:asciiTheme="majorHAnsi" w:eastAsia="Times New Roman" w:hAnsiTheme="majorHAnsi" w:cstheme="majorHAnsi"/>
          <w:color w:val="000000"/>
          <w:lang w:eastAsia="en-GB"/>
        </w:rPr>
        <w:t>contribute to the</w:t>
      </w:r>
      <w:r w:rsidRPr="00750499">
        <w:rPr>
          <w:rFonts w:asciiTheme="majorHAnsi" w:eastAsia="Times New Roman" w:hAnsiTheme="majorHAnsi" w:cstheme="majorHAnsi"/>
          <w:color w:val="000000"/>
          <w:lang w:eastAsia="en-GB"/>
        </w:rPr>
        <w:t xml:space="preserve"> research by providing assent. This process will entail a simple confirmation (Appendix B), documented in a checklist format, following an informal discussion with all the pupils whose parents and carers have consented, providing them with the details about the study and its requirements. Participants have the right to withdraw from the research study at any given point, they will be aware that this option requires no explanation (BERA, 2018). Hoft (2021) describes anonymity and confidentially as equally important when conducting any form of research. To ensure confidentiality is secured, all participants will remain anonymous, and no private data will be acquired (Bos, 2020). </w:t>
      </w:r>
    </w:p>
    <w:p w14:paraId="41A5F6A2" w14:textId="77777777" w:rsidR="00601E1E" w:rsidRPr="006322F0" w:rsidRDefault="00601E1E"/>
    <w:p w14:paraId="77622AD1" w14:textId="6317A859" w:rsidR="008279F5" w:rsidRPr="006322F0" w:rsidRDefault="008279F5">
      <w:pPr>
        <w:rPr>
          <w:rFonts w:asciiTheme="majorHAnsi" w:hAnsiTheme="majorHAnsi" w:cstheme="majorHAnsi"/>
        </w:rPr>
      </w:pPr>
      <w:r w:rsidRPr="006322F0">
        <w:rPr>
          <w:rFonts w:asciiTheme="majorHAnsi" w:hAnsiTheme="majorHAnsi" w:cstheme="majorHAnsi"/>
          <w:b/>
          <w:bCs/>
        </w:rPr>
        <w:t>Research methods</w:t>
      </w:r>
      <w:r w:rsidRPr="006322F0">
        <w:rPr>
          <w:rFonts w:asciiTheme="majorHAnsi" w:hAnsiTheme="majorHAnsi" w:cstheme="majorHAnsi"/>
        </w:rPr>
        <w:t xml:space="preserve"> </w:t>
      </w:r>
    </w:p>
    <w:p w14:paraId="0DB4CAC2" w14:textId="77777777" w:rsidR="00E0017F" w:rsidRPr="006322F0" w:rsidRDefault="00E0017F" w:rsidP="0085664F">
      <w:pPr>
        <w:spacing w:line="360" w:lineRule="auto"/>
        <w:rPr>
          <w:rFonts w:asciiTheme="majorHAnsi" w:hAnsiTheme="majorHAnsi" w:cstheme="majorHAnsi"/>
        </w:rPr>
      </w:pPr>
    </w:p>
    <w:p w14:paraId="0A9B00E7" w14:textId="77777777" w:rsidR="00337F04" w:rsidRPr="00337F04" w:rsidRDefault="00337F04" w:rsidP="00337F04">
      <w:pPr>
        <w:spacing w:before="100" w:beforeAutospacing="1" w:after="100" w:afterAutospacing="1" w:line="360" w:lineRule="auto"/>
        <w:rPr>
          <w:rFonts w:asciiTheme="majorHAnsi" w:eastAsia="Times New Roman" w:hAnsiTheme="majorHAnsi" w:cstheme="majorHAnsi"/>
          <w:color w:val="000000"/>
          <w:lang w:eastAsia="en-GB"/>
        </w:rPr>
      </w:pPr>
      <w:r w:rsidRPr="00337F04">
        <w:rPr>
          <w:rFonts w:asciiTheme="majorHAnsi" w:eastAsia="Times New Roman" w:hAnsiTheme="majorHAnsi" w:cstheme="majorHAnsi"/>
          <w:color w:val="000000"/>
          <w:lang w:eastAsia="en-GB"/>
        </w:rPr>
        <w:t>The research was conducted using questionnaires and observations. Questionnaires were employed to collect quantitative and qualitative data, while observations gathered qualitative data. Quantitative research gathers numerical data, allowing data to be presented numerically. While qualitative research gathers non-numeric data, allowing experiences, opinions and attitudes to be shared (Mcleod, 2023b). Both research methods have provided a comprehensive understanding of cold calling, allowing the researcher to compare information gathered from different perspectives. Combining both research methods has allowed the employment of a mixed methods approach to research. The mixed method approach has been used to attain a more holistic understanding of the connections between the qualitative and quantitative data obtained (Shorten and Smith, 2017). </w:t>
      </w:r>
    </w:p>
    <w:p w14:paraId="777E4301" w14:textId="77777777" w:rsidR="00337F04" w:rsidRPr="00337F04" w:rsidRDefault="00337F04" w:rsidP="00337F04">
      <w:pPr>
        <w:spacing w:before="100" w:beforeAutospacing="1" w:after="100" w:afterAutospacing="1" w:line="360" w:lineRule="auto"/>
        <w:rPr>
          <w:rFonts w:asciiTheme="majorHAnsi" w:eastAsia="Times New Roman" w:hAnsiTheme="majorHAnsi" w:cstheme="majorHAnsi"/>
          <w:color w:val="000000"/>
          <w:lang w:eastAsia="en-GB"/>
        </w:rPr>
      </w:pPr>
      <w:r w:rsidRPr="00337F04">
        <w:rPr>
          <w:rFonts w:asciiTheme="majorHAnsi" w:eastAsia="Times New Roman" w:hAnsiTheme="majorHAnsi" w:cstheme="majorHAnsi"/>
          <w:color w:val="000000"/>
          <w:lang w:eastAsia="en-GB"/>
        </w:rPr>
        <w:t xml:space="preserve">Typically, observations help to form opinions regarding the world around us based on personal perspectives. This educational research study employed structured observations (Appendix 9) that included watching and documenting pupils and their behaviours (Cohen et </w:t>
      </w:r>
      <w:r w:rsidRPr="00337F04">
        <w:rPr>
          <w:rFonts w:asciiTheme="majorHAnsi" w:eastAsia="Times New Roman" w:hAnsiTheme="majorHAnsi" w:cstheme="majorHAnsi"/>
          <w:color w:val="000000"/>
          <w:lang w:eastAsia="en-GB"/>
        </w:rPr>
        <w:lastRenderedPageBreak/>
        <w:t>al, 2017). A non-participant observation method occurred, whereby the observer was not involved in the activities and lesson planned, to ensure the data collected was not biased by personal influences. The research was collected from listening and watching the pupils (Lambert, 2019). This method was implemented to avoid observer bias, due to the change of behaviours participants may show when they know they are being observed (Creswell and Creswell, 2018). Observations are an excellent method to use for research when rich data is needed from a small case study of people. This method is very flexible and allows participants to freely express themselves while still contributing to data (Alam, 2024). </w:t>
      </w:r>
    </w:p>
    <w:p w14:paraId="41DD7A32" w14:textId="77777777" w:rsidR="00337F04" w:rsidRPr="00337F04" w:rsidRDefault="00337F04" w:rsidP="00337F04">
      <w:pPr>
        <w:spacing w:before="100" w:beforeAutospacing="1" w:after="100" w:afterAutospacing="1" w:line="360" w:lineRule="auto"/>
        <w:rPr>
          <w:rFonts w:asciiTheme="majorHAnsi" w:eastAsia="Times New Roman" w:hAnsiTheme="majorHAnsi" w:cstheme="majorHAnsi"/>
          <w:color w:val="000000"/>
          <w:lang w:eastAsia="en-GB"/>
        </w:rPr>
      </w:pPr>
      <w:r w:rsidRPr="00337F04">
        <w:rPr>
          <w:rFonts w:asciiTheme="majorHAnsi" w:eastAsia="Times New Roman" w:hAnsiTheme="majorHAnsi" w:cstheme="majorHAnsi"/>
          <w:color w:val="000000"/>
          <w:lang w:eastAsia="en-GB"/>
        </w:rPr>
        <w:t>The next research method employed was questionnaires. A dichotomous question was included at the beginning of the questionnaire, to reemphasise the research aims and gain pupil assent for this research method (Appendix 5). The questionnaires included closed and open questions. The open questions (Appendix 1) allowed participants to personalise their responses, while the closed questions restricted responses as they had to choose from the options available (Rosala, 2024). Closed questions allow data to be easily converted into qualitative data (Mcleod, 2023a). Open questions provided additional data as they allowed participants to expand their responses, and include any detail that they believe is relevant and possibly unexpected information. While the closed questions are very structured and may occasionally lead to responses (Rosala, 2024).</w:t>
      </w:r>
    </w:p>
    <w:p w14:paraId="68A59B51" w14:textId="7C47B67F" w:rsidR="00337F04" w:rsidRPr="00337F04" w:rsidRDefault="00337F04" w:rsidP="00337F04">
      <w:pPr>
        <w:spacing w:before="100" w:beforeAutospacing="1" w:after="100" w:afterAutospacing="1" w:line="360" w:lineRule="auto"/>
        <w:rPr>
          <w:rFonts w:asciiTheme="majorHAnsi" w:eastAsia="Times New Roman" w:hAnsiTheme="majorHAnsi" w:cstheme="majorHAnsi"/>
          <w:color w:val="000000"/>
          <w:lang w:eastAsia="en-GB"/>
        </w:rPr>
      </w:pPr>
      <w:r w:rsidRPr="00337F04">
        <w:rPr>
          <w:rFonts w:asciiTheme="majorHAnsi" w:eastAsia="Times New Roman" w:hAnsiTheme="majorHAnsi" w:cstheme="majorHAnsi"/>
          <w:color w:val="000000"/>
          <w:lang w:eastAsia="en-GB"/>
        </w:rPr>
        <w:t>Mcleod (2023a) highlights questionnaires as a cost-effective method of research, that measures opinions, attitudes and behaviours successfully. However, the data collected from a questionnaire was dependent on the willingness of the participants. Many factors can influence the participant'</w:t>
      </w:r>
      <w:r w:rsidR="00731801">
        <w:rPr>
          <w:rFonts w:asciiTheme="majorHAnsi" w:eastAsia="Times New Roman" w:hAnsiTheme="majorHAnsi" w:cstheme="majorHAnsi"/>
          <w:color w:val="000000"/>
          <w:lang w:eastAsia="en-GB"/>
        </w:rPr>
        <w:t>s</w:t>
      </w:r>
      <w:r w:rsidRPr="00337F04">
        <w:rPr>
          <w:rFonts w:asciiTheme="majorHAnsi" w:eastAsia="Times New Roman" w:hAnsiTheme="majorHAnsi" w:cstheme="majorHAnsi"/>
          <w:color w:val="000000"/>
          <w:lang w:eastAsia="en-GB"/>
        </w:rPr>
        <w:t xml:space="preserve"> willingness, such as the </w:t>
      </w:r>
      <w:r w:rsidR="00731801">
        <w:rPr>
          <w:rFonts w:asciiTheme="majorHAnsi" w:eastAsia="Times New Roman" w:hAnsiTheme="majorHAnsi" w:cstheme="majorHAnsi"/>
          <w:color w:val="000000"/>
          <w:lang w:eastAsia="en-GB"/>
        </w:rPr>
        <w:t>individual</w:t>
      </w:r>
      <w:r w:rsidRPr="00337F04">
        <w:rPr>
          <w:rFonts w:asciiTheme="majorHAnsi" w:eastAsia="Times New Roman" w:hAnsiTheme="majorHAnsi" w:cstheme="majorHAnsi"/>
          <w:color w:val="000000"/>
          <w:lang w:eastAsia="en-GB"/>
        </w:rPr>
        <w:t>s ease with reading and writing (McArdle and Forrester, 2020 &amp; Mcleod, 2023a). Mcleod (2023a) believes another reason for limited responses is that questionnaire responses are established in advance, not allowing participants to adequately communicate their feelings and thoughts. Likert scale questions were included in the questionnaire to allow a deeper understanding of the pupil’s perceptions. Likert scale questions are a great method to use when measuring unobservable aspects (Jebb et al, 2021). To guarantee the validity of the questionnaire data, all questions were assessed to ensure they collected the data they intended to collect (Mo et al, 2023).</w:t>
      </w:r>
    </w:p>
    <w:p w14:paraId="34445362" w14:textId="77777777" w:rsidR="00337F04" w:rsidRPr="00337F04" w:rsidRDefault="00337F04" w:rsidP="00337F04">
      <w:pPr>
        <w:spacing w:before="100" w:beforeAutospacing="1" w:after="100" w:afterAutospacing="1" w:line="360" w:lineRule="auto"/>
        <w:rPr>
          <w:rFonts w:asciiTheme="majorHAnsi" w:eastAsia="Times New Roman" w:hAnsiTheme="majorHAnsi" w:cstheme="majorHAnsi"/>
          <w:color w:val="000000"/>
          <w:lang w:eastAsia="en-GB"/>
        </w:rPr>
      </w:pPr>
      <w:r w:rsidRPr="00337F04">
        <w:rPr>
          <w:rFonts w:asciiTheme="majorHAnsi" w:eastAsia="Times New Roman" w:hAnsiTheme="majorHAnsi" w:cstheme="majorHAnsi"/>
          <w:color w:val="000000"/>
          <w:lang w:eastAsia="en-GB"/>
        </w:rPr>
        <w:lastRenderedPageBreak/>
        <w:t>The academic attainment of the participants involved may influence the complexity of the study. The attainment of pupils involved would have had an impact on their level of engagement and understanding during cold-calling sessions. Participants who have a higher attain demonstrated greater confidence and participation in all aspects of the study, in comparison to the participants with lower academic attainment. However, both responses were valuable for the diversity of the study, allowing research across different abilities in the classroom. </w:t>
      </w:r>
    </w:p>
    <w:p w14:paraId="47399FF5" w14:textId="77777777" w:rsidR="00FD37D8" w:rsidRPr="006322F0" w:rsidRDefault="00FD37D8" w:rsidP="00275D10">
      <w:pPr>
        <w:spacing w:line="360" w:lineRule="auto"/>
        <w:rPr>
          <w:rFonts w:asciiTheme="majorHAnsi" w:hAnsiTheme="majorHAnsi" w:cstheme="majorHAnsi"/>
        </w:rPr>
      </w:pPr>
    </w:p>
    <w:p w14:paraId="5A153BED" w14:textId="359F9C3D" w:rsidR="00F77A22" w:rsidRPr="006322F0" w:rsidRDefault="00050682" w:rsidP="00275D10">
      <w:pPr>
        <w:spacing w:line="360" w:lineRule="auto"/>
        <w:rPr>
          <w:rFonts w:asciiTheme="majorHAnsi" w:hAnsiTheme="majorHAnsi" w:cstheme="majorHAnsi"/>
        </w:rPr>
      </w:pPr>
      <w:r w:rsidRPr="006322F0">
        <w:rPr>
          <w:rFonts w:asciiTheme="majorHAnsi" w:hAnsiTheme="majorHAnsi" w:cstheme="majorHAnsi"/>
        </w:rPr>
        <w:t xml:space="preserve"> </w:t>
      </w:r>
      <w:r w:rsidR="00F77A22" w:rsidRPr="006322F0">
        <w:rPr>
          <w:rFonts w:asciiTheme="majorHAnsi" w:hAnsiTheme="majorHAnsi" w:cstheme="majorHAnsi"/>
          <w:b/>
          <w:bCs/>
        </w:rPr>
        <w:t>Data presentation and analysis methods</w:t>
      </w:r>
      <w:r w:rsidR="00F77A22" w:rsidRPr="006322F0">
        <w:rPr>
          <w:rFonts w:asciiTheme="majorHAnsi" w:hAnsiTheme="majorHAnsi" w:cstheme="majorHAnsi"/>
        </w:rPr>
        <w:t xml:space="preserve"> </w:t>
      </w:r>
    </w:p>
    <w:p w14:paraId="10E7CEE7" w14:textId="026E644D" w:rsidR="00803DBB" w:rsidRPr="00803DBB" w:rsidRDefault="00803DBB" w:rsidP="00803DBB">
      <w:pPr>
        <w:spacing w:before="100" w:beforeAutospacing="1" w:after="100" w:afterAutospacing="1" w:line="360" w:lineRule="auto"/>
        <w:rPr>
          <w:rFonts w:asciiTheme="majorHAnsi" w:eastAsia="Times New Roman" w:hAnsiTheme="majorHAnsi" w:cstheme="majorHAnsi"/>
          <w:color w:val="000000"/>
          <w:lang w:eastAsia="en-GB"/>
        </w:rPr>
      </w:pPr>
      <w:r w:rsidRPr="00803DBB">
        <w:rPr>
          <w:rFonts w:asciiTheme="majorHAnsi" w:eastAsia="Times New Roman" w:hAnsiTheme="majorHAnsi" w:cstheme="majorHAnsi"/>
          <w:color w:val="000000"/>
          <w:lang w:eastAsia="en-GB"/>
        </w:rPr>
        <w:t xml:space="preserve">A thematic approach was used for data presentation and analysis for this research study. Thematic analysis </w:t>
      </w:r>
      <w:r w:rsidR="00DD6544">
        <w:rPr>
          <w:rFonts w:asciiTheme="majorHAnsi" w:eastAsia="Times New Roman" w:hAnsiTheme="majorHAnsi" w:cstheme="majorHAnsi"/>
          <w:color w:val="000000"/>
          <w:lang w:eastAsia="en-GB"/>
        </w:rPr>
        <w:t>was employed</w:t>
      </w:r>
      <w:r w:rsidRPr="00803DBB">
        <w:rPr>
          <w:rFonts w:asciiTheme="majorHAnsi" w:eastAsia="Times New Roman" w:hAnsiTheme="majorHAnsi" w:cstheme="majorHAnsi"/>
          <w:color w:val="000000"/>
          <w:lang w:eastAsia="en-GB"/>
        </w:rPr>
        <w:t xml:space="preserve"> to identify any patterns and themes within the qualitative data collected that are deemed </w:t>
      </w:r>
      <w:r w:rsidR="005C5EA2">
        <w:rPr>
          <w:rFonts w:asciiTheme="majorHAnsi" w:eastAsia="Times New Roman" w:hAnsiTheme="majorHAnsi" w:cstheme="majorHAnsi"/>
          <w:color w:val="000000"/>
          <w:lang w:eastAsia="en-GB"/>
        </w:rPr>
        <w:t>significant a</w:t>
      </w:r>
      <w:r w:rsidR="00C03B0A">
        <w:rPr>
          <w:rFonts w:asciiTheme="majorHAnsi" w:eastAsia="Times New Roman" w:hAnsiTheme="majorHAnsi" w:cstheme="majorHAnsi"/>
          <w:color w:val="000000"/>
          <w:lang w:eastAsia="en-GB"/>
        </w:rPr>
        <w:t xml:space="preserve">nd fascinating </w:t>
      </w:r>
      <w:r w:rsidRPr="00803DBB">
        <w:rPr>
          <w:rFonts w:asciiTheme="majorHAnsi" w:eastAsia="Times New Roman" w:hAnsiTheme="majorHAnsi" w:cstheme="majorHAnsi"/>
          <w:color w:val="000000"/>
          <w:lang w:eastAsia="en-GB"/>
        </w:rPr>
        <w:t xml:space="preserve">(Maguire and Delahunt, 2017). Data-rich information can easily be summarised as the method allows similarities and differences to be identified and highlighted (Braun and Clarke, 2006). Following the analysis of the collected data, any sequences identified can be defined as themes to analyse (Maguire and Delahunt, 2017). Data coding is the sorting process where the collected data is collated into a structured and meaningful way, aiding thematic analysis. Maguire and Delahunt (2017) state that the </w:t>
      </w:r>
      <w:r w:rsidR="002D40AB">
        <w:rPr>
          <w:rFonts w:asciiTheme="majorHAnsi" w:eastAsia="Times New Roman" w:hAnsiTheme="majorHAnsi" w:cstheme="majorHAnsi"/>
          <w:color w:val="000000"/>
          <w:lang w:eastAsia="en-GB"/>
        </w:rPr>
        <w:t xml:space="preserve">investigators </w:t>
      </w:r>
      <w:r w:rsidRPr="00803DBB">
        <w:rPr>
          <w:rFonts w:asciiTheme="majorHAnsi" w:eastAsia="Times New Roman" w:hAnsiTheme="majorHAnsi" w:cstheme="majorHAnsi"/>
          <w:color w:val="000000"/>
          <w:lang w:eastAsia="en-GB"/>
        </w:rPr>
        <w:t>question, and perspective will determine the desired coding method. The thematic themes were analysed through the use of coding, to ensure the data collected was familiarised before constructing themes (Appendix 8). </w:t>
      </w:r>
    </w:p>
    <w:p w14:paraId="27F91D21" w14:textId="77777777" w:rsidR="00803DBB" w:rsidRPr="00803DBB" w:rsidRDefault="00803DBB" w:rsidP="00803DBB">
      <w:pPr>
        <w:spacing w:before="100" w:beforeAutospacing="1" w:after="100" w:afterAutospacing="1" w:line="360" w:lineRule="auto"/>
        <w:rPr>
          <w:rFonts w:asciiTheme="majorHAnsi" w:eastAsia="Times New Roman" w:hAnsiTheme="majorHAnsi" w:cstheme="majorHAnsi"/>
          <w:color w:val="000000"/>
          <w:lang w:eastAsia="en-GB"/>
        </w:rPr>
      </w:pPr>
      <w:r w:rsidRPr="00803DBB">
        <w:rPr>
          <w:rFonts w:asciiTheme="majorHAnsi" w:eastAsia="Times New Roman" w:hAnsiTheme="majorHAnsi" w:cstheme="majorHAnsi"/>
          <w:color w:val="000000"/>
          <w:lang w:eastAsia="en-GB"/>
        </w:rPr>
        <w:t>However, this research study includes a mixed-method approach that includes quantitative and qualitative data. Braun and Clarke (2013) state that when analysing data using the thematic approach, quantitative data can help to achieve a more profound comprehension of the research question. Efforts were undertaken to improve the transferability of the study by offering detailed descriptions of the research and employing a simple random sampling to include a range of different viewpoints. However, all data collected was confidential, therefore the opportunity to check confirmability through discussions with colleagues or peers regarding biases or interpretations was restricted (Korstjens and Moser, 2017).</w:t>
      </w:r>
    </w:p>
    <w:p w14:paraId="419D5D67" w14:textId="77777777" w:rsidR="00FD37D8" w:rsidRPr="006322F0" w:rsidRDefault="00FD37D8" w:rsidP="00275D10">
      <w:pPr>
        <w:spacing w:line="360" w:lineRule="auto"/>
        <w:rPr>
          <w:rFonts w:asciiTheme="majorHAnsi" w:hAnsiTheme="majorHAnsi" w:cstheme="majorHAnsi"/>
        </w:rPr>
      </w:pPr>
    </w:p>
    <w:p w14:paraId="6BBD6659" w14:textId="77777777" w:rsidR="00275D10" w:rsidRPr="006322F0" w:rsidRDefault="00275D10" w:rsidP="00275D10">
      <w:pPr>
        <w:spacing w:line="360" w:lineRule="auto"/>
        <w:rPr>
          <w:rFonts w:asciiTheme="majorHAnsi" w:hAnsiTheme="majorHAnsi" w:cstheme="majorHAnsi"/>
        </w:rPr>
      </w:pPr>
    </w:p>
    <w:p w14:paraId="6A78DFE8" w14:textId="77777777" w:rsidR="00803DBB" w:rsidRDefault="00803DBB">
      <w:pPr>
        <w:rPr>
          <w:rFonts w:asciiTheme="majorHAnsi" w:hAnsiTheme="majorHAnsi" w:cstheme="majorHAnsi"/>
          <w:b/>
          <w:bCs/>
        </w:rPr>
      </w:pPr>
    </w:p>
    <w:p w14:paraId="477244DC" w14:textId="77777777" w:rsidR="00803DBB" w:rsidRDefault="00803DBB">
      <w:pPr>
        <w:rPr>
          <w:rFonts w:asciiTheme="majorHAnsi" w:hAnsiTheme="majorHAnsi" w:cstheme="majorHAnsi"/>
          <w:b/>
          <w:bCs/>
        </w:rPr>
      </w:pPr>
    </w:p>
    <w:p w14:paraId="7819A302" w14:textId="77777777" w:rsidR="00803DBB" w:rsidRDefault="00803DBB">
      <w:pPr>
        <w:rPr>
          <w:rFonts w:asciiTheme="majorHAnsi" w:hAnsiTheme="majorHAnsi" w:cstheme="majorHAnsi"/>
          <w:b/>
          <w:bCs/>
        </w:rPr>
      </w:pPr>
    </w:p>
    <w:p w14:paraId="32F11D2D" w14:textId="05C8816B" w:rsidR="001954C7" w:rsidRDefault="00F77A22">
      <w:pPr>
        <w:rPr>
          <w:rFonts w:asciiTheme="majorHAnsi" w:hAnsiTheme="majorHAnsi" w:cstheme="majorHAnsi"/>
        </w:rPr>
      </w:pPr>
      <w:r w:rsidRPr="006322F0">
        <w:rPr>
          <w:rFonts w:asciiTheme="majorHAnsi" w:hAnsiTheme="majorHAnsi" w:cstheme="majorHAnsi"/>
          <w:b/>
          <w:bCs/>
        </w:rPr>
        <w:t>Results</w:t>
      </w:r>
      <w:r w:rsidRPr="006322F0">
        <w:rPr>
          <w:rFonts w:asciiTheme="majorHAnsi" w:hAnsiTheme="majorHAnsi" w:cstheme="majorHAnsi"/>
        </w:rPr>
        <w:t xml:space="preserve"> </w:t>
      </w:r>
    </w:p>
    <w:p w14:paraId="55993EA7" w14:textId="77777777" w:rsidR="00AE127C" w:rsidRDefault="00AE127C">
      <w:pPr>
        <w:rPr>
          <w:rFonts w:asciiTheme="majorHAnsi" w:hAnsiTheme="majorHAnsi" w:cstheme="majorHAnsi"/>
        </w:rPr>
      </w:pPr>
    </w:p>
    <w:p w14:paraId="3589F64A" w14:textId="78B55A7B" w:rsidR="00AF1124" w:rsidRPr="00AF1124" w:rsidRDefault="00AF1124" w:rsidP="00AF1124">
      <w:pPr>
        <w:spacing w:before="100" w:beforeAutospacing="1" w:after="100" w:afterAutospacing="1" w:line="360" w:lineRule="auto"/>
        <w:rPr>
          <w:rFonts w:asciiTheme="majorHAnsi" w:eastAsia="Times New Roman" w:hAnsiTheme="majorHAnsi" w:cstheme="majorHAnsi"/>
          <w:color w:val="000000"/>
          <w:lang w:eastAsia="en-GB"/>
        </w:rPr>
      </w:pPr>
      <w:r w:rsidRPr="00AF1124">
        <w:rPr>
          <w:rFonts w:asciiTheme="majorHAnsi" w:eastAsia="Times New Roman" w:hAnsiTheme="majorHAnsi" w:cstheme="majorHAnsi"/>
          <w:color w:val="000000"/>
          <w:lang w:eastAsia="en-GB"/>
        </w:rPr>
        <w:t>The following section of this research study will present the data collected from the research methods discussed providing an insight on how effective the implementation of cold calling is an intervention strategy when asked questions in the classroom. The data collected from both observations and questionnaires will be presented collectively in this section to provide a comprehensive analysis. Combining both research methods to gain a deeper understanding of the pupils’ perspectives and understanding of cold calling</w:t>
      </w:r>
      <w:r w:rsidR="00A21504">
        <w:rPr>
          <w:rFonts w:asciiTheme="majorHAnsi" w:eastAsia="Times New Roman" w:hAnsiTheme="majorHAnsi" w:cstheme="majorHAnsi"/>
          <w:color w:val="000000"/>
          <w:lang w:eastAsia="en-GB"/>
        </w:rPr>
        <w:t xml:space="preserve"> (</w:t>
      </w:r>
      <w:r w:rsidR="00A21504" w:rsidRPr="00803DBB">
        <w:rPr>
          <w:rFonts w:asciiTheme="majorHAnsi" w:eastAsia="Times New Roman" w:hAnsiTheme="majorHAnsi" w:cstheme="majorHAnsi"/>
          <w:color w:val="000000"/>
          <w:lang w:eastAsia="en-GB"/>
        </w:rPr>
        <w:t>Braun and Clarke</w:t>
      </w:r>
      <w:r w:rsidR="00A21504">
        <w:rPr>
          <w:rFonts w:asciiTheme="majorHAnsi" w:eastAsia="Times New Roman" w:hAnsiTheme="majorHAnsi" w:cstheme="majorHAnsi"/>
          <w:color w:val="000000"/>
          <w:lang w:eastAsia="en-GB"/>
        </w:rPr>
        <w:t xml:space="preserve">, </w:t>
      </w:r>
      <w:r w:rsidR="00A21504" w:rsidRPr="00803DBB">
        <w:rPr>
          <w:rFonts w:asciiTheme="majorHAnsi" w:eastAsia="Times New Roman" w:hAnsiTheme="majorHAnsi" w:cstheme="majorHAnsi"/>
          <w:color w:val="000000"/>
          <w:lang w:eastAsia="en-GB"/>
        </w:rPr>
        <w:t>2013)</w:t>
      </w:r>
      <w:r w:rsidR="00A21504">
        <w:rPr>
          <w:rFonts w:asciiTheme="majorHAnsi" w:eastAsia="Times New Roman" w:hAnsiTheme="majorHAnsi" w:cstheme="majorHAnsi"/>
          <w:color w:val="000000"/>
          <w:lang w:eastAsia="en-GB"/>
        </w:rPr>
        <w:t>.</w:t>
      </w:r>
    </w:p>
    <w:p w14:paraId="08BA3ED7" w14:textId="77777777" w:rsidR="00AF1124" w:rsidRPr="00AF1124" w:rsidRDefault="00AF1124" w:rsidP="00AF1124">
      <w:pPr>
        <w:spacing w:before="100" w:beforeAutospacing="1" w:after="100" w:afterAutospacing="1" w:line="360" w:lineRule="auto"/>
        <w:rPr>
          <w:rFonts w:asciiTheme="majorHAnsi" w:eastAsia="Times New Roman" w:hAnsiTheme="majorHAnsi" w:cstheme="majorHAnsi"/>
          <w:color w:val="000000"/>
          <w:lang w:eastAsia="en-GB"/>
        </w:rPr>
      </w:pPr>
      <w:r w:rsidRPr="00AF1124">
        <w:rPr>
          <w:rFonts w:asciiTheme="majorHAnsi" w:eastAsia="Times New Roman" w:hAnsiTheme="majorHAnsi" w:cstheme="majorHAnsi"/>
          <w:color w:val="000000"/>
          <w:lang w:eastAsia="en-GB"/>
        </w:rPr>
        <w:t>All pupils demonstrated a distinct understanding of cold calling. The most common theme within the definitions of cold calling for question 2 (Appendix 1) was a hand-up or hands-down method, instructed by the teacher. This aligns with the idea that cold calling is a questioning technique used in the classroom (Borders, 2021). All participants of this case study indicated that they consistently voluntarily engage in the classroom. This data reflects the observation as during the observation, if cold calling was not employed, all participants at various parts of the lesson voluntarily participated. This data suggests that all participants are confident with their understanding of the topics taught and their reaction to this is to regularly respond to questions asked (Neppl, 2019). </w:t>
      </w:r>
    </w:p>
    <w:p w14:paraId="6C097C4B" w14:textId="77777777" w:rsidR="00AF1124" w:rsidRPr="00AF1124" w:rsidRDefault="00AF1124" w:rsidP="00AF1124">
      <w:pPr>
        <w:spacing w:before="100" w:beforeAutospacing="1" w:after="100" w:afterAutospacing="1" w:line="360" w:lineRule="auto"/>
        <w:rPr>
          <w:rFonts w:asciiTheme="majorHAnsi" w:eastAsia="Times New Roman" w:hAnsiTheme="majorHAnsi" w:cstheme="majorHAnsi"/>
          <w:color w:val="000000"/>
          <w:lang w:eastAsia="en-GB"/>
        </w:rPr>
      </w:pPr>
      <w:r w:rsidRPr="00AF1124">
        <w:rPr>
          <w:rFonts w:asciiTheme="majorHAnsi" w:eastAsia="Times New Roman" w:hAnsiTheme="majorHAnsi" w:cstheme="majorHAnsi"/>
          <w:color w:val="000000"/>
          <w:lang w:eastAsia="en-GB"/>
        </w:rPr>
        <w:t xml:space="preserve">In response to question 3 (Appendix 1) a common theme uncovered was the use of cold calling in the classroom as a behavioural tool. Suggesting that the teacher may ask a pupil a question if the teacher noticed the pupil is disengaged or not focused. As highlighted in the literature review, Lemov (2010) believes cold calling has a favourable outcome on behaviour in the classroom. Child C believes that cold calling is used in their classroom when someone does not look like they know what to do or is not listening. However, as previously discussed in the literature review, this response opposes Border's (2021) belief that cold calling should not be used as a behavioural tool for pupils who lack focus or are distracted. This data reflects the observation, as Child 6 was asked a question after pupils had 3 minutes to discuss their answer with their partners. They were unable to answer when they were chosen </w:t>
      </w:r>
      <w:r w:rsidRPr="00AF1124">
        <w:rPr>
          <w:rFonts w:asciiTheme="majorHAnsi" w:eastAsia="Times New Roman" w:hAnsiTheme="majorHAnsi" w:cstheme="majorHAnsi"/>
          <w:color w:val="000000"/>
          <w:lang w:eastAsia="en-GB"/>
        </w:rPr>
        <w:lastRenderedPageBreak/>
        <w:t>through cold calling because, during the discussion, they were off-topic. Responses to question 8 (Appendix 1) also suggested that cold calling can be used as a behavioural tool. </w:t>
      </w:r>
    </w:p>
    <w:p w14:paraId="42F2404F" w14:textId="77777777" w:rsidR="00AF1124" w:rsidRPr="00AF1124" w:rsidRDefault="00AF1124" w:rsidP="00AF1124">
      <w:pPr>
        <w:spacing w:before="100" w:beforeAutospacing="1" w:after="100" w:afterAutospacing="1" w:line="360" w:lineRule="auto"/>
        <w:rPr>
          <w:rFonts w:asciiTheme="majorHAnsi" w:eastAsia="Times New Roman" w:hAnsiTheme="majorHAnsi" w:cstheme="majorHAnsi"/>
          <w:color w:val="000000"/>
          <w:lang w:eastAsia="en-GB"/>
        </w:rPr>
      </w:pPr>
      <w:r w:rsidRPr="00AF1124">
        <w:rPr>
          <w:rFonts w:asciiTheme="majorHAnsi" w:eastAsia="Times New Roman" w:hAnsiTheme="majorHAnsi" w:cstheme="majorHAnsi"/>
          <w:color w:val="000000"/>
          <w:lang w:eastAsia="en-GB"/>
        </w:rPr>
        <w:t>Upon analysis of themes, 50% of pupils mentioned a positive aspect of cold calling was to help stay focused during lesson time. Explaining the reasoning that if you are not focused you will not know how to answer. 83.3% of pupils believe that cold calling encourages them to pay closer attention during lesson time, with the same percentage of participants stating they believe the use of cold calling in their classroom helps them to understand the topic better. This aligns with Lemov's (2015) proposal on the importance of cold calling as an approach to ensuring pupils are attentive and engaged throughout lessons when implemented regularly in the classroom. </w:t>
      </w:r>
    </w:p>
    <w:p w14:paraId="6299E24D" w14:textId="77777777" w:rsidR="00AF1124" w:rsidRPr="00AF1124" w:rsidRDefault="00AF1124" w:rsidP="00AF1124">
      <w:pPr>
        <w:spacing w:before="100" w:beforeAutospacing="1" w:after="100" w:afterAutospacing="1" w:line="360" w:lineRule="auto"/>
        <w:rPr>
          <w:rFonts w:asciiTheme="majorHAnsi" w:eastAsia="Times New Roman" w:hAnsiTheme="majorHAnsi" w:cstheme="majorHAnsi"/>
          <w:color w:val="000000"/>
          <w:lang w:eastAsia="en-GB"/>
        </w:rPr>
      </w:pPr>
      <w:r w:rsidRPr="00AF1124">
        <w:rPr>
          <w:rFonts w:asciiTheme="majorHAnsi" w:eastAsia="Times New Roman" w:hAnsiTheme="majorHAnsi" w:cstheme="majorHAnsi"/>
          <w:color w:val="000000"/>
          <w:lang w:eastAsia="en-GB"/>
        </w:rPr>
        <w:t>Literature suggests that cold calling triggers anxiety in pupils and educators (Neppl, 2019). In response to question 7 (Appendix 1) 50% of participants reported feelings of apprehension, while the other 50% reported feelings of contentment and satisfaction when called on unexpectedly. Despite all participants feeling neither comfortable nor uncomfortable or above on the Likert scale. This data correlates with the data generated from the observations as Childs 1 and 2 were very engaged at all times and their body language suggested they were happy and confident to share their answers. Meanwhile, Child 4 was very engaged in the lesson, however, answers to questions were very short and one-worded, and body language suggested they were nervous. Child D reported that they feel nervous when first called upon but then begin to feel better because they enjoy sharing their ideas. Literature suggests that creating an inclusive environment is the key aspect of cold calling to ensure pupils are comfortable sharing answers regularly (Sherrington, 2021). </w:t>
      </w:r>
    </w:p>
    <w:p w14:paraId="448B8860" w14:textId="77777777" w:rsidR="00AF1124" w:rsidRPr="00AF1124" w:rsidRDefault="00AF1124" w:rsidP="00AF1124">
      <w:pPr>
        <w:spacing w:before="100" w:beforeAutospacing="1" w:after="100" w:afterAutospacing="1" w:line="360" w:lineRule="auto"/>
        <w:rPr>
          <w:rFonts w:asciiTheme="majorHAnsi" w:eastAsia="Times New Roman" w:hAnsiTheme="majorHAnsi" w:cstheme="majorHAnsi"/>
          <w:color w:val="000000"/>
          <w:lang w:eastAsia="en-GB"/>
        </w:rPr>
      </w:pPr>
      <w:r w:rsidRPr="00AF1124">
        <w:rPr>
          <w:rFonts w:asciiTheme="majorHAnsi" w:eastAsia="Times New Roman" w:hAnsiTheme="majorHAnsi" w:cstheme="majorHAnsi"/>
          <w:color w:val="000000"/>
          <w:lang w:eastAsia="en-GB"/>
        </w:rPr>
        <w:t xml:space="preserve">In response to the research question on the effectiveness of cold calling for lack of student participation in the classroom, 100% of participants' responses to question 11 (Appendix 1) suggested they would be willing for cold calling to be used more often in their classroom. A consistent theme throughout responses is classroom management techniques. Child E believes that if cold calling was used less frequently in the classroom, more people would shout out. While 50% of participants believe cold calling helped pupils stay focused, Child B stated they like it when cold calling is used. 83.3% of participants believe that in their classroom cold calling is fair to all pupils. Child A believes that cold calling is fair to all pupils </w:t>
      </w:r>
      <w:r w:rsidRPr="00AF1124">
        <w:rPr>
          <w:rFonts w:asciiTheme="majorHAnsi" w:eastAsia="Times New Roman" w:hAnsiTheme="majorHAnsi" w:cstheme="majorHAnsi"/>
          <w:color w:val="000000"/>
          <w:lang w:eastAsia="en-GB"/>
        </w:rPr>
        <w:lastRenderedPageBreak/>
        <w:t>because everyone will have to think about the answer. After all, you don’t know who is going to be called on. Again, this idea links back to Lemov's (2015) suggestion regarding the frequent use of cold calling to help engage pupils and ensure they are focused. Child D expressed their idea for cold calling being fair, as a way to ensure everyone has a chance to answer. Stating that not all pupils put up their hands but when cold calling is used everyone has the opportunity to share ideas. This idea can be associated with the literature that suggests that individuals who lack confidence will avoid participation in class discussions when possible (Neppl, 2019 &amp; Lemov, 2015). </w:t>
      </w:r>
    </w:p>
    <w:p w14:paraId="6F1DA84A" w14:textId="77777777" w:rsidR="00AF1124" w:rsidRPr="006322F0" w:rsidRDefault="00AF1124">
      <w:pPr>
        <w:rPr>
          <w:rFonts w:asciiTheme="majorHAnsi" w:hAnsiTheme="majorHAnsi" w:cstheme="majorHAnsi"/>
        </w:rPr>
      </w:pPr>
    </w:p>
    <w:p w14:paraId="7879C7B1" w14:textId="77777777" w:rsidR="001954C7" w:rsidRPr="006322F0" w:rsidRDefault="001954C7">
      <w:pPr>
        <w:rPr>
          <w:rFonts w:asciiTheme="majorHAnsi" w:hAnsiTheme="majorHAnsi" w:cstheme="majorHAnsi"/>
        </w:rPr>
      </w:pPr>
    </w:p>
    <w:p w14:paraId="0F0F8CF8" w14:textId="3BCCD8D3" w:rsidR="00F77A22" w:rsidRPr="00E23E03" w:rsidRDefault="00F77A22">
      <w:pPr>
        <w:rPr>
          <w:rFonts w:asciiTheme="majorHAnsi" w:hAnsiTheme="majorHAnsi" w:cstheme="majorHAnsi"/>
        </w:rPr>
      </w:pPr>
      <w:r w:rsidRPr="00E23E03">
        <w:rPr>
          <w:rFonts w:asciiTheme="majorHAnsi" w:hAnsiTheme="majorHAnsi" w:cstheme="majorHAnsi"/>
          <w:b/>
          <w:bCs/>
        </w:rPr>
        <w:t>Conclusion and Reflection</w:t>
      </w:r>
      <w:r w:rsidRPr="00E23E03">
        <w:rPr>
          <w:rFonts w:asciiTheme="majorHAnsi" w:hAnsiTheme="majorHAnsi" w:cstheme="majorHAnsi"/>
        </w:rPr>
        <w:t xml:space="preserve"> </w:t>
      </w:r>
    </w:p>
    <w:p w14:paraId="76B23A0A" w14:textId="77777777" w:rsidR="00F77A22" w:rsidRDefault="00F77A22">
      <w:pPr>
        <w:rPr>
          <w:rFonts w:asciiTheme="majorHAnsi" w:hAnsiTheme="majorHAnsi" w:cstheme="majorHAnsi"/>
        </w:rPr>
      </w:pPr>
    </w:p>
    <w:p w14:paraId="4D7393F5" w14:textId="77777777" w:rsidR="002841D8" w:rsidRPr="002841D8" w:rsidRDefault="002841D8" w:rsidP="002841D8">
      <w:pPr>
        <w:spacing w:before="100" w:beforeAutospacing="1" w:after="100" w:afterAutospacing="1" w:line="360" w:lineRule="auto"/>
        <w:rPr>
          <w:rFonts w:asciiTheme="majorHAnsi" w:eastAsia="Times New Roman" w:hAnsiTheme="majorHAnsi" w:cstheme="majorHAnsi"/>
          <w:color w:val="000000"/>
          <w:lang w:eastAsia="en-GB"/>
        </w:rPr>
      </w:pPr>
      <w:r w:rsidRPr="002841D8">
        <w:rPr>
          <w:rFonts w:asciiTheme="majorHAnsi" w:eastAsia="Times New Roman" w:hAnsiTheme="majorHAnsi" w:cstheme="majorHAnsi"/>
          <w:color w:val="000000"/>
          <w:lang w:eastAsia="en-GB"/>
        </w:rPr>
        <w:t>To conclude, upon reflection of the research question, the research collected provides many reasons as to why cold calling could be used as an effective intervention strategy in the classroom. It is evident from analysed data that participants understand, engage and participate in cold calling effectively in the classroom environment. As discussed, the majority of participants believe cold calling is fair and cold calling encourages them to stay focused on the lesson. Despite many positives analysed from the data collected, it is evident that there are challenges when using cold calling. A range of emotions were noticed during thematic coding, such as confusion, anxiety, nervousness and scared. This could be a potential barrier when implementing cold calling in a classroom for the lack of participation during class discussion as these emotions can automatically stop pupils from participating in class discussions (Neppl, 2019). There could be many reasons as to why pupils feel these emotions, one being the pupil was chosen to answer and they have not volunteered and would not usually participate (Morek et al, 2022). </w:t>
      </w:r>
    </w:p>
    <w:p w14:paraId="65FFEB54" w14:textId="185A564D" w:rsidR="002841D8" w:rsidRPr="002841D8" w:rsidRDefault="002841D8" w:rsidP="002841D8">
      <w:pPr>
        <w:spacing w:before="100" w:beforeAutospacing="1" w:after="100" w:afterAutospacing="1" w:line="360" w:lineRule="auto"/>
        <w:rPr>
          <w:rFonts w:asciiTheme="majorHAnsi" w:eastAsia="Times New Roman" w:hAnsiTheme="majorHAnsi" w:cstheme="majorHAnsi"/>
          <w:color w:val="000000"/>
          <w:lang w:eastAsia="en-GB"/>
        </w:rPr>
      </w:pPr>
      <w:proofErr w:type="gramStart"/>
      <w:r w:rsidRPr="002841D8">
        <w:rPr>
          <w:rFonts w:asciiTheme="majorHAnsi" w:eastAsia="Times New Roman" w:hAnsiTheme="majorHAnsi" w:cstheme="majorHAnsi"/>
          <w:color w:val="000000"/>
          <w:lang w:eastAsia="en-GB"/>
        </w:rPr>
        <w:t>Despite collecting enriched data, there</w:t>
      </w:r>
      <w:proofErr w:type="gramEnd"/>
      <w:r w:rsidRPr="002841D8">
        <w:rPr>
          <w:rFonts w:asciiTheme="majorHAnsi" w:eastAsia="Times New Roman" w:hAnsiTheme="majorHAnsi" w:cstheme="majorHAnsi"/>
          <w:color w:val="000000"/>
          <w:lang w:eastAsia="en-GB"/>
        </w:rPr>
        <w:t xml:space="preserve"> are limitations to this study as the research question has not been concluded. The data collected has allowed exploration of pupil’s perceptions of cold calling and their feelings towards it being used regularly in the classroom. Due to a small sampling size, the study would have benefited from a larger audience. This study includes six questionnaire responses and one observation of the six individuals who completed the questionnaires. The study would have benefited from responses from different individuals for </w:t>
      </w:r>
      <w:r w:rsidRPr="002841D8">
        <w:rPr>
          <w:rFonts w:asciiTheme="majorHAnsi" w:eastAsia="Times New Roman" w:hAnsiTheme="majorHAnsi" w:cstheme="majorHAnsi"/>
          <w:color w:val="000000"/>
          <w:lang w:eastAsia="en-GB"/>
        </w:rPr>
        <w:lastRenderedPageBreak/>
        <w:t xml:space="preserve">both research methods to </w:t>
      </w:r>
      <w:r w:rsidR="00496B57">
        <w:rPr>
          <w:rFonts w:asciiTheme="majorHAnsi" w:eastAsia="Times New Roman" w:hAnsiTheme="majorHAnsi" w:cstheme="majorHAnsi"/>
          <w:color w:val="000000"/>
          <w:lang w:eastAsia="en-GB"/>
        </w:rPr>
        <w:t xml:space="preserve">cultivate a more comprehensive understanding </w:t>
      </w:r>
      <w:r w:rsidRPr="002841D8">
        <w:rPr>
          <w:rFonts w:asciiTheme="majorHAnsi" w:eastAsia="Times New Roman" w:hAnsiTheme="majorHAnsi" w:cstheme="majorHAnsi"/>
          <w:color w:val="000000"/>
          <w:lang w:eastAsia="en-GB"/>
        </w:rPr>
        <w:t>of the lack of participation in the classroom. If more time had been allocated, interviews would have been a sufficient research method that could have been used to allow participants to elaborate on their questionnaire answers. This would have enhanced the data collected as the reasons why they feel a particular way could have been explored. Reflecting on the limitations and improvements suggested, it is evident that this research question is not been explored thoroughly and further research would be beneficial to explore the research question further. To gain reliable data regarding cold calling as an intervention for lack of student participation, further research would need to be completed over a longer period to be able to explore and compare the differences when cold calling is used frequently in the classroom. This research is not transferable, as pupils in different schools and areas will feel differently towards cold calling and its implementation in the classroom. Therefore, the research data collected in this study would not be appropriate to use in another setting. </w:t>
      </w:r>
    </w:p>
    <w:p w14:paraId="25F3E0BD" w14:textId="77777777" w:rsidR="002841D8" w:rsidRPr="002841D8" w:rsidRDefault="002841D8" w:rsidP="002841D8">
      <w:pPr>
        <w:spacing w:before="100" w:beforeAutospacing="1" w:after="100" w:afterAutospacing="1" w:line="360" w:lineRule="auto"/>
        <w:rPr>
          <w:rFonts w:asciiTheme="majorHAnsi" w:eastAsia="Times New Roman" w:hAnsiTheme="majorHAnsi" w:cstheme="majorHAnsi"/>
          <w:color w:val="000000"/>
          <w:lang w:eastAsia="en-GB"/>
        </w:rPr>
      </w:pPr>
      <w:r w:rsidRPr="002841D8">
        <w:rPr>
          <w:rFonts w:asciiTheme="majorHAnsi" w:eastAsia="Times New Roman" w:hAnsiTheme="majorHAnsi" w:cstheme="majorHAnsi"/>
          <w:color w:val="000000"/>
          <w:lang w:eastAsia="en-GB"/>
        </w:rPr>
        <w:t>It is evident from the research collected and the literature that cold calling is best explored in an inclusive environment where pupils are respected (Sherrington, 2021). This research study has influenced my teaching pedagogy and professional learning in many ways. It has emphasised the importance of reflective practice, to ensure my teaching methods create an environment for pupils whereby they feel supported. Ensuring my focus is on effort and not the answer when implementing cold calling to encourage participation and class discussion (Terada, 2023).</w:t>
      </w:r>
    </w:p>
    <w:p w14:paraId="1D2456D3" w14:textId="77777777" w:rsidR="00824ADC" w:rsidRDefault="00824ADC">
      <w:pPr>
        <w:rPr>
          <w:rFonts w:asciiTheme="majorHAnsi" w:hAnsiTheme="majorHAnsi" w:cstheme="majorHAnsi"/>
        </w:rPr>
      </w:pPr>
    </w:p>
    <w:p w14:paraId="6CB67229" w14:textId="77777777" w:rsidR="00824ADC" w:rsidRDefault="00824ADC">
      <w:pPr>
        <w:rPr>
          <w:rFonts w:asciiTheme="majorHAnsi" w:hAnsiTheme="majorHAnsi" w:cstheme="majorHAnsi"/>
        </w:rPr>
      </w:pPr>
    </w:p>
    <w:p w14:paraId="63D2A511" w14:textId="77777777" w:rsidR="00824ADC" w:rsidRPr="00E23E03" w:rsidRDefault="00824ADC">
      <w:pPr>
        <w:rPr>
          <w:rFonts w:asciiTheme="majorHAnsi" w:hAnsiTheme="majorHAnsi" w:cstheme="majorHAnsi"/>
        </w:rPr>
      </w:pPr>
    </w:p>
    <w:p w14:paraId="7BE19FEE" w14:textId="77777777" w:rsidR="000C4284" w:rsidRDefault="000C4284">
      <w:pPr>
        <w:rPr>
          <w:rFonts w:asciiTheme="majorHAnsi" w:hAnsiTheme="majorHAnsi" w:cstheme="majorHAnsi"/>
        </w:rPr>
      </w:pPr>
    </w:p>
    <w:p w14:paraId="7FC8349B" w14:textId="77777777" w:rsidR="009E4884" w:rsidRDefault="009E4884">
      <w:pPr>
        <w:rPr>
          <w:rFonts w:asciiTheme="majorHAnsi" w:hAnsiTheme="majorHAnsi" w:cstheme="majorHAnsi"/>
        </w:rPr>
      </w:pPr>
    </w:p>
    <w:p w14:paraId="4491AF52" w14:textId="77777777" w:rsidR="009E4884" w:rsidRDefault="009E4884">
      <w:pPr>
        <w:rPr>
          <w:rFonts w:asciiTheme="majorHAnsi" w:hAnsiTheme="majorHAnsi" w:cstheme="majorHAnsi"/>
        </w:rPr>
      </w:pPr>
    </w:p>
    <w:p w14:paraId="2BC8CCD8" w14:textId="77777777" w:rsidR="006322F0" w:rsidRDefault="006322F0" w:rsidP="0037692C">
      <w:pPr>
        <w:pStyle w:val="NormalWeb"/>
        <w:spacing w:before="0" w:beforeAutospacing="0" w:after="240" w:afterAutospacing="0" w:line="360" w:lineRule="atLeast"/>
        <w:rPr>
          <w:rFonts w:asciiTheme="majorHAnsi" w:hAnsiTheme="majorHAnsi" w:cstheme="majorHAnsi"/>
          <w:b/>
          <w:bCs/>
        </w:rPr>
      </w:pPr>
    </w:p>
    <w:p w14:paraId="7F99803A" w14:textId="77777777" w:rsidR="006322F0" w:rsidRDefault="006322F0" w:rsidP="0037692C">
      <w:pPr>
        <w:pStyle w:val="NormalWeb"/>
        <w:spacing w:before="0" w:beforeAutospacing="0" w:after="240" w:afterAutospacing="0" w:line="360" w:lineRule="atLeast"/>
        <w:rPr>
          <w:rFonts w:asciiTheme="majorHAnsi" w:hAnsiTheme="majorHAnsi" w:cstheme="majorHAnsi"/>
          <w:b/>
          <w:bCs/>
        </w:rPr>
      </w:pPr>
    </w:p>
    <w:p w14:paraId="46525821" w14:textId="77777777" w:rsidR="002841D8" w:rsidRDefault="002841D8" w:rsidP="0037692C">
      <w:pPr>
        <w:pStyle w:val="NormalWeb"/>
        <w:spacing w:before="0" w:beforeAutospacing="0" w:after="240" w:afterAutospacing="0" w:line="360" w:lineRule="atLeast"/>
        <w:rPr>
          <w:rFonts w:asciiTheme="majorHAnsi" w:hAnsiTheme="majorHAnsi" w:cstheme="majorHAnsi"/>
          <w:b/>
          <w:bCs/>
        </w:rPr>
      </w:pPr>
    </w:p>
    <w:p w14:paraId="3D5919B7" w14:textId="77777777" w:rsidR="002841D8" w:rsidRDefault="002841D8" w:rsidP="0037692C">
      <w:pPr>
        <w:pStyle w:val="NormalWeb"/>
        <w:spacing w:before="0" w:beforeAutospacing="0" w:after="240" w:afterAutospacing="0" w:line="360" w:lineRule="atLeast"/>
        <w:rPr>
          <w:rFonts w:asciiTheme="majorHAnsi" w:hAnsiTheme="majorHAnsi" w:cstheme="majorHAnsi"/>
          <w:b/>
          <w:bCs/>
        </w:rPr>
      </w:pPr>
    </w:p>
    <w:p w14:paraId="0C688BE3" w14:textId="77777777" w:rsidR="002841D8" w:rsidRDefault="002841D8" w:rsidP="0037692C">
      <w:pPr>
        <w:pStyle w:val="NormalWeb"/>
        <w:spacing w:before="0" w:beforeAutospacing="0" w:after="240" w:afterAutospacing="0" w:line="360" w:lineRule="atLeast"/>
        <w:rPr>
          <w:rFonts w:asciiTheme="majorHAnsi" w:hAnsiTheme="majorHAnsi" w:cstheme="majorHAnsi"/>
          <w:b/>
          <w:bCs/>
        </w:rPr>
      </w:pPr>
    </w:p>
    <w:p w14:paraId="0D01A1FA" w14:textId="77777777" w:rsidR="002841D8" w:rsidRDefault="002841D8" w:rsidP="0037692C">
      <w:pPr>
        <w:pStyle w:val="NormalWeb"/>
        <w:spacing w:before="0" w:beforeAutospacing="0" w:after="240" w:afterAutospacing="0" w:line="360" w:lineRule="atLeast"/>
        <w:rPr>
          <w:rFonts w:asciiTheme="majorHAnsi" w:hAnsiTheme="majorHAnsi" w:cstheme="majorHAnsi"/>
          <w:b/>
          <w:bCs/>
        </w:rPr>
      </w:pPr>
    </w:p>
    <w:p w14:paraId="3BF93DD1" w14:textId="29A0518E" w:rsidR="009E4884" w:rsidRDefault="0037692C" w:rsidP="002841D8">
      <w:pPr>
        <w:pStyle w:val="NormalWeb"/>
        <w:spacing w:before="0" w:beforeAutospacing="0" w:after="240" w:afterAutospacing="0" w:line="360" w:lineRule="atLeast"/>
        <w:rPr>
          <w:rFonts w:asciiTheme="majorHAnsi" w:hAnsiTheme="majorHAnsi" w:cstheme="majorHAnsi"/>
          <w:b/>
          <w:bCs/>
        </w:rPr>
      </w:pPr>
      <w:r w:rsidRPr="000E4162">
        <w:rPr>
          <w:rFonts w:asciiTheme="majorHAnsi" w:hAnsiTheme="majorHAnsi" w:cstheme="majorHAnsi"/>
          <w:b/>
          <w:bCs/>
        </w:rPr>
        <w:t xml:space="preserve">Reference List – </w:t>
      </w:r>
    </w:p>
    <w:p w14:paraId="24ECEDE5" w14:textId="72C8AB0E" w:rsidR="009E4884" w:rsidRPr="000E4162" w:rsidRDefault="009E4884" w:rsidP="00466C26">
      <w:pPr>
        <w:pStyle w:val="NormalWeb"/>
        <w:spacing w:after="240" w:line="360" w:lineRule="atLeast"/>
        <w:rPr>
          <w:rFonts w:asciiTheme="majorHAnsi" w:hAnsiTheme="majorHAnsi" w:cstheme="majorHAnsi"/>
          <w:color w:val="000000"/>
        </w:rPr>
      </w:pPr>
      <w:proofErr w:type="spellStart"/>
      <w:r w:rsidRPr="000E4162">
        <w:rPr>
          <w:rFonts w:asciiTheme="majorHAnsi" w:hAnsiTheme="majorHAnsi" w:cstheme="majorHAnsi"/>
          <w:color w:val="000000"/>
        </w:rPr>
        <w:t>Alam</w:t>
      </w:r>
      <w:proofErr w:type="gramStart"/>
      <w:r w:rsidRPr="000E4162">
        <w:rPr>
          <w:rFonts w:asciiTheme="majorHAnsi" w:hAnsiTheme="majorHAnsi" w:cstheme="majorHAnsi"/>
          <w:color w:val="000000"/>
        </w:rPr>
        <w:t>,.K</w:t>
      </w:r>
      <w:proofErr w:type="spellEnd"/>
      <w:r w:rsidRPr="000E4162">
        <w:rPr>
          <w:rFonts w:asciiTheme="majorHAnsi" w:hAnsiTheme="majorHAnsi" w:cstheme="majorHAnsi"/>
          <w:color w:val="000000"/>
        </w:rPr>
        <w:t>.</w:t>
      </w:r>
      <w:proofErr w:type="gramEnd"/>
      <w:r w:rsidRPr="000E4162">
        <w:rPr>
          <w:rFonts w:asciiTheme="majorHAnsi" w:hAnsiTheme="majorHAnsi" w:cstheme="majorHAnsi"/>
          <w:color w:val="000000"/>
        </w:rPr>
        <w:t xml:space="preserve"> (2024)</w:t>
      </w:r>
      <w:r w:rsidR="007E0782">
        <w:rPr>
          <w:rFonts w:asciiTheme="majorHAnsi" w:hAnsiTheme="majorHAnsi" w:cstheme="majorHAnsi"/>
          <w:color w:val="000000"/>
        </w:rPr>
        <w:t>.</w:t>
      </w:r>
      <w:r w:rsidRPr="000E4162">
        <w:rPr>
          <w:rFonts w:asciiTheme="majorHAnsi" w:hAnsiTheme="majorHAnsi" w:cstheme="majorHAnsi"/>
          <w:color w:val="000000"/>
        </w:rPr>
        <w:t xml:space="preserve"> ‘Personal observations</w:t>
      </w:r>
      <w:r>
        <w:rPr>
          <w:rFonts w:asciiTheme="majorHAnsi" w:hAnsiTheme="majorHAnsi" w:cstheme="majorHAnsi"/>
          <w:color w:val="000000"/>
        </w:rPr>
        <w:t xml:space="preserve"> </w:t>
      </w:r>
      <w:r w:rsidRPr="000E4162">
        <w:rPr>
          <w:rFonts w:asciiTheme="majorHAnsi" w:hAnsiTheme="majorHAnsi" w:cstheme="majorHAnsi"/>
          <w:color w:val="000000"/>
        </w:rPr>
        <w:t>on qualitative research</w:t>
      </w:r>
      <w:r>
        <w:rPr>
          <w:rFonts w:asciiTheme="majorHAnsi" w:hAnsiTheme="majorHAnsi" w:cstheme="majorHAnsi"/>
          <w:color w:val="000000"/>
        </w:rPr>
        <w:t xml:space="preserve"> </w:t>
      </w:r>
      <w:r w:rsidRPr="000E4162">
        <w:rPr>
          <w:rFonts w:asciiTheme="majorHAnsi" w:hAnsiTheme="majorHAnsi" w:cstheme="majorHAnsi"/>
          <w:color w:val="000000"/>
        </w:rPr>
        <w:t>data collection and publications: Positivity, Problems, and Challenges’, </w:t>
      </w:r>
      <w:r w:rsidRPr="00FD2F91">
        <w:rPr>
          <w:rFonts w:asciiTheme="majorHAnsi" w:hAnsiTheme="majorHAnsi" w:cstheme="majorHAnsi"/>
          <w:i/>
          <w:iCs/>
          <w:color w:val="000000"/>
        </w:rPr>
        <w:t xml:space="preserve">Turk </w:t>
      </w:r>
      <w:proofErr w:type="spellStart"/>
      <w:r w:rsidRPr="00FD2F91">
        <w:rPr>
          <w:rFonts w:asciiTheme="majorHAnsi" w:hAnsiTheme="majorHAnsi" w:cstheme="majorHAnsi"/>
          <w:i/>
          <w:iCs/>
          <w:color w:val="000000"/>
        </w:rPr>
        <w:t>Turizm</w:t>
      </w:r>
      <w:proofErr w:type="spellEnd"/>
      <w:r w:rsidRPr="00FD2F91">
        <w:rPr>
          <w:rFonts w:asciiTheme="majorHAnsi" w:hAnsiTheme="majorHAnsi" w:cstheme="majorHAnsi"/>
          <w:i/>
          <w:iCs/>
          <w:color w:val="000000"/>
        </w:rPr>
        <w:t xml:space="preserve"> </w:t>
      </w:r>
      <w:proofErr w:type="spellStart"/>
      <w:r w:rsidRPr="00FD2F91">
        <w:rPr>
          <w:rFonts w:asciiTheme="majorHAnsi" w:hAnsiTheme="majorHAnsi" w:cstheme="majorHAnsi"/>
          <w:i/>
          <w:iCs/>
          <w:color w:val="000000"/>
        </w:rPr>
        <w:t>Arastirmalari</w:t>
      </w:r>
      <w:proofErr w:type="spellEnd"/>
      <w:r w:rsidRPr="00FD2F91">
        <w:rPr>
          <w:rFonts w:asciiTheme="majorHAnsi" w:hAnsiTheme="majorHAnsi" w:cstheme="majorHAnsi"/>
          <w:i/>
          <w:iCs/>
          <w:color w:val="000000"/>
        </w:rPr>
        <w:t xml:space="preserve"> </w:t>
      </w:r>
      <w:proofErr w:type="spellStart"/>
      <w:r w:rsidRPr="000E4162">
        <w:rPr>
          <w:rFonts w:asciiTheme="majorHAnsi" w:hAnsiTheme="majorHAnsi" w:cstheme="majorHAnsi"/>
          <w:i/>
          <w:iCs/>
          <w:color w:val="000000"/>
        </w:rPr>
        <w:t>Dergisi</w:t>
      </w:r>
      <w:proofErr w:type="spellEnd"/>
      <w:r w:rsidRPr="000E4162">
        <w:rPr>
          <w:rFonts w:asciiTheme="majorHAnsi" w:hAnsiTheme="majorHAnsi" w:cstheme="majorHAnsi"/>
          <w:color w:val="000000"/>
        </w:rPr>
        <w:t> doi:10.26677/tr1010.2024.1385. </w:t>
      </w:r>
    </w:p>
    <w:p w14:paraId="306F24DD" w14:textId="4F11A3E0" w:rsidR="009E4884" w:rsidRDefault="009E4884" w:rsidP="00FC7047">
      <w:pPr>
        <w:pStyle w:val="NormalWeb"/>
        <w:spacing w:after="240" w:line="360" w:lineRule="atLeast"/>
        <w:rPr>
          <w:rFonts w:asciiTheme="majorHAnsi" w:hAnsiTheme="majorHAnsi" w:cstheme="majorHAnsi"/>
          <w:color w:val="000000"/>
        </w:rPr>
      </w:pPr>
      <w:r w:rsidRPr="000E4162">
        <w:rPr>
          <w:rFonts w:asciiTheme="majorHAnsi" w:hAnsiTheme="majorHAnsi" w:cstheme="majorHAnsi"/>
          <w:color w:val="000000"/>
        </w:rPr>
        <w:t>Bhandari, P. (2022)</w:t>
      </w:r>
      <w:r w:rsidR="007E0782">
        <w:rPr>
          <w:rFonts w:asciiTheme="majorHAnsi" w:hAnsiTheme="majorHAnsi" w:cstheme="majorHAnsi"/>
          <w:color w:val="000000"/>
        </w:rPr>
        <w:t>.</w:t>
      </w:r>
      <w:r w:rsidRPr="000E4162">
        <w:rPr>
          <w:rFonts w:asciiTheme="majorHAnsi" w:hAnsiTheme="majorHAnsi" w:cstheme="majorHAnsi"/>
          <w:color w:val="000000"/>
        </w:rPr>
        <w:t> </w:t>
      </w:r>
      <w:r w:rsidRPr="000E4162">
        <w:rPr>
          <w:rFonts w:asciiTheme="majorHAnsi" w:hAnsiTheme="majorHAnsi" w:cstheme="majorHAnsi"/>
          <w:i/>
          <w:iCs/>
          <w:color w:val="000000"/>
        </w:rPr>
        <w:t>Ethical considerations in research: Types &amp; examples</w:t>
      </w:r>
      <w:r w:rsidRPr="000E4162">
        <w:rPr>
          <w:rFonts w:asciiTheme="majorHAnsi" w:hAnsiTheme="majorHAnsi" w:cstheme="majorHAnsi"/>
          <w:color w:val="000000"/>
        </w:rPr>
        <w:t>, </w:t>
      </w:r>
      <w:r w:rsidRPr="000E4162">
        <w:rPr>
          <w:rFonts w:asciiTheme="majorHAnsi" w:hAnsiTheme="majorHAnsi" w:cstheme="majorHAnsi"/>
          <w:i/>
          <w:iCs/>
          <w:color w:val="000000"/>
        </w:rPr>
        <w:t>Scribbr</w:t>
      </w:r>
      <w:r w:rsidRPr="000E4162">
        <w:rPr>
          <w:rFonts w:asciiTheme="majorHAnsi" w:hAnsiTheme="majorHAnsi" w:cstheme="majorHAnsi"/>
          <w:color w:val="000000"/>
        </w:rPr>
        <w:t>. Available at: https://www.scribbr.co.uk/research-methods/ethical-considerations/ (Accessed: 01 May 2024). </w:t>
      </w:r>
    </w:p>
    <w:p w14:paraId="3692DFB4" w14:textId="72EED295" w:rsidR="00FA0F3B" w:rsidRPr="000E4162" w:rsidRDefault="00FA0F3B" w:rsidP="00FC7047">
      <w:pPr>
        <w:pStyle w:val="NormalWeb"/>
        <w:spacing w:after="240" w:line="360" w:lineRule="atLeast"/>
        <w:rPr>
          <w:rFonts w:asciiTheme="majorHAnsi" w:hAnsiTheme="majorHAnsi" w:cstheme="majorHAnsi"/>
          <w:color w:val="000000"/>
        </w:rPr>
      </w:pPr>
      <w:r w:rsidRPr="00FA0F3B">
        <w:rPr>
          <w:rFonts w:asciiTheme="majorHAnsi" w:hAnsiTheme="majorHAnsi" w:cstheme="majorHAnsi"/>
          <w:color w:val="000000"/>
        </w:rPr>
        <w:t>Black, P. and Wiliam, D. (1998)</w:t>
      </w:r>
      <w:r w:rsidR="007E0782">
        <w:rPr>
          <w:rFonts w:asciiTheme="majorHAnsi" w:hAnsiTheme="majorHAnsi" w:cstheme="majorHAnsi"/>
          <w:color w:val="000000"/>
        </w:rPr>
        <w:t>.</w:t>
      </w:r>
      <w:r w:rsidRPr="00FA0F3B">
        <w:rPr>
          <w:rFonts w:asciiTheme="majorHAnsi" w:hAnsiTheme="majorHAnsi" w:cstheme="majorHAnsi"/>
          <w:color w:val="000000"/>
        </w:rPr>
        <w:t> </w:t>
      </w:r>
      <w:r w:rsidRPr="00FA0F3B">
        <w:rPr>
          <w:rFonts w:asciiTheme="majorHAnsi" w:hAnsiTheme="majorHAnsi" w:cstheme="majorHAnsi"/>
          <w:i/>
          <w:iCs/>
          <w:color w:val="000000"/>
        </w:rPr>
        <w:t>Inside the black box: Raising standards through classroom assessment</w:t>
      </w:r>
      <w:r w:rsidRPr="00FA0F3B">
        <w:rPr>
          <w:rFonts w:asciiTheme="majorHAnsi" w:hAnsiTheme="majorHAnsi" w:cstheme="majorHAnsi"/>
          <w:color w:val="000000"/>
        </w:rPr>
        <w:t>. Florida, U.S.A.: GL Assessment. </w:t>
      </w:r>
    </w:p>
    <w:p w14:paraId="32E5EE61" w14:textId="5EDA2CA0" w:rsidR="009E4884" w:rsidRPr="000E4162" w:rsidRDefault="009E4884" w:rsidP="00936911">
      <w:pPr>
        <w:pStyle w:val="NormalWeb"/>
        <w:spacing w:after="240" w:line="360" w:lineRule="atLeast"/>
        <w:rPr>
          <w:rFonts w:asciiTheme="majorHAnsi" w:hAnsiTheme="majorHAnsi" w:cstheme="majorHAnsi"/>
          <w:color w:val="000000"/>
        </w:rPr>
      </w:pPr>
      <w:r w:rsidRPr="000E4162">
        <w:rPr>
          <w:rFonts w:asciiTheme="majorHAnsi" w:hAnsiTheme="majorHAnsi" w:cstheme="majorHAnsi"/>
          <w:color w:val="000000"/>
        </w:rPr>
        <w:t>Borders, M. (2021)</w:t>
      </w:r>
      <w:r w:rsidR="007E0782">
        <w:rPr>
          <w:rFonts w:asciiTheme="majorHAnsi" w:hAnsiTheme="majorHAnsi" w:cstheme="majorHAnsi"/>
          <w:color w:val="000000"/>
        </w:rPr>
        <w:t>.</w:t>
      </w:r>
      <w:r w:rsidRPr="000E4162">
        <w:rPr>
          <w:rFonts w:asciiTheme="majorHAnsi" w:hAnsiTheme="majorHAnsi" w:cstheme="majorHAnsi"/>
          <w:color w:val="000000"/>
        </w:rPr>
        <w:t> </w:t>
      </w:r>
      <w:r w:rsidRPr="000E4162">
        <w:rPr>
          <w:rFonts w:asciiTheme="majorHAnsi" w:hAnsiTheme="majorHAnsi" w:cstheme="majorHAnsi"/>
          <w:i/>
          <w:iCs/>
          <w:color w:val="000000"/>
        </w:rPr>
        <w:t>Cold calling in the classroom</w:t>
      </w:r>
      <w:r w:rsidRPr="000E4162">
        <w:rPr>
          <w:rFonts w:asciiTheme="majorHAnsi" w:hAnsiTheme="majorHAnsi" w:cstheme="majorHAnsi"/>
          <w:color w:val="000000"/>
        </w:rPr>
        <w:t>, </w:t>
      </w:r>
      <w:r w:rsidRPr="000E4162">
        <w:rPr>
          <w:rFonts w:asciiTheme="majorHAnsi" w:hAnsiTheme="majorHAnsi" w:cstheme="majorHAnsi"/>
          <w:i/>
          <w:iCs/>
          <w:color w:val="000000"/>
        </w:rPr>
        <w:t xml:space="preserve">Cold Calling in the </w:t>
      </w:r>
      <w:proofErr w:type="gramStart"/>
      <w:r w:rsidRPr="000E4162">
        <w:rPr>
          <w:rFonts w:asciiTheme="majorHAnsi" w:hAnsiTheme="majorHAnsi" w:cstheme="majorHAnsi"/>
          <w:i/>
          <w:iCs/>
          <w:color w:val="000000"/>
        </w:rPr>
        <w:t>Classroom</w:t>
      </w:r>
      <w:proofErr w:type="gramEnd"/>
      <w:r w:rsidRPr="000E4162">
        <w:rPr>
          <w:rFonts w:asciiTheme="majorHAnsi" w:hAnsiTheme="majorHAnsi" w:cstheme="majorHAnsi"/>
          <w:color w:val="000000"/>
        </w:rPr>
        <w:t>. Available at: https://www.theocmjournal.com/post/cold-calling-in-the-classroom (Accessed: 29 April 2024). </w:t>
      </w:r>
    </w:p>
    <w:p w14:paraId="39F6CCA4" w14:textId="593845CA" w:rsidR="009E4884" w:rsidRPr="000E4162" w:rsidRDefault="009E4884" w:rsidP="00591B51">
      <w:pPr>
        <w:pStyle w:val="NormalWeb"/>
        <w:spacing w:before="0" w:beforeAutospacing="0" w:after="240" w:afterAutospacing="0" w:line="360" w:lineRule="atLeast"/>
        <w:rPr>
          <w:rFonts w:asciiTheme="majorHAnsi" w:hAnsiTheme="majorHAnsi" w:cstheme="majorHAnsi"/>
          <w:color w:val="000000"/>
        </w:rPr>
      </w:pPr>
      <w:r w:rsidRPr="000E4162">
        <w:rPr>
          <w:rFonts w:asciiTheme="majorHAnsi" w:hAnsiTheme="majorHAnsi" w:cstheme="majorHAnsi"/>
          <w:color w:val="000000"/>
        </w:rPr>
        <w:t>Bos, J. (2020)</w:t>
      </w:r>
      <w:r w:rsidR="007E0782">
        <w:rPr>
          <w:rFonts w:asciiTheme="majorHAnsi" w:hAnsiTheme="majorHAnsi" w:cstheme="majorHAnsi"/>
          <w:color w:val="000000"/>
        </w:rPr>
        <w:t>.</w:t>
      </w:r>
      <w:r w:rsidRPr="000E4162">
        <w:rPr>
          <w:rFonts w:asciiTheme="majorHAnsi" w:hAnsiTheme="majorHAnsi" w:cstheme="majorHAnsi"/>
          <w:color w:val="000000"/>
        </w:rPr>
        <w:t> </w:t>
      </w:r>
      <w:r w:rsidRPr="000E4162">
        <w:rPr>
          <w:rFonts w:asciiTheme="majorHAnsi" w:hAnsiTheme="majorHAnsi" w:cstheme="majorHAnsi"/>
          <w:i/>
          <w:iCs/>
          <w:color w:val="000000"/>
        </w:rPr>
        <w:t>Research ethics for students in the Social Sciences</w:t>
      </w:r>
      <w:r w:rsidRPr="000E4162">
        <w:rPr>
          <w:rFonts w:asciiTheme="majorHAnsi" w:hAnsiTheme="majorHAnsi" w:cstheme="majorHAnsi"/>
          <w:color w:val="000000"/>
        </w:rPr>
        <w:t>. Cham, Switzerland: Springer. </w:t>
      </w:r>
    </w:p>
    <w:p w14:paraId="4C157B68" w14:textId="06507F82" w:rsidR="009E4884" w:rsidRPr="00156BF1" w:rsidRDefault="009E4884" w:rsidP="00156BF1">
      <w:pPr>
        <w:pStyle w:val="NormalWeb"/>
        <w:spacing w:before="0" w:beforeAutospacing="0" w:after="240" w:afterAutospacing="0" w:line="360" w:lineRule="atLeast"/>
        <w:rPr>
          <w:rFonts w:asciiTheme="majorHAnsi" w:hAnsiTheme="majorHAnsi" w:cstheme="majorHAnsi"/>
          <w:color w:val="000000"/>
        </w:rPr>
      </w:pPr>
      <w:r w:rsidRPr="00156BF1">
        <w:rPr>
          <w:rFonts w:asciiTheme="majorHAnsi" w:hAnsiTheme="majorHAnsi" w:cstheme="majorHAnsi"/>
          <w:color w:val="000000"/>
        </w:rPr>
        <w:t>Braun, V. and Clarke, V. (2006)</w:t>
      </w:r>
      <w:r w:rsidR="007E0782">
        <w:rPr>
          <w:rFonts w:asciiTheme="majorHAnsi" w:hAnsiTheme="majorHAnsi" w:cstheme="majorHAnsi"/>
          <w:color w:val="000000"/>
        </w:rPr>
        <w:t>.</w:t>
      </w:r>
      <w:r w:rsidRPr="00156BF1">
        <w:rPr>
          <w:rFonts w:asciiTheme="majorHAnsi" w:hAnsiTheme="majorHAnsi" w:cstheme="majorHAnsi"/>
          <w:color w:val="000000"/>
        </w:rPr>
        <w:t xml:space="preserve"> ‘</w:t>
      </w:r>
      <w:r w:rsidRPr="00984D22">
        <w:rPr>
          <w:rFonts w:asciiTheme="majorHAnsi" w:hAnsiTheme="majorHAnsi" w:cstheme="majorHAnsi"/>
          <w:i/>
          <w:iCs/>
          <w:color w:val="000000"/>
        </w:rPr>
        <w:t>Using thematic analysis in psychology’,</w:t>
      </w:r>
      <w:r w:rsidRPr="00156BF1">
        <w:rPr>
          <w:rFonts w:asciiTheme="majorHAnsi" w:hAnsiTheme="majorHAnsi" w:cstheme="majorHAnsi"/>
          <w:color w:val="000000"/>
        </w:rPr>
        <w:t> </w:t>
      </w:r>
      <w:r w:rsidRPr="00156BF1">
        <w:rPr>
          <w:rFonts w:asciiTheme="majorHAnsi" w:hAnsiTheme="majorHAnsi" w:cstheme="majorHAnsi"/>
          <w:i/>
          <w:iCs/>
          <w:color w:val="000000"/>
        </w:rPr>
        <w:t>Qualitative Research in Psychology</w:t>
      </w:r>
      <w:r w:rsidRPr="00156BF1">
        <w:rPr>
          <w:rFonts w:asciiTheme="majorHAnsi" w:hAnsiTheme="majorHAnsi" w:cstheme="majorHAnsi"/>
          <w:color w:val="000000"/>
        </w:rPr>
        <w:t>, 3(2), pp. 77–101. doi:10.1191/1478088706qp063oa. </w:t>
      </w:r>
    </w:p>
    <w:p w14:paraId="6F2C17B9" w14:textId="67FA3F05" w:rsidR="009E4884" w:rsidRPr="000E4162" w:rsidRDefault="009E4884" w:rsidP="001F275E">
      <w:pPr>
        <w:pStyle w:val="NormalWeb"/>
        <w:spacing w:before="0" w:beforeAutospacing="0" w:after="240" w:afterAutospacing="0" w:line="360" w:lineRule="atLeast"/>
        <w:rPr>
          <w:rFonts w:asciiTheme="majorHAnsi" w:hAnsiTheme="majorHAnsi" w:cstheme="majorHAnsi"/>
          <w:color w:val="000000"/>
        </w:rPr>
      </w:pPr>
      <w:r w:rsidRPr="000E4162">
        <w:rPr>
          <w:rFonts w:asciiTheme="majorHAnsi" w:hAnsiTheme="majorHAnsi" w:cstheme="majorHAnsi"/>
          <w:color w:val="000000"/>
        </w:rPr>
        <w:t>Braun, V. and Clarke, V. (2013)</w:t>
      </w:r>
      <w:r w:rsidR="007E0782">
        <w:rPr>
          <w:rFonts w:asciiTheme="majorHAnsi" w:hAnsiTheme="majorHAnsi" w:cstheme="majorHAnsi"/>
          <w:color w:val="000000"/>
        </w:rPr>
        <w:t>.</w:t>
      </w:r>
      <w:r w:rsidRPr="000E4162">
        <w:rPr>
          <w:rFonts w:asciiTheme="majorHAnsi" w:hAnsiTheme="majorHAnsi" w:cstheme="majorHAnsi"/>
          <w:color w:val="000000"/>
        </w:rPr>
        <w:t> </w:t>
      </w:r>
      <w:r w:rsidRPr="000E4162">
        <w:rPr>
          <w:rFonts w:asciiTheme="majorHAnsi" w:hAnsiTheme="majorHAnsi" w:cstheme="majorHAnsi"/>
          <w:i/>
          <w:iCs/>
          <w:color w:val="000000"/>
        </w:rPr>
        <w:t>Successful qualitative research: A practical guide for beginners</w:t>
      </w:r>
      <w:r w:rsidRPr="000E4162">
        <w:rPr>
          <w:rFonts w:asciiTheme="majorHAnsi" w:hAnsiTheme="majorHAnsi" w:cstheme="majorHAnsi"/>
          <w:color w:val="000000"/>
        </w:rPr>
        <w:t>. London: SAGE. </w:t>
      </w:r>
    </w:p>
    <w:p w14:paraId="09971756" w14:textId="180DE441" w:rsidR="009E4884" w:rsidRPr="000E4162" w:rsidRDefault="009E4884" w:rsidP="003F45D8">
      <w:pPr>
        <w:pStyle w:val="NormalWeb"/>
        <w:spacing w:before="0" w:beforeAutospacing="0" w:after="240" w:afterAutospacing="0" w:line="360" w:lineRule="atLeast"/>
        <w:rPr>
          <w:rFonts w:asciiTheme="majorHAnsi" w:hAnsiTheme="majorHAnsi" w:cstheme="majorHAnsi"/>
          <w:color w:val="000000"/>
        </w:rPr>
      </w:pPr>
      <w:r w:rsidRPr="000E4162">
        <w:rPr>
          <w:rFonts w:asciiTheme="majorHAnsi" w:hAnsiTheme="majorHAnsi" w:cstheme="majorHAnsi"/>
          <w:color w:val="000000"/>
        </w:rPr>
        <w:t>British Educational Research Association (BERA) (2018)</w:t>
      </w:r>
      <w:r w:rsidR="007E0782">
        <w:rPr>
          <w:rFonts w:asciiTheme="majorHAnsi" w:hAnsiTheme="majorHAnsi" w:cstheme="majorHAnsi"/>
          <w:color w:val="000000"/>
        </w:rPr>
        <w:t>.</w:t>
      </w:r>
      <w:r w:rsidRPr="000E4162">
        <w:rPr>
          <w:rStyle w:val="apple-converted-space"/>
          <w:rFonts w:asciiTheme="majorHAnsi" w:hAnsiTheme="majorHAnsi" w:cstheme="majorHAnsi"/>
          <w:color w:val="000000"/>
        </w:rPr>
        <w:t> </w:t>
      </w:r>
      <w:r w:rsidRPr="000E4162">
        <w:rPr>
          <w:rFonts w:asciiTheme="majorHAnsi" w:hAnsiTheme="majorHAnsi" w:cstheme="majorHAnsi"/>
          <w:i/>
          <w:iCs/>
          <w:color w:val="000000"/>
        </w:rPr>
        <w:t>Ethical Guidelines for Educational Research, fourth edition</w:t>
      </w:r>
      <w:r w:rsidRPr="000E4162">
        <w:rPr>
          <w:rFonts w:asciiTheme="majorHAnsi" w:hAnsiTheme="majorHAnsi" w:cstheme="majorHAnsi"/>
          <w:color w:val="000000"/>
        </w:rPr>
        <w:t>,</w:t>
      </w:r>
      <w:r w:rsidRPr="000E4162">
        <w:rPr>
          <w:rStyle w:val="apple-converted-space"/>
          <w:rFonts w:asciiTheme="majorHAnsi" w:hAnsiTheme="majorHAnsi" w:cstheme="majorHAnsi"/>
          <w:color w:val="000000"/>
        </w:rPr>
        <w:t> </w:t>
      </w:r>
      <w:r w:rsidRPr="000E4162">
        <w:rPr>
          <w:rFonts w:asciiTheme="majorHAnsi" w:hAnsiTheme="majorHAnsi" w:cstheme="majorHAnsi"/>
          <w:i/>
          <w:iCs/>
          <w:color w:val="000000"/>
        </w:rPr>
        <w:t>Bera.ac.uk</w:t>
      </w:r>
      <w:r w:rsidRPr="000E4162">
        <w:rPr>
          <w:rFonts w:asciiTheme="majorHAnsi" w:hAnsiTheme="majorHAnsi" w:cstheme="majorHAnsi"/>
          <w:color w:val="000000"/>
        </w:rPr>
        <w:t xml:space="preserve">. British Educational Research Association. Available at: </w:t>
      </w:r>
      <w:hyperlink r:id="rId6" w:history="1">
        <w:r w:rsidRPr="000E4162">
          <w:rPr>
            <w:rStyle w:val="Hyperlink"/>
            <w:rFonts w:asciiTheme="majorHAnsi" w:hAnsiTheme="majorHAnsi" w:cstheme="majorHAnsi"/>
          </w:rPr>
          <w:t>https://www.bera.ac.uk/publication/ethical-guidelines-for-educational-research-2018</w:t>
        </w:r>
      </w:hyperlink>
      <w:r w:rsidRPr="000E4162">
        <w:rPr>
          <w:rFonts w:asciiTheme="majorHAnsi" w:hAnsiTheme="majorHAnsi" w:cstheme="majorHAnsi"/>
          <w:color w:val="000000"/>
        </w:rPr>
        <w:t>.</w:t>
      </w:r>
    </w:p>
    <w:p w14:paraId="0466ECED" w14:textId="47873E87" w:rsidR="009E4884" w:rsidRPr="000E4162" w:rsidRDefault="009E4884" w:rsidP="00043AED">
      <w:pPr>
        <w:pStyle w:val="NormalWeb"/>
        <w:spacing w:before="0" w:beforeAutospacing="0" w:after="240" w:afterAutospacing="0" w:line="360" w:lineRule="atLeast"/>
        <w:rPr>
          <w:rFonts w:asciiTheme="majorHAnsi" w:hAnsiTheme="majorHAnsi" w:cstheme="majorHAnsi"/>
          <w:color w:val="000000"/>
        </w:rPr>
      </w:pPr>
      <w:r w:rsidRPr="000E4162">
        <w:rPr>
          <w:rFonts w:asciiTheme="majorHAnsi" w:hAnsiTheme="majorHAnsi" w:cstheme="majorHAnsi"/>
          <w:color w:val="000000"/>
        </w:rPr>
        <w:t>Cohen, L., Manion, L. and Morrison, K. (2018)</w:t>
      </w:r>
      <w:r w:rsidR="007E0782">
        <w:rPr>
          <w:rFonts w:asciiTheme="majorHAnsi" w:hAnsiTheme="majorHAnsi" w:cstheme="majorHAnsi"/>
          <w:color w:val="000000"/>
        </w:rPr>
        <w:t xml:space="preserve">. </w:t>
      </w:r>
      <w:r w:rsidRPr="000E4162">
        <w:rPr>
          <w:rFonts w:asciiTheme="majorHAnsi" w:hAnsiTheme="majorHAnsi" w:cstheme="majorHAnsi"/>
          <w:i/>
          <w:iCs/>
          <w:color w:val="000000"/>
        </w:rPr>
        <w:t>Research methods in education</w:t>
      </w:r>
      <w:r w:rsidRPr="000E4162">
        <w:rPr>
          <w:rFonts w:asciiTheme="majorHAnsi" w:hAnsiTheme="majorHAnsi" w:cstheme="majorHAnsi"/>
          <w:color w:val="000000"/>
        </w:rPr>
        <w:t>. London: Routledge. </w:t>
      </w:r>
    </w:p>
    <w:p w14:paraId="7B9BF9CA" w14:textId="51AC9155" w:rsidR="009E4884" w:rsidRPr="000E4162" w:rsidRDefault="009E4884" w:rsidP="00B871BB">
      <w:pPr>
        <w:pStyle w:val="NormalWeb"/>
        <w:spacing w:before="0" w:beforeAutospacing="0" w:after="240" w:afterAutospacing="0" w:line="360" w:lineRule="atLeast"/>
        <w:rPr>
          <w:rFonts w:asciiTheme="majorHAnsi" w:hAnsiTheme="majorHAnsi" w:cstheme="majorHAnsi"/>
          <w:color w:val="000000"/>
        </w:rPr>
      </w:pPr>
      <w:r w:rsidRPr="000E4162">
        <w:rPr>
          <w:rFonts w:asciiTheme="majorHAnsi" w:hAnsiTheme="majorHAnsi" w:cstheme="majorHAnsi"/>
          <w:color w:val="000000"/>
        </w:rPr>
        <w:t>Creswell, J.W. and Creswell, J.D. (2018)</w:t>
      </w:r>
      <w:r w:rsidR="007E0782">
        <w:rPr>
          <w:rFonts w:asciiTheme="majorHAnsi" w:hAnsiTheme="majorHAnsi" w:cstheme="majorHAnsi"/>
          <w:color w:val="000000"/>
        </w:rPr>
        <w:t xml:space="preserve">. </w:t>
      </w:r>
      <w:r w:rsidRPr="000E4162">
        <w:rPr>
          <w:rFonts w:asciiTheme="majorHAnsi" w:hAnsiTheme="majorHAnsi" w:cstheme="majorHAnsi"/>
          <w:i/>
          <w:iCs/>
          <w:color w:val="000000"/>
        </w:rPr>
        <w:t>Research design: Qualitative, quantitative and mixed methods approaches</w:t>
      </w:r>
      <w:r w:rsidRPr="000E4162">
        <w:rPr>
          <w:rFonts w:asciiTheme="majorHAnsi" w:hAnsiTheme="majorHAnsi" w:cstheme="majorHAnsi"/>
          <w:color w:val="000000"/>
        </w:rPr>
        <w:t>. Los Angeles: SAGE. </w:t>
      </w:r>
    </w:p>
    <w:p w14:paraId="29CAB558" w14:textId="7FF828B8" w:rsidR="009E4884" w:rsidRPr="002B26EF" w:rsidRDefault="009E4884" w:rsidP="002B26EF">
      <w:pPr>
        <w:pStyle w:val="NormalWeb"/>
        <w:spacing w:before="0" w:beforeAutospacing="0" w:after="240" w:afterAutospacing="0" w:line="360" w:lineRule="atLeast"/>
        <w:rPr>
          <w:rFonts w:asciiTheme="majorHAnsi" w:hAnsiTheme="majorHAnsi" w:cstheme="majorHAnsi"/>
          <w:color w:val="000000"/>
        </w:rPr>
      </w:pPr>
      <w:r w:rsidRPr="002B26EF">
        <w:rPr>
          <w:rFonts w:asciiTheme="majorHAnsi" w:hAnsiTheme="majorHAnsi" w:cstheme="majorHAnsi"/>
          <w:color w:val="000000"/>
        </w:rPr>
        <w:t>Crowe, S.</w:t>
      </w:r>
      <w:r w:rsidRPr="000E4162">
        <w:rPr>
          <w:rFonts w:asciiTheme="majorHAnsi" w:hAnsiTheme="majorHAnsi" w:cstheme="majorHAnsi"/>
          <w:color w:val="000000"/>
        </w:rPr>
        <w:t xml:space="preserve">, </w:t>
      </w:r>
      <w:proofErr w:type="spellStart"/>
      <w:r w:rsidRPr="000E4162">
        <w:rPr>
          <w:rFonts w:asciiTheme="majorHAnsi" w:hAnsiTheme="majorHAnsi" w:cstheme="majorHAnsi"/>
          <w:color w:val="000000"/>
        </w:rPr>
        <w:t>Cresswell</w:t>
      </w:r>
      <w:proofErr w:type="spellEnd"/>
      <w:r w:rsidRPr="000E4162">
        <w:rPr>
          <w:rFonts w:asciiTheme="majorHAnsi" w:hAnsiTheme="majorHAnsi" w:cstheme="majorHAnsi"/>
          <w:color w:val="000000"/>
        </w:rPr>
        <w:t xml:space="preserve">, K., Robertson, A., </w:t>
      </w:r>
      <w:proofErr w:type="spellStart"/>
      <w:r w:rsidRPr="000E4162">
        <w:rPr>
          <w:rFonts w:asciiTheme="majorHAnsi" w:hAnsiTheme="majorHAnsi" w:cstheme="majorHAnsi"/>
          <w:color w:val="000000"/>
        </w:rPr>
        <w:t>Huby</w:t>
      </w:r>
      <w:proofErr w:type="spellEnd"/>
      <w:r w:rsidRPr="000E4162">
        <w:rPr>
          <w:rFonts w:asciiTheme="majorHAnsi" w:hAnsiTheme="majorHAnsi" w:cstheme="majorHAnsi"/>
          <w:color w:val="000000"/>
        </w:rPr>
        <w:t xml:space="preserve">, G., Avery, A., and Sheikh, </w:t>
      </w:r>
      <w:proofErr w:type="gramStart"/>
      <w:r w:rsidRPr="000E4162">
        <w:rPr>
          <w:rFonts w:asciiTheme="majorHAnsi" w:hAnsiTheme="majorHAnsi" w:cstheme="majorHAnsi"/>
          <w:color w:val="000000"/>
        </w:rPr>
        <w:t>A.</w:t>
      </w:r>
      <w:r w:rsidRPr="002B26EF">
        <w:rPr>
          <w:rFonts w:asciiTheme="majorHAnsi" w:hAnsiTheme="majorHAnsi" w:cstheme="majorHAnsi"/>
          <w:i/>
          <w:iCs/>
          <w:color w:val="000000"/>
        </w:rPr>
        <w:t>.</w:t>
      </w:r>
      <w:proofErr w:type="gramEnd"/>
      <w:r w:rsidRPr="002B26EF">
        <w:rPr>
          <w:rFonts w:asciiTheme="majorHAnsi" w:hAnsiTheme="majorHAnsi" w:cstheme="majorHAnsi"/>
          <w:color w:val="000000"/>
        </w:rPr>
        <w:t> (2011)</w:t>
      </w:r>
      <w:r w:rsidR="007E0782">
        <w:rPr>
          <w:rFonts w:asciiTheme="majorHAnsi" w:hAnsiTheme="majorHAnsi" w:cstheme="majorHAnsi"/>
          <w:color w:val="000000"/>
        </w:rPr>
        <w:t>.</w:t>
      </w:r>
      <w:r w:rsidRPr="002B26EF">
        <w:rPr>
          <w:rFonts w:asciiTheme="majorHAnsi" w:hAnsiTheme="majorHAnsi" w:cstheme="majorHAnsi"/>
          <w:color w:val="000000"/>
        </w:rPr>
        <w:t xml:space="preserve"> ‘</w:t>
      </w:r>
      <w:r w:rsidRPr="00FD2F91">
        <w:rPr>
          <w:rFonts w:asciiTheme="majorHAnsi" w:hAnsiTheme="majorHAnsi" w:cstheme="majorHAnsi"/>
          <w:i/>
          <w:iCs/>
          <w:color w:val="000000"/>
        </w:rPr>
        <w:t>The case study approach’, BMC Medical Research Methodology</w:t>
      </w:r>
      <w:r w:rsidRPr="002B26EF">
        <w:rPr>
          <w:rFonts w:asciiTheme="majorHAnsi" w:hAnsiTheme="majorHAnsi" w:cstheme="majorHAnsi"/>
          <w:color w:val="000000"/>
        </w:rPr>
        <w:t>, 11(1). doi:10.1186/1471-2288-11-100. </w:t>
      </w:r>
    </w:p>
    <w:p w14:paraId="609BA74A" w14:textId="14EA6A2E" w:rsidR="009E4884" w:rsidRPr="000E4162" w:rsidRDefault="009E4884" w:rsidP="00C51529">
      <w:pPr>
        <w:pStyle w:val="NormalWeb"/>
        <w:spacing w:after="240" w:line="360" w:lineRule="atLeast"/>
        <w:rPr>
          <w:rFonts w:asciiTheme="majorHAnsi" w:hAnsiTheme="majorHAnsi" w:cstheme="majorHAnsi"/>
          <w:color w:val="000000"/>
        </w:rPr>
      </w:pPr>
      <w:r w:rsidRPr="000E4162">
        <w:rPr>
          <w:rFonts w:asciiTheme="majorHAnsi" w:hAnsiTheme="majorHAnsi" w:cstheme="majorHAnsi"/>
          <w:color w:val="000000"/>
        </w:rPr>
        <w:lastRenderedPageBreak/>
        <w:t xml:space="preserve">Dallimore, E.J., </w:t>
      </w:r>
      <w:proofErr w:type="spellStart"/>
      <w:r w:rsidRPr="000E4162">
        <w:rPr>
          <w:rFonts w:asciiTheme="majorHAnsi" w:hAnsiTheme="majorHAnsi" w:cstheme="majorHAnsi"/>
          <w:color w:val="000000"/>
        </w:rPr>
        <w:t>Hertenstein</w:t>
      </w:r>
      <w:proofErr w:type="spellEnd"/>
      <w:r w:rsidRPr="000E4162">
        <w:rPr>
          <w:rFonts w:asciiTheme="majorHAnsi" w:hAnsiTheme="majorHAnsi" w:cstheme="majorHAnsi"/>
          <w:color w:val="000000"/>
        </w:rPr>
        <w:t>, J.H. and Platt, M.B. (2019)</w:t>
      </w:r>
      <w:r w:rsidR="007E0782">
        <w:rPr>
          <w:rFonts w:asciiTheme="majorHAnsi" w:hAnsiTheme="majorHAnsi" w:cstheme="majorHAnsi"/>
          <w:color w:val="000000"/>
        </w:rPr>
        <w:t>.</w:t>
      </w:r>
      <w:r w:rsidRPr="000E4162">
        <w:rPr>
          <w:rFonts w:asciiTheme="majorHAnsi" w:hAnsiTheme="majorHAnsi" w:cstheme="majorHAnsi"/>
          <w:color w:val="000000"/>
        </w:rPr>
        <w:t xml:space="preserve"> ‘</w:t>
      </w:r>
      <w:proofErr w:type="spellStart"/>
      <w:r w:rsidRPr="00984D22">
        <w:rPr>
          <w:rFonts w:asciiTheme="majorHAnsi" w:hAnsiTheme="majorHAnsi" w:cstheme="majorHAnsi"/>
          <w:i/>
          <w:iCs/>
          <w:color w:val="000000"/>
        </w:rPr>
        <w:t>Leveling</w:t>
      </w:r>
      <w:proofErr w:type="spellEnd"/>
      <w:r w:rsidRPr="00984D22">
        <w:rPr>
          <w:rFonts w:asciiTheme="majorHAnsi" w:hAnsiTheme="majorHAnsi" w:cstheme="majorHAnsi"/>
          <w:i/>
          <w:iCs/>
          <w:color w:val="000000"/>
        </w:rPr>
        <w:t xml:space="preserve"> the playing field: How cold-calling affects class discussion gender equity’,</w:t>
      </w:r>
      <w:r w:rsidRPr="000E4162">
        <w:rPr>
          <w:rFonts w:asciiTheme="majorHAnsi" w:hAnsiTheme="majorHAnsi" w:cstheme="majorHAnsi"/>
          <w:color w:val="000000"/>
        </w:rPr>
        <w:t> </w:t>
      </w:r>
      <w:r w:rsidRPr="000E4162">
        <w:rPr>
          <w:rFonts w:asciiTheme="majorHAnsi" w:hAnsiTheme="majorHAnsi" w:cstheme="majorHAnsi"/>
          <w:i/>
          <w:iCs/>
          <w:color w:val="000000"/>
        </w:rPr>
        <w:t>Journal of Education and Learning</w:t>
      </w:r>
      <w:r w:rsidRPr="000E4162">
        <w:rPr>
          <w:rFonts w:asciiTheme="majorHAnsi" w:hAnsiTheme="majorHAnsi" w:cstheme="majorHAnsi"/>
          <w:color w:val="000000"/>
        </w:rPr>
        <w:t>, 8(2), p. 14. doi:10.5539/</w:t>
      </w:r>
      <w:proofErr w:type="gramStart"/>
      <w:r w:rsidRPr="000E4162">
        <w:rPr>
          <w:rFonts w:asciiTheme="majorHAnsi" w:hAnsiTheme="majorHAnsi" w:cstheme="majorHAnsi"/>
          <w:color w:val="000000"/>
        </w:rPr>
        <w:t>jel.v</w:t>
      </w:r>
      <w:proofErr w:type="gramEnd"/>
      <w:r w:rsidRPr="000E4162">
        <w:rPr>
          <w:rFonts w:asciiTheme="majorHAnsi" w:hAnsiTheme="majorHAnsi" w:cstheme="majorHAnsi"/>
          <w:color w:val="000000"/>
        </w:rPr>
        <w:t>8n2p14. </w:t>
      </w:r>
    </w:p>
    <w:p w14:paraId="4E6DB62C" w14:textId="42DF8B29" w:rsidR="009E4884" w:rsidRPr="000E4162" w:rsidRDefault="009E4884" w:rsidP="004E3415">
      <w:pPr>
        <w:pStyle w:val="NormalWeb"/>
        <w:spacing w:before="0" w:beforeAutospacing="0" w:after="240" w:afterAutospacing="0" w:line="360" w:lineRule="atLeast"/>
        <w:rPr>
          <w:rFonts w:asciiTheme="majorHAnsi" w:hAnsiTheme="majorHAnsi" w:cstheme="majorHAnsi"/>
          <w:color w:val="000000"/>
        </w:rPr>
      </w:pPr>
      <w:r w:rsidRPr="000E4162">
        <w:rPr>
          <w:rFonts w:asciiTheme="majorHAnsi" w:hAnsiTheme="majorHAnsi" w:cstheme="majorHAnsi"/>
          <w:color w:val="000000"/>
        </w:rPr>
        <w:t>Doherty, J. (2017)</w:t>
      </w:r>
      <w:r w:rsidR="007E0782">
        <w:rPr>
          <w:rFonts w:asciiTheme="majorHAnsi" w:hAnsiTheme="majorHAnsi" w:cstheme="majorHAnsi"/>
          <w:color w:val="000000"/>
        </w:rPr>
        <w:t>.</w:t>
      </w:r>
      <w:r w:rsidRPr="000E4162">
        <w:rPr>
          <w:rFonts w:asciiTheme="majorHAnsi" w:hAnsiTheme="majorHAnsi" w:cstheme="majorHAnsi"/>
          <w:color w:val="000000"/>
        </w:rPr>
        <w:t> </w:t>
      </w:r>
      <w:r w:rsidRPr="000E4162">
        <w:rPr>
          <w:rFonts w:asciiTheme="majorHAnsi" w:hAnsiTheme="majorHAnsi" w:cstheme="majorHAnsi"/>
          <w:i/>
          <w:iCs/>
          <w:color w:val="000000"/>
        </w:rPr>
        <w:t>Skilful questioning: The beating heart of good pedagogy</w:t>
      </w:r>
      <w:r w:rsidRPr="000E4162">
        <w:rPr>
          <w:rFonts w:asciiTheme="majorHAnsi" w:hAnsiTheme="majorHAnsi" w:cstheme="majorHAnsi"/>
          <w:color w:val="000000"/>
        </w:rPr>
        <w:t>, </w:t>
      </w:r>
      <w:r w:rsidRPr="000E4162">
        <w:rPr>
          <w:rFonts w:asciiTheme="majorHAnsi" w:hAnsiTheme="majorHAnsi" w:cstheme="majorHAnsi"/>
          <w:i/>
          <w:iCs/>
          <w:color w:val="000000"/>
        </w:rPr>
        <w:t>My College</w:t>
      </w:r>
      <w:r w:rsidRPr="000E4162">
        <w:rPr>
          <w:rFonts w:asciiTheme="majorHAnsi" w:hAnsiTheme="majorHAnsi" w:cstheme="majorHAnsi"/>
          <w:color w:val="000000"/>
        </w:rPr>
        <w:t>. Available at: https://my.chartered.college/impact_article/skilful-questioning-the-beating-heart-of-good-pedagogy/ (Accessed: 01 May 2024). </w:t>
      </w:r>
    </w:p>
    <w:p w14:paraId="61F28C3A" w14:textId="0DE26F96" w:rsidR="009E4884" w:rsidRPr="007609FA" w:rsidRDefault="009E4884" w:rsidP="007609FA">
      <w:pPr>
        <w:pStyle w:val="NormalWeb"/>
        <w:spacing w:before="0" w:beforeAutospacing="0" w:after="240" w:afterAutospacing="0" w:line="360" w:lineRule="atLeast"/>
        <w:rPr>
          <w:rFonts w:asciiTheme="majorHAnsi" w:hAnsiTheme="majorHAnsi" w:cstheme="majorHAnsi"/>
          <w:color w:val="000000"/>
        </w:rPr>
      </w:pPr>
      <w:r w:rsidRPr="007609FA">
        <w:rPr>
          <w:rFonts w:asciiTheme="majorHAnsi" w:hAnsiTheme="majorHAnsi" w:cstheme="majorHAnsi"/>
          <w:color w:val="000000"/>
        </w:rPr>
        <w:t>Drew, C. (2023)</w:t>
      </w:r>
      <w:r w:rsidR="007E0782">
        <w:rPr>
          <w:rFonts w:asciiTheme="majorHAnsi" w:hAnsiTheme="majorHAnsi" w:cstheme="majorHAnsi"/>
          <w:color w:val="000000"/>
        </w:rPr>
        <w:t>.</w:t>
      </w:r>
      <w:r w:rsidRPr="007609FA">
        <w:rPr>
          <w:rFonts w:asciiTheme="majorHAnsi" w:hAnsiTheme="majorHAnsi" w:cstheme="majorHAnsi"/>
          <w:color w:val="000000"/>
        </w:rPr>
        <w:t> </w:t>
      </w:r>
      <w:r w:rsidRPr="007609FA">
        <w:rPr>
          <w:rFonts w:asciiTheme="majorHAnsi" w:hAnsiTheme="majorHAnsi" w:cstheme="majorHAnsi"/>
          <w:i/>
          <w:iCs/>
          <w:color w:val="000000"/>
        </w:rPr>
        <w:t>10 case study advantages and disadvantages</w:t>
      </w:r>
      <w:r w:rsidRPr="007609FA">
        <w:rPr>
          <w:rFonts w:asciiTheme="majorHAnsi" w:hAnsiTheme="majorHAnsi" w:cstheme="majorHAnsi"/>
          <w:color w:val="000000"/>
        </w:rPr>
        <w:t>, </w:t>
      </w:r>
      <w:r w:rsidRPr="007609FA">
        <w:rPr>
          <w:rFonts w:asciiTheme="majorHAnsi" w:hAnsiTheme="majorHAnsi" w:cstheme="majorHAnsi"/>
          <w:i/>
          <w:iCs/>
          <w:color w:val="000000"/>
        </w:rPr>
        <w:t>Helpful Professor</w:t>
      </w:r>
      <w:r w:rsidRPr="007609FA">
        <w:rPr>
          <w:rFonts w:asciiTheme="majorHAnsi" w:hAnsiTheme="majorHAnsi" w:cstheme="majorHAnsi"/>
          <w:color w:val="000000"/>
        </w:rPr>
        <w:t>. Available at: https://helpfulprofessor.com/case-study-advantages-and-disadvantages/ (Accessed: 05 May 2024). </w:t>
      </w:r>
    </w:p>
    <w:p w14:paraId="30FA6988" w14:textId="25CEE98C" w:rsidR="009E4884" w:rsidRPr="000E4162" w:rsidRDefault="009E4884" w:rsidP="0037692C">
      <w:pPr>
        <w:pStyle w:val="NormalWeb"/>
        <w:spacing w:before="0" w:beforeAutospacing="0" w:after="240" w:afterAutospacing="0" w:line="360" w:lineRule="atLeast"/>
        <w:rPr>
          <w:rFonts w:asciiTheme="majorHAnsi" w:hAnsiTheme="majorHAnsi" w:cstheme="majorHAnsi"/>
          <w:color w:val="000000"/>
        </w:rPr>
      </w:pPr>
      <w:r w:rsidRPr="000E4162">
        <w:rPr>
          <w:rFonts w:asciiTheme="majorHAnsi" w:hAnsiTheme="majorHAnsi" w:cstheme="majorHAnsi"/>
          <w:color w:val="000000"/>
        </w:rPr>
        <w:t>Estyn (2023)</w:t>
      </w:r>
      <w:r w:rsidR="007E0782">
        <w:rPr>
          <w:rFonts w:asciiTheme="majorHAnsi" w:hAnsiTheme="majorHAnsi" w:cstheme="majorHAnsi"/>
          <w:color w:val="000000"/>
        </w:rPr>
        <w:t>.</w:t>
      </w:r>
      <w:r w:rsidRPr="000E4162">
        <w:rPr>
          <w:rStyle w:val="apple-converted-space"/>
          <w:rFonts w:asciiTheme="majorHAnsi" w:hAnsiTheme="majorHAnsi" w:cstheme="majorHAnsi"/>
          <w:color w:val="000000"/>
        </w:rPr>
        <w:t> </w:t>
      </w:r>
      <w:r w:rsidRPr="000E4162">
        <w:rPr>
          <w:rFonts w:asciiTheme="majorHAnsi" w:hAnsiTheme="majorHAnsi" w:cstheme="majorHAnsi"/>
          <w:i/>
          <w:iCs/>
          <w:color w:val="000000"/>
        </w:rPr>
        <w:t xml:space="preserve">A report on </w:t>
      </w:r>
      <w:r w:rsidRPr="000E4162">
        <w:rPr>
          <w:rFonts w:asciiTheme="majorHAnsi" w:hAnsiTheme="majorHAnsi" w:cstheme="majorHAnsi"/>
          <w:i/>
          <w:iCs/>
          <w:color w:val="000000"/>
          <w:highlight w:val="black"/>
        </w:rPr>
        <w:t xml:space="preserve">Gelli Primary School </w:t>
      </w:r>
      <w:proofErr w:type="spellStart"/>
      <w:r w:rsidRPr="000E4162">
        <w:rPr>
          <w:rFonts w:asciiTheme="majorHAnsi" w:hAnsiTheme="majorHAnsi" w:cstheme="majorHAnsi"/>
          <w:i/>
          <w:iCs/>
          <w:color w:val="000000"/>
          <w:highlight w:val="black"/>
        </w:rPr>
        <w:t>Ystrad</w:t>
      </w:r>
      <w:proofErr w:type="spellEnd"/>
      <w:r w:rsidRPr="000E4162">
        <w:rPr>
          <w:rFonts w:asciiTheme="majorHAnsi" w:hAnsiTheme="majorHAnsi" w:cstheme="majorHAnsi"/>
          <w:i/>
          <w:iCs/>
          <w:color w:val="000000"/>
          <w:highlight w:val="black"/>
        </w:rPr>
        <w:t xml:space="preserve"> Road </w:t>
      </w:r>
      <w:proofErr w:type="spellStart"/>
      <w:r w:rsidRPr="000E4162">
        <w:rPr>
          <w:rFonts w:asciiTheme="majorHAnsi" w:hAnsiTheme="majorHAnsi" w:cstheme="majorHAnsi"/>
          <w:i/>
          <w:iCs/>
          <w:color w:val="000000"/>
          <w:highlight w:val="black"/>
        </w:rPr>
        <w:t>Ystrad</w:t>
      </w:r>
      <w:proofErr w:type="spellEnd"/>
      <w:r w:rsidRPr="000E4162">
        <w:rPr>
          <w:rFonts w:asciiTheme="majorHAnsi" w:hAnsiTheme="majorHAnsi" w:cstheme="majorHAnsi"/>
          <w:i/>
          <w:iCs/>
          <w:color w:val="000000"/>
          <w:highlight w:val="black"/>
        </w:rPr>
        <w:t xml:space="preserve"> Pentre RCT CF41 7PX Date of inspection: October 2023</w:t>
      </w:r>
      <w:r w:rsidRPr="000E4162">
        <w:rPr>
          <w:rFonts w:asciiTheme="majorHAnsi" w:hAnsiTheme="majorHAnsi" w:cstheme="majorHAnsi"/>
          <w:i/>
          <w:iCs/>
          <w:color w:val="000000"/>
        </w:rPr>
        <w:t xml:space="preserve"> by Estyn, His Majesty’s Inspectorate for Education and Training in Wales</w:t>
      </w:r>
      <w:r w:rsidRPr="000E4162">
        <w:rPr>
          <w:rFonts w:asciiTheme="majorHAnsi" w:hAnsiTheme="majorHAnsi" w:cstheme="majorHAnsi"/>
          <w:color w:val="000000"/>
        </w:rPr>
        <w:t>. Available at: https://</w:t>
      </w:r>
      <w:r w:rsidRPr="000E4162">
        <w:rPr>
          <w:rFonts w:asciiTheme="majorHAnsi" w:hAnsiTheme="majorHAnsi" w:cstheme="majorHAnsi"/>
          <w:color w:val="000000"/>
          <w:highlight w:val="black"/>
        </w:rPr>
        <w:t>www.estyn.gov.wales/system/files/2023-12/Inspection%20report%20Gelli%20Primary%20School%202023.pdf</w:t>
      </w:r>
      <w:r w:rsidRPr="000E4162">
        <w:rPr>
          <w:rFonts w:asciiTheme="majorHAnsi" w:hAnsiTheme="majorHAnsi" w:cstheme="majorHAnsi"/>
          <w:color w:val="000000"/>
        </w:rPr>
        <w:t xml:space="preserve"> (Accessed: 26 March 2024).</w:t>
      </w:r>
    </w:p>
    <w:p w14:paraId="11AF65CB" w14:textId="4F029821" w:rsidR="009E4884" w:rsidRPr="000E4162" w:rsidRDefault="009E4884" w:rsidP="00DA3E05">
      <w:pPr>
        <w:pStyle w:val="NormalWeb"/>
        <w:spacing w:after="240" w:line="360" w:lineRule="atLeast"/>
        <w:rPr>
          <w:rFonts w:asciiTheme="majorHAnsi" w:hAnsiTheme="majorHAnsi" w:cstheme="majorHAnsi"/>
          <w:color w:val="000000"/>
        </w:rPr>
      </w:pPr>
      <w:r w:rsidRPr="000E4162">
        <w:rPr>
          <w:rFonts w:asciiTheme="majorHAnsi" w:hAnsiTheme="majorHAnsi" w:cstheme="majorHAnsi"/>
          <w:color w:val="000000"/>
        </w:rPr>
        <w:t xml:space="preserve">Flyvbjerg, B., </w:t>
      </w:r>
      <w:r w:rsidR="00920D40">
        <w:rPr>
          <w:rFonts w:asciiTheme="majorHAnsi" w:hAnsiTheme="majorHAnsi" w:cstheme="majorHAnsi"/>
          <w:color w:val="000000"/>
        </w:rPr>
        <w:t>(</w:t>
      </w:r>
      <w:r w:rsidRPr="000E4162">
        <w:rPr>
          <w:rFonts w:asciiTheme="majorHAnsi" w:hAnsiTheme="majorHAnsi" w:cstheme="majorHAnsi"/>
          <w:color w:val="000000"/>
        </w:rPr>
        <w:t>2011</w:t>
      </w:r>
      <w:r w:rsidR="00920D40">
        <w:rPr>
          <w:rFonts w:asciiTheme="majorHAnsi" w:hAnsiTheme="majorHAnsi" w:cstheme="majorHAnsi"/>
          <w:color w:val="000000"/>
        </w:rPr>
        <w:t>)</w:t>
      </w:r>
      <w:r w:rsidRPr="000E4162">
        <w:rPr>
          <w:rFonts w:asciiTheme="majorHAnsi" w:hAnsiTheme="majorHAnsi" w:cstheme="majorHAnsi"/>
          <w:color w:val="000000"/>
        </w:rPr>
        <w:t xml:space="preserve">. </w:t>
      </w:r>
      <w:r w:rsidRPr="00FD2F91">
        <w:rPr>
          <w:rFonts w:asciiTheme="majorHAnsi" w:hAnsiTheme="majorHAnsi" w:cstheme="majorHAnsi"/>
          <w:i/>
          <w:iCs/>
          <w:color w:val="000000"/>
        </w:rPr>
        <w:t>Case study. The Sage handbook of qualitative research</w:t>
      </w:r>
      <w:r w:rsidRPr="000E4162">
        <w:rPr>
          <w:rFonts w:asciiTheme="majorHAnsi" w:hAnsiTheme="majorHAnsi" w:cstheme="majorHAnsi"/>
          <w:color w:val="000000"/>
        </w:rPr>
        <w:t>, </w:t>
      </w:r>
      <w:r w:rsidRPr="000E4162">
        <w:rPr>
          <w:rFonts w:asciiTheme="majorHAnsi" w:hAnsiTheme="majorHAnsi" w:cstheme="majorHAnsi"/>
          <w:i/>
          <w:iCs/>
          <w:color w:val="000000"/>
        </w:rPr>
        <w:t>4</w:t>
      </w:r>
      <w:r w:rsidRPr="000E4162">
        <w:rPr>
          <w:rFonts w:asciiTheme="majorHAnsi" w:hAnsiTheme="majorHAnsi" w:cstheme="majorHAnsi"/>
          <w:color w:val="000000"/>
        </w:rPr>
        <w:t>, pp.301-316.</w:t>
      </w:r>
    </w:p>
    <w:p w14:paraId="10E0D8FE" w14:textId="3E1AD0F4" w:rsidR="009E4884" w:rsidRDefault="009E4884" w:rsidP="00AB5CF5">
      <w:pPr>
        <w:rPr>
          <w:rFonts w:asciiTheme="majorHAnsi" w:hAnsiTheme="majorHAnsi" w:cstheme="majorHAnsi"/>
        </w:rPr>
      </w:pPr>
      <w:r w:rsidRPr="00AB5CF5">
        <w:rPr>
          <w:rFonts w:asciiTheme="majorHAnsi" w:hAnsiTheme="majorHAnsi" w:cstheme="majorHAnsi"/>
        </w:rPr>
        <w:t>Gelling, L. (2016)</w:t>
      </w:r>
      <w:r w:rsidR="007E0782">
        <w:rPr>
          <w:rFonts w:asciiTheme="majorHAnsi" w:hAnsiTheme="majorHAnsi" w:cstheme="majorHAnsi"/>
        </w:rPr>
        <w:t>.</w:t>
      </w:r>
      <w:r w:rsidRPr="00AB5CF5">
        <w:rPr>
          <w:rFonts w:asciiTheme="majorHAnsi" w:hAnsiTheme="majorHAnsi" w:cstheme="majorHAnsi"/>
        </w:rPr>
        <w:t xml:space="preserve"> ‘Applying for ethical approval for research: The main issues’, </w:t>
      </w:r>
      <w:r w:rsidRPr="00AB5CF5">
        <w:rPr>
          <w:rFonts w:asciiTheme="majorHAnsi" w:hAnsiTheme="majorHAnsi" w:cstheme="majorHAnsi"/>
          <w:i/>
          <w:iCs/>
        </w:rPr>
        <w:t>Nursing Standard</w:t>
      </w:r>
      <w:r w:rsidRPr="00AB5CF5">
        <w:rPr>
          <w:rFonts w:asciiTheme="majorHAnsi" w:hAnsiTheme="majorHAnsi" w:cstheme="majorHAnsi"/>
        </w:rPr>
        <w:t>, 30(20), pp. 40–44. doi:10.7748/ns.30.20.</w:t>
      </w:r>
      <w:proofErr w:type="gramStart"/>
      <w:r w:rsidRPr="00AB5CF5">
        <w:rPr>
          <w:rFonts w:asciiTheme="majorHAnsi" w:hAnsiTheme="majorHAnsi" w:cstheme="majorHAnsi"/>
        </w:rPr>
        <w:t>40.s</w:t>
      </w:r>
      <w:proofErr w:type="gramEnd"/>
      <w:r w:rsidRPr="00AB5CF5">
        <w:rPr>
          <w:rFonts w:asciiTheme="majorHAnsi" w:hAnsiTheme="majorHAnsi" w:cstheme="majorHAnsi"/>
        </w:rPr>
        <w:t>46. </w:t>
      </w:r>
    </w:p>
    <w:p w14:paraId="70122D2B" w14:textId="77777777" w:rsidR="00920D40" w:rsidRPr="00AB5CF5" w:rsidRDefault="00920D40" w:rsidP="00AB5CF5">
      <w:pPr>
        <w:rPr>
          <w:rFonts w:asciiTheme="majorHAnsi" w:hAnsiTheme="majorHAnsi" w:cstheme="majorHAnsi"/>
        </w:rPr>
      </w:pPr>
    </w:p>
    <w:p w14:paraId="1CF13D40" w14:textId="20036A89" w:rsidR="009E4884" w:rsidRDefault="009E4884" w:rsidP="005C06DD">
      <w:pPr>
        <w:pStyle w:val="NormalWeb"/>
        <w:spacing w:before="0" w:beforeAutospacing="0" w:after="240" w:afterAutospacing="0" w:line="360" w:lineRule="atLeast"/>
        <w:rPr>
          <w:rFonts w:asciiTheme="majorHAnsi" w:hAnsiTheme="majorHAnsi" w:cstheme="majorHAnsi"/>
          <w:color w:val="000000"/>
        </w:rPr>
      </w:pPr>
      <w:r w:rsidRPr="005C06DD">
        <w:rPr>
          <w:rFonts w:asciiTheme="majorHAnsi" w:hAnsiTheme="majorHAnsi" w:cstheme="majorHAnsi"/>
          <w:color w:val="000000"/>
        </w:rPr>
        <w:t>Hayes, A. (</w:t>
      </w:r>
      <w:r w:rsidRPr="000E4162">
        <w:rPr>
          <w:rFonts w:asciiTheme="majorHAnsi" w:hAnsiTheme="majorHAnsi" w:cstheme="majorHAnsi"/>
          <w:color w:val="000000"/>
        </w:rPr>
        <w:t>2023</w:t>
      </w:r>
      <w:r w:rsidRPr="005C06DD">
        <w:rPr>
          <w:rFonts w:asciiTheme="majorHAnsi" w:hAnsiTheme="majorHAnsi" w:cstheme="majorHAnsi"/>
          <w:color w:val="000000"/>
        </w:rPr>
        <w:t>)</w:t>
      </w:r>
      <w:r w:rsidR="007E0782">
        <w:rPr>
          <w:rFonts w:asciiTheme="majorHAnsi" w:hAnsiTheme="majorHAnsi" w:cstheme="majorHAnsi"/>
          <w:color w:val="000000"/>
        </w:rPr>
        <w:t xml:space="preserve">. </w:t>
      </w:r>
      <w:r w:rsidRPr="005C06DD">
        <w:rPr>
          <w:rFonts w:asciiTheme="majorHAnsi" w:hAnsiTheme="majorHAnsi" w:cstheme="majorHAnsi"/>
          <w:i/>
          <w:iCs/>
          <w:color w:val="000000"/>
        </w:rPr>
        <w:t>Simple random sampling: 6 basic steps with examples</w:t>
      </w:r>
      <w:r w:rsidRPr="005C06DD">
        <w:rPr>
          <w:rFonts w:asciiTheme="majorHAnsi" w:hAnsiTheme="majorHAnsi" w:cstheme="majorHAnsi"/>
          <w:color w:val="000000"/>
        </w:rPr>
        <w:t>, </w:t>
      </w:r>
      <w:r w:rsidRPr="005C06DD">
        <w:rPr>
          <w:rFonts w:asciiTheme="majorHAnsi" w:hAnsiTheme="majorHAnsi" w:cstheme="majorHAnsi"/>
          <w:i/>
          <w:iCs/>
          <w:color w:val="000000"/>
        </w:rPr>
        <w:t>Investopedia</w:t>
      </w:r>
      <w:r w:rsidRPr="005C06DD">
        <w:rPr>
          <w:rFonts w:asciiTheme="majorHAnsi" w:hAnsiTheme="majorHAnsi" w:cstheme="majorHAnsi"/>
          <w:color w:val="000000"/>
        </w:rPr>
        <w:t>. Available at: https://www.investopedia.com/terms/s/simple-random-sample.asp (Accessed: 05 May 2024). </w:t>
      </w:r>
    </w:p>
    <w:p w14:paraId="47F35888" w14:textId="64D5308E" w:rsidR="00A81C87" w:rsidRPr="000E4162" w:rsidRDefault="00A81C87" w:rsidP="005C06DD">
      <w:pPr>
        <w:pStyle w:val="NormalWeb"/>
        <w:spacing w:before="0" w:beforeAutospacing="0" w:after="240" w:afterAutospacing="0" w:line="360" w:lineRule="atLeast"/>
        <w:rPr>
          <w:rFonts w:asciiTheme="majorHAnsi" w:hAnsiTheme="majorHAnsi" w:cstheme="majorHAnsi"/>
          <w:color w:val="000000"/>
        </w:rPr>
      </w:pPr>
      <w:r w:rsidRPr="00A81C87">
        <w:rPr>
          <w:rFonts w:asciiTheme="majorHAnsi" w:hAnsiTheme="majorHAnsi" w:cstheme="majorHAnsi"/>
          <w:color w:val="000000"/>
        </w:rPr>
        <w:t>Hoft, J. (2021)</w:t>
      </w:r>
      <w:r w:rsidR="007E0782">
        <w:rPr>
          <w:rFonts w:asciiTheme="majorHAnsi" w:hAnsiTheme="majorHAnsi" w:cstheme="majorHAnsi"/>
          <w:color w:val="000000"/>
        </w:rPr>
        <w:t>.</w:t>
      </w:r>
      <w:r w:rsidRPr="00A81C87">
        <w:rPr>
          <w:rFonts w:asciiTheme="majorHAnsi" w:hAnsiTheme="majorHAnsi" w:cstheme="majorHAnsi"/>
          <w:color w:val="000000"/>
        </w:rPr>
        <w:t xml:space="preserve"> ‘Anonymity and confidentiality’, </w:t>
      </w:r>
      <w:r w:rsidRPr="00A81C87">
        <w:rPr>
          <w:rFonts w:asciiTheme="majorHAnsi" w:hAnsiTheme="majorHAnsi" w:cstheme="majorHAnsi"/>
          <w:i/>
          <w:iCs/>
          <w:color w:val="000000"/>
        </w:rPr>
        <w:t>The Encyclopedia of Research Methods in Criminology and Criminal Justice</w:t>
      </w:r>
      <w:r w:rsidRPr="00A81C87">
        <w:rPr>
          <w:rFonts w:asciiTheme="majorHAnsi" w:hAnsiTheme="majorHAnsi" w:cstheme="majorHAnsi"/>
          <w:color w:val="000000"/>
        </w:rPr>
        <w:t>, pp. 223–227. doi:10.1002/9781119111931.ch41. </w:t>
      </w:r>
    </w:p>
    <w:p w14:paraId="6DC783D5" w14:textId="4DF72FA0" w:rsidR="009E4884" w:rsidRPr="000E4162" w:rsidRDefault="009E4884" w:rsidP="003518A7">
      <w:pPr>
        <w:pStyle w:val="NormalWeb"/>
        <w:spacing w:after="240" w:line="360" w:lineRule="atLeast"/>
        <w:rPr>
          <w:rFonts w:asciiTheme="majorHAnsi" w:hAnsiTheme="majorHAnsi" w:cstheme="majorHAnsi"/>
          <w:color w:val="000000"/>
        </w:rPr>
      </w:pPr>
      <w:r w:rsidRPr="000E4162">
        <w:rPr>
          <w:rFonts w:asciiTheme="majorHAnsi" w:hAnsiTheme="majorHAnsi" w:cstheme="majorHAnsi"/>
          <w:color w:val="000000"/>
        </w:rPr>
        <w:t xml:space="preserve">InnerDrive, </w:t>
      </w:r>
      <w:r w:rsidR="00920D40">
        <w:rPr>
          <w:rFonts w:asciiTheme="majorHAnsi" w:hAnsiTheme="majorHAnsi" w:cstheme="majorHAnsi"/>
          <w:color w:val="000000"/>
        </w:rPr>
        <w:t>(</w:t>
      </w:r>
      <w:r w:rsidRPr="000E4162">
        <w:rPr>
          <w:rFonts w:asciiTheme="majorHAnsi" w:hAnsiTheme="majorHAnsi" w:cstheme="majorHAnsi"/>
          <w:color w:val="000000"/>
        </w:rPr>
        <w:t>2024</w:t>
      </w:r>
      <w:r w:rsidR="00920D40">
        <w:rPr>
          <w:rFonts w:asciiTheme="majorHAnsi" w:hAnsiTheme="majorHAnsi" w:cstheme="majorHAnsi"/>
          <w:color w:val="000000"/>
        </w:rPr>
        <w:t>)</w:t>
      </w:r>
      <w:r w:rsidRPr="000E4162">
        <w:rPr>
          <w:rFonts w:asciiTheme="majorHAnsi" w:hAnsiTheme="majorHAnsi" w:cstheme="majorHAnsi"/>
          <w:color w:val="000000"/>
        </w:rPr>
        <w:t xml:space="preserve">. A complete guide to Cold-Calling in the classroom. InnerDrive. Available at: </w:t>
      </w:r>
      <w:hyperlink r:id="rId7" w:tgtFrame="_new" w:history="1">
        <w:r w:rsidRPr="000E4162">
          <w:rPr>
            <w:rStyle w:val="Hyperlink"/>
            <w:rFonts w:asciiTheme="majorHAnsi" w:hAnsiTheme="majorHAnsi" w:cstheme="majorHAnsi"/>
          </w:rPr>
          <w:t>https://www.innerdrive.co.uk/blog/guide-to-cold-calling/</w:t>
        </w:r>
      </w:hyperlink>
      <w:r w:rsidRPr="000E4162">
        <w:rPr>
          <w:rFonts w:asciiTheme="majorHAnsi" w:hAnsiTheme="majorHAnsi" w:cstheme="majorHAnsi"/>
          <w:color w:val="000000"/>
        </w:rPr>
        <w:t xml:space="preserve"> (Accessed 1 May 2024).</w:t>
      </w:r>
    </w:p>
    <w:p w14:paraId="1A197C71" w14:textId="73BE411F" w:rsidR="009E4884" w:rsidRDefault="009E4884" w:rsidP="00113C34">
      <w:pPr>
        <w:rPr>
          <w:rFonts w:asciiTheme="majorHAnsi" w:hAnsiTheme="majorHAnsi" w:cstheme="majorHAnsi"/>
        </w:rPr>
      </w:pPr>
      <w:r w:rsidRPr="00113C34">
        <w:rPr>
          <w:rFonts w:asciiTheme="majorHAnsi" w:hAnsiTheme="majorHAnsi" w:cstheme="majorHAnsi"/>
        </w:rPr>
        <w:t>Jebb, A.T., Ng, V. and Tay, L. (2021)</w:t>
      </w:r>
      <w:r w:rsidR="007E0782">
        <w:rPr>
          <w:rFonts w:asciiTheme="majorHAnsi" w:hAnsiTheme="majorHAnsi" w:cstheme="majorHAnsi"/>
        </w:rPr>
        <w:t>.</w:t>
      </w:r>
      <w:r w:rsidRPr="00113C34">
        <w:rPr>
          <w:rFonts w:asciiTheme="majorHAnsi" w:hAnsiTheme="majorHAnsi" w:cstheme="majorHAnsi"/>
        </w:rPr>
        <w:t xml:space="preserve"> ‘A review of key Likert Scale Development Advances: 1995–2019’, </w:t>
      </w:r>
      <w:r w:rsidRPr="00113C34">
        <w:rPr>
          <w:rFonts w:asciiTheme="majorHAnsi" w:hAnsiTheme="majorHAnsi" w:cstheme="majorHAnsi"/>
          <w:i/>
          <w:iCs/>
        </w:rPr>
        <w:t>Frontiers in Psychology</w:t>
      </w:r>
      <w:r w:rsidRPr="00113C34">
        <w:rPr>
          <w:rFonts w:asciiTheme="majorHAnsi" w:hAnsiTheme="majorHAnsi" w:cstheme="majorHAnsi"/>
        </w:rPr>
        <w:t>, 12. doi:10.3389/fpsyg.2021.637547. </w:t>
      </w:r>
    </w:p>
    <w:p w14:paraId="793F6385" w14:textId="77777777" w:rsidR="00674B65" w:rsidRDefault="00674B65" w:rsidP="00113C34">
      <w:pPr>
        <w:rPr>
          <w:rFonts w:asciiTheme="majorHAnsi" w:hAnsiTheme="majorHAnsi" w:cstheme="majorHAnsi"/>
        </w:rPr>
      </w:pPr>
    </w:p>
    <w:p w14:paraId="36CDDF7A" w14:textId="1ECE8482" w:rsidR="00674B65" w:rsidRDefault="00674B65" w:rsidP="00113C34">
      <w:pPr>
        <w:rPr>
          <w:rFonts w:asciiTheme="majorHAnsi" w:hAnsiTheme="majorHAnsi" w:cstheme="majorHAnsi"/>
        </w:rPr>
      </w:pPr>
      <w:r w:rsidRPr="00674B65">
        <w:rPr>
          <w:rFonts w:asciiTheme="majorHAnsi" w:hAnsiTheme="majorHAnsi" w:cstheme="majorHAnsi"/>
        </w:rPr>
        <w:t>Korstjens, I. and Moser, A. (2017)</w:t>
      </w:r>
      <w:r w:rsidR="007E0782">
        <w:rPr>
          <w:rFonts w:asciiTheme="majorHAnsi" w:hAnsiTheme="majorHAnsi" w:cstheme="majorHAnsi"/>
        </w:rPr>
        <w:t>.</w:t>
      </w:r>
      <w:r w:rsidRPr="00674B65">
        <w:rPr>
          <w:rFonts w:asciiTheme="majorHAnsi" w:hAnsiTheme="majorHAnsi" w:cstheme="majorHAnsi"/>
        </w:rPr>
        <w:t xml:space="preserve"> </w:t>
      </w:r>
      <w:r w:rsidRPr="00FD2F91">
        <w:rPr>
          <w:rFonts w:asciiTheme="majorHAnsi" w:hAnsiTheme="majorHAnsi" w:cstheme="majorHAnsi"/>
          <w:i/>
          <w:iCs/>
        </w:rPr>
        <w:t>‘Series: Practical guidance to qualitative research. part 4: Trustworthiness and publishing</w:t>
      </w:r>
      <w:r w:rsidRPr="00674B65">
        <w:rPr>
          <w:rFonts w:asciiTheme="majorHAnsi" w:hAnsiTheme="majorHAnsi" w:cstheme="majorHAnsi"/>
        </w:rPr>
        <w:t>’, </w:t>
      </w:r>
      <w:r w:rsidRPr="00674B65">
        <w:rPr>
          <w:rFonts w:asciiTheme="majorHAnsi" w:hAnsiTheme="majorHAnsi" w:cstheme="majorHAnsi"/>
          <w:i/>
          <w:iCs/>
        </w:rPr>
        <w:t>European Journal of General Practice</w:t>
      </w:r>
      <w:r w:rsidRPr="00674B65">
        <w:rPr>
          <w:rFonts w:asciiTheme="majorHAnsi" w:hAnsiTheme="majorHAnsi" w:cstheme="majorHAnsi"/>
        </w:rPr>
        <w:t>, 24(1), pp. 120–124. doi:10.1080/13814788.2017.1375092. </w:t>
      </w:r>
    </w:p>
    <w:p w14:paraId="7889C877" w14:textId="77777777" w:rsidR="00A81C87" w:rsidRPr="00113C34" w:rsidRDefault="00A81C87" w:rsidP="00113C34">
      <w:pPr>
        <w:rPr>
          <w:rFonts w:asciiTheme="majorHAnsi" w:hAnsiTheme="majorHAnsi" w:cstheme="majorHAnsi"/>
        </w:rPr>
      </w:pPr>
    </w:p>
    <w:p w14:paraId="5EC7AA7B" w14:textId="6EB7DE0D" w:rsidR="009E4884" w:rsidRPr="000E4162" w:rsidRDefault="009E4884" w:rsidP="007D5961">
      <w:pPr>
        <w:pStyle w:val="NormalWeb"/>
        <w:spacing w:before="0" w:beforeAutospacing="0" w:after="240" w:afterAutospacing="0" w:line="360" w:lineRule="atLeast"/>
        <w:rPr>
          <w:rFonts w:asciiTheme="majorHAnsi" w:hAnsiTheme="majorHAnsi" w:cstheme="majorHAnsi"/>
          <w:color w:val="000000"/>
        </w:rPr>
      </w:pPr>
      <w:r w:rsidRPr="000E4162">
        <w:rPr>
          <w:rFonts w:asciiTheme="majorHAnsi" w:hAnsiTheme="majorHAnsi" w:cstheme="majorHAnsi"/>
          <w:color w:val="000000"/>
        </w:rPr>
        <w:t>Lambert, M. (2019)</w:t>
      </w:r>
      <w:r w:rsidR="007E0782">
        <w:rPr>
          <w:rFonts w:asciiTheme="majorHAnsi" w:hAnsiTheme="majorHAnsi" w:cstheme="majorHAnsi"/>
          <w:color w:val="000000"/>
        </w:rPr>
        <w:t>.</w:t>
      </w:r>
      <w:r w:rsidRPr="000E4162">
        <w:rPr>
          <w:rFonts w:asciiTheme="majorHAnsi" w:hAnsiTheme="majorHAnsi" w:cstheme="majorHAnsi"/>
          <w:color w:val="000000"/>
        </w:rPr>
        <w:t> </w:t>
      </w:r>
      <w:r w:rsidRPr="000E4162">
        <w:rPr>
          <w:rFonts w:asciiTheme="majorHAnsi" w:hAnsiTheme="majorHAnsi" w:cstheme="majorHAnsi"/>
          <w:i/>
          <w:iCs/>
          <w:color w:val="000000"/>
        </w:rPr>
        <w:t>Practical research methods in education: An early researcher’s critical guide</w:t>
      </w:r>
      <w:r w:rsidRPr="000E4162">
        <w:rPr>
          <w:rFonts w:asciiTheme="majorHAnsi" w:hAnsiTheme="majorHAnsi" w:cstheme="majorHAnsi"/>
          <w:color w:val="000000"/>
        </w:rPr>
        <w:t>. Abingdon, Oxon: Routledge. </w:t>
      </w:r>
    </w:p>
    <w:p w14:paraId="2CE409B3" w14:textId="24CF8434" w:rsidR="009E4884" w:rsidRPr="00301647" w:rsidRDefault="009E4884" w:rsidP="00301647">
      <w:pPr>
        <w:pStyle w:val="NormalWeb"/>
        <w:spacing w:after="240" w:line="360" w:lineRule="atLeast"/>
        <w:rPr>
          <w:rFonts w:asciiTheme="majorHAnsi" w:hAnsiTheme="majorHAnsi" w:cstheme="majorHAnsi"/>
          <w:color w:val="000000"/>
        </w:rPr>
      </w:pPr>
      <w:r w:rsidRPr="00301647">
        <w:rPr>
          <w:rFonts w:asciiTheme="majorHAnsi" w:hAnsiTheme="majorHAnsi" w:cstheme="majorHAnsi"/>
          <w:color w:val="000000"/>
        </w:rPr>
        <w:lastRenderedPageBreak/>
        <w:t>Lee, B.,</w:t>
      </w:r>
      <w:r w:rsidR="00691930">
        <w:rPr>
          <w:rFonts w:asciiTheme="majorHAnsi" w:hAnsiTheme="majorHAnsi" w:cstheme="majorHAnsi"/>
          <w:color w:val="000000"/>
        </w:rPr>
        <w:t xml:space="preserve"> and</w:t>
      </w:r>
      <w:r w:rsidRPr="00301647">
        <w:rPr>
          <w:rFonts w:asciiTheme="majorHAnsi" w:hAnsiTheme="majorHAnsi" w:cstheme="majorHAnsi"/>
          <w:color w:val="000000"/>
        </w:rPr>
        <w:t xml:space="preserve"> Saunders, M. N. K. (2017). </w:t>
      </w:r>
      <w:r w:rsidRPr="00301647">
        <w:rPr>
          <w:rFonts w:asciiTheme="majorHAnsi" w:hAnsiTheme="majorHAnsi" w:cstheme="majorHAnsi"/>
          <w:i/>
          <w:iCs/>
          <w:color w:val="000000"/>
        </w:rPr>
        <w:t>Conducting Case Study Research for Business and Management Students. </w:t>
      </w:r>
      <w:r w:rsidRPr="00301647">
        <w:rPr>
          <w:rFonts w:asciiTheme="majorHAnsi" w:hAnsiTheme="majorHAnsi" w:cstheme="majorHAnsi"/>
          <w:color w:val="000000"/>
        </w:rPr>
        <w:t>SAGE Publications.</w:t>
      </w:r>
    </w:p>
    <w:p w14:paraId="4354E9C6" w14:textId="33B62BB7" w:rsidR="009E4884" w:rsidRPr="000E4162" w:rsidRDefault="009E4884" w:rsidP="001D5F3A">
      <w:pPr>
        <w:pStyle w:val="NormalWeb"/>
        <w:spacing w:before="0" w:beforeAutospacing="0" w:after="240" w:afterAutospacing="0" w:line="360" w:lineRule="atLeast"/>
        <w:rPr>
          <w:rFonts w:asciiTheme="majorHAnsi" w:hAnsiTheme="majorHAnsi" w:cstheme="majorHAnsi"/>
          <w:color w:val="000000"/>
        </w:rPr>
      </w:pPr>
      <w:r w:rsidRPr="000E4162">
        <w:rPr>
          <w:rFonts w:asciiTheme="majorHAnsi" w:hAnsiTheme="majorHAnsi" w:cstheme="majorHAnsi"/>
          <w:color w:val="000000"/>
        </w:rPr>
        <w:t>Lemov, D. (2010</w:t>
      </w:r>
      <w:proofErr w:type="gramStart"/>
      <w:r w:rsidRPr="000E4162">
        <w:rPr>
          <w:rFonts w:asciiTheme="majorHAnsi" w:hAnsiTheme="majorHAnsi" w:cstheme="majorHAnsi"/>
          <w:color w:val="000000"/>
        </w:rPr>
        <w:t>) </w:t>
      </w:r>
      <w:r w:rsidR="007E0782">
        <w:rPr>
          <w:rFonts w:asciiTheme="majorHAnsi" w:hAnsiTheme="majorHAnsi" w:cstheme="majorHAnsi"/>
          <w:color w:val="000000"/>
        </w:rPr>
        <w:t>.</w:t>
      </w:r>
      <w:r w:rsidRPr="000E4162">
        <w:rPr>
          <w:rFonts w:asciiTheme="majorHAnsi" w:hAnsiTheme="majorHAnsi" w:cstheme="majorHAnsi"/>
          <w:i/>
          <w:iCs/>
          <w:color w:val="000000"/>
        </w:rPr>
        <w:t>Teach</w:t>
      </w:r>
      <w:proofErr w:type="gramEnd"/>
      <w:r w:rsidRPr="000E4162">
        <w:rPr>
          <w:rFonts w:asciiTheme="majorHAnsi" w:hAnsiTheme="majorHAnsi" w:cstheme="majorHAnsi"/>
          <w:i/>
          <w:iCs/>
          <w:color w:val="000000"/>
        </w:rPr>
        <w:t xml:space="preserve"> like a champion: 49 techniques that put students on the path to college</w:t>
      </w:r>
      <w:r w:rsidRPr="000E4162">
        <w:rPr>
          <w:rFonts w:asciiTheme="majorHAnsi" w:hAnsiTheme="majorHAnsi" w:cstheme="majorHAnsi"/>
          <w:color w:val="000000"/>
        </w:rPr>
        <w:t>. San Francisco: Jossey-Bass. </w:t>
      </w:r>
    </w:p>
    <w:p w14:paraId="2B99314A" w14:textId="01910695" w:rsidR="009E4884" w:rsidRPr="000E4162" w:rsidRDefault="009E4884" w:rsidP="0029316B">
      <w:pPr>
        <w:pStyle w:val="NormalWeb"/>
        <w:spacing w:before="0" w:beforeAutospacing="0" w:after="240" w:afterAutospacing="0" w:line="360" w:lineRule="atLeast"/>
        <w:rPr>
          <w:rFonts w:asciiTheme="majorHAnsi" w:hAnsiTheme="majorHAnsi" w:cstheme="majorHAnsi"/>
          <w:color w:val="000000"/>
        </w:rPr>
      </w:pPr>
      <w:r w:rsidRPr="000E4162">
        <w:rPr>
          <w:rFonts w:asciiTheme="majorHAnsi" w:hAnsiTheme="majorHAnsi" w:cstheme="majorHAnsi"/>
          <w:color w:val="000000"/>
        </w:rPr>
        <w:t>Lemov, D. (2015)</w:t>
      </w:r>
      <w:r w:rsidR="007E0782">
        <w:rPr>
          <w:rFonts w:asciiTheme="majorHAnsi" w:hAnsiTheme="majorHAnsi" w:cstheme="majorHAnsi"/>
          <w:color w:val="000000"/>
        </w:rPr>
        <w:t>.</w:t>
      </w:r>
      <w:r w:rsidRPr="000E4162">
        <w:rPr>
          <w:rFonts w:asciiTheme="majorHAnsi" w:hAnsiTheme="majorHAnsi" w:cstheme="majorHAnsi"/>
          <w:color w:val="000000"/>
        </w:rPr>
        <w:t> </w:t>
      </w:r>
      <w:r w:rsidRPr="000E4162">
        <w:rPr>
          <w:rFonts w:asciiTheme="majorHAnsi" w:hAnsiTheme="majorHAnsi" w:cstheme="majorHAnsi"/>
          <w:i/>
          <w:iCs/>
          <w:color w:val="000000"/>
        </w:rPr>
        <w:t>Teach like a Champion 2.0: 62 techniques that put students on the path to college</w:t>
      </w:r>
      <w:r w:rsidRPr="000E4162">
        <w:rPr>
          <w:rFonts w:asciiTheme="majorHAnsi" w:hAnsiTheme="majorHAnsi" w:cstheme="majorHAnsi"/>
          <w:color w:val="000000"/>
        </w:rPr>
        <w:t>. San Francisco: Jossey-Bass. </w:t>
      </w:r>
    </w:p>
    <w:p w14:paraId="2F04ADFD" w14:textId="27765469" w:rsidR="009E4884" w:rsidRPr="00484CA7" w:rsidRDefault="009E4884" w:rsidP="00484CA7">
      <w:pPr>
        <w:pStyle w:val="NormalWeb"/>
        <w:spacing w:before="0" w:beforeAutospacing="0" w:after="240" w:afterAutospacing="0" w:line="360" w:lineRule="atLeast"/>
        <w:rPr>
          <w:rFonts w:asciiTheme="majorHAnsi" w:hAnsiTheme="majorHAnsi" w:cstheme="majorHAnsi"/>
          <w:color w:val="000000"/>
        </w:rPr>
      </w:pPr>
      <w:proofErr w:type="gramStart"/>
      <w:r w:rsidRPr="00484CA7">
        <w:rPr>
          <w:rFonts w:asciiTheme="majorHAnsi" w:hAnsiTheme="majorHAnsi" w:cstheme="majorHAnsi"/>
          <w:color w:val="000000"/>
        </w:rPr>
        <w:t>Maguire ,</w:t>
      </w:r>
      <w:proofErr w:type="gramEnd"/>
      <w:r w:rsidRPr="00484CA7">
        <w:rPr>
          <w:rFonts w:asciiTheme="majorHAnsi" w:hAnsiTheme="majorHAnsi" w:cstheme="majorHAnsi"/>
          <w:color w:val="000000"/>
        </w:rPr>
        <w:t xml:space="preserve"> M. and Delahunt, B. (2017)</w:t>
      </w:r>
      <w:r w:rsidR="007E0782">
        <w:rPr>
          <w:rFonts w:asciiTheme="majorHAnsi" w:hAnsiTheme="majorHAnsi" w:cstheme="majorHAnsi"/>
          <w:color w:val="000000"/>
        </w:rPr>
        <w:t>.</w:t>
      </w:r>
      <w:r w:rsidRPr="00484CA7">
        <w:rPr>
          <w:rFonts w:asciiTheme="majorHAnsi" w:hAnsiTheme="majorHAnsi" w:cstheme="majorHAnsi"/>
          <w:color w:val="000000"/>
        </w:rPr>
        <w:t> </w:t>
      </w:r>
      <w:r w:rsidRPr="00484CA7">
        <w:rPr>
          <w:rFonts w:asciiTheme="majorHAnsi" w:hAnsiTheme="majorHAnsi" w:cstheme="majorHAnsi"/>
          <w:i/>
          <w:iCs/>
          <w:color w:val="000000"/>
        </w:rPr>
        <w:t>Doing a Thematic Analysis: A Practical, Step-by-Step Guide for Learning and Teaching Scholars.*</w:t>
      </w:r>
      <w:r w:rsidRPr="00484CA7">
        <w:rPr>
          <w:rFonts w:asciiTheme="majorHAnsi" w:hAnsiTheme="majorHAnsi" w:cstheme="majorHAnsi"/>
          <w:color w:val="000000"/>
        </w:rPr>
        <w:t>, 3. </w:t>
      </w:r>
    </w:p>
    <w:p w14:paraId="61938F09" w14:textId="65812BB3" w:rsidR="009E4884" w:rsidRPr="000E4162" w:rsidRDefault="009E4884" w:rsidP="00DD3282">
      <w:pPr>
        <w:pStyle w:val="NormalWeb"/>
        <w:spacing w:after="240" w:line="360" w:lineRule="atLeast"/>
        <w:rPr>
          <w:rFonts w:asciiTheme="majorHAnsi" w:hAnsiTheme="majorHAnsi" w:cstheme="majorHAnsi"/>
          <w:color w:val="000000"/>
        </w:rPr>
      </w:pPr>
      <w:r w:rsidRPr="000E4162">
        <w:rPr>
          <w:rFonts w:asciiTheme="majorHAnsi" w:hAnsiTheme="majorHAnsi" w:cstheme="majorHAnsi"/>
          <w:color w:val="000000"/>
        </w:rPr>
        <w:t>McArdle, K. and Forrester, K. (2020</w:t>
      </w:r>
      <w:r w:rsidRPr="00FD2F91">
        <w:rPr>
          <w:rFonts w:asciiTheme="majorHAnsi" w:hAnsiTheme="majorHAnsi" w:cstheme="majorHAnsi"/>
          <w:i/>
          <w:iCs/>
          <w:color w:val="000000"/>
        </w:rPr>
        <w:t>)</w:t>
      </w:r>
      <w:r w:rsidR="007E0782">
        <w:rPr>
          <w:rFonts w:asciiTheme="majorHAnsi" w:hAnsiTheme="majorHAnsi" w:cstheme="majorHAnsi"/>
          <w:i/>
          <w:iCs/>
          <w:color w:val="000000"/>
        </w:rPr>
        <w:t>.</w:t>
      </w:r>
      <w:r w:rsidRPr="00FD2F91">
        <w:rPr>
          <w:rFonts w:asciiTheme="majorHAnsi" w:hAnsiTheme="majorHAnsi" w:cstheme="majorHAnsi"/>
          <w:i/>
          <w:iCs/>
          <w:color w:val="000000"/>
        </w:rPr>
        <w:t xml:space="preserve"> ‘Questionnaires’, </w:t>
      </w:r>
      <w:r w:rsidRPr="000E4162">
        <w:rPr>
          <w:rFonts w:asciiTheme="majorHAnsi" w:hAnsiTheme="majorHAnsi" w:cstheme="majorHAnsi"/>
          <w:i/>
          <w:iCs/>
          <w:color w:val="000000"/>
        </w:rPr>
        <w:t>The Impact of Community Work</w:t>
      </w:r>
      <w:r w:rsidRPr="000E4162">
        <w:rPr>
          <w:rFonts w:asciiTheme="majorHAnsi" w:hAnsiTheme="majorHAnsi" w:cstheme="majorHAnsi"/>
          <w:color w:val="000000"/>
        </w:rPr>
        <w:t>, pp. 119–134. doi:10.51952/9781447343950.ch007. </w:t>
      </w:r>
    </w:p>
    <w:p w14:paraId="74E33B16" w14:textId="13E223B9" w:rsidR="009E4884" w:rsidRDefault="009E4884" w:rsidP="00D4502A">
      <w:pPr>
        <w:pStyle w:val="NormalWeb"/>
        <w:spacing w:before="0" w:beforeAutospacing="0" w:after="240" w:afterAutospacing="0" w:line="360" w:lineRule="atLeast"/>
        <w:rPr>
          <w:rFonts w:asciiTheme="majorHAnsi" w:hAnsiTheme="majorHAnsi" w:cstheme="majorHAnsi"/>
          <w:color w:val="000000"/>
        </w:rPr>
      </w:pPr>
      <w:r w:rsidRPr="000E4162">
        <w:rPr>
          <w:rFonts w:asciiTheme="majorHAnsi" w:hAnsiTheme="majorHAnsi" w:cstheme="majorHAnsi"/>
          <w:color w:val="000000"/>
        </w:rPr>
        <w:t>Mcleod, S. (2023a)</w:t>
      </w:r>
      <w:r w:rsidR="007E0782">
        <w:rPr>
          <w:rFonts w:asciiTheme="majorHAnsi" w:hAnsiTheme="majorHAnsi" w:cstheme="majorHAnsi"/>
          <w:color w:val="000000"/>
        </w:rPr>
        <w:t>.</w:t>
      </w:r>
      <w:r w:rsidRPr="000E4162">
        <w:rPr>
          <w:rFonts w:asciiTheme="majorHAnsi" w:hAnsiTheme="majorHAnsi" w:cstheme="majorHAnsi"/>
          <w:color w:val="000000"/>
        </w:rPr>
        <w:t> </w:t>
      </w:r>
      <w:r w:rsidRPr="000E4162">
        <w:rPr>
          <w:rFonts w:asciiTheme="majorHAnsi" w:hAnsiTheme="majorHAnsi" w:cstheme="majorHAnsi"/>
          <w:i/>
          <w:iCs/>
          <w:color w:val="000000"/>
        </w:rPr>
        <w:t xml:space="preserve">What is a questionnaire and how is it used in </w:t>
      </w:r>
      <w:proofErr w:type="gramStart"/>
      <w:r w:rsidRPr="000E4162">
        <w:rPr>
          <w:rFonts w:asciiTheme="majorHAnsi" w:hAnsiTheme="majorHAnsi" w:cstheme="majorHAnsi"/>
          <w:i/>
          <w:iCs/>
          <w:color w:val="000000"/>
        </w:rPr>
        <w:t>research?</w:t>
      </w:r>
      <w:r w:rsidRPr="000E4162">
        <w:rPr>
          <w:rFonts w:asciiTheme="majorHAnsi" w:hAnsiTheme="majorHAnsi" w:cstheme="majorHAnsi"/>
          <w:color w:val="000000"/>
        </w:rPr>
        <w:t>,</w:t>
      </w:r>
      <w:proofErr w:type="gramEnd"/>
      <w:r w:rsidRPr="000E4162">
        <w:rPr>
          <w:rFonts w:asciiTheme="majorHAnsi" w:hAnsiTheme="majorHAnsi" w:cstheme="majorHAnsi"/>
          <w:color w:val="000000"/>
        </w:rPr>
        <w:t> </w:t>
      </w:r>
      <w:r w:rsidRPr="000E4162">
        <w:rPr>
          <w:rFonts w:asciiTheme="majorHAnsi" w:hAnsiTheme="majorHAnsi" w:cstheme="majorHAnsi"/>
          <w:i/>
          <w:iCs/>
          <w:color w:val="000000"/>
        </w:rPr>
        <w:t>Simply Psychology</w:t>
      </w:r>
      <w:r w:rsidRPr="000E4162">
        <w:rPr>
          <w:rFonts w:asciiTheme="majorHAnsi" w:hAnsiTheme="majorHAnsi" w:cstheme="majorHAnsi"/>
          <w:color w:val="000000"/>
        </w:rPr>
        <w:t>. Available at: https://www.simplypsychology.org/questionnaires.html (Accessed: 03 May 2024). </w:t>
      </w:r>
    </w:p>
    <w:p w14:paraId="4AB1864A" w14:textId="520B3AF8" w:rsidR="00EF5322" w:rsidRPr="000E4162" w:rsidRDefault="00EF5322" w:rsidP="00D4502A">
      <w:pPr>
        <w:pStyle w:val="NormalWeb"/>
        <w:spacing w:before="0" w:beforeAutospacing="0" w:after="240" w:afterAutospacing="0" w:line="360" w:lineRule="atLeast"/>
        <w:rPr>
          <w:rFonts w:asciiTheme="majorHAnsi" w:hAnsiTheme="majorHAnsi" w:cstheme="majorHAnsi"/>
          <w:color w:val="000000"/>
        </w:rPr>
      </w:pPr>
      <w:r w:rsidRPr="00EF5322">
        <w:rPr>
          <w:rFonts w:asciiTheme="majorHAnsi" w:hAnsiTheme="majorHAnsi" w:cstheme="majorHAnsi"/>
          <w:color w:val="000000"/>
        </w:rPr>
        <w:t>Mcleod, S. (2023</w:t>
      </w:r>
      <w:r w:rsidR="00FC4D71">
        <w:rPr>
          <w:rFonts w:asciiTheme="majorHAnsi" w:hAnsiTheme="majorHAnsi" w:cstheme="majorHAnsi"/>
          <w:color w:val="000000"/>
        </w:rPr>
        <w:t>b</w:t>
      </w:r>
      <w:r w:rsidRPr="00EF5322">
        <w:rPr>
          <w:rFonts w:asciiTheme="majorHAnsi" w:hAnsiTheme="majorHAnsi" w:cstheme="majorHAnsi"/>
          <w:color w:val="000000"/>
        </w:rPr>
        <w:t>)</w:t>
      </w:r>
      <w:r w:rsidR="007E0782">
        <w:rPr>
          <w:rFonts w:asciiTheme="majorHAnsi" w:hAnsiTheme="majorHAnsi" w:cstheme="majorHAnsi"/>
          <w:color w:val="000000"/>
        </w:rPr>
        <w:t>.</w:t>
      </w:r>
      <w:r w:rsidRPr="00EF5322">
        <w:rPr>
          <w:rFonts w:asciiTheme="majorHAnsi" w:hAnsiTheme="majorHAnsi" w:cstheme="majorHAnsi"/>
          <w:color w:val="000000"/>
        </w:rPr>
        <w:t> </w:t>
      </w:r>
      <w:r w:rsidRPr="00EF5322">
        <w:rPr>
          <w:rFonts w:asciiTheme="majorHAnsi" w:hAnsiTheme="majorHAnsi" w:cstheme="majorHAnsi"/>
          <w:i/>
          <w:iCs/>
          <w:color w:val="000000"/>
        </w:rPr>
        <w:t xml:space="preserve">Qualitative vs quantitative research: What’s the </w:t>
      </w:r>
      <w:proofErr w:type="gramStart"/>
      <w:r w:rsidRPr="00EF5322">
        <w:rPr>
          <w:rFonts w:asciiTheme="majorHAnsi" w:hAnsiTheme="majorHAnsi" w:cstheme="majorHAnsi"/>
          <w:i/>
          <w:iCs/>
          <w:color w:val="000000"/>
        </w:rPr>
        <w:t>difference?</w:t>
      </w:r>
      <w:r w:rsidRPr="00EF5322">
        <w:rPr>
          <w:rFonts w:asciiTheme="majorHAnsi" w:hAnsiTheme="majorHAnsi" w:cstheme="majorHAnsi"/>
          <w:color w:val="000000"/>
        </w:rPr>
        <w:t>,</w:t>
      </w:r>
      <w:proofErr w:type="gramEnd"/>
      <w:r w:rsidRPr="00EF5322">
        <w:rPr>
          <w:rFonts w:asciiTheme="majorHAnsi" w:hAnsiTheme="majorHAnsi" w:cstheme="majorHAnsi"/>
          <w:color w:val="000000"/>
        </w:rPr>
        <w:t> </w:t>
      </w:r>
      <w:r w:rsidRPr="00EF5322">
        <w:rPr>
          <w:rFonts w:asciiTheme="majorHAnsi" w:hAnsiTheme="majorHAnsi" w:cstheme="majorHAnsi"/>
          <w:i/>
          <w:iCs/>
          <w:color w:val="000000"/>
        </w:rPr>
        <w:t>Simply Psychology</w:t>
      </w:r>
      <w:r w:rsidRPr="00EF5322">
        <w:rPr>
          <w:rFonts w:asciiTheme="majorHAnsi" w:hAnsiTheme="majorHAnsi" w:cstheme="majorHAnsi"/>
          <w:color w:val="000000"/>
        </w:rPr>
        <w:t>. Available at: https://www.simplypsychology.org/qualitative-quantitative.html (Accessed: 05 May 2024). </w:t>
      </w:r>
    </w:p>
    <w:p w14:paraId="4C5EADA2" w14:textId="0B4E331B" w:rsidR="009E4884" w:rsidRPr="000A6443" w:rsidRDefault="009E4884" w:rsidP="000A6443">
      <w:pPr>
        <w:pStyle w:val="NormalWeb"/>
        <w:spacing w:before="0" w:beforeAutospacing="0" w:after="240" w:afterAutospacing="0" w:line="360" w:lineRule="atLeast"/>
        <w:rPr>
          <w:rFonts w:asciiTheme="majorHAnsi" w:hAnsiTheme="majorHAnsi" w:cstheme="majorHAnsi"/>
          <w:color w:val="000000"/>
        </w:rPr>
      </w:pPr>
      <w:r w:rsidRPr="000A6443">
        <w:rPr>
          <w:rFonts w:asciiTheme="majorHAnsi" w:hAnsiTheme="majorHAnsi" w:cstheme="majorHAnsi"/>
          <w:color w:val="000000"/>
        </w:rPr>
        <w:t>Mcleod, S. (2024)</w:t>
      </w:r>
      <w:r w:rsidR="007E0782">
        <w:rPr>
          <w:rFonts w:asciiTheme="majorHAnsi" w:hAnsiTheme="majorHAnsi" w:cstheme="majorHAnsi"/>
          <w:color w:val="000000"/>
        </w:rPr>
        <w:t>.</w:t>
      </w:r>
      <w:r w:rsidRPr="000A6443">
        <w:rPr>
          <w:rFonts w:asciiTheme="majorHAnsi" w:hAnsiTheme="majorHAnsi" w:cstheme="majorHAnsi"/>
          <w:color w:val="000000"/>
        </w:rPr>
        <w:t> </w:t>
      </w:r>
      <w:r w:rsidRPr="000A6443">
        <w:rPr>
          <w:rFonts w:asciiTheme="majorHAnsi" w:hAnsiTheme="majorHAnsi" w:cstheme="majorHAnsi"/>
          <w:i/>
          <w:iCs/>
          <w:color w:val="000000"/>
        </w:rPr>
        <w:t xml:space="preserve">What is a case study in </w:t>
      </w:r>
      <w:proofErr w:type="gramStart"/>
      <w:r w:rsidRPr="000A6443">
        <w:rPr>
          <w:rFonts w:asciiTheme="majorHAnsi" w:hAnsiTheme="majorHAnsi" w:cstheme="majorHAnsi"/>
          <w:i/>
          <w:iCs/>
          <w:color w:val="000000"/>
        </w:rPr>
        <w:t>psychology?</w:t>
      </w:r>
      <w:r w:rsidRPr="000A6443">
        <w:rPr>
          <w:rFonts w:asciiTheme="majorHAnsi" w:hAnsiTheme="majorHAnsi" w:cstheme="majorHAnsi"/>
          <w:color w:val="000000"/>
        </w:rPr>
        <w:t>,</w:t>
      </w:r>
      <w:proofErr w:type="gramEnd"/>
      <w:r w:rsidRPr="000A6443">
        <w:rPr>
          <w:rFonts w:asciiTheme="majorHAnsi" w:hAnsiTheme="majorHAnsi" w:cstheme="majorHAnsi"/>
          <w:color w:val="000000"/>
        </w:rPr>
        <w:t> </w:t>
      </w:r>
      <w:r w:rsidRPr="000A6443">
        <w:rPr>
          <w:rFonts w:asciiTheme="majorHAnsi" w:hAnsiTheme="majorHAnsi" w:cstheme="majorHAnsi"/>
          <w:i/>
          <w:iCs/>
          <w:color w:val="000000"/>
        </w:rPr>
        <w:t>Verywell Mind</w:t>
      </w:r>
      <w:r w:rsidRPr="000A6443">
        <w:rPr>
          <w:rFonts w:asciiTheme="majorHAnsi" w:hAnsiTheme="majorHAnsi" w:cstheme="majorHAnsi"/>
          <w:color w:val="000000"/>
        </w:rPr>
        <w:t>. Available at: https://www.verywellmind.com/how-to-write-a-psychology-case-study-2795722 (Accessed: 05 May 2024). </w:t>
      </w:r>
    </w:p>
    <w:p w14:paraId="6737F664" w14:textId="6ECD3AC8" w:rsidR="009E4884" w:rsidRDefault="009E4884" w:rsidP="00A554F0">
      <w:pPr>
        <w:rPr>
          <w:rFonts w:asciiTheme="majorHAnsi" w:hAnsiTheme="majorHAnsi" w:cstheme="majorHAnsi"/>
        </w:rPr>
      </w:pPr>
      <w:r w:rsidRPr="00A554F0">
        <w:rPr>
          <w:rFonts w:asciiTheme="majorHAnsi" w:hAnsiTheme="majorHAnsi" w:cstheme="majorHAnsi"/>
        </w:rPr>
        <w:t>Mo, Z.</w:t>
      </w:r>
      <w:r w:rsidRPr="000E4162">
        <w:rPr>
          <w:rFonts w:asciiTheme="majorHAnsi" w:hAnsiTheme="majorHAnsi" w:cstheme="majorHAnsi"/>
        </w:rPr>
        <w:t>, Li, X., Zhai, Y., Men, Y., Tang, Y., Qiao, J., Jia, X., Huang, Y.</w:t>
      </w:r>
      <w:r w:rsidR="00691930">
        <w:rPr>
          <w:rFonts w:asciiTheme="majorHAnsi" w:hAnsiTheme="majorHAnsi" w:cstheme="majorHAnsi"/>
        </w:rPr>
        <w:t xml:space="preserve"> </w:t>
      </w:r>
      <w:r w:rsidRPr="000E4162">
        <w:rPr>
          <w:rFonts w:asciiTheme="majorHAnsi" w:hAnsiTheme="majorHAnsi" w:cstheme="majorHAnsi"/>
        </w:rPr>
        <w:t>and Wang, B.</w:t>
      </w:r>
      <w:r w:rsidRPr="00A554F0">
        <w:rPr>
          <w:rFonts w:asciiTheme="majorHAnsi" w:hAnsiTheme="majorHAnsi" w:cstheme="majorHAnsi"/>
        </w:rPr>
        <w:t> (2023)</w:t>
      </w:r>
      <w:r w:rsidR="007E0782">
        <w:rPr>
          <w:rFonts w:asciiTheme="majorHAnsi" w:hAnsiTheme="majorHAnsi" w:cstheme="majorHAnsi"/>
        </w:rPr>
        <w:t>.</w:t>
      </w:r>
      <w:r w:rsidRPr="00A554F0">
        <w:rPr>
          <w:rFonts w:asciiTheme="majorHAnsi" w:hAnsiTheme="majorHAnsi" w:cstheme="majorHAnsi"/>
        </w:rPr>
        <w:t xml:space="preserve"> </w:t>
      </w:r>
      <w:r w:rsidRPr="00FD2F91">
        <w:rPr>
          <w:rFonts w:asciiTheme="majorHAnsi" w:hAnsiTheme="majorHAnsi" w:cstheme="majorHAnsi"/>
          <w:i/>
          <w:iCs/>
        </w:rPr>
        <w:t>‘Reliability and validity of a questionnaire measuring knowledge, attitude and practice regarding “oil, salt and sugar” among canteen staff’</w:t>
      </w:r>
      <w:r w:rsidRPr="00A554F0">
        <w:rPr>
          <w:rFonts w:asciiTheme="majorHAnsi" w:hAnsiTheme="majorHAnsi" w:cstheme="majorHAnsi"/>
        </w:rPr>
        <w:t>, </w:t>
      </w:r>
      <w:r w:rsidRPr="00A554F0">
        <w:rPr>
          <w:rFonts w:asciiTheme="majorHAnsi" w:hAnsiTheme="majorHAnsi" w:cstheme="majorHAnsi"/>
          <w:i/>
          <w:iCs/>
        </w:rPr>
        <w:t>Scientific Reports</w:t>
      </w:r>
      <w:r w:rsidRPr="00A554F0">
        <w:rPr>
          <w:rFonts w:asciiTheme="majorHAnsi" w:hAnsiTheme="majorHAnsi" w:cstheme="majorHAnsi"/>
        </w:rPr>
        <w:t>, 13(1). doi:10.1038/s41598-023-47804-3. </w:t>
      </w:r>
    </w:p>
    <w:p w14:paraId="478A414D" w14:textId="77777777" w:rsidR="009E4884" w:rsidRPr="00A554F0" w:rsidRDefault="009E4884" w:rsidP="00A554F0">
      <w:pPr>
        <w:rPr>
          <w:rFonts w:asciiTheme="majorHAnsi" w:hAnsiTheme="majorHAnsi" w:cstheme="majorHAnsi"/>
        </w:rPr>
      </w:pPr>
    </w:p>
    <w:p w14:paraId="68F452A9" w14:textId="452F3F43" w:rsidR="009E4884" w:rsidRPr="000E4162" w:rsidRDefault="009E4884" w:rsidP="00CE3526">
      <w:pPr>
        <w:pStyle w:val="NormalWeb"/>
        <w:spacing w:before="0" w:beforeAutospacing="0" w:after="240" w:afterAutospacing="0" w:line="360" w:lineRule="atLeast"/>
        <w:rPr>
          <w:rFonts w:asciiTheme="majorHAnsi" w:hAnsiTheme="majorHAnsi" w:cstheme="majorHAnsi"/>
          <w:color w:val="000000"/>
        </w:rPr>
      </w:pPr>
      <w:r w:rsidRPr="000E4162">
        <w:rPr>
          <w:rFonts w:asciiTheme="majorHAnsi" w:hAnsiTheme="majorHAnsi" w:cstheme="majorHAnsi"/>
          <w:color w:val="000000"/>
        </w:rPr>
        <w:t xml:space="preserve">Morek, M., Heller, V. and </w:t>
      </w:r>
      <w:proofErr w:type="spellStart"/>
      <w:r w:rsidRPr="000E4162">
        <w:rPr>
          <w:rFonts w:asciiTheme="majorHAnsi" w:hAnsiTheme="majorHAnsi" w:cstheme="majorHAnsi"/>
          <w:color w:val="000000"/>
        </w:rPr>
        <w:t>Kinalzik</w:t>
      </w:r>
      <w:proofErr w:type="spellEnd"/>
      <w:r w:rsidRPr="000E4162">
        <w:rPr>
          <w:rFonts w:asciiTheme="majorHAnsi" w:hAnsiTheme="majorHAnsi" w:cstheme="majorHAnsi"/>
          <w:color w:val="000000"/>
        </w:rPr>
        <w:t>, N. (2022)</w:t>
      </w:r>
      <w:r w:rsidR="007E0782">
        <w:rPr>
          <w:rFonts w:asciiTheme="majorHAnsi" w:hAnsiTheme="majorHAnsi" w:cstheme="majorHAnsi"/>
          <w:color w:val="000000"/>
        </w:rPr>
        <w:t>.</w:t>
      </w:r>
      <w:r w:rsidRPr="000E4162">
        <w:rPr>
          <w:rFonts w:asciiTheme="majorHAnsi" w:hAnsiTheme="majorHAnsi" w:cstheme="majorHAnsi"/>
          <w:color w:val="000000"/>
        </w:rPr>
        <w:t xml:space="preserve"> </w:t>
      </w:r>
      <w:r w:rsidRPr="00FD2F91">
        <w:rPr>
          <w:rFonts w:asciiTheme="majorHAnsi" w:hAnsiTheme="majorHAnsi" w:cstheme="majorHAnsi"/>
          <w:i/>
          <w:iCs/>
          <w:color w:val="000000"/>
        </w:rPr>
        <w:t>‘Engaging “silent” students in classroom discussions: A micro-analytic view on teachers’ embodied enactments of cold-calling practices’</w:t>
      </w:r>
      <w:r w:rsidRPr="000E4162">
        <w:rPr>
          <w:rFonts w:asciiTheme="majorHAnsi" w:hAnsiTheme="majorHAnsi" w:cstheme="majorHAnsi"/>
          <w:color w:val="000000"/>
        </w:rPr>
        <w:t>, </w:t>
      </w:r>
      <w:r w:rsidRPr="000E4162">
        <w:rPr>
          <w:rFonts w:asciiTheme="majorHAnsi" w:hAnsiTheme="majorHAnsi" w:cstheme="majorHAnsi"/>
          <w:i/>
          <w:iCs/>
          <w:color w:val="000000"/>
        </w:rPr>
        <w:t>Language and Education</w:t>
      </w:r>
      <w:r w:rsidRPr="000E4162">
        <w:rPr>
          <w:rFonts w:asciiTheme="majorHAnsi" w:hAnsiTheme="majorHAnsi" w:cstheme="majorHAnsi"/>
          <w:color w:val="000000"/>
        </w:rPr>
        <w:t>, 37(6), pp. 731–749. doi:10.1080/09500782.2022.2155474. </w:t>
      </w:r>
    </w:p>
    <w:p w14:paraId="001412A9" w14:textId="53CEF238" w:rsidR="009E4884" w:rsidRPr="000E4162" w:rsidRDefault="009E4884" w:rsidP="001322F3">
      <w:pPr>
        <w:pStyle w:val="NormalWeb"/>
        <w:spacing w:after="240" w:line="360" w:lineRule="atLeast"/>
        <w:rPr>
          <w:rFonts w:asciiTheme="majorHAnsi" w:hAnsiTheme="majorHAnsi" w:cstheme="majorHAnsi"/>
          <w:color w:val="000000"/>
        </w:rPr>
      </w:pPr>
      <w:r w:rsidRPr="000E4162">
        <w:rPr>
          <w:rFonts w:asciiTheme="majorHAnsi" w:hAnsiTheme="majorHAnsi" w:cstheme="majorHAnsi"/>
          <w:color w:val="000000"/>
        </w:rPr>
        <w:t>N</w:t>
      </w:r>
      <w:r w:rsidR="007D4852">
        <w:rPr>
          <w:rFonts w:asciiTheme="majorHAnsi" w:hAnsiTheme="majorHAnsi" w:cstheme="majorHAnsi"/>
          <w:color w:val="000000"/>
        </w:rPr>
        <w:t>S</w:t>
      </w:r>
      <w:r w:rsidRPr="000E4162">
        <w:rPr>
          <w:rFonts w:asciiTheme="majorHAnsi" w:hAnsiTheme="majorHAnsi" w:cstheme="majorHAnsi"/>
          <w:color w:val="000000"/>
        </w:rPr>
        <w:t>PCC (2024)</w:t>
      </w:r>
      <w:r w:rsidR="007E0782">
        <w:rPr>
          <w:rFonts w:asciiTheme="majorHAnsi" w:hAnsiTheme="majorHAnsi" w:cstheme="majorHAnsi"/>
          <w:color w:val="000000"/>
        </w:rPr>
        <w:t>.</w:t>
      </w:r>
      <w:r w:rsidRPr="000E4162">
        <w:rPr>
          <w:rFonts w:asciiTheme="majorHAnsi" w:hAnsiTheme="majorHAnsi" w:cstheme="majorHAnsi"/>
          <w:color w:val="000000"/>
        </w:rPr>
        <w:t> </w:t>
      </w:r>
      <w:r w:rsidRPr="000E4162">
        <w:rPr>
          <w:rFonts w:asciiTheme="majorHAnsi" w:hAnsiTheme="majorHAnsi" w:cstheme="majorHAnsi"/>
          <w:i/>
          <w:iCs/>
          <w:color w:val="000000"/>
        </w:rPr>
        <w:t>Research with children: Ethics, safety and promoting inclusion</w:t>
      </w:r>
      <w:r w:rsidRPr="000E4162">
        <w:rPr>
          <w:rFonts w:asciiTheme="majorHAnsi" w:hAnsiTheme="majorHAnsi" w:cstheme="majorHAnsi"/>
          <w:color w:val="000000"/>
        </w:rPr>
        <w:t>, </w:t>
      </w:r>
      <w:r w:rsidRPr="000E4162">
        <w:rPr>
          <w:rFonts w:asciiTheme="majorHAnsi" w:hAnsiTheme="majorHAnsi" w:cstheme="majorHAnsi"/>
          <w:i/>
          <w:iCs/>
          <w:color w:val="000000"/>
        </w:rPr>
        <w:t>NSPCC Learning</w:t>
      </w:r>
      <w:r w:rsidRPr="000E4162">
        <w:rPr>
          <w:rFonts w:asciiTheme="majorHAnsi" w:hAnsiTheme="majorHAnsi" w:cstheme="majorHAnsi"/>
          <w:color w:val="000000"/>
        </w:rPr>
        <w:t>. Available at: https://learning.nspcc.org.uk/research-resources/briefings/research-with-children-ethics-safety-promoting-inclusion (Accessed: 01 May 2024). </w:t>
      </w:r>
    </w:p>
    <w:p w14:paraId="1D1C9B23" w14:textId="77777777" w:rsidR="009E4884" w:rsidRPr="000E4162" w:rsidRDefault="009E4884" w:rsidP="00D742AE">
      <w:pPr>
        <w:pStyle w:val="NormalWeb"/>
        <w:spacing w:after="240" w:line="360" w:lineRule="atLeast"/>
        <w:rPr>
          <w:rFonts w:asciiTheme="majorHAnsi" w:hAnsiTheme="majorHAnsi" w:cstheme="majorHAnsi"/>
          <w:color w:val="000000"/>
        </w:rPr>
      </w:pPr>
      <w:r w:rsidRPr="000E4162">
        <w:rPr>
          <w:rFonts w:asciiTheme="majorHAnsi" w:hAnsiTheme="majorHAnsi" w:cstheme="majorHAnsi"/>
          <w:color w:val="000000"/>
        </w:rPr>
        <w:lastRenderedPageBreak/>
        <w:t xml:space="preserve">Neppl, A. (2019). ‘The correlation between classroom engagement strategies and student behaviour’. </w:t>
      </w:r>
      <w:r w:rsidRPr="000E4162">
        <w:rPr>
          <w:rFonts w:asciiTheme="majorHAnsi" w:hAnsiTheme="majorHAnsi" w:cstheme="majorHAnsi"/>
          <w:i/>
          <w:iCs/>
          <w:color w:val="000000"/>
        </w:rPr>
        <w:t>Dissertations, Theses, and Projects</w:t>
      </w:r>
      <w:r w:rsidRPr="000E4162">
        <w:rPr>
          <w:rFonts w:asciiTheme="majorHAnsi" w:hAnsiTheme="majorHAnsi" w:cstheme="majorHAnsi"/>
          <w:color w:val="000000"/>
        </w:rPr>
        <w:t>. 281. </w:t>
      </w:r>
    </w:p>
    <w:p w14:paraId="6D785AF7" w14:textId="4944A84A" w:rsidR="009E4884" w:rsidRPr="000E4162" w:rsidRDefault="009E4884" w:rsidP="00D52911">
      <w:pPr>
        <w:pStyle w:val="NormalWeb"/>
        <w:spacing w:after="240" w:line="360" w:lineRule="atLeast"/>
        <w:rPr>
          <w:rFonts w:asciiTheme="majorHAnsi" w:hAnsiTheme="majorHAnsi" w:cstheme="majorHAnsi"/>
          <w:color w:val="000000"/>
        </w:rPr>
      </w:pPr>
      <w:r w:rsidRPr="000A4708">
        <w:rPr>
          <w:rFonts w:asciiTheme="majorHAnsi" w:hAnsiTheme="majorHAnsi" w:cstheme="majorHAnsi"/>
          <w:color w:val="000000"/>
        </w:rPr>
        <w:t xml:space="preserve">Noor, S., Tajik, O. and </w:t>
      </w:r>
      <w:proofErr w:type="spellStart"/>
      <w:r w:rsidRPr="000A4708">
        <w:rPr>
          <w:rFonts w:asciiTheme="majorHAnsi" w:hAnsiTheme="majorHAnsi" w:cstheme="majorHAnsi"/>
          <w:color w:val="000000"/>
        </w:rPr>
        <w:t>Golzar</w:t>
      </w:r>
      <w:proofErr w:type="spellEnd"/>
      <w:r w:rsidRPr="000A4708">
        <w:rPr>
          <w:rFonts w:asciiTheme="majorHAnsi" w:hAnsiTheme="majorHAnsi" w:cstheme="majorHAnsi"/>
          <w:color w:val="000000"/>
        </w:rPr>
        <w:t xml:space="preserve">, J., </w:t>
      </w:r>
      <w:r w:rsidR="00FC092F">
        <w:rPr>
          <w:rFonts w:asciiTheme="majorHAnsi" w:hAnsiTheme="majorHAnsi" w:cstheme="majorHAnsi"/>
          <w:color w:val="000000"/>
        </w:rPr>
        <w:t>(</w:t>
      </w:r>
      <w:r w:rsidRPr="000A4708">
        <w:rPr>
          <w:rFonts w:asciiTheme="majorHAnsi" w:hAnsiTheme="majorHAnsi" w:cstheme="majorHAnsi"/>
          <w:color w:val="000000"/>
        </w:rPr>
        <w:t>2022</w:t>
      </w:r>
      <w:r w:rsidR="00FC092F">
        <w:rPr>
          <w:rFonts w:asciiTheme="majorHAnsi" w:hAnsiTheme="majorHAnsi" w:cstheme="majorHAnsi"/>
          <w:color w:val="000000"/>
        </w:rPr>
        <w:t>)</w:t>
      </w:r>
      <w:r w:rsidRPr="000A4708">
        <w:rPr>
          <w:rFonts w:asciiTheme="majorHAnsi" w:hAnsiTheme="majorHAnsi" w:cstheme="majorHAnsi"/>
          <w:color w:val="000000"/>
        </w:rPr>
        <w:t>. Simple random sampling. </w:t>
      </w:r>
      <w:r w:rsidRPr="000A4708">
        <w:rPr>
          <w:rFonts w:asciiTheme="majorHAnsi" w:hAnsiTheme="majorHAnsi" w:cstheme="majorHAnsi"/>
          <w:i/>
          <w:iCs/>
          <w:color w:val="000000"/>
        </w:rPr>
        <w:t>International Journal of Education &amp; Language Studies</w:t>
      </w:r>
      <w:r w:rsidRPr="000A4708">
        <w:rPr>
          <w:rFonts w:asciiTheme="majorHAnsi" w:hAnsiTheme="majorHAnsi" w:cstheme="majorHAnsi"/>
          <w:color w:val="000000"/>
        </w:rPr>
        <w:t>, </w:t>
      </w:r>
      <w:r w:rsidRPr="000A4708">
        <w:rPr>
          <w:rFonts w:asciiTheme="majorHAnsi" w:hAnsiTheme="majorHAnsi" w:cstheme="majorHAnsi"/>
          <w:i/>
          <w:iCs/>
          <w:color w:val="000000"/>
        </w:rPr>
        <w:t>1</w:t>
      </w:r>
      <w:r w:rsidRPr="000A4708">
        <w:rPr>
          <w:rFonts w:asciiTheme="majorHAnsi" w:hAnsiTheme="majorHAnsi" w:cstheme="majorHAnsi"/>
          <w:color w:val="000000"/>
        </w:rPr>
        <w:t>(2), pp.78-82.</w:t>
      </w:r>
    </w:p>
    <w:p w14:paraId="3D46A79F" w14:textId="085F871C" w:rsidR="009E4884" w:rsidRPr="00423012" w:rsidRDefault="009E4884" w:rsidP="00423012">
      <w:pPr>
        <w:pStyle w:val="NormalWeb"/>
        <w:spacing w:before="0" w:beforeAutospacing="0" w:after="240" w:afterAutospacing="0" w:line="360" w:lineRule="atLeast"/>
        <w:rPr>
          <w:rFonts w:asciiTheme="majorHAnsi" w:hAnsiTheme="majorHAnsi" w:cstheme="majorHAnsi"/>
          <w:color w:val="000000"/>
        </w:rPr>
      </w:pPr>
      <w:r w:rsidRPr="00423012">
        <w:rPr>
          <w:rFonts w:asciiTheme="majorHAnsi" w:hAnsiTheme="majorHAnsi" w:cstheme="majorHAnsi"/>
          <w:color w:val="000000"/>
        </w:rPr>
        <w:t>Patton, M.Q. (2015)</w:t>
      </w:r>
      <w:r w:rsidR="007E0782">
        <w:rPr>
          <w:rFonts w:asciiTheme="majorHAnsi" w:hAnsiTheme="majorHAnsi" w:cstheme="majorHAnsi"/>
          <w:color w:val="000000"/>
        </w:rPr>
        <w:t>.</w:t>
      </w:r>
      <w:r w:rsidRPr="00423012">
        <w:rPr>
          <w:rFonts w:asciiTheme="majorHAnsi" w:hAnsiTheme="majorHAnsi" w:cstheme="majorHAnsi"/>
          <w:color w:val="000000"/>
        </w:rPr>
        <w:t> </w:t>
      </w:r>
      <w:r w:rsidRPr="00423012">
        <w:rPr>
          <w:rFonts w:asciiTheme="majorHAnsi" w:hAnsiTheme="majorHAnsi" w:cstheme="majorHAnsi"/>
          <w:i/>
          <w:iCs/>
          <w:color w:val="000000"/>
        </w:rPr>
        <w:t>Qualitative Research &amp; Evaluation Methods: Integrating Theory and Practice</w:t>
      </w:r>
      <w:r w:rsidRPr="00423012">
        <w:rPr>
          <w:rFonts w:asciiTheme="majorHAnsi" w:hAnsiTheme="majorHAnsi" w:cstheme="majorHAnsi"/>
          <w:color w:val="000000"/>
        </w:rPr>
        <w:t>. Thousand Oaks, CA: SAGE Publications, Inc. </w:t>
      </w:r>
    </w:p>
    <w:p w14:paraId="5A995C32" w14:textId="2FC3DF70" w:rsidR="009E4884" w:rsidRPr="000E4162" w:rsidRDefault="009E4884" w:rsidP="00D742AE">
      <w:pPr>
        <w:pStyle w:val="NormalWeb"/>
        <w:spacing w:after="240" w:line="360" w:lineRule="atLeast"/>
        <w:rPr>
          <w:rFonts w:asciiTheme="majorHAnsi" w:hAnsiTheme="majorHAnsi" w:cstheme="majorHAnsi"/>
        </w:rPr>
      </w:pPr>
      <w:r w:rsidRPr="000E4162">
        <w:rPr>
          <w:rFonts w:asciiTheme="majorHAnsi" w:hAnsiTheme="majorHAnsi" w:cstheme="majorHAnsi"/>
          <w:color w:val="000000"/>
        </w:rPr>
        <w:t xml:space="preserve">Pedler, M., </w:t>
      </w:r>
      <w:proofErr w:type="spellStart"/>
      <w:r w:rsidRPr="000E4162">
        <w:rPr>
          <w:rFonts w:asciiTheme="majorHAnsi" w:hAnsiTheme="majorHAnsi" w:cstheme="majorHAnsi"/>
          <w:color w:val="000000"/>
        </w:rPr>
        <w:t>Yeigh</w:t>
      </w:r>
      <w:proofErr w:type="spellEnd"/>
      <w:r w:rsidRPr="000E4162">
        <w:rPr>
          <w:rFonts w:asciiTheme="majorHAnsi" w:hAnsiTheme="majorHAnsi" w:cstheme="majorHAnsi"/>
          <w:color w:val="000000"/>
        </w:rPr>
        <w:t>, T. and Hudson, S. (2020)</w:t>
      </w:r>
      <w:r w:rsidR="007E0782">
        <w:rPr>
          <w:rFonts w:asciiTheme="majorHAnsi" w:hAnsiTheme="majorHAnsi" w:cstheme="majorHAnsi"/>
          <w:color w:val="000000"/>
        </w:rPr>
        <w:t>.</w:t>
      </w:r>
      <w:r w:rsidRPr="000E4162">
        <w:rPr>
          <w:rFonts w:asciiTheme="majorHAnsi" w:hAnsiTheme="majorHAnsi" w:cstheme="majorHAnsi"/>
          <w:color w:val="000000"/>
        </w:rPr>
        <w:t xml:space="preserve"> </w:t>
      </w:r>
      <w:r w:rsidRPr="00FD2F91">
        <w:rPr>
          <w:rFonts w:asciiTheme="majorHAnsi" w:hAnsiTheme="majorHAnsi" w:cstheme="majorHAnsi"/>
          <w:i/>
          <w:iCs/>
          <w:color w:val="000000"/>
        </w:rPr>
        <w:t>‘The teachers’ role in student engagement: A Review’, Australian Journal of Teacher Education</w:t>
      </w:r>
      <w:r w:rsidRPr="000E4162">
        <w:rPr>
          <w:rFonts w:asciiTheme="majorHAnsi" w:hAnsiTheme="majorHAnsi" w:cstheme="majorHAnsi"/>
          <w:color w:val="000000"/>
        </w:rPr>
        <w:t>, 45(3), pp. 48–62. doi:10.14221/ajte.2020v45n3.4.</w:t>
      </w:r>
      <w:r w:rsidRPr="000E4162">
        <w:rPr>
          <w:rFonts w:asciiTheme="majorHAnsi" w:hAnsiTheme="majorHAnsi" w:cstheme="majorHAnsi"/>
        </w:rPr>
        <w:t xml:space="preserve"> </w:t>
      </w:r>
    </w:p>
    <w:p w14:paraId="4872D769" w14:textId="0DCDEB2D" w:rsidR="009E4884" w:rsidRPr="000E4162" w:rsidRDefault="009E4884" w:rsidP="00FC7047">
      <w:pPr>
        <w:pStyle w:val="NormalWeb"/>
        <w:spacing w:after="240" w:line="360" w:lineRule="atLeast"/>
        <w:rPr>
          <w:rFonts w:asciiTheme="majorHAnsi" w:hAnsiTheme="majorHAnsi" w:cstheme="majorHAnsi"/>
          <w:color w:val="000000"/>
        </w:rPr>
      </w:pPr>
      <w:r w:rsidRPr="000E4162">
        <w:rPr>
          <w:rFonts w:asciiTheme="majorHAnsi" w:hAnsiTheme="majorHAnsi" w:cstheme="majorHAnsi"/>
          <w:color w:val="000000"/>
        </w:rPr>
        <w:t>Rosala, M. (2024)</w:t>
      </w:r>
      <w:r w:rsidR="007E0782">
        <w:rPr>
          <w:rFonts w:asciiTheme="majorHAnsi" w:hAnsiTheme="majorHAnsi" w:cstheme="majorHAnsi"/>
          <w:color w:val="000000"/>
        </w:rPr>
        <w:t>.</w:t>
      </w:r>
      <w:r w:rsidRPr="000E4162">
        <w:rPr>
          <w:rFonts w:asciiTheme="majorHAnsi" w:hAnsiTheme="majorHAnsi" w:cstheme="majorHAnsi"/>
          <w:color w:val="000000"/>
        </w:rPr>
        <w:t> </w:t>
      </w:r>
      <w:r w:rsidRPr="000E4162">
        <w:rPr>
          <w:rFonts w:asciiTheme="majorHAnsi" w:hAnsiTheme="majorHAnsi" w:cstheme="majorHAnsi"/>
          <w:i/>
          <w:iCs/>
          <w:color w:val="000000"/>
        </w:rPr>
        <w:t>Open-ended vs. closed questions in User Research</w:t>
      </w:r>
      <w:r w:rsidRPr="000E4162">
        <w:rPr>
          <w:rFonts w:asciiTheme="majorHAnsi" w:hAnsiTheme="majorHAnsi" w:cstheme="majorHAnsi"/>
          <w:color w:val="000000"/>
        </w:rPr>
        <w:t>, </w:t>
      </w:r>
      <w:r w:rsidRPr="000E4162">
        <w:rPr>
          <w:rFonts w:asciiTheme="majorHAnsi" w:hAnsiTheme="majorHAnsi" w:cstheme="majorHAnsi"/>
          <w:i/>
          <w:iCs/>
          <w:color w:val="000000"/>
        </w:rPr>
        <w:t>Nielsen Norman Group</w:t>
      </w:r>
      <w:r w:rsidRPr="000E4162">
        <w:rPr>
          <w:rFonts w:asciiTheme="majorHAnsi" w:hAnsiTheme="majorHAnsi" w:cstheme="majorHAnsi"/>
          <w:color w:val="000000"/>
        </w:rPr>
        <w:t>. Available at: https://www.nngroup.com/articles/open-ended-questions/ (Accessed: 03 May 2024). </w:t>
      </w:r>
    </w:p>
    <w:p w14:paraId="78BEAA89" w14:textId="0B3F1323" w:rsidR="009E4884" w:rsidRPr="000E4162" w:rsidRDefault="009E4884" w:rsidP="00290C62">
      <w:pPr>
        <w:pStyle w:val="NormalWeb"/>
        <w:spacing w:after="240" w:line="360" w:lineRule="atLeast"/>
        <w:rPr>
          <w:rFonts w:asciiTheme="majorHAnsi" w:hAnsiTheme="majorHAnsi" w:cstheme="majorHAnsi"/>
          <w:color w:val="000000"/>
        </w:rPr>
      </w:pPr>
      <w:r w:rsidRPr="000E4162">
        <w:rPr>
          <w:rFonts w:asciiTheme="majorHAnsi" w:hAnsiTheme="majorHAnsi" w:cstheme="majorHAnsi"/>
          <w:color w:val="000000"/>
        </w:rPr>
        <w:t>Sherrington, T. (2021)</w:t>
      </w:r>
      <w:r w:rsidR="007E0782">
        <w:rPr>
          <w:rFonts w:asciiTheme="majorHAnsi" w:hAnsiTheme="majorHAnsi" w:cstheme="majorHAnsi"/>
          <w:color w:val="000000"/>
        </w:rPr>
        <w:t>.</w:t>
      </w:r>
      <w:r w:rsidRPr="000E4162">
        <w:rPr>
          <w:rFonts w:asciiTheme="majorHAnsi" w:hAnsiTheme="majorHAnsi" w:cstheme="majorHAnsi"/>
          <w:color w:val="000000"/>
        </w:rPr>
        <w:t> </w:t>
      </w:r>
      <w:r w:rsidRPr="000E4162">
        <w:rPr>
          <w:rFonts w:asciiTheme="majorHAnsi" w:hAnsiTheme="majorHAnsi" w:cstheme="majorHAnsi"/>
          <w:i/>
          <w:iCs/>
          <w:color w:val="000000"/>
        </w:rPr>
        <w:t>Cold calling: The #1 strategy for inclusive classrooms – remote and in person.</w:t>
      </w:r>
      <w:r w:rsidRPr="000E4162">
        <w:rPr>
          <w:rFonts w:asciiTheme="majorHAnsi" w:hAnsiTheme="majorHAnsi" w:cstheme="majorHAnsi"/>
          <w:color w:val="000000"/>
        </w:rPr>
        <w:t>, </w:t>
      </w:r>
      <w:proofErr w:type="spellStart"/>
      <w:r w:rsidRPr="000E4162">
        <w:rPr>
          <w:rFonts w:asciiTheme="majorHAnsi" w:hAnsiTheme="majorHAnsi" w:cstheme="majorHAnsi"/>
          <w:i/>
          <w:iCs/>
          <w:color w:val="000000"/>
        </w:rPr>
        <w:t>teacherhead</w:t>
      </w:r>
      <w:proofErr w:type="spellEnd"/>
      <w:r w:rsidRPr="000E4162">
        <w:rPr>
          <w:rFonts w:asciiTheme="majorHAnsi" w:hAnsiTheme="majorHAnsi" w:cstheme="majorHAnsi"/>
          <w:color w:val="000000"/>
        </w:rPr>
        <w:t>. Available at: https://teacherhead.com/2021/02/07/cold-calling-the-1-strategy-for-inclusive-classrooms-remote-and-in-person/ (Accessed: 29 April 2024). </w:t>
      </w:r>
    </w:p>
    <w:p w14:paraId="45A15057" w14:textId="579F0992" w:rsidR="009E4884" w:rsidRPr="000E4162" w:rsidRDefault="009E4884" w:rsidP="0076736A">
      <w:pPr>
        <w:pStyle w:val="NormalWeb"/>
        <w:spacing w:before="0" w:beforeAutospacing="0" w:after="240" w:afterAutospacing="0" w:line="360" w:lineRule="atLeast"/>
        <w:rPr>
          <w:rFonts w:asciiTheme="majorHAnsi" w:hAnsiTheme="majorHAnsi" w:cstheme="majorHAnsi"/>
          <w:color w:val="000000"/>
        </w:rPr>
      </w:pPr>
      <w:r w:rsidRPr="000E4162">
        <w:rPr>
          <w:rFonts w:asciiTheme="majorHAnsi" w:hAnsiTheme="majorHAnsi" w:cstheme="majorHAnsi"/>
          <w:color w:val="000000"/>
        </w:rPr>
        <w:t>Shorten, A. and Smith, J. (2017</w:t>
      </w:r>
      <w:r w:rsidRPr="00FD2F91">
        <w:rPr>
          <w:rFonts w:asciiTheme="majorHAnsi" w:hAnsiTheme="majorHAnsi" w:cstheme="majorHAnsi"/>
          <w:i/>
          <w:iCs/>
          <w:color w:val="000000"/>
        </w:rPr>
        <w:t>)</w:t>
      </w:r>
      <w:r w:rsidR="007E0782">
        <w:rPr>
          <w:rFonts w:asciiTheme="majorHAnsi" w:hAnsiTheme="majorHAnsi" w:cstheme="majorHAnsi"/>
          <w:i/>
          <w:iCs/>
          <w:color w:val="000000"/>
        </w:rPr>
        <w:t>.</w:t>
      </w:r>
      <w:r w:rsidRPr="00FD2F91">
        <w:rPr>
          <w:rFonts w:asciiTheme="majorHAnsi" w:hAnsiTheme="majorHAnsi" w:cstheme="majorHAnsi"/>
          <w:i/>
          <w:iCs/>
          <w:color w:val="000000"/>
        </w:rPr>
        <w:t xml:space="preserve"> ‘Mixed methods research: Expanding the evidence base’,</w:t>
      </w:r>
      <w:r w:rsidRPr="000E4162">
        <w:rPr>
          <w:rFonts w:asciiTheme="majorHAnsi" w:hAnsiTheme="majorHAnsi" w:cstheme="majorHAnsi"/>
          <w:color w:val="000000"/>
        </w:rPr>
        <w:t> </w:t>
      </w:r>
      <w:r w:rsidRPr="000E4162">
        <w:rPr>
          <w:rFonts w:asciiTheme="majorHAnsi" w:hAnsiTheme="majorHAnsi" w:cstheme="majorHAnsi"/>
          <w:i/>
          <w:iCs/>
          <w:color w:val="000000"/>
        </w:rPr>
        <w:t>Evidence Based Nursing</w:t>
      </w:r>
      <w:r w:rsidRPr="000E4162">
        <w:rPr>
          <w:rFonts w:asciiTheme="majorHAnsi" w:hAnsiTheme="majorHAnsi" w:cstheme="majorHAnsi"/>
          <w:color w:val="000000"/>
        </w:rPr>
        <w:t>, 20(3), pp. 74–75. doi:10.1136/eb-2017-102699. </w:t>
      </w:r>
    </w:p>
    <w:p w14:paraId="5893FC23" w14:textId="667BA5B5" w:rsidR="009E4884" w:rsidRPr="00496E59" w:rsidRDefault="007D4852" w:rsidP="00496E59">
      <w:pPr>
        <w:pStyle w:val="NormalWeb"/>
        <w:spacing w:before="0" w:beforeAutospacing="0" w:after="240" w:afterAutospacing="0" w:line="360" w:lineRule="atLeast"/>
        <w:rPr>
          <w:rFonts w:asciiTheme="majorHAnsi" w:hAnsiTheme="majorHAnsi" w:cstheme="majorHAnsi"/>
          <w:color w:val="000000"/>
        </w:rPr>
      </w:pPr>
      <w:r w:rsidRPr="00391A0A">
        <w:rPr>
          <w:rFonts w:asciiTheme="majorHAnsi" w:hAnsiTheme="majorHAnsi" w:cstheme="majorHAnsi"/>
        </w:rPr>
        <w:t>Šimundić</w:t>
      </w:r>
      <w:r>
        <w:rPr>
          <w:rFonts w:asciiTheme="majorHAnsi" w:hAnsiTheme="majorHAnsi" w:cstheme="majorHAnsi"/>
        </w:rPr>
        <w:t>,</w:t>
      </w:r>
      <w:r w:rsidR="00DE2420">
        <w:rPr>
          <w:rFonts w:asciiTheme="majorHAnsi" w:hAnsiTheme="majorHAnsi" w:cstheme="majorHAnsi"/>
          <w:color w:val="000000"/>
        </w:rPr>
        <w:t xml:space="preserve"> </w:t>
      </w:r>
      <w:r w:rsidR="009E4884" w:rsidRPr="00496E59">
        <w:rPr>
          <w:rFonts w:asciiTheme="majorHAnsi" w:hAnsiTheme="majorHAnsi" w:cstheme="majorHAnsi"/>
          <w:color w:val="000000"/>
        </w:rPr>
        <w:t>A.-M. (2013)</w:t>
      </w:r>
      <w:r w:rsidR="007E0782">
        <w:rPr>
          <w:rFonts w:asciiTheme="majorHAnsi" w:hAnsiTheme="majorHAnsi" w:cstheme="majorHAnsi"/>
          <w:color w:val="000000"/>
        </w:rPr>
        <w:t>.</w:t>
      </w:r>
      <w:r w:rsidR="009E4884" w:rsidRPr="00496E59">
        <w:rPr>
          <w:rFonts w:asciiTheme="majorHAnsi" w:hAnsiTheme="majorHAnsi" w:cstheme="majorHAnsi"/>
          <w:color w:val="000000"/>
        </w:rPr>
        <w:t xml:space="preserve"> ‘Bias in research’, </w:t>
      </w:r>
      <w:proofErr w:type="spellStart"/>
      <w:r w:rsidR="009E4884" w:rsidRPr="00496E59">
        <w:rPr>
          <w:rFonts w:asciiTheme="majorHAnsi" w:hAnsiTheme="majorHAnsi" w:cstheme="majorHAnsi"/>
          <w:i/>
          <w:iCs/>
          <w:color w:val="000000"/>
        </w:rPr>
        <w:t>Biochemia</w:t>
      </w:r>
      <w:proofErr w:type="spellEnd"/>
      <w:r w:rsidR="009E4884" w:rsidRPr="00496E59">
        <w:rPr>
          <w:rFonts w:asciiTheme="majorHAnsi" w:hAnsiTheme="majorHAnsi" w:cstheme="majorHAnsi"/>
          <w:i/>
          <w:iCs/>
          <w:color w:val="000000"/>
        </w:rPr>
        <w:t xml:space="preserve"> Medica</w:t>
      </w:r>
      <w:r w:rsidR="009E4884" w:rsidRPr="00496E59">
        <w:rPr>
          <w:rFonts w:asciiTheme="majorHAnsi" w:hAnsiTheme="majorHAnsi" w:cstheme="majorHAnsi"/>
          <w:color w:val="000000"/>
        </w:rPr>
        <w:t>, pp. 12–15. doi:10.11613/bm.2013.003. </w:t>
      </w:r>
    </w:p>
    <w:p w14:paraId="403C9F16" w14:textId="4BF4B26B" w:rsidR="009E4884" w:rsidRPr="000E4162" w:rsidRDefault="009E4884" w:rsidP="0053532A">
      <w:pPr>
        <w:pStyle w:val="NormalWeb"/>
        <w:spacing w:before="0" w:beforeAutospacing="0" w:after="240" w:afterAutospacing="0" w:line="360" w:lineRule="atLeast"/>
        <w:rPr>
          <w:rFonts w:asciiTheme="majorHAnsi" w:hAnsiTheme="majorHAnsi" w:cstheme="majorHAnsi"/>
          <w:color w:val="000000"/>
        </w:rPr>
      </w:pPr>
      <w:r w:rsidRPr="000E4162">
        <w:rPr>
          <w:rFonts w:asciiTheme="majorHAnsi" w:hAnsiTheme="majorHAnsi" w:cstheme="majorHAnsi"/>
          <w:color w:val="000000"/>
        </w:rPr>
        <w:t>Terada, Y. (2023)</w:t>
      </w:r>
      <w:r w:rsidR="007E0782">
        <w:rPr>
          <w:rFonts w:asciiTheme="majorHAnsi" w:hAnsiTheme="majorHAnsi" w:cstheme="majorHAnsi"/>
          <w:color w:val="000000"/>
        </w:rPr>
        <w:t>.</w:t>
      </w:r>
      <w:r w:rsidRPr="000E4162">
        <w:rPr>
          <w:rFonts w:asciiTheme="majorHAnsi" w:hAnsiTheme="majorHAnsi" w:cstheme="majorHAnsi"/>
          <w:color w:val="000000"/>
        </w:rPr>
        <w:t> </w:t>
      </w:r>
      <w:r w:rsidRPr="000E4162">
        <w:rPr>
          <w:rFonts w:asciiTheme="majorHAnsi" w:hAnsiTheme="majorHAnsi" w:cstheme="majorHAnsi"/>
          <w:i/>
          <w:iCs/>
          <w:color w:val="000000"/>
        </w:rPr>
        <w:t>Does cold calling work? here’s what the research says</w:t>
      </w:r>
      <w:r w:rsidRPr="000E4162">
        <w:rPr>
          <w:rFonts w:asciiTheme="majorHAnsi" w:hAnsiTheme="majorHAnsi" w:cstheme="majorHAnsi"/>
          <w:color w:val="000000"/>
        </w:rPr>
        <w:t>, </w:t>
      </w:r>
      <w:r w:rsidRPr="000E4162">
        <w:rPr>
          <w:rFonts w:asciiTheme="majorHAnsi" w:hAnsiTheme="majorHAnsi" w:cstheme="majorHAnsi"/>
          <w:i/>
          <w:iCs/>
          <w:color w:val="000000"/>
        </w:rPr>
        <w:t>Edutopia</w:t>
      </w:r>
      <w:r w:rsidRPr="000E4162">
        <w:rPr>
          <w:rFonts w:asciiTheme="majorHAnsi" w:hAnsiTheme="majorHAnsi" w:cstheme="majorHAnsi"/>
          <w:color w:val="000000"/>
        </w:rPr>
        <w:t>. Available at: https://www.edutopia.org/article/does-cold-calling-work-heres-what-the-research-says (Accessed: 01 May 2024). </w:t>
      </w:r>
    </w:p>
    <w:p w14:paraId="70AFD6B2" w14:textId="1CBAF925" w:rsidR="009E4884" w:rsidRPr="000E4162" w:rsidRDefault="009E4884" w:rsidP="00A969B4">
      <w:pPr>
        <w:pStyle w:val="NormalWeb"/>
        <w:spacing w:before="0" w:beforeAutospacing="0" w:after="240" w:afterAutospacing="0" w:line="360" w:lineRule="atLeast"/>
        <w:rPr>
          <w:rFonts w:asciiTheme="majorHAnsi" w:hAnsiTheme="majorHAnsi" w:cstheme="majorHAnsi"/>
          <w:color w:val="000000"/>
        </w:rPr>
      </w:pPr>
      <w:r w:rsidRPr="000E4162">
        <w:rPr>
          <w:rFonts w:asciiTheme="majorHAnsi" w:hAnsiTheme="majorHAnsi" w:cstheme="majorHAnsi"/>
          <w:color w:val="000000"/>
        </w:rPr>
        <w:t>Thulasidas, M. and Gunawan, A. (2022</w:t>
      </w:r>
      <w:r w:rsidRPr="00FD2F91">
        <w:rPr>
          <w:rFonts w:asciiTheme="majorHAnsi" w:hAnsiTheme="majorHAnsi" w:cstheme="majorHAnsi"/>
          <w:i/>
          <w:iCs/>
          <w:color w:val="000000"/>
        </w:rPr>
        <w:t>)</w:t>
      </w:r>
      <w:r w:rsidR="007E0782">
        <w:rPr>
          <w:rFonts w:asciiTheme="majorHAnsi" w:hAnsiTheme="majorHAnsi" w:cstheme="majorHAnsi"/>
          <w:i/>
          <w:iCs/>
          <w:color w:val="000000"/>
        </w:rPr>
        <w:t>.</w:t>
      </w:r>
      <w:r w:rsidRPr="00FD2F91">
        <w:rPr>
          <w:rFonts w:asciiTheme="majorHAnsi" w:hAnsiTheme="majorHAnsi" w:cstheme="majorHAnsi"/>
          <w:i/>
          <w:iCs/>
          <w:color w:val="000000"/>
        </w:rPr>
        <w:t xml:space="preserve"> ‘Cold calls to enhance class participation and student engagement’, </w:t>
      </w:r>
      <w:r w:rsidRPr="000E4162">
        <w:rPr>
          <w:rFonts w:asciiTheme="majorHAnsi" w:hAnsiTheme="majorHAnsi" w:cstheme="majorHAnsi"/>
          <w:i/>
          <w:iCs/>
          <w:color w:val="000000"/>
        </w:rPr>
        <w:t>2022 IEEE International Conference on Teaching, Assessment and Learning for Engineering (TALE)</w:t>
      </w:r>
      <w:r w:rsidRPr="000E4162">
        <w:rPr>
          <w:rFonts w:asciiTheme="majorHAnsi" w:hAnsiTheme="majorHAnsi" w:cstheme="majorHAnsi"/>
          <w:color w:val="000000"/>
        </w:rPr>
        <w:t> doi:10.1109/tale54877.2022.00122. </w:t>
      </w:r>
    </w:p>
    <w:p w14:paraId="24CC6459" w14:textId="7CC13FD6" w:rsidR="009E4884" w:rsidRPr="000E4162" w:rsidRDefault="009E4884" w:rsidP="002569CB">
      <w:pPr>
        <w:pStyle w:val="NormalWeb"/>
        <w:spacing w:before="0" w:beforeAutospacing="0" w:after="240" w:afterAutospacing="0" w:line="360" w:lineRule="atLeast"/>
        <w:rPr>
          <w:rFonts w:asciiTheme="majorHAnsi" w:hAnsiTheme="majorHAnsi" w:cstheme="majorHAnsi"/>
          <w:color w:val="000000"/>
        </w:rPr>
      </w:pPr>
      <w:r w:rsidRPr="000E4162">
        <w:rPr>
          <w:rFonts w:asciiTheme="majorHAnsi" w:hAnsiTheme="majorHAnsi" w:cstheme="majorHAnsi"/>
          <w:color w:val="000000"/>
        </w:rPr>
        <w:t>US Agency for International Development, (2013)</w:t>
      </w:r>
      <w:r w:rsidR="007E0782">
        <w:rPr>
          <w:rFonts w:asciiTheme="majorHAnsi" w:hAnsiTheme="majorHAnsi" w:cstheme="majorHAnsi"/>
          <w:color w:val="000000"/>
        </w:rPr>
        <w:t>.</w:t>
      </w:r>
      <w:r w:rsidRPr="000E4162">
        <w:rPr>
          <w:rFonts w:asciiTheme="majorHAnsi" w:hAnsiTheme="majorHAnsi" w:cstheme="majorHAnsi"/>
          <w:color w:val="000000"/>
        </w:rPr>
        <w:t> </w:t>
      </w:r>
      <w:r w:rsidRPr="000E4162">
        <w:rPr>
          <w:rFonts w:asciiTheme="majorHAnsi" w:hAnsiTheme="majorHAnsi" w:cstheme="majorHAnsi"/>
          <w:i/>
          <w:iCs/>
          <w:color w:val="000000"/>
        </w:rPr>
        <w:t>Technical note: Evaluative case studies</w:t>
      </w:r>
      <w:r w:rsidRPr="000E4162">
        <w:rPr>
          <w:rFonts w:asciiTheme="majorHAnsi" w:hAnsiTheme="majorHAnsi" w:cstheme="majorHAnsi"/>
          <w:color w:val="000000"/>
        </w:rPr>
        <w:t>. Available at: https://usaidlearninglab.org/system/files/resource/files/usaid_case_study_tech_note_2013.pdf (Accessed: 01 May 2024). </w:t>
      </w:r>
    </w:p>
    <w:p w14:paraId="50328392" w14:textId="62FFE332" w:rsidR="009E4884" w:rsidRDefault="009E4884" w:rsidP="00C70009">
      <w:pPr>
        <w:pStyle w:val="NormalWeb"/>
        <w:spacing w:after="240" w:line="360" w:lineRule="atLeast"/>
        <w:rPr>
          <w:rFonts w:asciiTheme="majorHAnsi" w:hAnsiTheme="majorHAnsi" w:cstheme="majorHAnsi"/>
          <w:color w:val="000000"/>
        </w:rPr>
      </w:pPr>
      <w:r w:rsidRPr="000E4162">
        <w:rPr>
          <w:rFonts w:asciiTheme="majorHAnsi" w:hAnsiTheme="majorHAnsi" w:cstheme="majorHAnsi"/>
          <w:color w:val="000000"/>
        </w:rPr>
        <w:lastRenderedPageBreak/>
        <w:t>Welsh Government</w:t>
      </w:r>
      <w:r w:rsidRPr="000E4162">
        <w:rPr>
          <w:rFonts w:asciiTheme="majorHAnsi" w:hAnsiTheme="majorHAnsi" w:cstheme="majorHAnsi"/>
          <w:i/>
          <w:iCs/>
          <w:color w:val="000000"/>
        </w:rPr>
        <w:t xml:space="preserve"> </w:t>
      </w:r>
      <w:r w:rsidRPr="000E4162">
        <w:rPr>
          <w:rFonts w:asciiTheme="majorHAnsi" w:hAnsiTheme="majorHAnsi" w:cstheme="majorHAnsi"/>
          <w:color w:val="000000"/>
        </w:rPr>
        <w:t>(2022)</w:t>
      </w:r>
      <w:r w:rsidR="007E0782">
        <w:rPr>
          <w:rFonts w:asciiTheme="majorHAnsi" w:hAnsiTheme="majorHAnsi" w:cstheme="majorHAnsi"/>
          <w:color w:val="000000"/>
        </w:rPr>
        <w:t xml:space="preserve">. </w:t>
      </w:r>
      <w:r w:rsidR="007E0782" w:rsidRPr="007E0782">
        <w:rPr>
          <w:rFonts w:asciiTheme="majorHAnsi" w:hAnsiTheme="majorHAnsi" w:cstheme="majorHAnsi"/>
          <w:i/>
          <w:iCs/>
          <w:color w:val="000000"/>
        </w:rPr>
        <w:t>Children’s rights in Wales</w:t>
      </w:r>
      <w:r w:rsidR="007E0782">
        <w:rPr>
          <w:rFonts w:asciiTheme="majorHAnsi" w:hAnsiTheme="majorHAnsi" w:cstheme="majorHAnsi"/>
          <w:color w:val="000000"/>
        </w:rPr>
        <w:t xml:space="preserve">. </w:t>
      </w:r>
      <w:r w:rsidRPr="000E4162">
        <w:rPr>
          <w:rFonts w:asciiTheme="majorHAnsi" w:hAnsiTheme="majorHAnsi" w:cstheme="majorHAnsi"/>
          <w:i/>
          <w:iCs/>
          <w:color w:val="000000"/>
        </w:rPr>
        <w:t>GOV.WALES</w:t>
      </w:r>
      <w:r w:rsidRPr="000E4162">
        <w:rPr>
          <w:rFonts w:asciiTheme="majorHAnsi" w:hAnsiTheme="majorHAnsi" w:cstheme="majorHAnsi"/>
          <w:color w:val="000000"/>
        </w:rPr>
        <w:t>.</w:t>
      </w:r>
      <w:r w:rsidR="007E0782">
        <w:rPr>
          <w:rFonts w:asciiTheme="majorHAnsi" w:hAnsiTheme="majorHAnsi" w:cstheme="majorHAnsi"/>
          <w:color w:val="000000"/>
        </w:rPr>
        <w:t xml:space="preserve"> </w:t>
      </w:r>
      <w:r w:rsidRPr="000E4162">
        <w:rPr>
          <w:rFonts w:asciiTheme="majorHAnsi" w:hAnsiTheme="majorHAnsi" w:cstheme="majorHAnsi"/>
          <w:color w:val="000000"/>
        </w:rPr>
        <w:t xml:space="preserve"> Available at: https://www.gov.wales/childrens-rights-in-wales (Accessed: 01 May 2024). </w:t>
      </w:r>
    </w:p>
    <w:p w14:paraId="7038001D" w14:textId="0DBBE808" w:rsidR="00AF0889" w:rsidRPr="00AF0889" w:rsidRDefault="00AF0889" w:rsidP="00AF0889">
      <w:pPr>
        <w:pStyle w:val="NormalWeb"/>
        <w:spacing w:after="240" w:line="360" w:lineRule="atLeast"/>
        <w:rPr>
          <w:rFonts w:asciiTheme="majorHAnsi" w:hAnsiTheme="majorHAnsi" w:cstheme="majorHAnsi"/>
          <w:color w:val="000000"/>
        </w:rPr>
      </w:pPr>
      <w:r w:rsidRPr="00AF0889">
        <w:rPr>
          <w:rFonts w:asciiTheme="majorHAnsi" w:hAnsiTheme="majorHAnsi" w:cstheme="majorHAnsi"/>
          <w:color w:val="000000"/>
        </w:rPr>
        <w:t>Zainal, Z. (2007)</w:t>
      </w:r>
      <w:r w:rsidR="007E0782">
        <w:rPr>
          <w:rFonts w:asciiTheme="majorHAnsi" w:hAnsiTheme="majorHAnsi" w:cstheme="majorHAnsi"/>
          <w:color w:val="000000"/>
        </w:rPr>
        <w:t>.</w:t>
      </w:r>
      <w:r w:rsidRPr="00AF0889">
        <w:rPr>
          <w:rFonts w:asciiTheme="majorHAnsi" w:hAnsiTheme="majorHAnsi" w:cstheme="majorHAnsi"/>
          <w:color w:val="000000"/>
        </w:rPr>
        <w:t> </w:t>
      </w:r>
      <w:r w:rsidRPr="00AF0889">
        <w:rPr>
          <w:rFonts w:asciiTheme="majorHAnsi" w:hAnsiTheme="majorHAnsi" w:cstheme="majorHAnsi"/>
          <w:i/>
          <w:iCs/>
          <w:color w:val="000000"/>
        </w:rPr>
        <w:t>Case study as a research method</w:t>
      </w:r>
      <w:r w:rsidRPr="00AF0889">
        <w:rPr>
          <w:rFonts w:asciiTheme="majorHAnsi" w:hAnsiTheme="majorHAnsi" w:cstheme="majorHAnsi"/>
          <w:color w:val="000000"/>
        </w:rPr>
        <w:t xml:space="preserve">, </w:t>
      </w:r>
      <w:r>
        <w:rPr>
          <w:rFonts w:asciiTheme="majorHAnsi" w:hAnsiTheme="majorHAnsi" w:cstheme="majorHAnsi"/>
          <w:color w:val="000000"/>
        </w:rPr>
        <w:t>J</w:t>
      </w:r>
      <w:r w:rsidR="00D57CA0">
        <w:rPr>
          <w:rFonts w:asciiTheme="majorHAnsi" w:hAnsiTheme="majorHAnsi" w:cstheme="majorHAnsi"/>
          <w:color w:val="000000"/>
        </w:rPr>
        <w:t>o</w:t>
      </w:r>
      <w:r>
        <w:rPr>
          <w:rFonts w:asciiTheme="majorHAnsi" w:hAnsiTheme="majorHAnsi" w:cstheme="majorHAnsi"/>
          <w:color w:val="000000"/>
        </w:rPr>
        <w:t xml:space="preserve">urnal </w:t>
      </w:r>
      <w:proofErr w:type="spellStart"/>
      <w:r>
        <w:rPr>
          <w:rFonts w:asciiTheme="majorHAnsi" w:hAnsiTheme="majorHAnsi" w:cstheme="majorHAnsi"/>
          <w:color w:val="000000"/>
        </w:rPr>
        <w:t>Kemanusiaan</w:t>
      </w:r>
      <w:proofErr w:type="spellEnd"/>
      <w:r>
        <w:rPr>
          <w:rFonts w:asciiTheme="majorHAnsi" w:hAnsiTheme="majorHAnsi" w:cstheme="majorHAnsi"/>
          <w:color w:val="000000"/>
        </w:rPr>
        <w:t xml:space="preserve">. </w:t>
      </w:r>
      <w:r w:rsidRPr="00AF0889">
        <w:rPr>
          <w:rFonts w:asciiTheme="majorHAnsi" w:hAnsiTheme="majorHAnsi" w:cstheme="majorHAnsi"/>
          <w:color w:val="000000"/>
        </w:rPr>
        <w:t>9. </w:t>
      </w:r>
    </w:p>
    <w:p w14:paraId="6E6CA4D1" w14:textId="77777777" w:rsidR="00AF0889" w:rsidRPr="000E4162" w:rsidRDefault="00AF0889" w:rsidP="00C70009">
      <w:pPr>
        <w:pStyle w:val="NormalWeb"/>
        <w:spacing w:after="240" w:line="360" w:lineRule="atLeast"/>
        <w:rPr>
          <w:rFonts w:asciiTheme="majorHAnsi" w:hAnsiTheme="majorHAnsi" w:cstheme="majorHAnsi"/>
          <w:color w:val="000000"/>
        </w:rPr>
      </w:pPr>
    </w:p>
    <w:sectPr w:rsidR="00AF0889" w:rsidRPr="000E4162" w:rsidSect="00E80B0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6C0BB3"/>
    <w:multiLevelType w:val="hybridMultilevel"/>
    <w:tmpl w:val="FAAADDB6"/>
    <w:lvl w:ilvl="0" w:tplc="08090003">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F4D010F"/>
    <w:multiLevelType w:val="hybridMultilevel"/>
    <w:tmpl w:val="80385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453B93"/>
    <w:multiLevelType w:val="hybridMultilevel"/>
    <w:tmpl w:val="98F0CBD6"/>
    <w:lvl w:ilvl="0" w:tplc="C38A2C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0809D9"/>
    <w:multiLevelType w:val="hybridMultilevel"/>
    <w:tmpl w:val="EE9090A6"/>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EE2E51"/>
    <w:multiLevelType w:val="hybridMultilevel"/>
    <w:tmpl w:val="00AE67E6"/>
    <w:lvl w:ilvl="0" w:tplc="A7307DC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DD1EE6"/>
    <w:multiLevelType w:val="hybridMultilevel"/>
    <w:tmpl w:val="E230EA76"/>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132B4F"/>
    <w:multiLevelType w:val="hybridMultilevel"/>
    <w:tmpl w:val="7A324524"/>
    <w:lvl w:ilvl="0" w:tplc="08090003">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9EE7FBB"/>
    <w:multiLevelType w:val="hybridMultilevel"/>
    <w:tmpl w:val="03CE51AC"/>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8736F3"/>
    <w:multiLevelType w:val="hybridMultilevel"/>
    <w:tmpl w:val="E82203D8"/>
    <w:lvl w:ilvl="0" w:tplc="02109F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32335F9"/>
    <w:multiLevelType w:val="hybridMultilevel"/>
    <w:tmpl w:val="9E1E5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8F1FC3"/>
    <w:multiLevelType w:val="hybridMultilevel"/>
    <w:tmpl w:val="8A708486"/>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FE2CFF"/>
    <w:multiLevelType w:val="hybridMultilevel"/>
    <w:tmpl w:val="BAB8C0AA"/>
    <w:lvl w:ilvl="0" w:tplc="08090003">
      <w:start w:val="1"/>
      <w:numFmt w:val="bullet"/>
      <w:lvlText w:val="o"/>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075422836">
    <w:abstractNumId w:val="9"/>
  </w:num>
  <w:num w:numId="2" w16cid:durableId="1419794044">
    <w:abstractNumId w:val="1"/>
  </w:num>
  <w:num w:numId="3" w16cid:durableId="1374620532">
    <w:abstractNumId w:val="8"/>
  </w:num>
  <w:num w:numId="4" w16cid:durableId="507527173">
    <w:abstractNumId w:val="7"/>
  </w:num>
  <w:num w:numId="5" w16cid:durableId="538015076">
    <w:abstractNumId w:val="10"/>
  </w:num>
  <w:num w:numId="6" w16cid:durableId="879049102">
    <w:abstractNumId w:val="5"/>
  </w:num>
  <w:num w:numId="7" w16cid:durableId="1533765519">
    <w:abstractNumId w:val="3"/>
  </w:num>
  <w:num w:numId="8" w16cid:durableId="1955794132">
    <w:abstractNumId w:val="4"/>
  </w:num>
  <w:num w:numId="9" w16cid:durableId="379063322">
    <w:abstractNumId w:val="2"/>
  </w:num>
  <w:num w:numId="10" w16cid:durableId="1889409656">
    <w:abstractNumId w:val="0"/>
  </w:num>
  <w:num w:numId="11" w16cid:durableId="1508057703">
    <w:abstractNumId w:val="11"/>
  </w:num>
  <w:num w:numId="12" w16cid:durableId="10309539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73"/>
    <w:rsid w:val="00003C84"/>
    <w:rsid w:val="00004839"/>
    <w:rsid w:val="00006F79"/>
    <w:rsid w:val="0000796A"/>
    <w:rsid w:val="0001039F"/>
    <w:rsid w:val="00010AC3"/>
    <w:rsid w:val="00017D5A"/>
    <w:rsid w:val="0003196B"/>
    <w:rsid w:val="00033ECD"/>
    <w:rsid w:val="000367C3"/>
    <w:rsid w:val="00036DBB"/>
    <w:rsid w:val="0004371A"/>
    <w:rsid w:val="00043AED"/>
    <w:rsid w:val="000446C6"/>
    <w:rsid w:val="00044A4B"/>
    <w:rsid w:val="00050682"/>
    <w:rsid w:val="00051A3A"/>
    <w:rsid w:val="0005354B"/>
    <w:rsid w:val="00055409"/>
    <w:rsid w:val="0005598E"/>
    <w:rsid w:val="0006401E"/>
    <w:rsid w:val="0006540F"/>
    <w:rsid w:val="00066ED5"/>
    <w:rsid w:val="00070C18"/>
    <w:rsid w:val="00071248"/>
    <w:rsid w:val="000776B5"/>
    <w:rsid w:val="00081AD5"/>
    <w:rsid w:val="00082EF5"/>
    <w:rsid w:val="00086658"/>
    <w:rsid w:val="00091E3B"/>
    <w:rsid w:val="00092610"/>
    <w:rsid w:val="00092C1F"/>
    <w:rsid w:val="000A4708"/>
    <w:rsid w:val="000A59E5"/>
    <w:rsid w:val="000A6443"/>
    <w:rsid w:val="000A64BD"/>
    <w:rsid w:val="000B0BB6"/>
    <w:rsid w:val="000B230E"/>
    <w:rsid w:val="000B2D6F"/>
    <w:rsid w:val="000B55C2"/>
    <w:rsid w:val="000B6A6F"/>
    <w:rsid w:val="000B75DC"/>
    <w:rsid w:val="000C14E0"/>
    <w:rsid w:val="000C2B5E"/>
    <w:rsid w:val="000C33A2"/>
    <w:rsid w:val="000C4284"/>
    <w:rsid w:val="000C494B"/>
    <w:rsid w:val="000C4EFD"/>
    <w:rsid w:val="000C665A"/>
    <w:rsid w:val="000D085F"/>
    <w:rsid w:val="000D285F"/>
    <w:rsid w:val="000D586C"/>
    <w:rsid w:val="000E129F"/>
    <w:rsid w:val="000E3B0E"/>
    <w:rsid w:val="000E4162"/>
    <w:rsid w:val="000E48DA"/>
    <w:rsid w:val="000E4972"/>
    <w:rsid w:val="000E527F"/>
    <w:rsid w:val="000E724B"/>
    <w:rsid w:val="000E78F1"/>
    <w:rsid w:val="000F6995"/>
    <w:rsid w:val="000F76D7"/>
    <w:rsid w:val="00103B00"/>
    <w:rsid w:val="00113C34"/>
    <w:rsid w:val="00114850"/>
    <w:rsid w:val="001157F2"/>
    <w:rsid w:val="00115DD9"/>
    <w:rsid w:val="001160D0"/>
    <w:rsid w:val="00117488"/>
    <w:rsid w:val="001210ED"/>
    <w:rsid w:val="001226CF"/>
    <w:rsid w:val="001265A3"/>
    <w:rsid w:val="00131A9E"/>
    <w:rsid w:val="001322F3"/>
    <w:rsid w:val="0013329B"/>
    <w:rsid w:val="00134D92"/>
    <w:rsid w:val="00135C06"/>
    <w:rsid w:val="001376B7"/>
    <w:rsid w:val="0014097D"/>
    <w:rsid w:val="00143E03"/>
    <w:rsid w:val="00143E26"/>
    <w:rsid w:val="001447C1"/>
    <w:rsid w:val="00150D28"/>
    <w:rsid w:val="00155E68"/>
    <w:rsid w:val="001563EB"/>
    <w:rsid w:val="00156BF1"/>
    <w:rsid w:val="00157639"/>
    <w:rsid w:val="001626E2"/>
    <w:rsid w:val="00165EC3"/>
    <w:rsid w:val="001721E4"/>
    <w:rsid w:val="001723C7"/>
    <w:rsid w:val="0017317A"/>
    <w:rsid w:val="0017357B"/>
    <w:rsid w:val="0017561A"/>
    <w:rsid w:val="00192F78"/>
    <w:rsid w:val="0019492E"/>
    <w:rsid w:val="001954C7"/>
    <w:rsid w:val="00195E62"/>
    <w:rsid w:val="00196DB1"/>
    <w:rsid w:val="001A046D"/>
    <w:rsid w:val="001A1C7E"/>
    <w:rsid w:val="001B273F"/>
    <w:rsid w:val="001B6D47"/>
    <w:rsid w:val="001C26F5"/>
    <w:rsid w:val="001C2802"/>
    <w:rsid w:val="001C64B9"/>
    <w:rsid w:val="001C7765"/>
    <w:rsid w:val="001D4341"/>
    <w:rsid w:val="001D5F3A"/>
    <w:rsid w:val="001D6490"/>
    <w:rsid w:val="001D794C"/>
    <w:rsid w:val="001E174D"/>
    <w:rsid w:val="001E2ABA"/>
    <w:rsid w:val="001E440A"/>
    <w:rsid w:val="001E452E"/>
    <w:rsid w:val="001E45D9"/>
    <w:rsid w:val="001E5252"/>
    <w:rsid w:val="001E67D7"/>
    <w:rsid w:val="001F1965"/>
    <w:rsid w:val="001F275E"/>
    <w:rsid w:val="001F34A5"/>
    <w:rsid w:val="001F48A6"/>
    <w:rsid w:val="001F4D84"/>
    <w:rsid w:val="001F7DA2"/>
    <w:rsid w:val="002013C0"/>
    <w:rsid w:val="00201A4F"/>
    <w:rsid w:val="00202206"/>
    <w:rsid w:val="00203BBF"/>
    <w:rsid w:val="00213735"/>
    <w:rsid w:val="00214F9B"/>
    <w:rsid w:val="00216BAE"/>
    <w:rsid w:val="0022054C"/>
    <w:rsid w:val="0022310C"/>
    <w:rsid w:val="00232B57"/>
    <w:rsid w:val="00235746"/>
    <w:rsid w:val="00235E88"/>
    <w:rsid w:val="00236FF6"/>
    <w:rsid w:val="00243B87"/>
    <w:rsid w:val="00244114"/>
    <w:rsid w:val="002461DC"/>
    <w:rsid w:val="0025095B"/>
    <w:rsid w:val="002513A5"/>
    <w:rsid w:val="00254974"/>
    <w:rsid w:val="00254F64"/>
    <w:rsid w:val="00254FA1"/>
    <w:rsid w:val="002569CB"/>
    <w:rsid w:val="00265E59"/>
    <w:rsid w:val="00266211"/>
    <w:rsid w:val="00272209"/>
    <w:rsid w:val="00272FE4"/>
    <w:rsid w:val="00274EDF"/>
    <w:rsid w:val="00275B0D"/>
    <w:rsid w:val="00275D10"/>
    <w:rsid w:val="0028126D"/>
    <w:rsid w:val="00282327"/>
    <w:rsid w:val="00283C62"/>
    <w:rsid w:val="002841D8"/>
    <w:rsid w:val="00284799"/>
    <w:rsid w:val="0028563A"/>
    <w:rsid w:val="002856B5"/>
    <w:rsid w:val="00285CEF"/>
    <w:rsid w:val="00290171"/>
    <w:rsid w:val="00290C62"/>
    <w:rsid w:val="00290F1E"/>
    <w:rsid w:val="00291294"/>
    <w:rsid w:val="00291701"/>
    <w:rsid w:val="0029316B"/>
    <w:rsid w:val="002932E8"/>
    <w:rsid w:val="00295EEE"/>
    <w:rsid w:val="002971DA"/>
    <w:rsid w:val="002A0FD2"/>
    <w:rsid w:val="002A1A04"/>
    <w:rsid w:val="002A2405"/>
    <w:rsid w:val="002A3478"/>
    <w:rsid w:val="002A5D40"/>
    <w:rsid w:val="002A6443"/>
    <w:rsid w:val="002B26EF"/>
    <w:rsid w:val="002B399D"/>
    <w:rsid w:val="002B4D33"/>
    <w:rsid w:val="002C0DBD"/>
    <w:rsid w:val="002C2ED9"/>
    <w:rsid w:val="002C30CD"/>
    <w:rsid w:val="002C57E1"/>
    <w:rsid w:val="002D0E40"/>
    <w:rsid w:val="002D2619"/>
    <w:rsid w:val="002D40AB"/>
    <w:rsid w:val="002D4CF4"/>
    <w:rsid w:val="002D54B6"/>
    <w:rsid w:val="002D5A8E"/>
    <w:rsid w:val="002D63FD"/>
    <w:rsid w:val="002E4072"/>
    <w:rsid w:val="002E4A1C"/>
    <w:rsid w:val="002E4D94"/>
    <w:rsid w:val="002E7BB5"/>
    <w:rsid w:val="002F2811"/>
    <w:rsid w:val="002F2F9D"/>
    <w:rsid w:val="002F59C6"/>
    <w:rsid w:val="002F5E66"/>
    <w:rsid w:val="00300467"/>
    <w:rsid w:val="00300862"/>
    <w:rsid w:val="00301647"/>
    <w:rsid w:val="00305FDF"/>
    <w:rsid w:val="003131C2"/>
    <w:rsid w:val="00321317"/>
    <w:rsid w:val="00323B03"/>
    <w:rsid w:val="00323BE6"/>
    <w:rsid w:val="0032597F"/>
    <w:rsid w:val="00325AFA"/>
    <w:rsid w:val="00331439"/>
    <w:rsid w:val="00333EED"/>
    <w:rsid w:val="00337F04"/>
    <w:rsid w:val="0034091F"/>
    <w:rsid w:val="00340EEC"/>
    <w:rsid w:val="0034339F"/>
    <w:rsid w:val="00344BFE"/>
    <w:rsid w:val="003465E8"/>
    <w:rsid w:val="003470C3"/>
    <w:rsid w:val="00350902"/>
    <w:rsid w:val="003518A7"/>
    <w:rsid w:val="00351DFF"/>
    <w:rsid w:val="003554B0"/>
    <w:rsid w:val="0035698B"/>
    <w:rsid w:val="00357923"/>
    <w:rsid w:val="003605CD"/>
    <w:rsid w:val="00360ACD"/>
    <w:rsid w:val="003654F0"/>
    <w:rsid w:val="00366D75"/>
    <w:rsid w:val="003708AE"/>
    <w:rsid w:val="003720F2"/>
    <w:rsid w:val="003738E6"/>
    <w:rsid w:val="00375EAE"/>
    <w:rsid w:val="0037692C"/>
    <w:rsid w:val="00376A1A"/>
    <w:rsid w:val="0038419D"/>
    <w:rsid w:val="00391A0A"/>
    <w:rsid w:val="00391BBB"/>
    <w:rsid w:val="0039258F"/>
    <w:rsid w:val="00397D37"/>
    <w:rsid w:val="00397F3D"/>
    <w:rsid w:val="003A1A27"/>
    <w:rsid w:val="003A5177"/>
    <w:rsid w:val="003B0087"/>
    <w:rsid w:val="003B0582"/>
    <w:rsid w:val="003B0F0A"/>
    <w:rsid w:val="003B181F"/>
    <w:rsid w:val="003B1B2A"/>
    <w:rsid w:val="003B3EB4"/>
    <w:rsid w:val="003B76C8"/>
    <w:rsid w:val="003C3708"/>
    <w:rsid w:val="003C40E9"/>
    <w:rsid w:val="003C7941"/>
    <w:rsid w:val="003C7AD6"/>
    <w:rsid w:val="003D08EA"/>
    <w:rsid w:val="003D166C"/>
    <w:rsid w:val="003D27F1"/>
    <w:rsid w:val="003D4698"/>
    <w:rsid w:val="003E0C25"/>
    <w:rsid w:val="003E2084"/>
    <w:rsid w:val="003E49EE"/>
    <w:rsid w:val="003E5720"/>
    <w:rsid w:val="003E57CC"/>
    <w:rsid w:val="003E5B3B"/>
    <w:rsid w:val="003E6E3D"/>
    <w:rsid w:val="003E772F"/>
    <w:rsid w:val="003F16A0"/>
    <w:rsid w:val="003F19D9"/>
    <w:rsid w:val="003F34E2"/>
    <w:rsid w:val="003F4042"/>
    <w:rsid w:val="003F4445"/>
    <w:rsid w:val="003F45D8"/>
    <w:rsid w:val="003F5851"/>
    <w:rsid w:val="0040151F"/>
    <w:rsid w:val="0040498F"/>
    <w:rsid w:val="00412023"/>
    <w:rsid w:val="00412160"/>
    <w:rsid w:val="004154A3"/>
    <w:rsid w:val="00422C45"/>
    <w:rsid w:val="00423012"/>
    <w:rsid w:val="00425A4B"/>
    <w:rsid w:val="00430772"/>
    <w:rsid w:val="00433C58"/>
    <w:rsid w:val="00433D7B"/>
    <w:rsid w:val="00440969"/>
    <w:rsid w:val="00445017"/>
    <w:rsid w:val="004461D2"/>
    <w:rsid w:val="00447E1C"/>
    <w:rsid w:val="004525D7"/>
    <w:rsid w:val="00453044"/>
    <w:rsid w:val="00456203"/>
    <w:rsid w:val="00456557"/>
    <w:rsid w:val="00456C35"/>
    <w:rsid w:val="004609E0"/>
    <w:rsid w:val="004623F3"/>
    <w:rsid w:val="004630F4"/>
    <w:rsid w:val="00463E55"/>
    <w:rsid w:val="0046539F"/>
    <w:rsid w:val="00466A70"/>
    <w:rsid w:val="00466C26"/>
    <w:rsid w:val="00467316"/>
    <w:rsid w:val="00467BAB"/>
    <w:rsid w:val="00472234"/>
    <w:rsid w:val="00473F54"/>
    <w:rsid w:val="00475D02"/>
    <w:rsid w:val="00476684"/>
    <w:rsid w:val="00480CBE"/>
    <w:rsid w:val="00482E3D"/>
    <w:rsid w:val="00483A70"/>
    <w:rsid w:val="00484CA7"/>
    <w:rsid w:val="004853BD"/>
    <w:rsid w:val="00485426"/>
    <w:rsid w:val="0049102C"/>
    <w:rsid w:val="00495053"/>
    <w:rsid w:val="00495222"/>
    <w:rsid w:val="00495C96"/>
    <w:rsid w:val="00495F48"/>
    <w:rsid w:val="00496070"/>
    <w:rsid w:val="00496B57"/>
    <w:rsid w:val="00496C03"/>
    <w:rsid w:val="00496D27"/>
    <w:rsid w:val="00496E59"/>
    <w:rsid w:val="004974E2"/>
    <w:rsid w:val="004A344D"/>
    <w:rsid w:val="004A45ED"/>
    <w:rsid w:val="004A5208"/>
    <w:rsid w:val="004A5B23"/>
    <w:rsid w:val="004B2B58"/>
    <w:rsid w:val="004B6456"/>
    <w:rsid w:val="004B718A"/>
    <w:rsid w:val="004C045F"/>
    <w:rsid w:val="004C3E1F"/>
    <w:rsid w:val="004C5956"/>
    <w:rsid w:val="004D0FDE"/>
    <w:rsid w:val="004D11D4"/>
    <w:rsid w:val="004D1C1D"/>
    <w:rsid w:val="004D36AF"/>
    <w:rsid w:val="004D4C16"/>
    <w:rsid w:val="004D5272"/>
    <w:rsid w:val="004E12FE"/>
    <w:rsid w:val="004E3415"/>
    <w:rsid w:val="004E688B"/>
    <w:rsid w:val="004F57E9"/>
    <w:rsid w:val="004F699B"/>
    <w:rsid w:val="00500B75"/>
    <w:rsid w:val="00504A71"/>
    <w:rsid w:val="00504EF4"/>
    <w:rsid w:val="00506D82"/>
    <w:rsid w:val="005156CF"/>
    <w:rsid w:val="00515B51"/>
    <w:rsid w:val="00520396"/>
    <w:rsid w:val="00521B09"/>
    <w:rsid w:val="00523B00"/>
    <w:rsid w:val="00524355"/>
    <w:rsid w:val="005332FB"/>
    <w:rsid w:val="0053532A"/>
    <w:rsid w:val="005361E5"/>
    <w:rsid w:val="005366F2"/>
    <w:rsid w:val="005410BC"/>
    <w:rsid w:val="00541836"/>
    <w:rsid w:val="00545284"/>
    <w:rsid w:val="00550793"/>
    <w:rsid w:val="00553413"/>
    <w:rsid w:val="0055374B"/>
    <w:rsid w:val="00555124"/>
    <w:rsid w:val="005570EE"/>
    <w:rsid w:val="00560BE4"/>
    <w:rsid w:val="00566BF9"/>
    <w:rsid w:val="00567FAB"/>
    <w:rsid w:val="00570A43"/>
    <w:rsid w:val="00572CD6"/>
    <w:rsid w:val="005738CB"/>
    <w:rsid w:val="005749BE"/>
    <w:rsid w:val="00575201"/>
    <w:rsid w:val="005756E8"/>
    <w:rsid w:val="00580AD9"/>
    <w:rsid w:val="00583202"/>
    <w:rsid w:val="00585AC7"/>
    <w:rsid w:val="0058726C"/>
    <w:rsid w:val="00591B51"/>
    <w:rsid w:val="00591F83"/>
    <w:rsid w:val="00592932"/>
    <w:rsid w:val="005940F4"/>
    <w:rsid w:val="00594CA3"/>
    <w:rsid w:val="0059506E"/>
    <w:rsid w:val="005958B2"/>
    <w:rsid w:val="005A26EB"/>
    <w:rsid w:val="005A3F7A"/>
    <w:rsid w:val="005A5403"/>
    <w:rsid w:val="005A65A5"/>
    <w:rsid w:val="005B2125"/>
    <w:rsid w:val="005B5473"/>
    <w:rsid w:val="005C06DD"/>
    <w:rsid w:val="005C35DB"/>
    <w:rsid w:val="005C5EA2"/>
    <w:rsid w:val="005C7FB0"/>
    <w:rsid w:val="005D2F2A"/>
    <w:rsid w:val="005D4EF3"/>
    <w:rsid w:val="005F4906"/>
    <w:rsid w:val="005F5DB0"/>
    <w:rsid w:val="005F6395"/>
    <w:rsid w:val="00601E1E"/>
    <w:rsid w:val="00604EBD"/>
    <w:rsid w:val="00607C88"/>
    <w:rsid w:val="00621AF3"/>
    <w:rsid w:val="00622A68"/>
    <w:rsid w:val="00622BAF"/>
    <w:rsid w:val="00626F7B"/>
    <w:rsid w:val="00627858"/>
    <w:rsid w:val="00627C61"/>
    <w:rsid w:val="006322F0"/>
    <w:rsid w:val="00634CD6"/>
    <w:rsid w:val="00642565"/>
    <w:rsid w:val="0064684C"/>
    <w:rsid w:val="00656625"/>
    <w:rsid w:val="00661CBA"/>
    <w:rsid w:val="00663283"/>
    <w:rsid w:val="00663B9D"/>
    <w:rsid w:val="0066536B"/>
    <w:rsid w:val="0066537C"/>
    <w:rsid w:val="00665E73"/>
    <w:rsid w:val="006661FB"/>
    <w:rsid w:val="006677DC"/>
    <w:rsid w:val="00670D07"/>
    <w:rsid w:val="00674B65"/>
    <w:rsid w:val="00674C5A"/>
    <w:rsid w:val="006767FF"/>
    <w:rsid w:val="006819F2"/>
    <w:rsid w:val="00683371"/>
    <w:rsid w:val="006839FC"/>
    <w:rsid w:val="006856FF"/>
    <w:rsid w:val="006862DB"/>
    <w:rsid w:val="00686BEB"/>
    <w:rsid w:val="00691930"/>
    <w:rsid w:val="006943F7"/>
    <w:rsid w:val="006A4A79"/>
    <w:rsid w:val="006A6075"/>
    <w:rsid w:val="006A6205"/>
    <w:rsid w:val="006A6870"/>
    <w:rsid w:val="006A7BDF"/>
    <w:rsid w:val="006B0439"/>
    <w:rsid w:val="006B1DC6"/>
    <w:rsid w:val="006B2DA9"/>
    <w:rsid w:val="006B4547"/>
    <w:rsid w:val="006C3679"/>
    <w:rsid w:val="006C4E79"/>
    <w:rsid w:val="006C5C99"/>
    <w:rsid w:val="006E0BB3"/>
    <w:rsid w:val="006E3A65"/>
    <w:rsid w:val="006E419D"/>
    <w:rsid w:val="006E541A"/>
    <w:rsid w:val="006F19DD"/>
    <w:rsid w:val="006F2EDE"/>
    <w:rsid w:val="006F6327"/>
    <w:rsid w:val="006F7C07"/>
    <w:rsid w:val="0070052D"/>
    <w:rsid w:val="00700807"/>
    <w:rsid w:val="00700C10"/>
    <w:rsid w:val="0070278E"/>
    <w:rsid w:val="00703E9E"/>
    <w:rsid w:val="007056D9"/>
    <w:rsid w:val="0071010B"/>
    <w:rsid w:val="00711011"/>
    <w:rsid w:val="0071126C"/>
    <w:rsid w:val="00711309"/>
    <w:rsid w:val="00713CC5"/>
    <w:rsid w:val="00717D37"/>
    <w:rsid w:val="00720240"/>
    <w:rsid w:val="00723FFD"/>
    <w:rsid w:val="007269BC"/>
    <w:rsid w:val="00726D68"/>
    <w:rsid w:val="00731801"/>
    <w:rsid w:val="00732787"/>
    <w:rsid w:val="00733128"/>
    <w:rsid w:val="0073688F"/>
    <w:rsid w:val="00736BD3"/>
    <w:rsid w:val="00737D7F"/>
    <w:rsid w:val="007458C8"/>
    <w:rsid w:val="007500DB"/>
    <w:rsid w:val="00750499"/>
    <w:rsid w:val="007542D5"/>
    <w:rsid w:val="00754F49"/>
    <w:rsid w:val="007559F8"/>
    <w:rsid w:val="0075623E"/>
    <w:rsid w:val="007609FA"/>
    <w:rsid w:val="00761234"/>
    <w:rsid w:val="0076277C"/>
    <w:rsid w:val="00762BC5"/>
    <w:rsid w:val="00763D93"/>
    <w:rsid w:val="0076448F"/>
    <w:rsid w:val="0076736A"/>
    <w:rsid w:val="00767E20"/>
    <w:rsid w:val="00772673"/>
    <w:rsid w:val="007753D1"/>
    <w:rsid w:val="00775416"/>
    <w:rsid w:val="00776A1D"/>
    <w:rsid w:val="00776F43"/>
    <w:rsid w:val="00777DFE"/>
    <w:rsid w:val="00777E2F"/>
    <w:rsid w:val="00780559"/>
    <w:rsid w:val="007838CD"/>
    <w:rsid w:val="00783D10"/>
    <w:rsid w:val="00787305"/>
    <w:rsid w:val="00790007"/>
    <w:rsid w:val="00795AC0"/>
    <w:rsid w:val="0079757F"/>
    <w:rsid w:val="007A0CFE"/>
    <w:rsid w:val="007A35E9"/>
    <w:rsid w:val="007A5A89"/>
    <w:rsid w:val="007A6190"/>
    <w:rsid w:val="007A7D8A"/>
    <w:rsid w:val="007B10A8"/>
    <w:rsid w:val="007B440F"/>
    <w:rsid w:val="007B4AE8"/>
    <w:rsid w:val="007B54E1"/>
    <w:rsid w:val="007B5611"/>
    <w:rsid w:val="007D04D3"/>
    <w:rsid w:val="007D2E7D"/>
    <w:rsid w:val="007D2EE4"/>
    <w:rsid w:val="007D4285"/>
    <w:rsid w:val="007D44E7"/>
    <w:rsid w:val="007D4531"/>
    <w:rsid w:val="007D4852"/>
    <w:rsid w:val="007D5961"/>
    <w:rsid w:val="007E0616"/>
    <w:rsid w:val="007E0782"/>
    <w:rsid w:val="007E3405"/>
    <w:rsid w:val="007E40AA"/>
    <w:rsid w:val="007E40BB"/>
    <w:rsid w:val="007E6173"/>
    <w:rsid w:val="007F0ACC"/>
    <w:rsid w:val="007F4D22"/>
    <w:rsid w:val="00803DBB"/>
    <w:rsid w:val="00803F94"/>
    <w:rsid w:val="008054E7"/>
    <w:rsid w:val="00805CCC"/>
    <w:rsid w:val="008133FB"/>
    <w:rsid w:val="00813753"/>
    <w:rsid w:val="00814F73"/>
    <w:rsid w:val="008162AF"/>
    <w:rsid w:val="00817799"/>
    <w:rsid w:val="00822871"/>
    <w:rsid w:val="00823685"/>
    <w:rsid w:val="00824ADC"/>
    <w:rsid w:val="008258C0"/>
    <w:rsid w:val="008279F5"/>
    <w:rsid w:val="00831CED"/>
    <w:rsid w:val="00835E07"/>
    <w:rsid w:val="00840253"/>
    <w:rsid w:val="008415B4"/>
    <w:rsid w:val="00841822"/>
    <w:rsid w:val="00842052"/>
    <w:rsid w:val="00842AA3"/>
    <w:rsid w:val="00845F03"/>
    <w:rsid w:val="00851344"/>
    <w:rsid w:val="00853424"/>
    <w:rsid w:val="0085544E"/>
    <w:rsid w:val="008563AD"/>
    <w:rsid w:val="0085664F"/>
    <w:rsid w:val="00857B55"/>
    <w:rsid w:val="00862146"/>
    <w:rsid w:val="00867907"/>
    <w:rsid w:val="008705E6"/>
    <w:rsid w:val="00872C5E"/>
    <w:rsid w:val="00875843"/>
    <w:rsid w:val="00881837"/>
    <w:rsid w:val="00882DF8"/>
    <w:rsid w:val="0088339F"/>
    <w:rsid w:val="008835FD"/>
    <w:rsid w:val="00892960"/>
    <w:rsid w:val="0089461F"/>
    <w:rsid w:val="00896CCF"/>
    <w:rsid w:val="008A0133"/>
    <w:rsid w:val="008A0670"/>
    <w:rsid w:val="008A071B"/>
    <w:rsid w:val="008A1754"/>
    <w:rsid w:val="008B0ADA"/>
    <w:rsid w:val="008B13C9"/>
    <w:rsid w:val="008B5E8F"/>
    <w:rsid w:val="008C0D3A"/>
    <w:rsid w:val="008C313E"/>
    <w:rsid w:val="008C37D3"/>
    <w:rsid w:val="008C3E60"/>
    <w:rsid w:val="008D0150"/>
    <w:rsid w:val="008D051C"/>
    <w:rsid w:val="008D2597"/>
    <w:rsid w:val="008E0CA1"/>
    <w:rsid w:val="008E2451"/>
    <w:rsid w:val="008E48ED"/>
    <w:rsid w:val="008E7740"/>
    <w:rsid w:val="008F0A90"/>
    <w:rsid w:val="008F0D02"/>
    <w:rsid w:val="008F251F"/>
    <w:rsid w:val="008F32B0"/>
    <w:rsid w:val="008F40BB"/>
    <w:rsid w:val="008F4489"/>
    <w:rsid w:val="00903BF4"/>
    <w:rsid w:val="00905FDF"/>
    <w:rsid w:val="00915536"/>
    <w:rsid w:val="00920D40"/>
    <w:rsid w:val="00920DAE"/>
    <w:rsid w:val="00922D6D"/>
    <w:rsid w:val="00924E5F"/>
    <w:rsid w:val="0092708A"/>
    <w:rsid w:val="00930C13"/>
    <w:rsid w:val="00931AE0"/>
    <w:rsid w:val="0093212F"/>
    <w:rsid w:val="009329B6"/>
    <w:rsid w:val="00933CB5"/>
    <w:rsid w:val="00936911"/>
    <w:rsid w:val="00936E06"/>
    <w:rsid w:val="00943BE5"/>
    <w:rsid w:val="009448FD"/>
    <w:rsid w:val="00944FB0"/>
    <w:rsid w:val="00947A0C"/>
    <w:rsid w:val="00954CD7"/>
    <w:rsid w:val="00955B88"/>
    <w:rsid w:val="00956995"/>
    <w:rsid w:val="00957186"/>
    <w:rsid w:val="0096031B"/>
    <w:rsid w:val="00960B92"/>
    <w:rsid w:val="00960D46"/>
    <w:rsid w:val="00962239"/>
    <w:rsid w:val="00964D57"/>
    <w:rsid w:val="0097297B"/>
    <w:rsid w:val="00973BDF"/>
    <w:rsid w:val="009748B6"/>
    <w:rsid w:val="00981462"/>
    <w:rsid w:val="00982E0C"/>
    <w:rsid w:val="00984D22"/>
    <w:rsid w:val="0098521B"/>
    <w:rsid w:val="00985367"/>
    <w:rsid w:val="00990391"/>
    <w:rsid w:val="00990FF1"/>
    <w:rsid w:val="0099268A"/>
    <w:rsid w:val="009928FD"/>
    <w:rsid w:val="00994E6A"/>
    <w:rsid w:val="009A282E"/>
    <w:rsid w:val="009A4B84"/>
    <w:rsid w:val="009A5452"/>
    <w:rsid w:val="009B0B60"/>
    <w:rsid w:val="009B18C6"/>
    <w:rsid w:val="009C0761"/>
    <w:rsid w:val="009C6905"/>
    <w:rsid w:val="009D455B"/>
    <w:rsid w:val="009E110F"/>
    <w:rsid w:val="009E2466"/>
    <w:rsid w:val="009E2ED7"/>
    <w:rsid w:val="009E4884"/>
    <w:rsid w:val="009E4F80"/>
    <w:rsid w:val="009E770D"/>
    <w:rsid w:val="009F2B04"/>
    <w:rsid w:val="009F39AB"/>
    <w:rsid w:val="009F453D"/>
    <w:rsid w:val="009F6BB1"/>
    <w:rsid w:val="009F6D76"/>
    <w:rsid w:val="00A01F73"/>
    <w:rsid w:val="00A02F08"/>
    <w:rsid w:val="00A0304A"/>
    <w:rsid w:val="00A0568B"/>
    <w:rsid w:val="00A0736A"/>
    <w:rsid w:val="00A1149C"/>
    <w:rsid w:val="00A14BEE"/>
    <w:rsid w:val="00A15C72"/>
    <w:rsid w:val="00A1603E"/>
    <w:rsid w:val="00A20F74"/>
    <w:rsid w:val="00A21504"/>
    <w:rsid w:val="00A219CC"/>
    <w:rsid w:val="00A23316"/>
    <w:rsid w:val="00A301AF"/>
    <w:rsid w:val="00A32CF1"/>
    <w:rsid w:val="00A33912"/>
    <w:rsid w:val="00A34B6D"/>
    <w:rsid w:val="00A35905"/>
    <w:rsid w:val="00A374C2"/>
    <w:rsid w:val="00A42070"/>
    <w:rsid w:val="00A447FF"/>
    <w:rsid w:val="00A4532D"/>
    <w:rsid w:val="00A471A7"/>
    <w:rsid w:val="00A528B1"/>
    <w:rsid w:val="00A554F0"/>
    <w:rsid w:val="00A55F58"/>
    <w:rsid w:val="00A563F0"/>
    <w:rsid w:val="00A56C68"/>
    <w:rsid w:val="00A60F15"/>
    <w:rsid w:val="00A61E03"/>
    <w:rsid w:val="00A62A61"/>
    <w:rsid w:val="00A6374E"/>
    <w:rsid w:val="00A65503"/>
    <w:rsid w:val="00A7142C"/>
    <w:rsid w:val="00A71525"/>
    <w:rsid w:val="00A71655"/>
    <w:rsid w:val="00A71743"/>
    <w:rsid w:val="00A72A6E"/>
    <w:rsid w:val="00A75D5F"/>
    <w:rsid w:val="00A76617"/>
    <w:rsid w:val="00A7682D"/>
    <w:rsid w:val="00A76A2A"/>
    <w:rsid w:val="00A77E77"/>
    <w:rsid w:val="00A810C2"/>
    <w:rsid w:val="00A811E2"/>
    <w:rsid w:val="00A81C87"/>
    <w:rsid w:val="00A823C3"/>
    <w:rsid w:val="00A84628"/>
    <w:rsid w:val="00A851C7"/>
    <w:rsid w:val="00A92627"/>
    <w:rsid w:val="00A969B4"/>
    <w:rsid w:val="00AA31FD"/>
    <w:rsid w:val="00AB157A"/>
    <w:rsid w:val="00AB5CF5"/>
    <w:rsid w:val="00AB7480"/>
    <w:rsid w:val="00AB7E32"/>
    <w:rsid w:val="00AC14C6"/>
    <w:rsid w:val="00AC7A94"/>
    <w:rsid w:val="00AC7CDC"/>
    <w:rsid w:val="00AD3F7E"/>
    <w:rsid w:val="00AE127C"/>
    <w:rsid w:val="00AE5649"/>
    <w:rsid w:val="00AE68B4"/>
    <w:rsid w:val="00AE76C9"/>
    <w:rsid w:val="00AF0889"/>
    <w:rsid w:val="00AF095A"/>
    <w:rsid w:val="00AF1124"/>
    <w:rsid w:val="00AF38D1"/>
    <w:rsid w:val="00AF3F42"/>
    <w:rsid w:val="00AF439C"/>
    <w:rsid w:val="00AF576B"/>
    <w:rsid w:val="00AF6C63"/>
    <w:rsid w:val="00AF7FF0"/>
    <w:rsid w:val="00B01DDD"/>
    <w:rsid w:val="00B01EA3"/>
    <w:rsid w:val="00B02108"/>
    <w:rsid w:val="00B045FB"/>
    <w:rsid w:val="00B07D57"/>
    <w:rsid w:val="00B15478"/>
    <w:rsid w:val="00B17A85"/>
    <w:rsid w:val="00B21204"/>
    <w:rsid w:val="00B23A26"/>
    <w:rsid w:val="00B355E0"/>
    <w:rsid w:val="00B35A68"/>
    <w:rsid w:val="00B37E9D"/>
    <w:rsid w:val="00B43F83"/>
    <w:rsid w:val="00B44085"/>
    <w:rsid w:val="00B46A7F"/>
    <w:rsid w:val="00B55053"/>
    <w:rsid w:val="00B555A2"/>
    <w:rsid w:val="00B56080"/>
    <w:rsid w:val="00B5613D"/>
    <w:rsid w:val="00B56A97"/>
    <w:rsid w:val="00B57E61"/>
    <w:rsid w:val="00B668AD"/>
    <w:rsid w:val="00B77DD6"/>
    <w:rsid w:val="00B8097C"/>
    <w:rsid w:val="00B82C5C"/>
    <w:rsid w:val="00B83F1D"/>
    <w:rsid w:val="00B840B7"/>
    <w:rsid w:val="00B86D46"/>
    <w:rsid w:val="00B871BB"/>
    <w:rsid w:val="00B87A67"/>
    <w:rsid w:val="00B91DC4"/>
    <w:rsid w:val="00B92F51"/>
    <w:rsid w:val="00B93961"/>
    <w:rsid w:val="00B9581E"/>
    <w:rsid w:val="00B96753"/>
    <w:rsid w:val="00BA00D6"/>
    <w:rsid w:val="00BA05BD"/>
    <w:rsid w:val="00BA22F5"/>
    <w:rsid w:val="00BA2797"/>
    <w:rsid w:val="00BA2A0C"/>
    <w:rsid w:val="00BA3146"/>
    <w:rsid w:val="00BA43FE"/>
    <w:rsid w:val="00BA74C0"/>
    <w:rsid w:val="00BB1AD0"/>
    <w:rsid w:val="00BB2B99"/>
    <w:rsid w:val="00BB3995"/>
    <w:rsid w:val="00BB4B4E"/>
    <w:rsid w:val="00BB5206"/>
    <w:rsid w:val="00BC0690"/>
    <w:rsid w:val="00BC18B1"/>
    <w:rsid w:val="00BC72C5"/>
    <w:rsid w:val="00BD20D5"/>
    <w:rsid w:val="00BD6DA1"/>
    <w:rsid w:val="00BE0A55"/>
    <w:rsid w:val="00BE4080"/>
    <w:rsid w:val="00BE40B2"/>
    <w:rsid w:val="00BE48DE"/>
    <w:rsid w:val="00BF0CB5"/>
    <w:rsid w:val="00BF30E6"/>
    <w:rsid w:val="00BF564B"/>
    <w:rsid w:val="00BF5CA3"/>
    <w:rsid w:val="00BF6041"/>
    <w:rsid w:val="00BF7F1C"/>
    <w:rsid w:val="00C01A66"/>
    <w:rsid w:val="00C03B0A"/>
    <w:rsid w:val="00C10940"/>
    <w:rsid w:val="00C11207"/>
    <w:rsid w:val="00C144CE"/>
    <w:rsid w:val="00C156AC"/>
    <w:rsid w:val="00C15B63"/>
    <w:rsid w:val="00C17EAB"/>
    <w:rsid w:val="00C17F81"/>
    <w:rsid w:val="00C20DD2"/>
    <w:rsid w:val="00C21F78"/>
    <w:rsid w:val="00C25818"/>
    <w:rsid w:val="00C26920"/>
    <w:rsid w:val="00C31B30"/>
    <w:rsid w:val="00C36AF7"/>
    <w:rsid w:val="00C3751C"/>
    <w:rsid w:val="00C4001D"/>
    <w:rsid w:val="00C42115"/>
    <w:rsid w:val="00C443E3"/>
    <w:rsid w:val="00C44F0B"/>
    <w:rsid w:val="00C46FAA"/>
    <w:rsid w:val="00C51529"/>
    <w:rsid w:val="00C5231D"/>
    <w:rsid w:val="00C54380"/>
    <w:rsid w:val="00C602EC"/>
    <w:rsid w:val="00C61E3E"/>
    <w:rsid w:val="00C67D1C"/>
    <w:rsid w:val="00C70009"/>
    <w:rsid w:val="00C75117"/>
    <w:rsid w:val="00C76340"/>
    <w:rsid w:val="00C859FF"/>
    <w:rsid w:val="00C968F8"/>
    <w:rsid w:val="00C97306"/>
    <w:rsid w:val="00CA0BB4"/>
    <w:rsid w:val="00CA1936"/>
    <w:rsid w:val="00CA20BF"/>
    <w:rsid w:val="00CA2271"/>
    <w:rsid w:val="00CB1FCF"/>
    <w:rsid w:val="00CB6C5A"/>
    <w:rsid w:val="00CC1538"/>
    <w:rsid w:val="00CC1E70"/>
    <w:rsid w:val="00CC6B69"/>
    <w:rsid w:val="00CD4B0D"/>
    <w:rsid w:val="00CD554C"/>
    <w:rsid w:val="00CE3526"/>
    <w:rsid w:val="00CE498D"/>
    <w:rsid w:val="00CE5106"/>
    <w:rsid w:val="00CE66A3"/>
    <w:rsid w:val="00CE71A6"/>
    <w:rsid w:val="00CF1E55"/>
    <w:rsid w:val="00CF3074"/>
    <w:rsid w:val="00CF5388"/>
    <w:rsid w:val="00D012A9"/>
    <w:rsid w:val="00D015C0"/>
    <w:rsid w:val="00D029F6"/>
    <w:rsid w:val="00D031D2"/>
    <w:rsid w:val="00D03474"/>
    <w:rsid w:val="00D0348C"/>
    <w:rsid w:val="00D0775E"/>
    <w:rsid w:val="00D12F0A"/>
    <w:rsid w:val="00D145A7"/>
    <w:rsid w:val="00D15818"/>
    <w:rsid w:val="00D16100"/>
    <w:rsid w:val="00D166BF"/>
    <w:rsid w:val="00D23463"/>
    <w:rsid w:val="00D2580B"/>
    <w:rsid w:val="00D34FA0"/>
    <w:rsid w:val="00D37958"/>
    <w:rsid w:val="00D436A9"/>
    <w:rsid w:val="00D4502A"/>
    <w:rsid w:val="00D4631D"/>
    <w:rsid w:val="00D52911"/>
    <w:rsid w:val="00D544E6"/>
    <w:rsid w:val="00D55E92"/>
    <w:rsid w:val="00D57CA0"/>
    <w:rsid w:val="00D60A7B"/>
    <w:rsid w:val="00D61833"/>
    <w:rsid w:val="00D629E3"/>
    <w:rsid w:val="00D641E1"/>
    <w:rsid w:val="00D65EC2"/>
    <w:rsid w:val="00D70180"/>
    <w:rsid w:val="00D7194F"/>
    <w:rsid w:val="00D742AE"/>
    <w:rsid w:val="00D80E4F"/>
    <w:rsid w:val="00D83BDB"/>
    <w:rsid w:val="00D86D78"/>
    <w:rsid w:val="00D87134"/>
    <w:rsid w:val="00D901B0"/>
    <w:rsid w:val="00D9243A"/>
    <w:rsid w:val="00D93FD2"/>
    <w:rsid w:val="00D9598E"/>
    <w:rsid w:val="00DA3C37"/>
    <w:rsid w:val="00DA3E05"/>
    <w:rsid w:val="00DA41CE"/>
    <w:rsid w:val="00DA543A"/>
    <w:rsid w:val="00DB2B23"/>
    <w:rsid w:val="00DB3838"/>
    <w:rsid w:val="00DB699C"/>
    <w:rsid w:val="00DC1209"/>
    <w:rsid w:val="00DC792E"/>
    <w:rsid w:val="00DC7E8A"/>
    <w:rsid w:val="00DD02EA"/>
    <w:rsid w:val="00DD1AAF"/>
    <w:rsid w:val="00DD3282"/>
    <w:rsid w:val="00DD3579"/>
    <w:rsid w:val="00DD5D3C"/>
    <w:rsid w:val="00DD6202"/>
    <w:rsid w:val="00DD6544"/>
    <w:rsid w:val="00DD6935"/>
    <w:rsid w:val="00DE01A5"/>
    <w:rsid w:val="00DE025C"/>
    <w:rsid w:val="00DE2420"/>
    <w:rsid w:val="00DE6B5B"/>
    <w:rsid w:val="00DE6E55"/>
    <w:rsid w:val="00DE7496"/>
    <w:rsid w:val="00DF01FF"/>
    <w:rsid w:val="00DF0C64"/>
    <w:rsid w:val="00DF147D"/>
    <w:rsid w:val="00DF5423"/>
    <w:rsid w:val="00DF715E"/>
    <w:rsid w:val="00E0017F"/>
    <w:rsid w:val="00E024E1"/>
    <w:rsid w:val="00E02BE6"/>
    <w:rsid w:val="00E0302C"/>
    <w:rsid w:val="00E03D3E"/>
    <w:rsid w:val="00E0542C"/>
    <w:rsid w:val="00E05765"/>
    <w:rsid w:val="00E10790"/>
    <w:rsid w:val="00E114F0"/>
    <w:rsid w:val="00E11D8D"/>
    <w:rsid w:val="00E12B58"/>
    <w:rsid w:val="00E1567B"/>
    <w:rsid w:val="00E20BBC"/>
    <w:rsid w:val="00E21160"/>
    <w:rsid w:val="00E23E03"/>
    <w:rsid w:val="00E24549"/>
    <w:rsid w:val="00E25BDD"/>
    <w:rsid w:val="00E26A95"/>
    <w:rsid w:val="00E26F45"/>
    <w:rsid w:val="00E31D8A"/>
    <w:rsid w:val="00E3274E"/>
    <w:rsid w:val="00E37EF4"/>
    <w:rsid w:val="00E400C6"/>
    <w:rsid w:val="00E429A7"/>
    <w:rsid w:val="00E45A7E"/>
    <w:rsid w:val="00E46965"/>
    <w:rsid w:val="00E47A0F"/>
    <w:rsid w:val="00E52153"/>
    <w:rsid w:val="00E52844"/>
    <w:rsid w:val="00E5410A"/>
    <w:rsid w:val="00E6322D"/>
    <w:rsid w:val="00E636C8"/>
    <w:rsid w:val="00E64943"/>
    <w:rsid w:val="00E64DDD"/>
    <w:rsid w:val="00E73788"/>
    <w:rsid w:val="00E7398B"/>
    <w:rsid w:val="00E74888"/>
    <w:rsid w:val="00E7623B"/>
    <w:rsid w:val="00E80B08"/>
    <w:rsid w:val="00E83A0C"/>
    <w:rsid w:val="00E86246"/>
    <w:rsid w:val="00E9037D"/>
    <w:rsid w:val="00E91810"/>
    <w:rsid w:val="00E92017"/>
    <w:rsid w:val="00E96D41"/>
    <w:rsid w:val="00EA38F8"/>
    <w:rsid w:val="00EA6838"/>
    <w:rsid w:val="00EB0F87"/>
    <w:rsid w:val="00EB18B7"/>
    <w:rsid w:val="00EB1C95"/>
    <w:rsid w:val="00EB35C0"/>
    <w:rsid w:val="00EB620E"/>
    <w:rsid w:val="00EC1EE7"/>
    <w:rsid w:val="00EC2357"/>
    <w:rsid w:val="00ED07D1"/>
    <w:rsid w:val="00ED0BA2"/>
    <w:rsid w:val="00ED3319"/>
    <w:rsid w:val="00ED4819"/>
    <w:rsid w:val="00EE167F"/>
    <w:rsid w:val="00EE35D8"/>
    <w:rsid w:val="00EE425B"/>
    <w:rsid w:val="00EE6200"/>
    <w:rsid w:val="00EE6EB8"/>
    <w:rsid w:val="00EE72B2"/>
    <w:rsid w:val="00EE7951"/>
    <w:rsid w:val="00EF310F"/>
    <w:rsid w:val="00EF34B7"/>
    <w:rsid w:val="00EF3C52"/>
    <w:rsid w:val="00EF5322"/>
    <w:rsid w:val="00F0198A"/>
    <w:rsid w:val="00F01DC2"/>
    <w:rsid w:val="00F021E3"/>
    <w:rsid w:val="00F028AF"/>
    <w:rsid w:val="00F066B4"/>
    <w:rsid w:val="00F1297E"/>
    <w:rsid w:val="00F132AF"/>
    <w:rsid w:val="00F205C4"/>
    <w:rsid w:val="00F220D9"/>
    <w:rsid w:val="00F22947"/>
    <w:rsid w:val="00F22B2A"/>
    <w:rsid w:val="00F22B6A"/>
    <w:rsid w:val="00F24DE9"/>
    <w:rsid w:val="00F306CF"/>
    <w:rsid w:val="00F30E2D"/>
    <w:rsid w:val="00F31CE3"/>
    <w:rsid w:val="00F36F59"/>
    <w:rsid w:val="00F37DF3"/>
    <w:rsid w:val="00F37F91"/>
    <w:rsid w:val="00F40C65"/>
    <w:rsid w:val="00F41036"/>
    <w:rsid w:val="00F41B06"/>
    <w:rsid w:val="00F41BD6"/>
    <w:rsid w:val="00F41C8D"/>
    <w:rsid w:val="00F456EA"/>
    <w:rsid w:val="00F53269"/>
    <w:rsid w:val="00F5488A"/>
    <w:rsid w:val="00F56812"/>
    <w:rsid w:val="00F66F6F"/>
    <w:rsid w:val="00F676FD"/>
    <w:rsid w:val="00F67B7A"/>
    <w:rsid w:val="00F73B1D"/>
    <w:rsid w:val="00F742BD"/>
    <w:rsid w:val="00F77A22"/>
    <w:rsid w:val="00F80CD4"/>
    <w:rsid w:val="00F82695"/>
    <w:rsid w:val="00F82F74"/>
    <w:rsid w:val="00F859D5"/>
    <w:rsid w:val="00F86679"/>
    <w:rsid w:val="00F87526"/>
    <w:rsid w:val="00F87AEE"/>
    <w:rsid w:val="00F87F08"/>
    <w:rsid w:val="00F87F4C"/>
    <w:rsid w:val="00F91E5F"/>
    <w:rsid w:val="00F96006"/>
    <w:rsid w:val="00F9638C"/>
    <w:rsid w:val="00F97295"/>
    <w:rsid w:val="00FA0816"/>
    <w:rsid w:val="00FA0F3B"/>
    <w:rsid w:val="00FA5EC5"/>
    <w:rsid w:val="00FB1176"/>
    <w:rsid w:val="00FB4F65"/>
    <w:rsid w:val="00FB5296"/>
    <w:rsid w:val="00FB600D"/>
    <w:rsid w:val="00FC092F"/>
    <w:rsid w:val="00FC1BD0"/>
    <w:rsid w:val="00FC2D10"/>
    <w:rsid w:val="00FC3329"/>
    <w:rsid w:val="00FC4086"/>
    <w:rsid w:val="00FC4BC1"/>
    <w:rsid w:val="00FC4D71"/>
    <w:rsid w:val="00FC7047"/>
    <w:rsid w:val="00FD0A65"/>
    <w:rsid w:val="00FD0E7E"/>
    <w:rsid w:val="00FD2F91"/>
    <w:rsid w:val="00FD37D8"/>
    <w:rsid w:val="00FD3FA3"/>
    <w:rsid w:val="00FD5099"/>
    <w:rsid w:val="00FD6A42"/>
    <w:rsid w:val="00FD6F95"/>
    <w:rsid w:val="00FD75A1"/>
    <w:rsid w:val="00FE038B"/>
    <w:rsid w:val="00FE3FB8"/>
    <w:rsid w:val="00FE491F"/>
    <w:rsid w:val="00FE6412"/>
    <w:rsid w:val="00FE7DDE"/>
    <w:rsid w:val="00FF1BDD"/>
    <w:rsid w:val="00FF2FE3"/>
    <w:rsid w:val="00FF4B4C"/>
    <w:rsid w:val="00FF5F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C7485"/>
  <w15:chartTrackingRefBased/>
  <w15:docId w15:val="{6E15B1FF-F761-1A43-BB78-EB1DFCDE3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4FA1"/>
    <w:pPr>
      <w:ind w:left="720"/>
      <w:contextualSpacing/>
    </w:pPr>
  </w:style>
  <w:style w:type="character" w:customStyle="1" w:styleId="normaltextrun">
    <w:name w:val="normaltextrun"/>
    <w:basedOn w:val="DefaultParagraphFont"/>
    <w:rsid w:val="00BF7F1C"/>
  </w:style>
  <w:style w:type="character" w:customStyle="1" w:styleId="eop">
    <w:name w:val="eop"/>
    <w:basedOn w:val="DefaultParagraphFont"/>
    <w:rsid w:val="00BF7F1C"/>
  </w:style>
  <w:style w:type="paragraph" w:styleId="NormalWeb">
    <w:name w:val="Normal (Web)"/>
    <w:basedOn w:val="Normal"/>
    <w:uiPriority w:val="99"/>
    <w:unhideWhenUsed/>
    <w:rsid w:val="0037692C"/>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37692C"/>
  </w:style>
  <w:style w:type="paragraph" w:customStyle="1" w:styleId="paragraph">
    <w:name w:val="paragraph"/>
    <w:basedOn w:val="Normal"/>
    <w:rsid w:val="00BA05BD"/>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656625"/>
    <w:rPr>
      <w:color w:val="0563C1" w:themeColor="hyperlink"/>
      <w:u w:val="single"/>
    </w:rPr>
  </w:style>
  <w:style w:type="character" w:styleId="UnresolvedMention">
    <w:name w:val="Unresolved Mention"/>
    <w:basedOn w:val="DefaultParagraphFont"/>
    <w:uiPriority w:val="99"/>
    <w:semiHidden/>
    <w:unhideWhenUsed/>
    <w:rsid w:val="00656625"/>
    <w:rPr>
      <w:color w:val="605E5C"/>
      <w:shd w:val="clear" w:color="auto" w:fill="E1DFDD"/>
    </w:rPr>
  </w:style>
  <w:style w:type="character" w:styleId="FollowedHyperlink">
    <w:name w:val="FollowedHyperlink"/>
    <w:basedOn w:val="DefaultParagraphFont"/>
    <w:uiPriority w:val="99"/>
    <w:semiHidden/>
    <w:unhideWhenUsed/>
    <w:rsid w:val="00754F49"/>
    <w:rPr>
      <w:color w:val="954F72" w:themeColor="followedHyperlink"/>
      <w:u w:val="single"/>
    </w:rPr>
  </w:style>
  <w:style w:type="table" w:styleId="TableGrid">
    <w:name w:val="Table Grid"/>
    <w:basedOn w:val="TableNormal"/>
    <w:uiPriority w:val="39"/>
    <w:rsid w:val="002823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7425">
      <w:bodyDiv w:val="1"/>
      <w:marLeft w:val="0"/>
      <w:marRight w:val="0"/>
      <w:marTop w:val="0"/>
      <w:marBottom w:val="0"/>
      <w:divBdr>
        <w:top w:val="none" w:sz="0" w:space="0" w:color="auto"/>
        <w:left w:val="none" w:sz="0" w:space="0" w:color="auto"/>
        <w:bottom w:val="none" w:sz="0" w:space="0" w:color="auto"/>
        <w:right w:val="none" w:sz="0" w:space="0" w:color="auto"/>
      </w:divBdr>
      <w:divsChild>
        <w:div w:id="726610080">
          <w:marLeft w:val="0"/>
          <w:marRight w:val="0"/>
          <w:marTop w:val="0"/>
          <w:marBottom w:val="0"/>
          <w:divBdr>
            <w:top w:val="none" w:sz="0" w:space="0" w:color="auto"/>
            <w:left w:val="none" w:sz="0" w:space="0" w:color="auto"/>
            <w:bottom w:val="none" w:sz="0" w:space="0" w:color="auto"/>
            <w:right w:val="none" w:sz="0" w:space="0" w:color="auto"/>
          </w:divBdr>
          <w:divsChild>
            <w:div w:id="1063679185">
              <w:marLeft w:val="0"/>
              <w:marRight w:val="0"/>
              <w:marTop w:val="0"/>
              <w:marBottom w:val="0"/>
              <w:divBdr>
                <w:top w:val="none" w:sz="0" w:space="0" w:color="auto"/>
                <w:left w:val="none" w:sz="0" w:space="0" w:color="auto"/>
                <w:bottom w:val="none" w:sz="0" w:space="0" w:color="auto"/>
                <w:right w:val="none" w:sz="0" w:space="0" w:color="auto"/>
              </w:divBdr>
              <w:divsChild>
                <w:div w:id="882643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7016">
      <w:bodyDiv w:val="1"/>
      <w:marLeft w:val="0"/>
      <w:marRight w:val="0"/>
      <w:marTop w:val="0"/>
      <w:marBottom w:val="0"/>
      <w:divBdr>
        <w:top w:val="none" w:sz="0" w:space="0" w:color="auto"/>
        <w:left w:val="none" w:sz="0" w:space="0" w:color="auto"/>
        <w:bottom w:val="none" w:sz="0" w:space="0" w:color="auto"/>
        <w:right w:val="none" w:sz="0" w:space="0" w:color="auto"/>
      </w:divBdr>
    </w:div>
    <w:div w:id="22246314">
      <w:bodyDiv w:val="1"/>
      <w:marLeft w:val="0"/>
      <w:marRight w:val="0"/>
      <w:marTop w:val="0"/>
      <w:marBottom w:val="0"/>
      <w:divBdr>
        <w:top w:val="none" w:sz="0" w:space="0" w:color="auto"/>
        <w:left w:val="none" w:sz="0" w:space="0" w:color="auto"/>
        <w:bottom w:val="none" w:sz="0" w:space="0" w:color="auto"/>
        <w:right w:val="none" w:sz="0" w:space="0" w:color="auto"/>
      </w:divBdr>
    </w:div>
    <w:div w:id="48188566">
      <w:bodyDiv w:val="1"/>
      <w:marLeft w:val="0"/>
      <w:marRight w:val="0"/>
      <w:marTop w:val="0"/>
      <w:marBottom w:val="0"/>
      <w:divBdr>
        <w:top w:val="none" w:sz="0" w:space="0" w:color="auto"/>
        <w:left w:val="none" w:sz="0" w:space="0" w:color="auto"/>
        <w:bottom w:val="none" w:sz="0" w:space="0" w:color="auto"/>
        <w:right w:val="none" w:sz="0" w:space="0" w:color="auto"/>
      </w:divBdr>
    </w:div>
    <w:div w:id="51126410">
      <w:bodyDiv w:val="1"/>
      <w:marLeft w:val="0"/>
      <w:marRight w:val="0"/>
      <w:marTop w:val="0"/>
      <w:marBottom w:val="0"/>
      <w:divBdr>
        <w:top w:val="none" w:sz="0" w:space="0" w:color="auto"/>
        <w:left w:val="none" w:sz="0" w:space="0" w:color="auto"/>
        <w:bottom w:val="none" w:sz="0" w:space="0" w:color="auto"/>
        <w:right w:val="none" w:sz="0" w:space="0" w:color="auto"/>
      </w:divBdr>
    </w:div>
    <w:div w:id="79571969">
      <w:bodyDiv w:val="1"/>
      <w:marLeft w:val="0"/>
      <w:marRight w:val="0"/>
      <w:marTop w:val="0"/>
      <w:marBottom w:val="0"/>
      <w:divBdr>
        <w:top w:val="none" w:sz="0" w:space="0" w:color="auto"/>
        <w:left w:val="none" w:sz="0" w:space="0" w:color="auto"/>
        <w:bottom w:val="none" w:sz="0" w:space="0" w:color="auto"/>
        <w:right w:val="none" w:sz="0" w:space="0" w:color="auto"/>
      </w:divBdr>
    </w:div>
    <w:div w:id="80759193">
      <w:bodyDiv w:val="1"/>
      <w:marLeft w:val="0"/>
      <w:marRight w:val="0"/>
      <w:marTop w:val="0"/>
      <w:marBottom w:val="0"/>
      <w:divBdr>
        <w:top w:val="none" w:sz="0" w:space="0" w:color="auto"/>
        <w:left w:val="none" w:sz="0" w:space="0" w:color="auto"/>
        <w:bottom w:val="none" w:sz="0" w:space="0" w:color="auto"/>
        <w:right w:val="none" w:sz="0" w:space="0" w:color="auto"/>
      </w:divBdr>
    </w:div>
    <w:div w:id="84696208">
      <w:bodyDiv w:val="1"/>
      <w:marLeft w:val="0"/>
      <w:marRight w:val="0"/>
      <w:marTop w:val="0"/>
      <w:marBottom w:val="0"/>
      <w:divBdr>
        <w:top w:val="none" w:sz="0" w:space="0" w:color="auto"/>
        <w:left w:val="none" w:sz="0" w:space="0" w:color="auto"/>
        <w:bottom w:val="none" w:sz="0" w:space="0" w:color="auto"/>
        <w:right w:val="none" w:sz="0" w:space="0" w:color="auto"/>
      </w:divBdr>
    </w:div>
    <w:div w:id="90861352">
      <w:bodyDiv w:val="1"/>
      <w:marLeft w:val="0"/>
      <w:marRight w:val="0"/>
      <w:marTop w:val="0"/>
      <w:marBottom w:val="0"/>
      <w:divBdr>
        <w:top w:val="none" w:sz="0" w:space="0" w:color="auto"/>
        <w:left w:val="none" w:sz="0" w:space="0" w:color="auto"/>
        <w:bottom w:val="none" w:sz="0" w:space="0" w:color="auto"/>
        <w:right w:val="none" w:sz="0" w:space="0" w:color="auto"/>
      </w:divBdr>
    </w:div>
    <w:div w:id="124736832">
      <w:bodyDiv w:val="1"/>
      <w:marLeft w:val="0"/>
      <w:marRight w:val="0"/>
      <w:marTop w:val="0"/>
      <w:marBottom w:val="0"/>
      <w:divBdr>
        <w:top w:val="none" w:sz="0" w:space="0" w:color="auto"/>
        <w:left w:val="none" w:sz="0" w:space="0" w:color="auto"/>
        <w:bottom w:val="none" w:sz="0" w:space="0" w:color="auto"/>
        <w:right w:val="none" w:sz="0" w:space="0" w:color="auto"/>
      </w:divBdr>
    </w:div>
    <w:div w:id="143861646">
      <w:bodyDiv w:val="1"/>
      <w:marLeft w:val="0"/>
      <w:marRight w:val="0"/>
      <w:marTop w:val="0"/>
      <w:marBottom w:val="0"/>
      <w:divBdr>
        <w:top w:val="none" w:sz="0" w:space="0" w:color="auto"/>
        <w:left w:val="none" w:sz="0" w:space="0" w:color="auto"/>
        <w:bottom w:val="none" w:sz="0" w:space="0" w:color="auto"/>
        <w:right w:val="none" w:sz="0" w:space="0" w:color="auto"/>
      </w:divBdr>
    </w:div>
    <w:div w:id="185295163">
      <w:bodyDiv w:val="1"/>
      <w:marLeft w:val="0"/>
      <w:marRight w:val="0"/>
      <w:marTop w:val="0"/>
      <w:marBottom w:val="0"/>
      <w:divBdr>
        <w:top w:val="none" w:sz="0" w:space="0" w:color="auto"/>
        <w:left w:val="none" w:sz="0" w:space="0" w:color="auto"/>
        <w:bottom w:val="none" w:sz="0" w:space="0" w:color="auto"/>
        <w:right w:val="none" w:sz="0" w:space="0" w:color="auto"/>
      </w:divBdr>
    </w:div>
    <w:div w:id="261258323">
      <w:bodyDiv w:val="1"/>
      <w:marLeft w:val="0"/>
      <w:marRight w:val="0"/>
      <w:marTop w:val="0"/>
      <w:marBottom w:val="0"/>
      <w:divBdr>
        <w:top w:val="none" w:sz="0" w:space="0" w:color="auto"/>
        <w:left w:val="none" w:sz="0" w:space="0" w:color="auto"/>
        <w:bottom w:val="none" w:sz="0" w:space="0" w:color="auto"/>
        <w:right w:val="none" w:sz="0" w:space="0" w:color="auto"/>
      </w:divBdr>
    </w:div>
    <w:div w:id="284895197">
      <w:bodyDiv w:val="1"/>
      <w:marLeft w:val="0"/>
      <w:marRight w:val="0"/>
      <w:marTop w:val="0"/>
      <w:marBottom w:val="0"/>
      <w:divBdr>
        <w:top w:val="none" w:sz="0" w:space="0" w:color="auto"/>
        <w:left w:val="none" w:sz="0" w:space="0" w:color="auto"/>
        <w:bottom w:val="none" w:sz="0" w:space="0" w:color="auto"/>
        <w:right w:val="none" w:sz="0" w:space="0" w:color="auto"/>
      </w:divBdr>
    </w:div>
    <w:div w:id="286081161">
      <w:bodyDiv w:val="1"/>
      <w:marLeft w:val="0"/>
      <w:marRight w:val="0"/>
      <w:marTop w:val="0"/>
      <w:marBottom w:val="0"/>
      <w:divBdr>
        <w:top w:val="none" w:sz="0" w:space="0" w:color="auto"/>
        <w:left w:val="none" w:sz="0" w:space="0" w:color="auto"/>
        <w:bottom w:val="none" w:sz="0" w:space="0" w:color="auto"/>
        <w:right w:val="none" w:sz="0" w:space="0" w:color="auto"/>
      </w:divBdr>
    </w:div>
    <w:div w:id="304048515">
      <w:bodyDiv w:val="1"/>
      <w:marLeft w:val="0"/>
      <w:marRight w:val="0"/>
      <w:marTop w:val="0"/>
      <w:marBottom w:val="0"/>
      <w:divBdr>
        <w:top w:val="none" w:sz="0" w:space="0" w:color="auto"/>
        <w:left w:val="none" w:sz="0" w:space="0" w:color="auto"/>
        <w:bottom w:val="none" w:sz="0" w:space="0" w:color="auto"/>
        <w:right w:val="none" w:sz="0" w:space="0" w:color="auto"/>
      </w:divBdr>
    </w:div>
    <w:div w:id="362095296">
      <w:bodyDiv w:val="1"/>
      <w:marLeft w:val="0"/>
      <w:marRight w:val="0"/>
      <w:marTop w:val="0"/>
      <w:marBottom w:val="0"/>
      <w:divBdr>
        <w:top w:val="none" w:sz="0" w:space="0" w:color="auto"/>
        <w:left w:val="none" w:sz="0" w:space="0" w:color="auto"/>
        <w:bottom w:val="none" w:sz="0" w:space="0" w:color="auto"/>
        <w:right w:val="none" w:sz="0" w:space="0" w:color="auto"/>
      </w:divBdr>
    </w:div>
    <w:div w:id="371157298">
      <w:bodyDiv w:val="1"/>
      <w:marLeft w:val="0"/>
      <w:marRight w:val="0"/>
      <w:marTop w:val="0"/>
      <w:marBottom w:val="0"/>
      <w:divBdr>
        <w:top w:val="none" w:sz="0" w:space="0" w:color="auto"/>
        <w:left w:val="none" w:sz="0" w:space="0" w:color="auto"/>
        <w:bottom w:val="none" w:sz="0" w:space="0" w:color="auto"/>
        <w:right w:val="none" w:sz="0" w:space="0" w:color="auto"/>
      </w:divBdr>
    </w:div>
    <w:div w:id="397168673">
      <w:bodyDiv w:val="1"/>
      <w:marLeft w:val="0"/>
      <w:marRight w:val="0"/>
      <w:marTop w:val="0"/>
      <w:marBottom w:val="0"/>
      <w:divBdr>
        <w:top w:val="none" w:sz="0" w:space="0" w:color="auto"/>
        <w:left w:val="none" w:sz="0" w:space="0" w:color="auto"/>
        <w:bottom w:val="none" w:sz="0" w:space="0" w:color="auto"/>
        <w:right w:val="none" w:sz="0" w:space="0" w:color="auto"/>
      </w:divBdr>
    </w:div>
    <w:div w:id="412627365">
      <w:bodyDiv w:val="1"/>
      <w:marLeft w:val="0"/>
      <w:marRight w:val="0"/>
      <w:marTop w:val="0"/>
      <w:marBottom w:val="0"/>
      <w:divBdr>
        <w:top w:val="none" w:sz="0" w:space="0" w:color="auto"/>
        <w:left w:val="none" w:sz="0" w:space="0" w:color="auto"/>
        <w:bottom w:val="none" w:sz="0" w:space="0" w:color="auto"/>
        <w:right w:val="none" w:sz="0" w:space="0" w:color="auto"/>
      </w:divBdr>
    </w:div>
    <w:div w:id="435174930">
      <w:bodyDiv w:val="1"/>
      <w:marLeft w:val="0"/>
      <w:marRight w:val="0"/>
      <w:marTop w:val="0"/>
      <w:marBottom w:val="0"/>
      <w:divBdr>
        <w:top w:val="none" w:sz="0" w:space="0" w:color="auto"/>
        <w:left w:val="none" w:sz="0" w:space="0" w:color="auto"/>
        <w:bottom w:val="none" w:sz="0" w:space="0" w:color="auto"/>
        <w:right w:val="none" w:sz="0" w:space="0" w:color="auto"/>
      </w:divBdr>
    </w:div>
    <w:div w:id="470487163">
      <w:bodyDiv w:val="1"/>
      <w:marLeft w:val="0"/>
      <w:marRight w:val="0"/>
      <w:marTop w:val="0"/>
      <w:marBottom w:val="0"/>
      <w:divBdr>
        <w:top w:val="none" w:sz="0" w:space="0" w:color="auto"/>
        <w:left w:val="none" w:sz="0" w:space="0" w:color="auto"/>
        <w:bottom w:val="none" w:sz="0" w:space="0" w:color="auto"/>
        <w:right w:val="none" w:sz="0" w:space="0" w:color="auto"/>
      </w:divBdr>
    </w:div>
    <w:div w:id="471019002">
      <w:bodyDiv w:val="1"/>
      <w:marLeft w:val="0"/>
      <w:marRight w:val="0"/>
      <w:marTop w:val="0"/>
      <w:marBottom w:val="0"/>
      <w:divBdr>
        <w:top w:val="none" w:sz="0" w:space="0" w:color="auto"/>
        <w:left w:val="none" w:sz="0" w:space="0" w:color="auto"/>
        <w:bottom w:val="none" w:sz="0" w:space="0" w:color="auto"/>
        <w:right w:val="none" w:sz="0" w:space="0" w:color="auto"/>
      </w:divBdr>
    </w:div>
    <w:div w:id="483590579">
      <w:bodyDiv w:val="1"/>
      <w:marLeft w:val="0"/>
      <w:marRight w:val="0"/>
      <w:marTop w:val="0"/>
      <w:marBottom w:val="0"/>
      <w:divBdr>
        <w:top w:val="none" w:sz="0" w:space="0" w:color="auto"/>
        <w:left w:val="none" w:sz="0" w:space="0" w:color="auto"/>
        <w:bottom w:val="none" w:sz="0" w:space="0" w:color="auto"/>
        <w:right w:val="none" w:sz="0" w:space="0" w:color="auto"/>
      </w:divBdr>
    </w:div>
    <w:div w:id="488064057">
      <w:bodyDiv w:val="1"/>
      <w:marLeft w:val="0"/>
      <w:marRight w:val="0"/>
      <w:marTop w:val="0"/>
      <w:marBottom w:val="0"/>
      <w:divBdr>
        <w:top w:val="none" w:sz="0" w:space="0" w:color="auto"/>
        <w:left w:val="none" w:sz="0" w:space="0" w:color="auto"/>
        <w:bottom w:val="none" w:sz="0" w:space="0" w:color="auto"/>
        <w:right w:val="none" w:sz="0" w:space="0" w:color="auto"/>
      </w:divBdr>
    </w:div>
    <w:div w:id="497842286">
      <w:bodyDiv w:val="1"/>
      <w:marLeft w:val="0"/>
      <w:marRight w:val="0"/>
      <w:marTop w:val="0"/>
      <w:marBottom w:val="0"/>
      <w:divBdr>
        <w:top w:val="none" w:sz="0" w:space="0" w:color="auto"/>
        <w:left w:val="none" w:sz="0" w:space="0" w:color="auto"/>
        <w:bottom w:val="none" w:sz="0" w:space="0" w:color="auto"/>
        <w:right w:val="none" w:sz="0" w:space="0" w:color="auto"/>
      </w:divBdr>
    </w:div>
    <w:div w:id="518350496">
      <w:bodyDiv w:val="1"/>
      <w:marLeft w:val="0"/>
      <w:marRight w:val="0"/>
      <w:marTop w:val="0"/>
      <w:marBottom w:val="0"/>
      <w:divBdr>
        <w:top w:val="none" w:sz="0" w:space="0" w:color="auto"/>
        <w:left w:val="none" w:sz="0" w:space="0" w:color="auto"/>
        <w:bottom w:val="none" w:sz="0" w:space="0" w:color="auto"/>
        <w:right w:val="none" w:sz="0" w:space="0" w:color="auto"/>
      </w:divBdr>
    </w:div>
    <w:div w:id="535778049">
      <w:bodyDiv w:val="1"/>
      <w:marLeft w:val="0"/>
      <w:marRight w:val="0"/>
      <w:marTop w:val="0"/>
      <w:marBottom w:val="0"/>
      <w:divBdr>
        <w:top w:val="none" w:sz="0" w:space="0" w:color="auto"/>
        <w:left w:val="none" w:sz="0" w:space="0" w:color="auto"/>
        <w:bottom w:val="none" w:sz="0" w:space="0" w:color="auto"/>
        <w:right w:val="none" w:sz="0" w:space="0" w:color="auto"/>
      </w:divBdr>
    </w:div>
    <w:div w:id="571698985">
      <w:bodyDiv w:val="1"/>
      <w:marLeft w:val="0"/>
      <w:marRight w:val="0"/>
      <w:marTop w:val="0"/>
      <w:marBottom w:val="0"/>
      <w:divBdr>
        <w:top w:val="none" w:sz="0" w:space="0" w:color="auto"/>
        <w:left w:val="none" w:sz="0" w:space="0" w:color="auto"/>
        <w:bottom w:val="none" w:sz="0" w:space="0" w:color="auto"/>
        <w:right w:val="none" w:sz="0" w:space="0" w:color="auto"/>
      </w:divBdr>
    </w:div>
    <w:div w:id="573321993">
      <w:bodyDiv w:val="1"/>
      <w:marLeft w:val="0"/>
      <w:marRight w:val="0"/>
      <w:marTop w:val="0"/>
      <w:marBottom w:val="0"/>
      <w:divBdr>
        <w:top w:val="none" w:sz="0" w:space="0" w:color="auto"/>
        <w:left w:val="none" w:sz="0" w:space="0" w:color="auto"/>
        <w:bottom w:val="none" w:sz="0" w:space="0" w:color="auto"/>
        <w:right w:val="none" w:sz="0" w:space="0" w:color="auto"/>
      </w:divBdr>
    </w:div>
    <w:div w:id="603197311">
      <w:bodyDiv w:val="1"/>
      <w:marLeft w:val="0"/>
      <w:marRight w:val="0"/>
      <w:marTop w:val="0"/>
      <w:marBottom w:val="0"/>
      <w:divBdr>
        <w:top w:val="none" w:sz="0" w:space="0" w:color="auto"/>
        <w:left w:val="none" w:sz="0" w:space="0" w:color="auto"/>
        <w:bottom w:val="none" w:sz="0" w:space="0" w:color="auto"/>
        <w:right w:val="none" w:sz="0" w:space="0" w:color="auto"/>
      </w:divBdr>
    </w:div>
    <w:div w:id="607011098">
      <w:bodyDiv w:val="1"/>
      <w:marLeft w:val="0"/>
      <w:marRight w:val="0"/>
      <w:marTop w:val="0"/>
      <w:marBottom w:val="0"/>
      <w:divBdr>
        <w:top w:val="none" w:sz="0" w:space="0" w:color="auto"/>
        <w:left w:val="none" w:sz="0" w:space="0" w:color="auto"/>
        <w:bottom w:val="none" w:sz="0" w:space="0" w:color="auto"/>
        <w:right w:val="none" w:sz="0" w:space="0" w:color="auto"/>
      </w:divBdr>
    </w:div>
    <w:div w:id="618606806">
      <w:bodyDiv w:val="1"/>
      <w:marLeft w:val="0"/>
      <w:marRight w:val="0"/>
      <w:marTop w:val="0"/>
      <w:marBottom w:val="0"/>
      <w:divBdr>
        <w:top w:val="none" w:sz="0" w:space="0" w:color="auto"/>
        <w:left w:val="none" w:sz="0" w:space="0" w:color="auto"/>
        <w:bottom w:val="none" w:sz="0" w:space="0" w:color="auto"/>
        <w:right w:val="none" w:sz="0" w:space="0" w:color="auto"/>
      </w:divBdr>
    </w:div>
    <w:div w:id="770902574">
      <w:bodyDiv w:val="1"/>
      <w:marLeft w:val="0"/>
      <w:marRight w:val="0"/>
      <w:marTop w:val="0"/>
      <w:marBottom w:val="0"/>
      <w:divBdr>
        <w:top w:val="none" w:sz="0" w:space="0" w:color="auto"/>
        <w:left w:val="none" w:sz="0" w:space="0" w:color="auto"/>
        <w:bottom w:val="none" w:sz="0" w:space="0" w:color="auto"/>
        <w:right w:val="none" w:sz="0" w:space="0" w:color="auto"/>
      </w:divBdr>
    </w:div>
    <w:div w:id="774832775">
      <w:bodyDiv w:val="1"/>
      <w:marLeft w:val="0"/>
      <w:marRight w:val="0"/>
      <w:marTop w:val="0"/>
      <w:marBottom w:val="0"/>
      <w:divBdr>
        <w:top w:val="none" w:sz="0" w:space="0" w:color="auto"/>
        <w:left w:val="none" w:sz="0" w:space="0" w:color="auto"/>
        <w:bottom w:val="none" w:sz="0" w:space="0" w:color="auto"/>
        <w:right w:val="none" w:sz="0" w:space="0" w:color="auto"/>
      </w:divBdr>
    </w:div>
    <w:div w:id="778644462">
      <w:bodyDiv w:val="1"/>
      <w:marLeft w:val="0"/>
      <w:marRight w:val="0"/>
      <w:marTop w:val="0"/>
      <w:marBottom w:val="0"/>
      <w:divBdr>
        <w:top w:val="none" w:sz="0" w:space="0" w:color="auto"/>
        <w:left w:val="none" w:sz="0" w:space="0" w:color="auto"/>
        <w:bottom w:val="none" w:sz="0" w:space="0" w:color="auto"/>
        <w:right w:val="none" w:sz="0" w:space="0" w:color="auto"/>
      </w:divBdr>
    </w:div>
    <w:div w:id="783772894">
      <w:bodyDiv w:val="1"/>
      <w:marLeft w:val="0"/>
      <w:marRight w:val="0"/>
      <w:marTop w:val="0"/>
      <w:marBottom w:val="0"/>
      <w:divBdr>
        <w:top w:val="none" w:sz="0" w:space="0" w:color="auto"/>
        <w:left w:val="none" w:sz="0" w:space="0" w:color="auto"/>
        <w:bottom w:val="none" w:sz="0" w:space="0" w:color="auto"/>
        <w:right w:val="none" w:sz="0" w:space="0" w:color="auto"/>
      </w:divBdr>
    </w:div>
    <w:div w:id="812601597">
      <w:bodyDiv w:val="1"/>
      <w:marLeft w:val="0"/>
      <w:marRight w:val="0"/>
      <w:marTop w:val="0"/>
      <w:marBottom w:val="0"/>
      <w:divBdr>
        <w:top w:val="none" w:sz="0" w:space="0" w:color="auto"/>
        <w:left w:val="none" w:sz="0" w:space="0" w:color="auto"/>
        <w:bottom w:val="none" w:sz="0" w:space="0" w:color="auto"/>
        <w:right w:val="none" w:sz="0" w:space="0" w:color="auto"/>
      </w:divBdr>
    </w:div>
    <w:div w:id="855391606">
      <w:bodyDiv w:val="1"/>
      <w:marLeft w:val="0"/>
      <w:marRight w:val="0"/>
      <w:marTop w:val="0"/>
      <w:marBottom w:val="0"/>
      <w:divBdr>
        <w:top w:val="none" w:sz="0" w:space="0" w:color="auto"/>
        <w:left w:val="none" w:sz="0" w:space="0" w:color="auto"/>
        <w:bottom w:val="none" w:sz="0" w:space="0" w:color="auto"/>
        <w:right w:val="none" w:sz="0" w:space="0" w:color="auto"/>
      </w:divBdr>
    </w:div>
    <w:div w:id="865143327">
      <w:bodyDiv w:val="1"/>
      <w:marLeft w:val="0"/>
      <w:marRight w:val="0"/>
      <w:marTop w:val="0"/>
      <w:marBottom w:val="0"/>
      <w:divBdr>
        <w:top w:val="none" w:sz="0" w:space="0" w:color="auto"/>
        <w:left w:val="none" w:sz="0" w:space="0" w:color="auto"/>
        <w:bottom w:val="none" w:sz="0" w:space="0" w:color="auto"/>
        <w:right w:val="none" w:sz="0" w:space="0" w:color="auto"/>
      </w:divBdr>
    </w:div>
    <w:div w:id="878474747">
      <w:bodyDiv w:val="1"/>
      <w:marLeft w:val="0"/>
      <w:marRight w:val="0"/>
      <w:marTop w:val="0"/>
      <w:marBottom w:val="0"/>
      <w:divBdr>
        <w:top w:val="none" w:sz="0" w:space="0" w:color="auto"/>
        <w:left w:val="none" w:sz="0" w:space="0" w:color="auto"/>
        <w:bottom w:val="none" w:sz="0" w:space="0" w:color="auto"/>
        <w:right w:val="none" w:sz="0" w:space="0" w:color="auto"/>
      </w:divBdr>
    </w:div>
    <w:div w:id="879783700">
      <w:bodyDiv w:val="1"/>
      <w:marLeft w:val="0"/>
      <w:marRight w:val="0"/>
      <w:marTop w:val="0"/>
      <w:marBottom w:val="0"/>
      <w:divBdr>
        <w:top w:val="none" w:sz="0" w:space="0" w:color="auto"/>
        <w:left w:val="none" w:sz="0" w:space="0" w:color="auto"/>
        <w:bottom w:val="none" w:sz="0" w:space="0" w:color="auto"/>
        <w:right w:val="none" w:sz="0" w:space="0" w:color="auto"/>
      </w:divBdr>
    </w:div>
    <w:div w:id="888613050">
      <w:bodyDiv w:val="1"/>
      <w:marLeft w:val="0"/>
      <w:marRight w:val="0"/>
      <w:marTop w:val="0"/>
      <w:marBottom w:val="0"/>
      <w:divBdr>
        <w:top w:val="none" w:sz="0" w:space="0" w:color="auto"/>
        <w:left w:val="none" w:sz="0" w:space="0" w:color="auto"/>
        <w:bottom w:val="none" w:sz="0" w:space="0" w:color="auto"/>
        <w:right w:val="none" w:sz="0" w:space="0" w:color="auto"/>
      </w:divBdr>
    </w:div>
    <w:div w:id="892155408">
      <w:bodyDiv w:val="1"/>
      <w:marLeft w:val="0"/>
      <w:marRight w:val="0"/>
      <w:marTop w:val="0"/>
      <w:marBottom w:val="0"/>
      <w:divBdr>
        <w:top w:val="none" w:sz="0" w:space="0" w:color="auto"/>
        <w:left w:val="none" w:sz="0" w:space="0" w:color="auto"/>
        <w:bottom w:val="none" w:sz="0" w:space="0" w:color="auto"/>
        <w:right w:val="none" w:sz="0" w:space="0" w:color="auto"/>
      </w:divBdr>
    </w:div>
    <w:div w:id="893546111">
      <w:bodyDiv w:val="1"/>
      <w:marLeft w:val="0"/>
      <w:marRight w:val="0"/>
      <w:marTop w:val="0"/>
      <w:marBottom w:val="0"/>
      <w:divBdr>
        <w:top w:val="none" w:sz="0" w:space="0" w:color="auto"/>
        <w:left w:val="none" w:sz="0" w:space="0" w:color="auto"/>
        <w:bottom w:val="none" w:sz="0" w:space="0" w:color="auto"/>
        <w:right w:val="none" w:sz="0" w:space="0" w:color="auto"/>
      </w:divBdr>
    </w:div>
    <w:div w:id="910845821">
      <w:bodyDiv w:val="1"/>
      <w:marLeft w:val="0"/>
      <w:marRight w:val="0"/>
      <w:marTop w:val="0"/>
      <w:marBottom w:val="0"/>
      <w:divBdr>
        <w:top w:val="none" w:sz="0" w:space="0" w:color="auto"/>
        <w:left w:val="none" w:sz="0" w:space="0" w:color="auto"/>
        <w:bottom w:val="none" w:sz="0" w:space="0" w:color="auto"/>
        <w:right w:val="none" w:sz="0" w:space="0" w:color="auto"/>
      </w:divBdr>
    </w:div>
    <w:div w:id="919675856">
      <w:bodyDiv w:val="1"/>
      <w:marLeft w:val="0"/>
      <w:marRight w:val="0"/>
      <w:marTop w:val="0"/>
      <w:marBottom w:val="0"/>
      <w:divBdr>
        <w:top w:val="none" w:sz="0" w:space="0" w:color="auto"/>
        <w:left w:val="none" w:sz="0" w:space="0" w:color="auto"/>
        <w:bottom w:val="none" w:sz="0" w:space="0" w:color="auto"/>
        <w:right w:val="none" w:sz="0" w:space="0" w:color="auto"/>
      </w:divBdr>
    </w:div>
    <w:div w:id="921648413">
      <w:bodyDiv w:val="1"/>
      <w:marLeft w:val="0"/>
      <w:marRight w:val="0"/>
      <w:marTop w:val="0"/>
      <w:marBottom w:val="0"/>
      <w:divBdr>
        <w:top w:val="none" w:sz="0" w:space="0" w:color="auto"/>
        <w:left w:val="none" w:sz="0" w:space="0" w:color="auto"/>
        <w:bottom w:val="none" w:sz="0" w:space="0" w:color="auto"/>
        <w:right w:val="none" w:sz="0" w:space="0" w:color="auto"/>
      </w:divBdr>
    </w:div>
    <w:div w:id="959728381">
      <w:bodyDiv w:val="1"/>
      <w:marLeft w:val="0"/>
      <w:marRight w:val="0"/>
      <w:marTop w:val="0"/>
      <w:marBottom w:val="0"/>
      <w:divBdr>
        <w:top w:val="none" w:sz="0" w:space="0" w:color="auto"/>
        <w:left w:val="none" w:sz="0" w:space="0" w:color="auto"/>
        <w:bottom w:val="none" w:sz="0" w:space="0" w:color="auto"/>
        <w:right w:val="none" w:sz="0" w:space="0" w:color="auto"/>
      </w:divBdr>
    </w:div>
    <w:div w:id="989601179">
      <w:bodyDiv w:val="1"/>
      <w:marLeft w:val="0"/>
      <w:marRight w:val="0"/>
      <w:marTop w:val="0"/>
      <w:marBottom w:val="0"/>
      <w:divBdr>
        <w:top w:val="none" w:sz="0" w:space="0" w:color="auto"/>
        <w:left w:val="none" w:sz="0" w:space="0" w:color="auto"/>
        <w:bottom w:val="none" w:sz="0" w:space="0" w:color="auto"/>
        <w:right w:val="none" w:sz="0" w:space="0" w:color="auto"/>
      </w:divBdr>
    </w:div>
    <w:div w:id="1000502597">
      <w:bodyDiv w:val="1"/>
      <w:marLeft w:val="0"/>
      <w:marRight w:val="0"/>
      <w:marTop w:val="0"/>
      <w:marBottom w:val="0"/>
      <w:divBdr>
        <w:top w:val="none" w:sz="0" w:space="0" w:color="auto"/>
        <w:left w:val="none" w:sz="0" w:space="0" w:color="auto"/>
        <w:bottom w:val="none" w:sz="0" w:space="0" w:color="auto"/>
        <w:right w:val="none" w:sz="0" w:space="0" w:color="auto"/>
      </w:divBdr>
      <w:divsChild>
        <w:div w:id="1367677315">
          <w:marLeft w:val="0"/>
          <w:marRight w:val="0"/>
          <w:marTop w:val="0"/>
          <w:marBottom w:val="0"/>
          <w:divBdr>
            <w:top w:val="none" w:sz="0" w:space="0" w:color="auto"/>
            <w:left w:val="none" w:sz="0" w:space="0" w:color="auto"/>
            <w:bottom w:val="none" w:sz="0" w:space="0" w:color="auto"/>
            <w:right w:val="none" w:sz="0" w:space="0" w:color="auto"/>
          </w:divBdr>
        </w:div>
      </w:divsChild>
    </w:div>
    <w:div w:id="1004356884">
      <w:bodyDiv w:val="1"/>
      <w:marLeft w:val="0"/>
      <w:marRight w:val="0"/>
      <w:marTop w:val="0"/>
      <w:marBottom w:val="0"/>
      <w:divBdr>
        <w:top w:val="none" w:sz="0" w:space="0" w:color="auto"/>
        <w:left w:val="none" w:sz="0" w:space="0" w:color="auto"/>
        <w:bottom w:val="none" w:sz="0" w:space="0" w:color="auto"/>
        <w:right w:val="none" w:sz="0" w:space="0" w:color="auto"/>
      </w:divBdr>
    </w:div>
    <w:div w:id="1084380841">
      <w:bodyDiv w:val="1"/>
      <w:marLeft w:val="0"/>
      <w:marRight w:val="0"/>
      <w:marTop w:val="0"/>
      <w:marBottom w:val="0"/>
      <w:divBdr>
        <w:top w:val="none" w:sz="0" w:space="0" w:color="auto"/>
        <w:left w:val="none" w:sz="0" w:space="0" w:color="auto"/>
        <w:bottom w:val="none" w:sz="0" w:space="0" w:color="auto"/>
        <w:right w:val="none" w:sz="0" w:space="0" w:color="auto"/>
      </w:divBdr>
    </w:div>
    <w:div w:id="1116751215">
      <w:bodyDiv w:val="1"/>
      <w:marLeft w:val="0"/>
      <w:marRight w:val="0"/>
      <w:marTop w:val="0"/>
      <w:marBottom w:val="0"/>
      <w:divBdr>
        <w:top w:val="none" w:sz="0" w:space="0" w:color="auto"/>
        <w:left w:val="none" w:sz="0" w:space="0" w:color="auto"/>
        <w:bottom w:val="none" w:sz="0" w:space="0" w:color="auto"/>
        <w:right w:val="none" w:sz="0" w:space="0" w:color="auto"/>
      </w:divBdr>
    </w:div>
    <w:div w:id="1132211435">
      <w:bodyDiv w:val="1"/>
      <w:marLeft w:val="0"/>
      <w:marRight w:val="0"/>
      <w:marTop w:val="0"/>
      <w:marBottom w:val="0"/>
      <w:divBdr>
        <w:top w:val="none" w:sz="0" w:space="0" w:color="auto"/>
        <w:left w:val="none" w:sz="0" w:space="0" w:color="auto"/>
        <w:bottom w:val="none" w:sz="0" w:space="0" w:color="auto"/>
        <w:right w:val="none" w:sz="0" w:space="0" w:color="auto"/>
      </w:divBdr>
    </w:div>
    <w:div w:id="1152595687">
      <w:bodyDiv w:val="1"/>
      <w:marLeft w:val="0"/>
      <w:marRight w:val="0"/>
      <w:marTop w:val="0"/>
      <w:marBottom w:val="0"/>
      <w:divBdr>
        <w:top w:val="none" w:sz="0" w:space="0" w:color="auto"/>
        <w:left w:val="none" w:sz="0" w:space="0" w:color="auto"/>
        <w:bottom w:val="none" w:sz="0" w:space="0" w:color="auto"/>
        <w:right w:val="none" w:sz="0" w:space="0" w:color="auto"/>
      </w:divBdr>
    </w:div>
    <w:div w:id="1153721999">
      <w:bodyDiv w:val="1"/>
      <w:marLeft w:val="0"/>
      <w:marRight w:val="0"/>
      <w:marTop w:val="0"/>
      <w:marBottom w:val="0"/>
      <w:divBdr>
        <w:top w:val="none" w:sz="0" w:space="0" w:color="auto"/>
        <w:left w:val="none" w:sz="0" w:space="0" w:color="auto"/>
        <w:bottom w:val="none" w:sz="0" w:space="0" w:color="auto"/>
        <w:right w:val="none" w:sz="0" w:space="0" w:color="auto"/>
      </w:divBdr>
    </w:div>
    <w:div w:id="1160468582">
      <w:bodyDiv w:val="1"/>
      <w:marLeft w:val="0"/>
      <w:marRight w:val="0"/>
      <w:marTop w:val="0"/>
      <w:marBottom w:val="0"/>
      <w:divBdr>
        <w:top w:val="none" w:sz="0" w:space="0" w:color="auto"/>
        <w:left w:val="none" w:sz="0" w:space="0" w:color="auto"/>
        <w:bottom w:val="none" w:sz="0" w:space="0" w:color="auto"/>
        <w:right w:val="none" w:sz="0" w:space="0" w:color="auto"/>
      </w:divBdr>
    </w:div>
    <w:div w:id="1215462436">
      <w:bodyDiv w:val="1"/>
      <w:marLeft w:val="0"/>
      <w:marRight w:val="0"/>
      <w:marTop w:val="0"/>
      <w:marBottom w:val="0"/>
      <w:divBdr>
        <w:top w:val="none" w:sz="0" w:space="0" w:color="auto"/>
        <w:left w:val="none" w:sz="0" w:space="0" w:color="auto"/>
        <w:bottom w:val="none" w:sz="0" w:space="0" w:color="auto"/>
        <w:right w:val="none" w:sz="0" w:space="0" w:color="auto"/>
      </w:divBdr>
    </w:div>
    <w:div w:id="1224829577">
      <w:bodyDiv w:val="1"/>
      <w:marLeft w:val="0"/>
      <w:marRight w:val="0"/>
      <w:marTop w:val="0"/>
      <w:marBottom w:val="0"/>
      <w:divBdr>
        <w:top w:val="none" w:sz="0" w:space="0" w:color="auto"/>
        <w:left w:val="none" w:sz="0" w:space="0" w:color="auto"/>
        <w:bottom w:val="none" w:sz="0" w:space="0" w:color="auto"/>
        <w:right w:val="none" w:sz="0" w:space="0" w:color="auto"/>
      </w:divBdr>
    </w:div>
    <w:div w:id="1231649644">
      <w:bodyDiv w:val="1"/>
      <w:marLeft w:val="0"/>
      <w:marRight w:val="0"/>
      <w:marTop w:val="0"/>
      <w:marBottom w:val="0"/>
      <w:divBdr>
        <w:top w:val="none" w:sz="0" w:space="0" w:color="auto"/>
        <w:left w:val="none" w:sz="0" w:space="0" w:color="auto"/>
        <w:bottom w:val="none" w:sz="0" w:space="0" w:color="auto"/>
        <w:right w:val="none" w:sz="0" w:space="0" w:color="auto"/>
      </w:divBdr>
    </w:div>
    <w:div w:id="1233731342">
      <w:bodyDiv w:val="1"/>
      <w:marLeft w:val="0"/>
      <w:marRight w:val="0"/>
      <w:marTop w:val="0"/>
      <w:marBottom w:val="0"/>
      <w:divBdr>
        <w:top w:val="none" w:sz="0" w:space="0" w:color="auto"/>
        <w:left w:val="none" w:sz="0" w:space="0" w:color="auto"/>
        <w:bottom w:val="none" w:sz="0" w:space="0" w:color="auto"/>
        <w:right w:val="none" w:sz="0" w:space="0" w:color="auto"/>
      </w:divBdr>
    </w:div>
    <w:div w:id="1252354921">
      <w:bodyDiv w:val="1"/>
      <w:marLeft w:val="0"/>
      <w:marRight w:val="0"/>
      <w:marTop w:val="0"/>
      <w:marBottom w:val="0"/>
      <w:divBdr>
        <w:top w:val="none" w:sz="0" w:space="0" w:color="auto"/>
        <w:left w:val="none" w:sz="0" w:space="0" w:color="auto"/>
        <w:bottom w:val="none" w:sz="0" w:space="0" w:color="auto"/>
        <w:right w:val="none" w:sz="0" w:space="0" w:color="auto"/>
      </w:divBdr>
    </w:div>
    <w:div w:id="1289117985">
      <w:bodyDiv w:val="1"/>
      <w:marLeft w:val="0"/>
      <w:marRight w:val="0"/>
      <w:marTop w:val="0"/>
      <w:marBottom w:val="0"/>
      <w:divBdr>
        <w:top w:val="none" w:sz="0" w:space="0" w:color="auto"/>
        <w:left w:val="none" w:sz="0" w:space="0" w:color="auto"/>
        <w:bottom w:val="none" w:sz="0" w:space="0" w:color="auto"/>
        <w:right w:val="none" w:sz="0" w:space="0" w:color="auto"/>
      </w:divBdr>
    </w:div>
    <w:div w:id="1315067747">
      <w:bodyDiv w:val="1"/>
      <w:marLeft w:val="0"/>
      <w:marRight w:val="0"/>
      <w:marTop w:val="0"/>
      <w:marBottom w:val="0"/>
      <w:divBdr>
        <w:top w:val="none" w:sz="0" w:space="0" w:color="auto"/>
        <w:left w:val="none" w:sz="0" w:space="0" w:color="auto"/>
        <w:bottom w:val="none" w:sz="0" w:space="0" w:color="auto"/>
        <w:right w:val="none" w:sz="0" w:space="0" w:color="auto"/>
      </w:divBdr>
    </w:div>
    <w:div w:id="1379284464">
      <w:bodyDiv w:val="1"/>
      <w:marLeft w:val="0"/>
      <w:marRight w:val="0"/>
      <w:marTop w:val="0"/>
      <w:marBottom w:val="0"/>
      <w:divBdr>
        <w:top w:val="none" w:sz="0" w:space="0" w:color="auto"/>
        <w:left w:val="none" w:sz="0" w:space="0" w:color="auto"/>
        <w:bottom w:val="none" w:sz="0" w:space="0" w:color="auto"/>
        <w:right w:val="none" w:sz="0" w:space="0" w:color="auto"/>
      </w:divBdr>
    </w:div>
    <w:div w:id="1395928889">
      <w:bodyDiv w:val="1"/>
      <w:marLeft w:val="0"/>
      <w:marRight w:val="0"/>
      <w:marTop w:val="0"/>
      <w:marBottom w:val="0"/>
      <w:divBdr>
        <w:top w:val="none" w:sz="0" w:space="0" w:color="auto"/>
        <w:left w:val="none" w:sz="0" w:space="0" w:color="auto"/>
        <w:bottom w:val="none" w:sz="0" w:space="0" w:color="auto"/>
        <w:right w:val="none" w:sz="0" w:space="0" w:color="auto"/>
      </w:divBdr>
    </w:div>
    <w:div w:id="1412920904">
      <w:bodyDiv w:val="1"/>
      <w:marLeft w:val="0"/>
      <w:marRight w:val="0"/>
      <w:marTop w:val="0"/>
      <w:marBottom w:val="0"/>
      <w:divBdr>
        <w:top w:val="none" w:sz="0" w:space="0" w:color="auto"/>
        <w:left w:val="none" w:sz="0" w:space="0" w:color="auto"/>
        <w:bottom w:val="none" w:sz="0" w:space="0" w:color="auto"/>
        <w:right w:val="none" w:sz="0" w:space="0" w:color="auto"/>
      </w:divBdr>
    </w:div>
    <w:div w:id="1431511106">
      <w:bodyDiv w:val="1"/>
      <w:marLeft w:val="0"/>
      <w:marRight w:val="0"/>
      <w:marTop w:val="0"/>
      <w:marBottom w:val="0"/>
      <w:divBdr>
        <w:top w:val="none" w:sz="0" w:space="0" w:color="auto"/>
        <w:left w:val="none" w:sz="0" w:space="0" w:color="auto"/>
        <w:bottom w:val="none" w:sz="0" w:space="0" w:color="auto"/>
        <w:right w:val="none" w:sz="0" w:space="0" w:color="auto"/>
      </w:divBdr>
    </w:div>
    <w:div w:id="1452624650">
      <w:bodyDiv w:val="1"/>
      <w:marLeft w:val="0"/>
      <w:marRight w:val="0"/>
      <w:marTop w:val="0"/>
      <w:marBottom w:val="0"/>
      <w:divBdr>
        <w:top w:val="none" w:sz="0" w:space="0" w:color="auto"/>
        <w:left w:val="none" w:sz="0" w:space="0" w:color="auto"/>
        <w:bottom w:val="none" w:sz="0" w:space="0" w:color="auto"/>
        <w:right w:val="none" w:sz="0" w:space="0" w:color="auto"/>
      </w:divBdr>
    </w:div>
    <w:div w:id="1472794976">
      <w:bodyDiv w:val="1"/>
      <w:marLeft w:val="0"/>
      <w:marRight w:val="0"/>
      <w:marTop w:val="0"/>
      <w:marBottom w:val="0"/>
      <w:divBdr>
        <w:top w:val="none" w:sz="0" w:space="0" w:color="auto"/>
        <w:left w:val="none" w:sz="0" w:space="0" w:color="auto"/>
        <w:bottom w:val="none" w:sz="0" w:space="0" w:color="auto"/>
        <w:right w:val="none" w:sz="0" w:space="0" w:color="auto"/>
      </w:divBdr>
    </w:div>
    <w:div w:id="1486315947">
      <w:bodyDiv w:val="1"/>
      <w:marLeft w:val="0"/>
      <w:marRight w:val="0"/>
      <w:marTop w:val="0"/>
      <w:marBottom w:val="0"/>
      <w:divBdr>
        <w:top w:val="none" w:sz="0" w:space="0" w:color="auto"/>
        <w:left w:val="none" w:sz="0" w:space="0" w:color="auto"/>
        <w:bottom w:val="none" w:sz="0" w:space="0" w:color="auto"/>
        <w:right w:val="none" w:sz="0" w:space="0" w:color="auto"/>
      </w:divBdr>
    </w:div>
    <w:div w:id="1487014659">
      <w:bodyDiv w:val="1"/>
      <w:marLeft w:val="0"/>
      <w:marRight w:val="0"/>
      <w:marTop w:val="0"/>
      <w:marBottom w:val="0"/>
      <w:divBdr>
        <w:top w:val="none" w:sz="0" w:space="0" w:color="auto"/>
        <w:left w:val="none" w:sz="0" w:space="0" w:color="auto"/>
        <w:bottom w:val="none" w:sz="0" w:space="0" w:color="auto"/>
        <w:right w:val="none" w:sz="0" w:space="0" w:color="auto"/>
      </w:divBdr>
    </w:div>
    <w:div w:id="1501391554">
      <w:bodyDiv w:val="1"/>
      <w:marLeft w:val="0"/>
      <w:marRight w:val="0"/>
      <w:marTop w:val="0"/>
      <w:marBottom w:val="0"/>
      <w:divBdr>
        <w:top w:val="none" w:sz="0" w:space="0" w:color="auto"/>
        <w:left w:val="none" w:sz="0" w:space="0" w:color="auto"/>
        <w:bottom w:val="none" w:sz="0" w:space="0" w:color="auto"/>
        <w:right w:val="none" w:sz="0" w:space="0" w:color="auto"/>
      </w:divBdr>
    </w:div>
    <w:div w:id="1502350121">
      <w:bodyDiv w:val="1"/>
      <w:marLeft w:val="0"/>
      <w:marRight w:val="0"/>
      <w:marTop w:val="0"/>
      <w:marBottom w:val="0"/>
      <w:divBdr>
        <w:top w:val="none" w:sz="0" w:space="0" w:color="auto"/>
        <w:left w:val="none" w:sz="0" w:space="0" w:color="auto"/>
        <w:bottom w:val="none" w:sz="0" w:space="0" w:color="auto"/>
        <w:right w:val="none" w:sz="0" w:space="0" w:color="auto"/>
      </w:divBdr>
    </w:div>
    <w:div w:id="1522546914">
      <w:bodyDiv w:val="1"/>
      <w:marLeft w:val="0"/>
      <w:marRight w:val="0"/>
      <w:marTop w:val="0"/>
      <w:marBottom w:val="0"/>
      <w:divBdr>
        <w:top w:val="none" w:sz="0" w:space="0" w:color="auto"/>
        <w:left w:val="none" w:sz="0" w:space="0" w:color="auto"/>
        <w:bottom w:val="none" w:sz="0" w:space="0" w:color="auto"/>
        <w:right w:val="none" w:sz="0" w:space="0" w:color="auto"/>
      </w:divBdr>
    </w:div>
    <w:div w:id="1542400548">
      <w:bodyDiv w:val="1"/>
      <w:marLeft w:val="0"/>
      <w:marRight w:val="0"/>
      <w:marTop w:val="0"/>
      <w:marBottom w:val="0"/>
      <w:divBdr>
        <w:top w:val="none" w:sz="0" w:space="0" w:color="auto"/>
        <w:left w:val="none" w:sz="0" w:space="0" w:color="auto"/>
        <w:bottom w:val="none" w:sz="0" w:space="0" w:color="auto"/>
        <w:right w:val="none" w:sz="0" w:space="0" w:color="auto"/>
      </w:divBdr>
    </w:div>
    <w:div w:id="1545874375">
      <w:bodyDiv w:val="1"/>
      <w:marLeft w:val="0"/>
      <w:marRight w:val="0"/>
      <w:marTop w:val="0"/>
      <w:marBottom w:val="0"/>
      <w:divBdr>
        <w:top w:val="none" w:sz="0" w:space="0" w:color="auto"/>
        <w:left w:val="none" w:sz="0" w:space="0" w:color="auto"/>
        <w:bottom w:val="none" w:sz="0" w:space="0" w:color="auto"/>
        <w:right w:val="none" w:sz="0" w:space="0" w:color="auto"/>
      </w:divBdr>
    </w:div>
    <w:div w:id="1550262397">
      <w:bodyDiv w:val="1"/>
      <w:marLeft w:val="0"/>
      <w:marRight w:val="0"/>
      <w:marTop w:val="0"/>
      <w:marBottom w:val="0"/>
      <w:divBdr>
        <w:top w:val="none" w:sz="0" w:space="0" w:color="auto"/>
        <w:left w:val="none" w:sz="0" w:space="0" w:color="auto"/>
        <w:bottom w:val="none" w:sz="0" w:space="0" w:color="auto"/>
        <w:right w:val="none" w:sz="0" w:space="0" w:color="auto"/>
      </w:divBdr>
    </w:div>
    <w:div w:id="1550416992">
      <w:bodyDiv w:val="1"/>
      <w:marLeft w:val="0"/>
      <w:marRight w:val="0"/>
      <w:marTop w:val="0"/>
      <w:marBottom w:val="0"/>
      <w:divBdr>
        <w:top w:val="none" w:sz="0" w:space="0" w:color="auto"/>
        <w:left w:val="none" w:sz="0" w:space="0" w:color="auto"/>
        <w:bottom w:val="none" w:sz="0" w:space="0" w:color="auto"/>
        <w:right w:val="none" w:sz="0" w:space="0" w:color="auto"/>
      </w:divBdr>
    </w:div>
    <w:div w:id="1560242166">
      <w:bodyDiv w:val="1"/>
      <w:marLeft w:val="0"/>
      <w:marRight w:val="0"/>
      <w:marTop w:val="0"/>
      <w:marBottom w:val="0"/>
      <w:divBdr>
        <w:top w:val="none" w:sz="0" w:space="0" w:color="auto"/>
        <w:left w:val="none" w:sz="0" w:space="0" w:color="auto"/>
        <w:bottom w:val="none" w:sz="0" w:space="0" w:color="auto"/>
        <w:right w:val="none" w:sz="0" w:space="0" w:color="auto"/>
      </w:divBdr>
    </w:div>
    <w:div w:id="1563326848">
      <w:bodyDiv w:val="1"/>
      <w:marLeft w:val="0"/>
      <w:marRight w:val="0"/>
      <w:marTop w:val="0"/>
      <w:marBottom w:val="0"/>
      <w:divBdr>
        <w:top w:val="none" w:sz="0" w:space="0" w:color="auto"/>
        <w:left w:val="none" w:sz="0" w:space="0" w:color="auto"/>
        <w:bottom w:val="none" w:sz="0" w:space="0" w:color="auto"/>
        <w:right w:val="none" w:sz="0" w:space="0" w:color="auto"/>
      </w:divBdr>
    </w:div>
    <w:div w:id="1570574154">
      <w:bodyDiv w:val="1"/>
      <w:marLeft w:val="0"/>
      <w:marRight w:val="0"/>
      <w:marTop w:val="0"/>
      <w:marBottom w:val="0"/>
      <w:divBdr>
        <w:top w:val="none" w:sz="0" w:space="0" w:color="auto"/>
        <w:left w:val="none" w:sz="0" w:space="0" w:color="auto"/>
        <w:bottom w:val="none" w:sz="0" w:space="0" w:color="auto"/>
        <w:right w:val="none" w:sz="0" w:space="0" w:color="auto"/>
      </w:divBdr>
    </w:div>
    <w:div w:id="1613439794">
      <w:bodyDiv w:val="1"/>
      <w:marLeft w:val="0"/>
      <w:marRight w:val="0"/>
      <w:marTop w:val="0"/>
      <w:marBottom w:val="0"/>
      <w:divBdr>
        <w:top w:val="none" w:sz="0" w:space="0" w:color="auto"/>
        <w:left w:val="none" w:sz="0" w:space="0" w:color="auto"/>
        <w:bottom w:val="none" w:sz="0" w:space="0" w:color="auto"/>
        <w:right w:val="none" w:sz="0" w:space="0" w:color="auto"/>
      </w:divBdr>
    </w:div>
    <w:div w:id="1631935283">
      <w:bodyDiv w:val="1"/>
      <w:marLeft w:val="0"/>
      <w:marRight w:val="0"/>
      <w:marTop w:val="0"/>
      <w:marBottom w:val="0"/>
      <w:divBdr>
        <w:top w:val="none" w:sz="0" w:space="0" w:color="auto"/>
        <w:left w:val="none" w:sz="0" w:space="0" w:color="auto"/>
        <w:bottom w:val="none" w:sz="0" w:space="0" w:color="auto"/>
        <w:right w:val="none" w:sz="0" w:space="0" w:color="auto"/>
      </w:divBdr>
    </w:div>
    <w:div w:id="1657225855">
      <w:bodyDiv w:val="1"/>
      <w:marLeft w:val="0"/>
      <w:marRight w:val="0"/>
      <w:marTop w:val="0"/>
      <w:marBottom w:val="0"/>
      <w:divBdr>
        <w:top w:val="none" w:sz="0" w:space="0" w:color="auto"/>
        <w:left w:val="none" w:sz="0" w:space="0" w:color="auto"/>
        <w:bottom w:val="none" w:sz="0" w:space="0" w:color="auto"/>
        <w:right w:val="none" w:sz="0" w:space="0" w:color="auto"/>
      </w:divBdr>
    </w:div>
    <w:div w:id="1661159317">
      <w:bodyDiv w:val="1"/>
      <w:marLeft w:val="0"/>
      <w:marRight w:val="0"/>
      <w:marTop w:val="0"/>
      <w:marBottom w:val="0"/>
      <w:divBdr>
        <w:top w:val="none" w:sz="0" w:space="0" w:color="auto"/>
        <w:left w:val="none" w:sz="0" w:space="0" w:color="auto"/>
        <w:bottom w:val="none" w:sz="0" w:space="0" w:color="auto"/>
        <w:right w:val="none" w:sz="0" w:space="0" w:color="auto"/>
      </w:divBdr>
    </w:div>
    <w:div w:id="1678801729">
      <w:bodyDiv w:val="1"/>
      <w:marLeft w:val="0"/>
      <w:marRight w:val="0"/>
      <w:marTop w:val="0"/>
      <w:marBottom w:val="0"/>
      <w:divBdr>
        <w:top w:val="none" w:sz="0" w:space="0" w:color="auto"/>
        <w:left w:val="none" w:sz="0" w:space="0" w:color="auto"/>
        <w:bottom w:val="none" w:sz="0" w:space="0" w:color="auto"/>
        <w:right w:val="none" w:sz="0" w:space="0" w:color="auto"/>
      </w:divBdr>
    </w:div>
    <w:div w:id="1737434965">
      <w:bodyDiv w:val="1"/>
      <w:marLeft w:val="0"/>
      <w:marRight w:val="0"/>
      <w:marTop w:val="0"/>
      <w:marBottom w:val="0"/>
      <w:divBdr>
        <w:top w:val="none" w:sz="0" w:space="0" w:color="auto"/>
        <w:left w:val="none" w:sz="0" w:space="0" w:color="auto"/>
        <w:bottom w:val="none" w:sz="0" w:space="0" w:color="auto"/>
        <w:right w:val="none" w:sz="0" w:space="0" w:color="auto"/>
      </w:divBdr>
    </w:div>
    <w:div w:id="1774088513">
      <w:bodyDiv w:val="1"/>
      <w:marLeft w:val="0"/>
      <w:marRight w:val="0"/>
      <w:marTop w:val="0"/>
      <w:marBottom w:val="0"/>
      <w:divBdr>
        <w:top w:val="none" w:sz="0" w:space="0" w:color="auto"/>
        <w:left w:val="none" w:sz="0" w:space="0" w:color="auto"/>
        <w:bottom w:val="none" w:sz="0" w:space="0" w:color="auto"/>
        <w:right w:val="none" w:sz="0" w:space="0" w:color="auto"/>
      </w:divBdr>
    </w:div>
    <w:div w:id="1774126947">
      <w:bodyDiv w:val="1"/>
      <w:marLeft w:val="0"/>
      <w:marRight w:val="0"/>
      <w:marTop w:val="0"/>
      <w:marBottom w:val="0"/>
      <w:divBdr>
        <w:top w:val="none" w:sz="0" w:space="0" w:color="auto"/>
        <w:left w:val="none" w:sz="0" w:space="0" w:color="auto"/>
        <w:bottom w:val="none" w:sz="0" w:space="0" w:color="auto"/>
        <w:right w:val="none" w:sz="0" w:space="0" w:color="auto"/>
      </w:divBdr>
    </w:div>
    <w:div w:id="1774545894">
      <w:bodyDiv w:val="1"/>
      <w:marLeft w:val="0"/>
      <w:marRight w:val="0"/>
      <w:marTop w:val="0"/>
      <w:marBottom w:val="0"/>
      <w:divBdr>
        <w:top w:val="none" w:sz="0" w:space="0" w:color="auto"/>
        <w:left w:val="none" w:sz="0" w:space="0" w:color="auto"/>
        <w:bottom w:val="none" w:sz="0" w:space="0" w:color="auto"/>
        <w:right w:val="none" w:sz="0" w:space="0" w:color="auto"/>
      </w:divBdr>
    </w:div>
    <w:div w:id="1794322126">
      <w:bodyDiv w:val="1"/>
      <w:marLeft w:val="0"/>
      <w:marRight w:val="0"/>
      <w:marTop w:val="0"/>
      <w:marBottom w:val="0"/>
      <w:divBdr>
        <w:top w:val="none" w:sz="0" w:space="0" w:color="auto"/>
        <w:left w:val="none" w:sz="0" w:space="0" w:color="auto"/>
        <w:bottom w:val="none" w:sz="0" w:space="0" w:color="auto"/>
        <w:right w:val="none" w:sz="0" w:space="0" w:color="auto"/>
      </w:divBdr>
    </w:div>
    <w:div w:id="1797482552">
      <w:bodyDiv w:val="1"/>
      <w:marLeft w:val="0"/>
      <w:marRight w:val="0"/>
      <w:marTop w:val="0"/>
      <w:marBottom w:val="0"/>
      <w:divBdr>
        <w:top w:val="none" w:sz="0" w:space="0" w:color="auto"/>
        <w:left w:val="none" w:sz="0" w:space="0" w:color="auto"/>
        <w:bottom w:val="none" w:sz="0" w:space="0" w:color="auto"/>
        <w:right w:val="none" w:sz="0" w:space="0" w:color="auto"/>
      </w:divBdr>
    </w:div>
    <w:div w:id="1837115831">
      <w:bodyDiv w:val="1"/>
      <w:marLeft w:val="0"/>
      <w:marRight w:val="0"/>
      <w:marTop w:val="0"/>
      <w:marBottom w:val="0"/>
      <w:divBdr>
        <w:top w:val="none" w:sz="0" w:space="0" w:color="auto"/>
        <w:left w:val="none" w:sz="0" w:space="0" w:color="auto"/>
        <w:bottom w:val="none" w:sz="0" w:space="0" w:color="auto"/>
        <w:right w:val="none" w:sz="0" w:space="0" w:color="auto"/>
      </w:divBdr>
    </w:div>
    <w:div w:id="1838300768">
      <w:bodyDiv w:val="1"/>
      <w:marLeft w:val="0"/>
      <w:marRight w:val="0"/>
      <w:marTop w:val="0"/>
      <w:marBottom w:val="0"/>
      <w:divBdr>
        <w:top w:val="none" w:sz="0" w:space="0" w:color="auto"/>
        <w:left w:val="none" w:sz="0" w:space="0" w:color="auto"/>
        <w:bottom w:val="none" w:sz="0" w:space="0" w:color="auto"/>
        <w:right w:val="none" w:sz="0" w:space="0" w:color="auto"/>
      </w:divBdr>
    </w:div>
    <w:div w:id="1854566027">
      <w:bodyDiv w:val="1"/>
      <w:marLeft w:val="0"/>
      <w:marRight w:val="0"/>
      <w:marTop w:val="0"/>
      <w:marBottom w:val="0"/>
      <w:divBdr>
        <w:top w:val="none" w:sz="0" w:space="0" w:color="auto"/>
        <w:left w:val="none" w:sz="0" w:space="0" w:color="auto"/>
        <w:bottom w:val="none" w:sz="0" w:space="0" w:color="auto"/>
        <w:right w:val="none" w:sz="0" w:space="0" w:color="auto"/>
      </w:divBdr>
    </w:div>
    <w:div w:id="1871140441">
      <w:bodyDiv w:val="1"/>
      <w:marLeft w:val="0"/>
      <w:marRight w:val="0"/>
      <w:marTop w:val="0"/>
      <w:marBottom w:val="0"/>
      <w:divBdr>
        <w:top w:val="none" w:sz="0" w:space="0" w:color="auto"/>
        <w:left w:val="none" w:sz="0" w:space="0" w:color="auto"/>
        <w:bottom w:val="none" w:sz="0" w:space="0" w:color="auto"/>
        <w:right w:val="none" w:sz="0" w:space="0" w:color="auto"/>
      </w:divBdr>
    </w:div>
    <w:div w:id="1921913223">
      <w:bodyDiv w:val="1"/>
      <w:marLeft w:val="0"/>
      <w:marRight w:val="0"/>
      <w:marTop w:val="0"/>
      <w:marBottom w:val="0"/>
      <w:divBdr>
        <w:top w:val="none" w:sz="0" w:space="0" w:color="auto"/>
        <w:left w:val="none" w:sz="0" w:space="0" w:color="auto"/>
        <w:bottom w:val="none" w:sz="0" w:space="0" w:color="auto"/>
        <w:right w:val="none" w:sz="0" w:space="0" w:color="auto"/>
      </w:divBdr>
      <w:divsChild>
        <w:div w:id="286863570">
          <w:marLeft w:val="0"/>
          <w:marRight w:val="0"/>
          <w:marTop w:val="0"/>
          <w:marBottom w:val="0"/>
          <w:divBdr>
            <w:top w:val="none" w:sz="0" w:space="0" w:color="auto"/>
            <w:left w:val="none" w:sz="0" w:space="0" w:color="auto"/>
            <w:bottom w:val="none" w:sz="0" w:space="0" w:color="auto"/>
            <w:right w:val="none" w:sz="0" w:space="0" w:color="auto"/>
          </w:divBdr>
        </w:div>
      </w:divsChild>
    </w:div>
    <w:div w:id="1937395802">
      <w:bodyDiv w:val="1"/>
      <w:marLeft w:val="0"/>
      <w:marRight w:val="0"/>
      <w:marTop w:val="0"/>
      <w:marBottom w:val="0"/>
      <w:divBdr>
        <w:top w:val="none" w:sz="0" w:space="0" w:color="auto"/>
        <w:left w:val="none" w:sz="0" w:space="0" w:color="auto"/>
        <w:bottom w:val="none" w:sz="0" w:space="0" w:color="auto"/>
        <w:right w:val="none" w:sz="0" w:space="0" w:color="auto"/>
      </w:divBdr>
    </w:div>
    <w:div w:id="1993220221">
      <w:bodyDiv w:val="1"/>
      <w:marLeft w:val="0"/>
      <w:marRight w:val="0"/>
      <w:marTop w:val="0"/>
      <w:marBottom w:val="0"/>
      <w:divBdr>
        <w:top w:val="none" w:sz="0" w:space="0" w:color="auto"/>
        <w:left w:val="none" w:sz="0" w:space="0" w:color="auto"/>
        <w:bottom w:val="none" w:sz="0" w:space="0" w:color="auto"/>
        <w:right w:val="none" w:sz="0" w:space="0" w:color="auto"/>
      </w:divBdr>
    </w:div>
    <w:div w:id="2012441783">
      <w:bodyDiv w:val="1"/>
      <w:marLeft w:val="0"/>
      <w:marRight w:val="0"/>
      <w:marTop w:val="0"/>
      <w:marBottom w:val="0"/>
      <w:divBdr>
        <w:top w:val="none" w:sz="0" w:space="0" w:color="auto"/>
        <w:left w:val="none" w:sz="0" w:space="0" w:color="auto"/>
        <w:bottom w:val="none" w:sz="0" w:space="0" w:color="auto"/>
        <w:right w:val="none" w:sz="0" w:space="0" w:color="auto"/>
      </w:divBdr>
    </w:div>
    <w:div w:id="2030830516">
      <w:bodyDiv w:val="1"/>
      <w:marLeft w:val="0"/>
      <w:marRight w:val="0"/>
      <w:marTop w:val="0"/>
      <w:marBottom w:val="0"/>
      <w:divBdr>
        <w:top w:val="none" w:sz="0" w:space="0" w:color="auto"/>
        <w:left w:val="none" w:sz="0" w:space="0" w:color="auto"/>
        <w:bottom w:val="none" w:sz="0" w:space="0" w:color="auto"/>
        <w:right w:val="none" w:sz="0" w:space="0" w:color="auto"/>
      </w:divBdr>
    </w:div>
    <w:div w:id="2040233423">
      <w:bodyDiv w:val="1"/>
      <w:marLeft w:val="0"/>
      <w:marRight w:val="0"/>
      <w:marTop w:val="0"/>
      <w:marBottom w:val="0"/>
      <w:divBdr>
        <w:top w:val="none" w:sz="0" w:space="0" w:color="auto"/>
        <w:left w:val="none" w:sz="0" w:space="0" w:color="auto"/>
        <w:bottom w:val="none" w:sz="0" w:space="0" w:color="auto"/>
        <w:right w:val="none" w:sz="0" w:space="0" w:color="auto"/>
      </w:divBdr>
      <w:divsChild>
        <w:div w:id="2118525401">
          <w:marLeft w:val="0"/>
          <w:marRight w:val="0"/>
          <w:marTop w:val="0"/>
          <w:marBottom w:val="0"/>
          <w:divBdr>
            <w:top w:val="none" w:sz="0" w:space="0" w:color="auto"/>
            <w:left w:val="none" w:sz="0" w:space="0" w:color="auto"/>
            <w:bottom w:val="none" w:sz="0" w:space="0" w:color="auto"/>
            <w:right w:val="none" w:sz="0" w:space="0" w:color="auto"/>
          </w:divBdr>
        </w:div>
        <w:div w:id="247229222">
          <w:marLeft w:val="0"/>
          <w:marRight w:val="0"/>
          <w:marTop w:val="0"/>
          <w:marBottom w:val="0"/>
          <w:divBdr>
            <w:top w:val="none" w:sz="0" w:space="0" w:color="auto"/>
            <w:left w:val="none" w:sz="0" w:space="0" w:color="auto"/>
            <w:bottom w:val="none" w:sz="0" w:space="0" w:color="auto"/>
            <w:right w:val="none" w:sz="0" w:space="0" w:color="auto"/>
          </w:divBdr>
        </w:div>
        <w:div w:id="766000262">
          <w:marLeft w:val="0"/>
          <w:marRight w:val="0"/>
          <w:marTop w:val="0"/>
          <w:marBottom w:val="0"/>
          <w:divBdr>
            <w:top w:val="none" w:sz="0" w:space="0" w:color="auto"/>
            <w:left w:val="none" w:sz="0" w:space="0" w:color="auto"/>
            <w:bottom w:val="none" w:sz="0" w:space="0" w:color="auto"/>
            <w:right w:val="none" w:sz="0" w:space="0" w:color="auto"/>
          </w:divBdr>
        </w:div>
      </w:divsChild>
    </w:div>
    <w:div w:id="2052536013">
      <w:bodyDiv w:val="1"/>
      <w:marLeft w:val="0"/>
      <w:marRight w:val="0"/>
      <w:marTop w:val="0"/>
      <w:marBottom w:val="0"/>
      <w:divBdr>
        <w:top w:val="none" w:sz="0" w:space="0" w:color="auto"/>
        <w:left w:val="none" w:sz="0" w:space="0" w:color="auto"/>
        <w:bottom w:val="none" w:sz="0" w:space="0" w:color="auto"/>
        <w:right w:val="none" w:sz="0" w:space="0" w:color="auto"/>
      </w:divBdr>
    </w:div>
    <w:div w:id="2098211410">
      <w:bodyDiv w:val="1"/>
      <w:marLeft w:val="0"/>
      <w:marRight w:val="0"/>
      <w:marTop w:val="0"/>
      <w:marBottom w:val="0"/>
      <w:divBdr>
        <w:top w:val="none" w:sz="0" w:space="0" w:color="auto"/>
        <w:left w:val="none" w:sz="0" w:space="0" w:color="auto"/>
        <w:bottom w:val="none" w:sz="0" w:space="0" w:color="auto"/>
        <w:right w:val="none" w:sz="0" w:space="0" w:color="auto"/>
      </w:divBdr>
    </w:div>
    <w:div w:id="2121677376">
      <w:bodyDiv w:val="1"/>
      <w:marLeft w:val="0"/>
      <w:marRight w:val="0"/>
      <w:marTop w:val="0"/>
      <w:marBottom w:val="0"/>
      <w:divBdr>
        <w:top w:val="none" w:sz="0" w:space="0" w:color="auto"/>
        <w:left w:val="none" w:sz="0" w:space="0" w:color="auto"/>
        <w:bottom w:val="none" w:sz="0" w:space="0" w:color="auto"/>
        <w:right w:val="none" w:sz="0" w:space="0" w:color="auto"/>
      </w:divBdr>
    </w:div>
    <w:div w:id="2145148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nnerdrive.co.uk/blog/guide-to-cold-call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era.ac.uk/publication/ethical-guidelines-for-educational-research-2018"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1621</TotalTime>
  <Pages>18</Pages>
  <Words>5552</Words>
  <Characters>31927</Characters>
  <Application>Microsoft Office Word</Application>
  <DocSecurity>0</DocSecurity>
  <Lines>967</Lines>
  <Paragraphs>277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37202</CharactersWithSpaces>
  <SharedDoc>false</SharedDoc>
  <HLinks>
    <vt:vector size="6" baseType="variant">
      <vt:variant>
        <vt:i4>3538984</vt:i4>
      </vt:variant>
      <vt:variant>
        <vt:i4>0</vt:i4>
      </vt:variant>
      <vt:variant>
        <vt:i4>0</vt:i4>
      </vt:variant>
      <vt:variant>
        <vt:i4>5</vt:i4>
      </vt:variant>
      <vt:variant>
        <vt:lpwstr>https://www.bera.ac.uk/publication/ethical-guidelines-for-educational-research-2018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Payne (2205934)</dc:creator>
  <cp:keywords/>
  <dc:description/>
  <cp:lastModifiedBy>Courtney Payne (2205934)</cp:lastModifiedBy>
  <cp:revision>1054</cp:revision>
  <dcterms:created xsi:type="dcterms:W3CDTF">2024-03-26T16:49:00Z</dcterms:created>
  <dcterms:modified xsi:type="dcterms:W3CDTF">2024-05-06T10:22:00Z</dcterms:modified>
</cp:coreProperties>
</file>