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pptx" ContentType="application/vnd.openxmlformats-officedocument.presentationml.presentation"/>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439C" w:rsidRDefault="006A439C" w:rsidP="006A439C">
      <w:pPr>
        <w:spacing w:after="0"/>
      </w:pPr>
      <w:r>
        <w:t>AI acknowledgement Statement:</w:t>
      </w:r>
    </w:p>
    <w:p w:rsidR="006A439C" w:rsidRDefault="006A439C" w:rsidP="006A439C">
      <w:pPr>
        <w:spacing w:after="0"/>
      </w:pPr>
      <w:r>
        <w:t>I confirm that I have not presented any AI generated text as my own work. I confirm I have copies of my drafts, notes, and other resources I used before, and after the use of AI tools which I may be asked to provide in evidence.</w:t>
      </w:r>
    </w:p>
    <w:p w:rsidR="009F5085" w:rsidRDefault="009F5085" w:rsidP="006A439C">
      <w:pPr>
        <w:spacing w:after="0"/>
      </w:pPr>
    </w:p>
    <w:p w:rsidR="009F5085" w:rsidRDefault="009F5085" w:rsidP="006A439C">
      <w:pPr>
        <w:spacing w:after="0"/>
      </w:pPr>
    </w:p>
    <w:p w:rsidR="009F5085" w:rsidRDefault="009F5085" w:rsidP="006A439C">
      <w:pPr>
        <w:spacing w:after="0"/>
      </w:pPr>
      <w:r>
        <w:rPr>
          <w:noProof/>
        </w:rPr>
        <w:drawing>
          <wp:inline distT="0" distB="0" distL="0" distR="0" wp14:anchorId="0484A589">
            <wp:extent cx="6139543" cy="22193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40086" cy="2219521"/>
                    </a:xfrm>
                    <a:prstGeom prst="rect">
                      <a:avLst/>
                    </a:prstGeom>
                    <a:noFill/>
                  </pic:spPr>
                </pic:pic>
              </a:graphicData>
            </a:graphic>
          </wp:inline>
        </w:drawing>
      </w:r>
    </w:p>
    <w:p w:rsidR="006A439C" w:rsidRDefault="006A439C" w:rsidP="006A439C">
      <w:pPr>
        <w:spacing w:after="0"/>
      </w:pPr>
    </w:p>
    <w:p w:rsidR="00491BAB" w:rsidRPr="006852FF" w:rsidRDefault="00491BAB" w:rsidP="00DE3F0A">
      <w:pPr>
        <w:spacing w:after="0"/>
        <w:rPr>
          <w:b/>
          <w:sz w:val="28"/>
        </w:rPr>
      </w:pPr>
      <w:r w:rsidRPr="006852FF">
        <w:rPr>
          <w:b/>
          <w:sz w:val="28"/>
        </w:rPr>
        <w:t>Business Name: Study Hub Café</w:t>
      </w:r>
    </w:p>
    <w:p w:rsidR="00491BAB" w:rsidRPr="006852FF" w:rsidRDefault="00491BAB" w:rsidP="00DE3F0A">
      <w:pPr>
        <w:spacing w:after="0"/>
        <w:rPr>
          <w:b/>
          <w:sz w:val="28"/>
        </w:rPr>
      </w:pPr>
      <w:r w:rsidRPr="006852FF">
        <w:rPr>
          <w:b/>
          <w:sz w:val="28"/>
        </w:rPr>
        <w:t>Location: Near University of Wales Trinity Saint David – Cardiff</w:t>
      </w:r>
    </w:p>
    <w:p w:rsidR="00132BDE" w:rsidRDefault="00491BAB" w:rsidP="00DE3F0A">
      <w:pPr>
        <w:spacing w:after="0"/>
        <w:rPr>
          <w:b/>
          <w:sz w:val="28"/>
        </w:rPr>
      </w:pPr>
      <w:r w:rsidRPr="006852FF">
        <w:rPr>
          <w:b/>
          <w:sz w:val="28"/>
        </w:rPr>
        <w:t>Target market: Undergraduate students</w:t>
      </w:r>
    </w:p>
    <w:p w:rsidR="00BA3927" w:rsidRDefault="00BA3927" w:rsidP="00DE3F0A">
      <w:pPr>
        <w:spacing w:after="0"/>
        <w:rPr>
          <w:b/>
          <w:sz w:val="28"/>
        </w:rPr>
      </w:pPr>
    </w:p>
    <w:p w:rsidR="00BA3927" w:rsidRPr="00327C04" w:rsidRDefault="00BA3927" w:rsidP="00DE3F0A">
      <w:pPr>
        <w:spacing w:after="0"/>
        <w:rPr>
          <w:b/>
          <w:sz w:val="36"/>
        </w:rPr>
      </w:pPr>
      <w:r w:rsidRPr="00327C04">
        <w:rPr>
          <w:b/>
          <w:sz w:val="36"/>
        </w:rPr>
        <w:t xml:space="preserve">                                                Task-1</w:t>
      </w:r>
    </w:p>
    <w:p w:rsidR="00132BDE" w:rsidRPr="009F5085" w:rsidRDefault="00132BDE" w:rsidP="00DE3F0A">
      <w:pPr>
        <w:spacing w:after="0"/>
        <w:rPr>
          <w:b/>
        </w:rPr>
      </w:pPr>
    </w:p>
    <w:p w:rsidR="00132BDE" w:rsidRPr="00BA3927" w:rsidRDefault="003B4F58" w:rsidP="00BA3927">
      <w:pPr>
        <w:pStyle w:val="ListParagraph"/>
        <w:numPr>
          <w:ilvl w:val="0"/>
          <w:numId w:val="37"/>
        </w:numPr>
        <w:spacing w:after="0"/>
        <w:rPr>
          <w:b/>
          <w:sz w:val="32"/>
        </w:rPr>
      </w:pPr>
      <w:r w:rsidRPr="00BA3927">
        <w:rPr>
          <w:b/>
          <w:sz w:val="32"/>
        </w:rPr>
        <w:t>Introduction:</w:t>
      </w:r>
    </w:p>
    <w:p w:rsidR="006852FF" w:rsidRDefault="006852FF" w:rsidP="006852FF">
      <w:pPr>
        <w:pStyle w:val="NormalWeb"/>
        <w:spacing w:after="0" w:afterAutospacing="0"/>
        <w:rPr>
          <w:color w:val="1F1F1F"/>
        </w:rPr>
      </w:pPr>
      <w:r>
        <w:rPr>
          <w:color w:val="1F1F1F"/>
        </w:rPr>
        <w:t>This report evaluates the feasibility of launching Study Hub Café, a student-focused facility near the University of Wales Trinity Saint David (UWTSD) Cardiff campus. The concept combines affordable refreshments with separate quiet and collaborative study zones tailored to university students.</w:t>
      </w:r>
    </w:p>
    <w:p w:rsidR="006852FF" w:rsidRDefault="006852FF" w:rsidP="006852FF">
      <w:pPr>
        <w:pStyle w:val="NormalWeb"/>
        <w:spacing w:after="0" w:afterAutospacing="0"/>
        <w:rPr>
          <w:color w:val="1F1F1F"/>
        </w:rPr>
      </w:pPr>
      <w:r>
        <w:rPr>
          <w:color w:val="1F1F1F"/>
        </w:rPr>
        <w:t xml:space="preserve">Primary research was conducted through a Google Forms questionnaire, generating 12 valid responses from local students. The objective was to </w:t>
      </w:r>
      <w:proofErr w:type="spellStart"/>
      <w:r>
        <w:rPr>
          <w:color w:val="1F1F1F"/>
        </w:rPr>
        <w:t>analyze</w:t>
      </w:r>
      <w:proofErr w:type="spellEnd"/>
      <w:r>
        <w:rPr>
          <w:color w:val="1F1F1F"/>
        </w:rPr>
        <w:t xml:space="preserve"> study </w:t>
      </w:r>
      <w:proofErr w:type="spellStart"/>
      <w:r>
        <w:rPr>
          <w:color w:val="1F1F1F"/>
        </w:rPr>
        <w:t>behaviors</w:t>
      </w:r>
      <w:proofErr w:type="spellEnd"/>
      <w:r>
        <w:rPr>
          <w:color w:val="1F1F1F"/>
        </w:rPr>
        <w:t>, identify environmental pain points in existing facilities, assess pricing elasticity, and determine optimal digital discovery channels.</w:t>
      </w:r>
    </w:p>
    <w:p w:rsidR="006852FF" w:rsidRDefault="006852FF" w:rsidP="006852FF">
      <w:pPr>
        <w:pStyle w:val="NormalWeb"/>
        <w:spacing w:after="0" w:afterAutospacing="0"/>
        <w:rPr>
          <w:color w:val="1F1F1F"/>
        </w:rPr>
      </w:pPr>
      <w:r>
        <w:rPr>
          <w:color w:val="1F1F1F"/>
        </w:rPr>
        <w:t xml:space="preserve">The findings shaped the business model, value propositions, pricing, website architecture, and search engine optimization (SEO) strategies. Secondary research from UK consumer analytics and digital </w:t>
      </w:r>
      <w:proofErr w:type="spellStart"/>
      <w:r>
        <w:rPr>
          <w:color w:val="1F1F1F"/>
        </w:rPr>
        <w:t>behavior</w:t>
      </w:r>
      <w:proofErr w:type="spellEnd"/>
      <w:r>
        <w:rPr>
          <w:color w:val="1F1F1F"/>
        </w:rPr>
        <w:t xml:space="preserve"> reports is integrated to substantiate these strategic decisions.</w:t>
      </w:r>
    </w:p>
    <w:p w:rsidR="006852FF" w:rsidRPr="00BA3927" w:rsidRDefault="006852FF" w:rsidP="006852FF">
      <w:pPr>
        <w:pStyle w:val="Heading1"/>
        <w:rPr>
          <w:b/>
          <w:color w:val="1F1F1F"/>
        </w:rPr>
      </w:pPr>
      <w:r w:rsidRPr="00BA3927">
        <w:rPr>
          <w:b/>
          <w:color w:val="1F1F1F"/>
        </w:rPr>
        <w:lastRenderedPageBreak/>
        <w:t>2. Target Market and Audience Segmentation</w:t>
      </w:r>
    </w:p>
    <w:p w:rsidR="006852FF" w:rsidRDefault="006852FF" w:rsidP="006852FF">
      <w:pPr>
        <w:pStyle w:val="NormalWeb"/>
        <w:spacing w:after="0" w:afterAutospacing="0"/>
        <w:rPr>
          <w:color w:val="1F1F1F"/>
        </w:rPr>
      </w:pPr>
      <w:r>
        <w:rPr>
          <w:color w:val="1F1F1F"/>
        </w:rPr>
        <w:t xml:space="preserve">Survey results indicate an active consumer demographic: 58.3% of respondents are Level 4 undergraduate students, 83.3% visit commercial cafés at least once per week, and 50% visit cafés three or more times weekly. This demonstrates strong </w:t>
      </w:r>
      <w:proofErr w:type="spellStart"/>
      <w:r>
        <w:rPr>
          <w:color w:val="1F1F1F"/>
        </w:rPr>
        <w:t>behavioral</w:t>
      </w:r>
      <w:proofErr w:type="spellEnd"/>
      <w:r>
        <w:rPr>
          <w:color w:val="1F1F1F"/>
        </w:rPr>
        <w:t xml:space="preserve"> alignment between student lifestyles and hospitality consumption.</w:t>
      </w:r>
    </w:p>
    <w:p w:rsidR="003436A2" w:rsidRDefault="003436A2" w:rsidP="006852FF">
      <w:pPr>
        <w:pStyle w:val="NormalWeb"/>
        <w:spacing w:after="0" w:afterAutospacing="0"/>
        <w:rPr>
          <w:color w:val="1F1F1F"/>
        </w:rPr>
      </w:pPr>
    </w:p>
    <w:p w:rsidR="006852FF" w:rsidRPr="003436A2" w:rsidRDefault="006852FF" w:rsidP="006852FF">
      <w:pPr>
        <w:pStyle w:val="Heading3"/>
        <w:rPr>
          <w:b/>
          <w:color w:val="1F1F1F"/>
        </w:rPr>
      </w:pPr>
      <w:r w:rsidRPr="003436A2">
        <w:rPr>
          <w:b/>
          <w:color w:val="1F1F1F"/>
        </w:rPr>
        <w:t>2.1 Demographic Segmentation</w:t>
      </w:r>
    </w:p>
    <w:p w:rsidR="006852FF" w:rsidRDefault="006852FF" w:rsidP="006852FF">
      <w:pPr>
        <w:pStyle w:val="NormalWeb"/>
        <w:spacing w:after="0" w:afterAutospacing="0"/>
        <w:rPr>
          <w:color w:val="1F1F1F"/>
        </w:rPr>
      </w:pPr>
      <w:r>
        <w:rPr>
          <w:color w:val="1F1F1F"/>
        </w:rPr>
        <w:t>The primary demographic consists of undergraduate students aged 18–23 living and studying in Cardiff. This segment is characterized by limited disposable income. Younger consumers are exceptionally price-sensitive due to structural cost-of-living pressures within the United Kingdom (Deloitte, 2023; PwC, 2023).</w:t>
      </w:r>
    </w:p>
    <w:p w:rsidR="003436A2" w:rsidRDefault="003436A2" w:rsidP="006852FF">
      <w:pPr>
        <w:pStyle w:val="NormalWeb"/>
        <w:spacing w:after="0" w:afterAutospacing="0"/>
        <w:rPr>
          <w:color w:val="1F1F1F"/>
        </w:rPr>
      </w:pPr>
    </w:p>
    <w:p w:rsidR="006852FF" w:rsidRPr="003436A2" w:rsidRDefault="006852FF" w:rsidP="006852FF">
      <w:pPr>
        <w:pStyle w:val="Heading3"/>
        <w:rPr>
          <w:b/>
          <w:color w:val="1F1F1F"/>
        </w:rPr>
      </w:pPr>
      <w:r w:rsidRPr="003436A2">
        <w:rPr>
          <w:b/>
          <w:color w:val="1F1F1F"/>
        </w:rPr>
        <w:t>2.2 Behavioral Segmentation</w:t>
      </w:r>
    </w:p>
    <w:p w:rsidR="006852FF" w:rsidRDefault="006852FF" w:rsidP="006852FF">
      <w:pPr>
        <w:pStyle w:val="NormalWeb"/>
        <w:spacing w:after="0" w:afterAutospacing="0"/>
        <w:rPr>
          <w:color w:val="1F1F1F"/>
        </w:rPr>
      </w:pPr>
      <w:proofErr w:type="spellStart"/>
      <w:r>
        <w:rPr>
          <w:color w:val="1F1F1F"/>
        </w:rPr>
        <w:t>Behaviorally</w:t>
      </w:r>
      <w:proofErr w:type="spellEnd"/>
      <w:r>
        <w:rPr>
          <w:color w:val="1F1F1F"/>
        </w:rPr>
        <w:t>, the target audience comprises frequent café visitors, campus-based independent learners, and digital-native consumers. The UK Office for National Statistics (2023) reports near-universal internet and smartphone usage among 16–24-year-olds, reinforcing the requirement to execute visible digital engagement strategies.</w:t>
      </w:r>
    </w:p>
    <w:p w:rsidR="003436A2" w:rsidRDefault="003436A2" w:rsidP="006852FF">
      <w:pPr>
        <w:pStyle w:val="NormalWeb"/>
        <w:spacing w:after="0" w:afterAutospacing="0"/>
        <w:rPr>
          <w:color w:val="1F1F1F"/>
        </w:rPr>
      </w:pPr>
    </w:p>
    <w:p w:rsidR="006852FF" w:rsidRPr="003436A2" w:rsidRDefault="006852FF" w:rsidP="006852FF">
      <w:pPr>
        <w:pStyle w:val="Heading3"/>
        <w:rPr>
          <w:b/>
          <w:color w:val="1F1F1F"/>
        </w:rPr>
      </w:pPr>
      <w:r w:rsidRPr="003436A2">
        <w:rPr>
          <w:b/>
          <w:color w:val="1F1F1F"/>
        </w:rPr>
        <w:t>2.3 Psychographic Segmentation</w:t>
      </w:r>
    </w:p>
    <w:p w:rsidR="006852FF" w:rsidRDefault="006852FF" w:rsidP="006852FF">
      <w:pPr>
        <w:pStyle w:val="NormalWeb"/>
        <w:spacing w:after="0" w:afterAutospacing="0"/>
        <w:rPr>
          <w:color w:val="1F1F1F"/>
        </w:rPr>
      </w:pPr>
      <w:proofErr w:type="spellStart"/>
      <w:r>
        <w:rPr>
          <w:color w:val="1F1F1F"/>
        </w:rPr>
        <w:t>Psychographically</w:t>
      </w:r>
      <w:proofErr w:type="spellEnd"/>
      <w:r>
        <w:rPr>
          <w:color w:val="1F1F1F"/>
        </w:rPr>
        <w:t>, this audience is productivity-oriented, academically focused, and value-driven. While market research indicates that Generation Z consumers prioritize affordability and functional utility (Statista, 2024), establishing academic depth requires evaluating how digital environments shape these interactions.</w:t>
      </w:r>
    </w:p>
    <w:p w:rsidR="006852FF" w:rsidRDefault="006852FF" w:rsidP="006852FF">
      <w:pPr>
        <w:pStyle w:val="NormalWeb"/>
        <w:spacing w:after="0" w:afterAutospacing="0"/>
        <w:rPr>
          <w:color w:val="1F1F1F"/>
        </w:rPr>
      </w:pPr>
      <w:proofErr w:type="spellStart"/>
      <w:r>
        <w:rPr>
          <w:color w:val="1F1F1F"/>
        </w:rPr>
        <w:t>Dadwal</w:t>
      </w:r>
      <w:proofErr w:type="spellEnd"/>
      <w:r>
        <w:rPr>
          <w:color w:val="1F1F1F"/>
        </w:rPr>
        <w:t xml:space="preserve"> (2020) establishes that contemporary 'connected consumers' seek collaborative, experiential ecosystems that seamlessly integrate with their digital workflows and fluid social identities. Consequently, the Study Hub Café value proposition targets a psychographic segment demanding functional productivity architecture combined with digitally optimized physical spaces.</w:t>
      </w:r>
    </w:p>
    <w:p w:rsidR="006852FF" w:rsidRPr="00BA3927" w:rsidRDefault="006852FF" w:rsidP="006852FF">
      <w:pPr>
        <w:pStyle w:val="Heading1"/>
        <w:rPr>
          <w:b/>
          <w:color w:val="1F1F1F"/>
        </w:rPr>
      </w:pPr>
      <w:r w:rsidRPr="00BA3927">
        <w:rPr>
          <w:b/>
          <w:color w:val="1F1F1F"/>
        </w:rPr>
        <w:t>3. Key Research Findings and Business Implications</w:t>
      </w:r>
    </w:p>
    <w:p w:rsidR="003436A2" w:rsidRDefault="003436A2" w:rsidP="006852FF">
      <w:pPr>
        <w:pStyle w:val="Heading3"/>
        <w:rPr>
          <w:color w:val="1F1F1F"/>
        </w:rPr>
      </w:pPr>
    </w:p>
    <w:p w:rsidR="006852FF" w:rsidRDefault="00327C04" w:rsidP="006852FF">
      <w:pPr>
        <w:pStyle w:val="Heading3"/>
        <w:rPr>
          <w:color w:val="1F1F1F"/>
        </w:rPr>
      </w:pPr>
      <w:r w:rsidRPr="00327C04">
        <w:rPr>
          <w:b/>
          <w:color w:val="1F1F1F"/>
        </w:rPr>
        <w:t>3.1</w:t>
      </w:r>
      <w:r>
        <w:rPr>
          <w:color w:val="1F1F1F"/>
        </w:rPr>
        <w:t xml:space="preserve"> </w:t>
      </w:r>
      <w:r w:rsidR="006852FF" w:rsidRPr="00327C04">
        <w:rPr>
          <w:b/>
          <w:color w:val="1F1F1F"/>
        </w:rPr>
        <w:t>Finding 1</w:t>
      </w:r>
      <w:r w:rsidR="006852FF">
        <w:rPr>
          <w:color w:val="1F1F1F"/>
        </w:rPr>
        <w:t>: Strong Demand for an Experiential Study Environment</w:t>
      </w:r>
    </w:p>
    <w:p w:rsidR="006852FF" w:rsidRDefault="006852FF" w:rsidP="006852FF">
      <w:pPr>
        <w:pStyle w:val="NormalWeb"/>
        <w:spacing w:after="0" w:afterAutospacing="0"/>
        <w:rPr>
          <w:color w:val="1F1F1F"/>
        </w:rPr>
      </w:pPr>
      <w:r>
        <w:rPr>
          <w:color w:val="1F1F1F"/>
        </w:rPr>
        <w:t xml:space="preserve">A significant 66.7% of primary respondents expressed immediate interest in a café space designed for quiet independent study and group project work. Industry analysis shows </w:t>
      </w:r>
      <w:r>
        <w:rPr>
          <w:color w:val="1F1F1F"/>
        </w:rPr>
        <w:lastRenderedPageBreak/>
        <w:t>accelerating structural demand for experiential hospitality environments rather than traditional, transactional beverage sales (Mintel, 2023).</w:t>
      </w:r>
    </w:p>
    <w:p w:rsidR="006852FF" w:rsidRDefault="006852FF" w:rsidP="006852FF">
      <w:pPr>
        <w:pStyle w:val="NormalWeb"/>
        <w:spacing w:after="0" w:afterAutospacing="0"/>
        <w:rPr>
          <w:color w:val="1F1F1F"/>
        </w:rPr>
      </w:pPr>
      <w:r>
        <w:rPr>
          <w:b/>
          <w:bCs/>
          <w:color w:val="1F1F1F"/>
          <w:bdr w:val="none" w:sz="0" w:space="0" w:color="auto" w:frame="1"/>
        </w:rPr>
        <w:t>Business Implication:</w:t>
      </w:r>
      <w:r>
        <w:rPr>
          <w:color w:val="1F1F1F"/>
        </w:rPr>
        <w:t xml:space="preserve"> The café's positioning will prioritize space utility over product focus, emphasizing acoustic zoning, collaborative stations, and productivity-focused branding to differentiate itself within the local market.</w:t>
      </w:r>
    </w:p>
    <w:p w:rsidR="003436A2" w:rsidRDefault="003436A2" w:rsidP="006852FF">
      <w:pPr>
        <w:pStyle w:val="NormalWeb"/>
        <w:spacing w:after="0" w:afterAutospacing="0"/>
        <w:rPr>
          <w:color w:val="1F1F1F"/>
        </w:rPr>
      </w:pPr>
    </w:p>
    <w:p w:rsidR="006852FF" w:rsidRDefault="00327C04" w:rsidP="006852FF">
      <w:pPr>
        <w:pStyle w:val="Heading3"/>
        <w:rPr>
          <w:color w:val="1F1F1F"/>
        </w:rPr>
      </w:pPr>
      <w:r w:rsidRPr="00327C04">
        <w:rPr>
          <w:b/>
          <w:color w:val="1F1F1F"/>
        </w:rPr>
        <w:t xml:space="preserve">3.2 </w:t>
      </w:r>
      <w:r w:rsidR="006852FF" w:rsidRPr="00327C04">
        <w:rPr>
          <w:b/>
          <w:color w:val="1F1F1F"/>
        </w:rPr>
        <w:t>Finding 2:</w:t>
      </w:r>
      <w:r w:rsidR="006852FF">
        <w:rPr>
          <w:color w:val="1F1F1F"/>
        </w:rPr>
        <w:t xml:space="preserve"> High Price Sensitivity and Resistance to Surcharges</w:t>
      </w:r>
    </w:p>
    <w:p w:rsidR="006852FF" w:rsidRDefault="006852FF" w:rsidP="006852FF">
      <w:pPr>
        <w:pStyle w:val="NormalWeb"/>
        <w:spacing w:after="0" w:afterAutospacing="0"/>
        <w:rPr>
          <w:color w:val="1F1F1F"/>
        </w:rPr>
      </w:pPr>
      <w:r>
        <w:rPr>
          <w:color w:val="1F1F1F"/>
        </w:rPr>
        <w:t>Primary spending data reveals financial constraints: 50% of surveyed students spend £5–£8 per café visit, 41.7% spend £3–£5, and 50% isolated "affordable pricing" as the primary determinant for café selection. This mirrors UK consumer patterns regarding discretionary spending cutbacks (PwC, 2023). Crucially, a premium workspace pricing model (£5/hour for private rooms) received low acceptance, with only 16.7% agreement, indicating resistance to unbundled service charges.</w:t>
      </w:r>
    </w:p>
    <w:p w:rsidR="006852FF" w:rsidRDefault="006852FF" w:rsidP="006852FF">
      <w:pPr>
        <w:pStyle w:val="NormalWeb"/>
        <w:spacing w:after="0" w:afterAutospacing="0"/>
        <w:rPr>
          <w:color w:val="1F1F1F"/>
        </w:rPr>
      </w:pPr>
      <w:r>
        <w:rPr>
          <w:b/>
          <w:bCs/>
          <w:color w:val="1F1F1F"/>
          <w:bdr w:val="none" w:sz="0" w:space="0" w:color="auto" w:frame="1"/>
        </w:rPr>
        <w:t>Strategic Response:</w:t>
      </w:r>
      <w:r>
        <w:rPr>
          <w:color w:val="1F1F1F"/>
        </w:rPr>
        <w:t xml:space="preserve"> The enterprise will utilize student meal bundles (£4.99–£6.99), a digital loyalty reward system, and free access to group tables subject to minimum purchase to lower barriers to entry and drive rapid adoption.</w:t>
      </w:r>
    </w:p>
    <w:p w:rsidR="003436A2" w:rsidRDefault="003436A2" w:rsidP="006852FF">
      <w:pPr>
        <w:pStyle w:val="NormalWeb"/>
        <w:spacing w:after="0" w:afterAutospacing="0"/>
        <w:rPr>
          <w:color w:val="1F1F1F"/>
        </w:rPr>
      </w:pPr>
    </w:p>
    <w:p w:rsidR="006852FF" w:rsidRDefault="00327C04" w:rsidP="006852FF">
      <w:pPr>
        <w:pStyle w:val="Heading3"/>
        <w:rPr>
          <w:color w:val="1F1F1F"/>
        </w:rPr>
      </w:pPr>
      <w:r w:rsidRPr="00327C04">
        <w:rPr>
          <w:b/>
          <w:color w:val="1F1F1F"/>
        </w:rPr>
        <w:t xml:space="preserve">3.3 </w:t>
      </w:r>
      <w:r w:rsidR="006852FF" w:rsidRPr="00327C04">
        <w:rPr>
          <w:b/>
          <w:color w:val="1F1F1F"/>
        </w:rPr>
        <w:t>Finding 3:</w:t>
      </w:r>
      <w:r w:rsidR="006852FF">
        <w:rPr>
          <w:color w:val="1F1F1F"/>
        </w:rPr>
        <w:t xml:space="preserve"> Core Environmental Pain Points – Affordability and Ambient Noise</w:t>
      </w:r>
    </w:p>
    <w:p w:rsidR="006852FF" w:rsidRDefault="006852FF" w:rsidP="006852FF">
      <w:pPr>
        <w:pStyle w:val="NormalWeb"/>
        <w:spacing w:after="0" w:afterAutospacing="0"/>
        <w:rPr>
          <w:color w:val="1F1F1F"/>
        </w:rPr>
      </w:pPr>
      <w:r>
        <w:rPr>
          <w:color w:val="1F1F1F"/>
        </w:rPr>
        <w:t xml:space="preserve">Students identified expensive food (33.3%), excessive ambient noise (25%), and a lack of collaborative group spaces (25%) as major inhibitors. Services marketing theory emphasizes that customer perceptions of overall service quality are heavily dictated by the physical environment and spatial layout (Zeithaml, Bitner and </w:t>
      </w:r>
      <w:proofErr w:type="spellStart"/>
      <w:r>
        <w:rPr>
          <w:color w:val="1F1F1F"/>
        </w:rPr>
        <w:t>Gremler</w:t>
      </w:r>
      <w:proofErr w:type="spellEnd"/>
      <w:r>
        <w:rPr>
          <w:color w:val="1F1F1F"/>
        </w:rPr>
        <w:t>, 2020).</w:t>
      </w:r>
    </w:p>
    <w:p w:rsidR="006852FF" w:rsidRDefault="006852FF" w:rsidP="006852FF">
      <w:pPr>
        <w:pStyle w:val="NormalWeb"/>
        <w:spacing w:after="0" w:afterAutospacing="0"/>
        <w:rPr>
          <w:color w:val="1F1F1F"/>
        </w:rPr>
      </w:pPr>
      <w:r>
        <w:rPr>
          <w:b/>
          <w:bCs/>
          <w:color w:val="1F1F1F"/>
          <w:bdr w:val="none" w:sz="0" w:space="0" w:color="auto" w:frame="1"/>
        </w:rPr>
        <w:t>Operational Decisions:</w:t>
      </w:r>
      <w:r>
        <w:rPr>
          <w:color w:val="1F1F1F"/>
        </w:rPr>
        <w:t xml:space="preserve"> The business will implement strict acoustic separation between silent study spaces and collaborative areas, value-engineered menu pricing, and group worktables equipped with accessible power points to address environmental stressors.</w:t>
      </w:r>
    </w:p>
    <w:p w:rsidR="00681564" w:rsidRDefault="00681564" w:rsidP="006852FF">
      <w:pPr>
        <w:pStyle w:val="NormalWeb"/>
        <w:spacing w:after="0" w:afterAutospacing="0"/>
        <w:rPr>
          <w:color w:val="1F1F1F"/>
        </w:rPr>
      </w:pPr>
    </w:p>
    <w:p w:rsidR="006852FF" w:rsidRDefault="00327C04" w:rsidP="006852FF">
      <w:pPr>
        <w:pStyle w:val="Heading3"/>
        <w:rPr>
          <w:color w:val="1F1F1F"/>
        </w:rPr>
      </w:pPr>
      <w:r w:rsidRPr="00327C04">
        <w:rPr>
          <w:b/>
          <w:color w:val="1F1F1F"/>
        </w:rPr>
        <w:t xml:space="preserve">3.4 </w:t>
      </w:r>
      <w:r w:rsidR="006852FF" w:rsidRPr="00327C04">
        <w:rPr>
          <w:b/>
          <w:color w:val="1F1F1F"/>
        </w:rPr>
        <w:t>Finding 4:</w:t>
      </w:r>
      <w:r w:rsidR="006852FF">
        <w:rPr>
          <w:color w:val="1F1F1F"/>
        </w:rPr>
        <w:t xml:space="preserve"> Google Dominance in Digital Discovery Layouts</w:t>
      </w:r>
    </w:p>
    <w:p w:rsidR="006852FF" w:rsidRDefault="006852FF" w:rsidP="006852FF">
      <w:pPr>
        <w:pStyle w:val="NormalWeb"/>
        <w:spacing w:after="0" w:afterAutospacing="0"/>
        <w:rPr>
          <w:color w:val="1F1F1F"/>
        </w:rPr>
      </w:pPr>
      <w:r>
        <w:rPr>
          <w:color w:val="1F1F1F"/>
        </w:rPr>
        <w:t>Primary discovery data identifies clear avenues: 50% of students utilize Google Search as their primary tool for locating local services, while 25% rely on Instagram. Search engines remain the dominant gateway for local business discovery (Chaffey, 2022). Furthermore, image-centric social platforms like Instagram exert immense visual influence over younger demographics, driving localized brand trust (</w:t>
      </w:r>
      <w:proofErr w:type="spellStart"/>
      <w:r>
        <w:rPr>
          <w:color w:val="1F1F1F"/>
        </w:rPr>
        <w:t>Belanche</w:t>
      </w:r>
      <w:proofErr w:type="spellEnd"/>
      <w:r>
        <w:rPr>
          <w:color w:val="1F1F1F"/>
        </w:rPr>
        <w:t xml:space="preserve">, </w:t>
      </w:r>
      <w:proofErr w:type="spellStart"/>
      <w:r>
        <w:rPr>
          <w:color w:val="1F1F1F"/>
        </w:rPr>
        <w:t>Cenjor</w:t>
      </w:r>
      <w:proofErr w:type="spellEnd"/>
      <w:r>
        <w:rPr>
          <w:color w:val="1F1F1F"/>
        </w:rPr>
        <w:t xml:space="preserve"> and Pérez-Rueda, 2019).</w:t>
      </w:r>
    </w:p>
    <w:p w:rsidR="006852FF" w:rsidRDefault="006852FF" w:rsidP="006852FF">
      <w:pPr>
        <w:pStyle w:val="NormalWeb"/>
        <w:spacing w:after="0" w:afterAutospacing="0"/>
        <w:rPr>
          <w:color w:val="1F1F1F"/>
        </w:rPr>
      </w:pPr>
      <w:r>
        <w:rPr>
          <w:b/>
          <w:bCs/>
          <w:color w:val="1F1F1F"/>
          <w:bdr w:val="none" w:sz="0" w:space="0" w:color="auto" w:frame="1"/>
        </w:rPr>
        <w:t>Marketing Strategy Implications:</w:t>
      </w:r>
      <w:r>
        <w:rPr>
          <w:color w:val="1F1F1F"/>
        </w:rPr>
        <w:t xml:space="preserve"> Digital positioning will focus heavily on local search engine optimization (SEO), Google Business Profile management, and an automated customer review pipeline, supported secondarily by visual content marketing on Instagram.</w:t>
      </w:r>
    </w:p>
    <w:p w:rsidR="006852FF" w:rsidRPr="00BA3927" w:rsidRDefault="006852FF" w:rsidP="006852FF">
      <w:pPr>
        <w:pStyle w:val="Heading1"/>
        <w:rPr>
          <w:b/>
          <w:color w:val="1F1F1F"/>
        </w:rPr>
      </w:pPr>
      <w:r w:rsidRPr="00BA3927">
        <w:rPr>
          <w:b/>
          <w:color w:val="1F1F1F"/>
        </w:rPr>
        <w:lastRenderedPageBreak/>
        <w:t>4. Website Development and SEO Strategy</w:t>
      </w:r>
    </w:p>
    <w:p w:rsidR="006852FF" w:rsidRDefault="006852FF" w:rsidP="006852FF">
      <w:pPr>
        <w:pStyle w:val="NormalWeb"/>
        <w:spacing w:after="0" w:afterAutospacing="0"/>
        <w:rPr>
          <w:color w:val="1F1F1F"/>
        </w:rPr>
      </w:pPr>
      <w:r>
        <w:rPr>
          <w:color w:val="1F1F1F"/>
        </w:rPr>
        <w:t>To capture search intent, a responsive two-page website was deployed via Strikingly. The interface addresses student pain points through clear informational architecture:</w:t>
      </w:r>
    </w:p>
    <w:p w:rsidR="006852FF" w:rsidRDefault="006852FF" w:rsidP="00327C04">
      <w:pPr>
        <w:pStyle w:val="NormalWeb"/>
        <w:spacing w:after="0" w:afterAutospacing="0"/>
        <w:rPr>
          <w:i/>
          <w:iCs/>
          <w:color w:val="1F1F1F"/>
          <w:bdr w:val="none" w:sz="0" w:space="0" w:color="auto" w:frame="1"/>
        </w:rPr>
      </w:pPr>
      <w:r>
        <w:rPr>
          <w:b/>
          <w:bCs/>
          <w:color w:val="1F1F1F"/>
          <w:bdr w:val="none" w:sz="0" w:space="0" w:color="auto" w:frame="1"/>
        </w:rPr>
        <w:t>Page 1 – Home Page:</w:t>
      </w:r>
      <w:r>
        <w:rPr>
          <w:color w:val="1F1F1F"/>
        </w:rPr>
        <w:t xml:space="preserve"> Features the visible header: </w:t>
      </w:r>
      <w:r>
        <w:rPr>
          <w:i/>
          <w:iCs/>
          <w:color w:val="1F1F1F"/>
          <w:bdr w:val="none" w:sz="0" w:space="0" w:color="auto" w:frame="1"/>
        </w:rPr>
        <w:t>"Affordable Study Space for Students in Cardiff"</w:t>
      </w:r>
      <w:r>
        <w:rPr>
          <w:color w:val="1F1F1F"/>
        </w:rPr>
        <w:t xml:space="preserve">, displaying quiet study zones, transparent pricing, and a clear call-to-action: </w:t>
      </w:r>
      <w:r>
        <w:rPr>
          <w:i/>
          <w:iCs/>
          <w:color w:val="1F1F1F"/>
          <w:bdr w:val="none" w:sz="0" w:space="0" w:color="auto" w:frame="1"/>
        </w:rPr>
        <w:t>"Find Your Study Spot Today."</w:t>
      </w:r>
    </w:p>
    <w:p w:rsidR="00FF75DD" w:rsidRDefault="00FF75DD" w:rsidP="00327C04">
      <w:pPr>
        <w:pStyle w:val="NormalWeb"/>
        <w:spacing w:after="0" w:afterAutospacing="0"/>
        <w:rPr>
          <w:color w:val="1F1F1F"/>
        </w:rPr>
      </w:pPr>
      <w:r w:rsidRPr="00FF75DD">
        <w:rPr>
          <w:color w:val="1F1F1F"/>
        </w:rPr>
        <w:drawing>
          <wp:inline distT="0" distB="0" distL="0" distR="0" wp14:anchorId="75705BE1" wp14:editId="231B5099">
            <wp:extent cx="5943600" cy="26898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689860"/>
                    </a:xfrm>
                    <a:prstGeom prst="rect">
                      <a:avLst/>
                    </a:prstGeom>
                  </pic:spPr>
                </pic:pic>
              </a:graphicData>
            </a:graphic>
          </wp:inline>
        </w:drawing>
      </w:r>
    </w:p>
    <w:p w:rsidR="006852FF" w:rsidRDefault="006852FF" w:rsidP="00327C04">
      <w:pPr>
        <w:pStyle w:val="NormalWeb"/>
        <w:spacing w:after="0" w:afterAutospacing="0"/>
        <w:rPr>
          <w:color w:val="1F1F1F"/>
        </w:rPr>
      </w:pPr>
      <w:r>
        <w:rPr>
          <w:b/>
          <w:bCs/>
          <w:color w:val="1F1F1F"/>
          <w:bdr w:val="none" w:sz="0" w:space="0" w:color="auto" w:frame="1"/>
        </w:rPr>
        <w:t>Page 2 – Study Spaces and Menu:</w:t>
      </w:r>
      <w:r>
        <w:rPr>
          <w:color w:val="1F1F1F"/>
        </w:rPr>
        <w:t xml:space="preserve"> Breaks down acoustic zones, descriptions of the £4.99 student meal bundles, operating hours, a Google Maps widget, and a contact form.</w:t>
      </w:r>
    </w:p>
    <w:p w:rsidR="003D4326" w:rsidRDefault="003D4326" w:rsidP="00327C04">
      <w:pPr>
        <w:pStyle w:val="NormalWeb"/>
        <w:spacing w:after="0" w:afterAutospacing="0"/>
        <w:rPr>
          <w:color w:val="1F1F1F"/>
        </w:rPr>
      </w:pPr>
      <w:r w:rsidRPr="003D4326">
        <w:rPr>
          <w:color w:val="1F1F1F"/>
        </w:rPr>
        <w:drawing>
          <wp:inline distT="0" distB="0" distL="0" distR="0" wp14:anchorId="64746682" wp14:editId="19C9294B">
            <wp:extent cx="5943600" cy="244983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449830"/>
                    </a:xfrm>
                    <a:prstGeom prst="rect">
                      <a:avLst/>
                    </a:prstGeom>
                  </pic:spPr>
                </pic:pic>
              </a:graphicData>
            </a:graphic>
          </wp:inline>
        </w:drawing>
      </w:r>
    </w:p>
    <w:p w:rsidR="00F37947" w:rsidRDefault="00F37947" w:rsidP="00F37947">
      <w:pPr>
        <w:pStyle w:val="NormalWeb"/>
        <w:spacing w:after="0" w:afterAutospacing="0"/>
      </w:pPr>
      <w:r>
        <w:t xml:space="preserve">The live, mobile-responsive, </w:t>
      </w:r>
      <w:r w:rsidRPr="00DB63B6">
        <w:rPr>
          <w:b/>
        </w:rPr>
        <w:t>two-page web</w:t>
      </w:r>
      <w:r>
        <w:t xml:space="preserve"> platform </w:t>
      </w:r>
      <w:r w:rsidRPr="00DB63B6">
        <w:rPr>
          <w:b/>
        </w:rPr>
        <w:t>can be accessed</w:t>
      </w:r>
      <w:r>
        <w:t xml:space="preserve"> directly at: </w:t>
      </w:r>
      <w:hyperlink r:id="rId10" w:tgtFrame="_blank" w:history="1">
        <w:r>
          <w:rPr>
            <w:rStyle w:val="Hyperlink"/>
          </w:rPr>
          <w:t>https://studyhubcafe.mystrikingly.com</w:t>
        </w:r>
      </w:hyperlink>
    </w:p>
    <w:p w:rsidR="00F37947" w:rsidRDefault="00F37947" w:rsidP="00F37947">
      <w:pPr>
        <w:pStyle w:val="NormalWeb"/>
        <w:spacing w:after="0" w:afterAutospacing="0"/>
        <w:rPr>
          <w:color w:val="1F1F1F"/>
        </w:rPr>
      </w:pPr>
    </w:p>
    <w:p w:rsidR="006852FF" w:rsidRPr="00F37947" w:rsidRDefault="006852FF" w:rsidP="006852FF">
      <w:pPr>
        <w:pStyle w:val="Heading3"/>
        <w:rPr>
          <w:b/>
          <w:color w:val="1F1F1F"/>
        </w:rPr>
      </w:pPr>
      <w:r w:rsidRPr="00F37947">
        <w:rPr>
          <w:b/>
          <w:color w:val="1F1F1F"/>
        </w:rPr>
        <w:t>Integrated SEO Strategy</w:t>
      </w:r>
    </w:p>
    <w:p w:rsidR="006852FF" w:rsidRDefault="006852FF" w:rsidP="006852FF">
      <w:pPr>
        <w:pStyle w:val="NormalWeb"/>
        <w:spacing w:after="0" w:afterAutospacing="0"/>
        <w:rPr>
          <w:color w:val="1F1F1F"/>
        </w:rPr>
      </w:pPr>
      <w:r>
        <w:rPr>
          <w:color w:val="1F1F1F"/>
        </w:rPr>
        <w:t xml:space="preserve">Pinto and </w:t>
      </w:r>
      <w:proofErr w:type="spellStart"/>
      <w:r>
        <w:rPr>
          <w:color w:val="1F1F1F"/>
        </w:rPr>
        <w:t>Guarda</w:t>
      </w:r>
      <w:proofErr w:type="spellEnd"/>
      <w:r>
        <w:rPr>
          <w:color w:val="1F1F1F"/>
        </w:rPr>
        <w:t xml:space="preserve"> (2020) assert that modern digital marketing architectures must implement structured, mathematically sound on-page and local SEO models to capture competitive advantage in localized service economies.</w:t>
      </w:r>
    </w:p>
    <w:p w:rsidR="006852FF" w:rsidRDefault="006852FF" w:rsidP="006852FF">
      <w:pPr>
        <w:pStyle w:val="NormalWeb"/>
        <w:spacing w:after="0" w:afterAutospacing="0"/>
        <w:rPr>
          <w:color w:val="1F1F1F"/>
        </w:rPr>
      </w:pPr>
      <w:r>
        <w:rPr>
          <w:color w:val="1F1F1F"/>
        </w:rPr>
        <w:t xml:space="preserve">The website incorporates targeted phrases for localized user intent: </w:t>
      </w:r>
      <w:r>
        <w:rPr>
          <w:i/>
          <w:iCs/>
          <w:color w:val="1F1F1F"/>
          <w:bdr w:val="none" w:sz="0" w:space="0" w:color="auto" w:frame="1"/>
        </w:rPr>
        <w:t>"Student café Cardiff"</w:t>
      </w:r>
      <w:r>
        <w:rPr>
          <w:color w:val="1F1F1F"/>
        </w:rPr>
        <w:t xml:space="preserve">, </w:t>
      </w:r>
      <w:r>
        <w:rPr>
          <w:i/>
          <w:iCs/>
          <w:color w:val="1F1F1F"/>
          <w:bdr w:val="none" w:sz="0" w:space="0" w:color="auto" w:frame="1"/>
        </w:rPr>
        <w:t>"Quiet study café near UWTSD"</w:t>
      </w:r>
      <w:r>
        <w:rPr>
          <w:color w:val="1F1F1F"/>
        </w:rPr>
        <w:t xml:space="preserve">, and </w:t>
      </w:r>
      <w:r>
        <w:rPr>
          <w:i/>
          <w:iCs/>
          <w:color w:val="1F1F1F"/>
          <w:bdr w:val="none" w:sz="0" w:space="0" w:color="auto" w:frame="1"/>
        </w:rPr>
        <w:t>"Affordable study space Cardiff"</w:t>
      </w:r>
      <w:r>
        <w:rPr>
          <w:color w:val="1F1F1F"/>
        </w:rPr>
        <w:t xml:space="preserve">. On-page deployment includes embedding these terms into HTML title tags, meta descriptions, image alt-text, and ensuring mobile responsiveness. Local authority optimization includes syncing the website with a verified Google Business Profile to signal relevance to search engine indexing algorithms (Pinto and </w:t>
      </w:r>
      <w:proofErr w:type="spellStart"/>
      <w:r>
        <w:rPr>
          <w:color w:val="1F1F1F"/>
        </w:rPr>
        <w:t>Guarda</w:t>
      </w:r>
      <w:proofErr w:type="spellEnd"/>
      <w:r>
        <w:rPr>
          <w:color w:val="1F1F1F"/>
        </w:rPr>
        <w:t>, 2020).</w:t>
      </w:r>
    </w:p>
    <w:p w:rsidR="006852FF" w:rsidRPr="00BA3927" w:rsidRDefault="006852FF" w:rsidP="006852FF">
      <w:pPr>
        <w:pStyle w:val="Heading1"/>
        <w:rPr>
          <w:b/>
          <w:color w:val="1F1F1F"/>
        </w:rPr>
      </w:pPr>
      <w:r w:rsidRPr="00BA3927">
        <w:rPr>
          <w:b/>
          <w:color w:val="1F1F1F"/>
        </w:rPr>
        <w:t>5. Marketing Materials</w:t>
      </w:r>
    </w:p>
    <w:p w:rsidR="006852FF" w:rsidRDefault="006852FF" w:rsidP="006852FF">
      <w:pPr>
        <w:pStyle w:val="NormalWeb"/>
        <w:spacing w:after="0" w:afterAutospacing="0"/>
        <w:rPr>
          <w:color w:val="1F1F1F"/>
        </w:rPr>
      </w:pPr>
      <w:r>
        <w:rPr>
          <w:color w:val="1F1F1F"/>
        </w:rPr>
        <w:t xml:space="preserve">The marketing materials created via Canva are directly tied to primary insights. The poster layout uses the headline: </w:t>
      </w:r>
      <w:r>
        <w:rPr>
          <w:i/>
          <w:iCs/>
          <w:color w:val="1F1F1F"/>
          <w:bdr w:val="none" w:sz="0" w:space="0" w:color="auto" w:frame="1"/>
        </w:rPr>
        <w:t>"Study Smarter. Spend Less. Focus Better"</w:t>
      </w:r>
      <w:r>
        <w:rPr>
          <w:color w:val="1F1F1F"/>
        </w:rPr>
        <w:t>, resolving student pain points regarding environment, cost, and productivity. The design displays visual highlights showcasing the £4.99 student meal deals, free Wi-Fi, and power charging stations.</w:t>
      </w:r>
    </w:p>
    <w:p w:rsidR="006852FF" w:rsidRDefault="006852FF" w:rsidP="006852FF">
      <w:pPr>
        <w:pStyle w:val="NormalWeb"/>
        <w:spacing w:after="0" w:afterAutospacing="0"/>
        <w:rPr>
          <w:color w:val="1F1F1F"/>
        </w:rPr>
      </w:pPr>
      <w:r>
        <w:rPr>
          <w:color w:val="1F1F1F"/>
        </w:rPr>
        <w:t xml:space="preserve">The accompanying social media plan focuses on Instagram, utilizing clean study aesthetics and targeted promotions timed to university exam seasons. Aligning communications across print and digital interfaces significantly increases brand consistency and trust among Gen Z consumers (Chaffey, 2022; </w:t>
      </w:r>
      <w:proofErr w:type="spellStart"/>
      <w:r>
        <w:rPr>
          <w:color w:val="1F1F1F"/>
        </w:rPr>
        <w:t>Tuten</w:t>
      </w:r>
      <w:proofErr w:type="spellEnd"/>
      <w:r>
        <w:rPr>
          <w:color w:val="1F1F1F"/>
        </w:rPr>
        <w:t xml:space="preserve"> and Solomon, 2020).</w:t>
      </w:r>
    </w:p>
    <w:p w:rsidR="003D4326" w:rsidRDefault="003D4326" w:rsidP="006852FF">
      <w:pPr>
        <w:pStyle w:val="NormalWeb"/>
        <w:spacing w:after="0" w:afterAutospacing="0"/>
        <w:rPr>
          <w:color w:val="1F1F1F"/>
        </w:rPr>
      </w:pPr>
      <w:r>
        <w:rPr>
          <w:color w:val="1F1F1F"/>
        </w:rPr>
        <w:t>Posters:</w:t>
      </w:r>
    </w:p>
    <w:p w:rsidR="003D4326" w:rsidRDefault="003D4326" w:rsidP="006852FF">
      <w:pPr>
        <w:pStyle w:val="NormalWeb"/>
        <w:spacing w:after="0" w:afterAutospacing="0"/>
        <w:rPr>
          <w:color w:val="1F1F1F"/>
        </w:rPr>
      </w:pPr>
      <w:r>
        <w:rPr>
          <w:noProof/>
          <w:color w:val="1F1F1F"/>
        </w:rPr>
        <w:drawing>
          <wp:inline distT="0" distB="0" distL="0" distR="0">
            <wp:extent cx="1508949" cy="245801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08949" cy="2458016"/>
                    </a:xfrm>
                    <a:prstGeom prst="rect">
                      <a:avLst/>
                    </a:prstGeom>
                    <a:noFill/>
                    <a:ln>
                      <a:noFill/>
                    </a:ln>
                  </pic:spPr>
                </pic:pic>
              </a:graphicData>
            </a:graphic>
          </wp:inline>
        </w:drawing>
      </w:r>
      <w:r>
        <w:rPr>
          <w:color w:val="1F1F1F"/>
        </w:rPr>
        <w:t xml:space="preserve">                                                   </w:t>
      </w:r>
      <w:r>
        <w:rPr>
          <w:noProof/>
          <w:color w:val="1F1F1F"/>
        </w:rPr>
        <w:drawing>
          <wp:inline distT="0" distB="0" distL="0" distR="0">
            <wp:extent cx="2145028" cy="2434590"/>
            <wp:effectExtent l="0" t="0" r="825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49228" cy="2439357"/>
                    </a:xfrm>
                    <a:prstGeom prst="rect">
                      <a:avLst/>
                    </a:prstGeom>
                    <a:noFill/>
                    <a:ln>
                      <a:noFill/>
                    </a:ln>
                  </pic:spPr>
                </pic:pic>
              </a:graphicData>
            </a:graphic>
          </wp:inline>
        </w:drawing>
      </w:r>
    </w:p>
    <w:p w:rsidR="006852FF" w:rsidRPr="00BA3927" w:rsidRDefault="006852FF" w:rsidP="006852FF">
      <w:pPr>
        <w:pStyle w:val="Heading1"/>
        <w:rPr>
          <w:b/>
          <w:color w:val="1F1F1F"/>
        </w:rPr>
      </w:pPr>
      <w:r w:rsidRPr="00BA3927">
        <w:rPr>
          <w:b/>
          <w:color w:val="1F1F1F"/>
        </w:rPr>
        <w:lastRenderedPageBreak/>
        <w:t>6. Ethical Considerations</w:t>
      </w:r>
    </w:p>
    <w:p w:rsidR="006852FF" w:rsidRDefault="006852FF" w:rsidP="006852FF">
      <w:pPr>
        <w:pStyle w:val="NormalWeb"/>
        <w:spacing w:after="0" w:afterAutospacing="0"/>
        <w:rPr>
          <w:color w:val="1F1F1F"/>
        </w:rPr>
      </w:pPr>
      <w:r>
        <w:rPr>
          <w:color w:val="1F1F1F"/>
        </w:rPr>
        <w:t>Prior to data collection, research participants were fully briefed on the academic purpose of the study. No personally identifiable information (PII) or contact data was collected. All primary data was gathered anonymously, stored securely within password-protected systems, and evaluated collectively to ensure compliance with ethical data collection standards.</w:t>
      </w:r>
    </w:p>
    <w:p w:rsidR="006852FF" w:rsidRPr="00BA3927" w:rsidRDefault="006852FF" w:rsidP="006852FF">
      <w:pPr>
        <w:pStyle w:val="Heading1"/>
        <w:rPr>
          <w:b/>
          <w:color w:val="1F1F1F"/>
        </w:rPr>
      </w:pPr>
      <w:r w:rsidRPr="00BA3927">
        <w:rPr>
          <w:b/>
          <w:color w:val="1F1F1F"/>
        </w:rPr>
        <w:t>7. Conclusion</w:t>
      </w:r>
    </w:p>
    <w:p w:rsidR="00327C04" w:rsidRDefault="006852FF" w:rsidP="006852FF">
      <w:pPr>
        <w:spacing w:beforeAutospacing="1" w:after="100" w:afterAutospacing="1" w:line="240" w:lineRule="auto"/>
        <w:rPr>
          <w:rFonts w:ascii="Times New Roman" w:eastAsia="Times New Roman" w:hAnsi="Times New Roman" w:cs="Times New Roman"/>
          <w:sz w:val="24"/>
          <w:szCs w:val="24"/>
          <w:lang w:eastAsia="en-GB"/>
        </w:rPr>
      </w:pPr>
      <w:r w:rsidRPr="00325BAE">
        <w:rPr>
          <w:rFonts w:ascii="Times New Roman" w:eastAsia="Times New Roman" w:hAnsi="Times New Roman" w:cs="Times New Roman"/>
          <w:sz w:val="24"/>
          <w:szCs w:val="24"/>
          <w:lang w:eastAsia="en-GB"/>
        </w:rPr>
        <w:t>Empirical and primary research confirms the strong commercial viability of launching Study Hub Café in the Cardiff undergraduate market. Driven by high target market visitation frequencies, students report strong dissatisfaction with current campus noise levels and high prices. By successfully balancing affordable pricing, quiet study zones, and collaborative spaces, the café establishes a highly differentiated position in the local market. Furthermore, combining direct student data with industry benchmarks minimizes entrepreneurial risk, creating a clear, evidence-based path for operational execution.</w:t>
      </w:r>
    </w:p>
    <w:p w:rsidR="00DB63B6" w:rsidRDefault="00DB63B6" w:rsidP="00DB63B6">
      <w:pPr>
        <w:spacing w:after="0" w:line="240" w:lineRule="auto"/>
        <w:rPr>
          <w:rFonts w:ascii="Arial" w:hAnsi="Arial" w:cs="Arial"/>
          <w:b/>
        </w:rPr>
      </w:pPr>
      <w:r>
        <w:rPr>
          <w:rFonts w:ascii="Arial" w:hAnsi="Arial" w:cs="Arial"/>
          <w:b/>
        </w:rPr>
        <w:t xml:space="preserve">                                        </w:t>
      </w:r>
      <w:proofErr w:type="gramStart"/>
      <w:r>
        <w:rPr>
          <w:rFonts w:ascii="Arial" w:hAnsi="Arial" w:cs="Arial"/>
          <w:b/>
        </w:rPr>
        <w:t xml:space="preserve">&gt;  </w:t>
      </w:r>
      <w:r w:rsidRPr="00DB63B6">
        <w:rPr>
          <w:rFonts w:ascii="Arial" w:hAnsi="Arial" w:cs="Arial"/>
          <w:b/>
        </w:rPr>
        <w:t>Screenshots</w:t>
      </w:r>
      <w:proofErr w:type="gramEnd"/>
      <w:r w:rsidRPr="00DB63B6">
        <w:rPr>
          <w:rFonts w:ascii="Arial" w:hAnsi="Arial" w:cs="Arial"/>
          <w:b/>
        </w:rPr>
        <w:t xml:space="preserve"> of questionnaire graphs</w:t>
      </w:r>
      <w:r>
        <w:rPr>
          <w:rFonts w:ascii="Arial" w:hAnsi="Arial" w:cs="Arial"/>
          <w:b/>
        </w:rPr>
        <w:t>:</w:t>
      </w:r>
    </w:p>
    <w:p w:rsidR="00DB63B6" w:rsidRDefault="00DB63B6" w:rsidP="00DB63B6">
      <w:pPr>
        <w:spacing w:after="0" w:line="240" w:lineRule="auto"/>
        <w:rPr>
          <w:rFonts w:ascii="Arial" w:hAnsi="Arial" w:cs="Arial"/>
          <w:b/>
        </w:rPr>
      </w:pPr>
    </w:p>
    <w:p w:rsidR="00DB63B6" w:rsidRDefault="00DB63B6" w:rsidP="00DB63B6">
      <w:pPr>
        <w:spacing w:after="0" w:line="240" w:lineRule="auto"/>
        <w:rPr>
          <w:rFonts w:ascii="Arial" w:hAnsi="Arial" w:cs="Arial"/>
          <w:b/>
        </w:rPr>
      </w:pPr>
      <w:r w:rsidRPr="00DB63B6">
        <w:rPr>
          <w:rFonts w:ascii="Arial" w:hAnsi="Arial" w:cs="Arial"/>
          <w:b/>
        </w:rPr>
        <w:drawing>
          <wp:inline distT="0" distB="0" distL="0" distR="0" wp14:anchorId="3D09DFBE" wp14:editId="55DF3F0E">
            <wp:extent cx="5943600" cy="256413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564130"/>
                    </a:xfrm>
                    <a:prstGeom prst="rect">
                      <a:avLst/>
                    </a:prstGeom>
                  </pic:spPr>
                </pic:pic>
              </a:graphicData>
            </a:graphic>
          </wp:inline>
        </w:drawing>
      </w:r>
    </w:p>
    <w:p w:rsidR="00DB63B6" w:rsidRDefault="00DB63B6" w:rsidP="00DB63B6">
      <w:pPr>
        <w:spacing w:after="0" w:line="240" w:lineRule="auto"/>
        <w:rPr>
          <w:rFonts w:ascii="Arial" w:hAnsi="Arial" w:cs="Arial"/>
          <w:b/>
        </w:rPr>
      </w:pPr>
      <w:r w:rsidRPr="00DB63B6">
        <w:rPr>
          <w:rFonts w:ascii="Arial" w:hAnsi="Arial" w:cs="Arial"/>
          <w:b/>
        </w:rPr>
        <w:lastRenderedPageBreak/>
        <w:drawing>
          <wp:inline distT="0" distB="0" distL="0" distR="0" wp14:anchorId="6F8C7D3F" wp14:editId="5AA4F0C5">
            <wp:extent cx="5943600" cy="25152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515235"/>
                    </a:xfrm>
                    <a:prstGeom prst="rect">
                      <a:avLst/>
                    </a:prstGeom>
                  </pic:spPr>
                </pic:pic>
              </a:graphicData>
            </a:graphic>
          </wp:inline>
        </w:drawing>
      </w:r>
    </w:p>
    <w:p w:rsidR="00DB63B6" w:rsidRDefault="00DB63B6" w:rsidP="00DB63B6">
      <w:pPr>
        <w:spacing w:after="0" w:line="240" w:lineRule="auto"/>
        <w:rPr>
          <w:rFonts w:ascii="Arial" w:hAnsi="Arial" w:cs="Arial"/>
          <w:b/>
        </w:rPr>
      </w:pPr>
      <w:r w:rsidRPr="00DB63B6">
        <w:rPr>
          <w:rFonts w:ascii="Arial" w:hAnsi="Arial" w:cs="Arial"/>
          <w:b/>
        </w:rPr>
        <w:drawing>
          <wp:inline distT="0" distB="0" distL="0" distR="0" wp14:anchorId="21A96501" wp14:editId="5B0C52E6">
            <wp:extent cx="5943600" cy="244221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442210"/>
                    </a:xfrm>
                    <a:prstGeom prst="rect">
                      <a:avLst/>
                    </a:prstGeom>
                  </pic:spPr>
                </pic:pic>
              </a:graphicData>
            </a:graphic>
          </wp:inline>
        </w:drawing>
      </w:r>
    </w:p>
    <w:p w:rsidR="00DB63B6" w:rsidRDefault="00DB63B6" w:rsidP="00DB63B6">
      <w:pPr>
        <w:spacing w:after="0" w:line="240" w:lineRule="auto"/>
        <w:rPr>
          <w:rFonts w:ascii="Arial" w:hAnsi="Arial" w:cs="Arial"/>
          <w:b/>
        </w:rPr>
      </w:pPr>
      <w:r w:rsidRPr="00DB63B6">
        <w:rPr>
          <w:rFonts w:ascii="Arial" w:hAnsi="Arial" w:cs="Arial"/>
          <w:b/>
        </w:rPr>
        <w:drawing>
          <wp:inline distT="0" distB="0" distL="0" distR="0" wp14:anchorId="7DD7F83C" wp14:editId="53C216C8">
            <wp:extent cx="5943600" cy="24828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482850"/>
                    </a:xfrm>
                    <a:prstGeom prst="rect">
                      <a:avLst/>
                    </a:prstGeom>
                  </pic:spPr>
                </pic:pic>
              </a:graphicData>
            </a:graphic>
          </wp:inline>
        </w:drawing>
      </w:r>
    </w:p>
    <w:p w:rsidR="00DB63B6" w:rsidRDefault="00DB63B6" w:rsidP="00DB63B6">
      <w:pPr>
        <w:spacing w:after="0" w:line="240" w:lineRule="auto"/>
        <w:rPr>
          <w:rFonts w:ascii="Arial" w:hAnsi="Arial" w:cs="Arial"/>
          <w:b/>
        </w:rPr>
      </w:pPr>
      <w:r w:rsidRPr="00DB63B6">
        <w:rPr>
          <w:rFonts w:ascii="Arial" w:hAnsi="Arial" w:cs="Arial"/>
          <w:b/>
        </w:rPr>
        <w:lastRenderedPageBreak/>
        <w:drawing>
          <wp:inline distT="0" distB="0" distL="0" distR="0" wp14:anchorId="7DE34FCD" wp14:editId="3F0CE636">
            <wp:extent cx="5943600" cy="243078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430780"/>
                    </a:xfrm>
                    <a:prstGeom prst="rect">
                      <a:avLst/>
                    </a:prstGeom>
                  </pic:spPr>
                </pic:pic>
              </a:graphicData>
            </a:graphic>
          </wp:inline>
        </w:drawing>
      </w:r>
    </w:p>
    <w:p w:rsidR="00DB63B6" w:rsidRDefault="00DB63B6" w:rsidP="00DB63B6">
      <w:pPr>
        <w:spacing w:after="0" w:line="240" w:lineRule="auto"/>
        <w:rPr>
          <w:rFonts w:ascii="Arial" w:hAnsi="Arial" w:cs="Arial"/>
          <w:b/>
        </w:rPr>
      </w:pPr>
      <w:r w:rsidRPr="00DB63B6">
        <w:rPr>
          <w:rFonts w:ascii="Arial" w:hAnsi="Arial" w:cs="Arial"/>
          <w:b/>
        </w:rPr>
        <w:drawing>
          <wp:inline distT="0" distB="0" distL="0" distR="0" wp14:anchorId="5A8DE463" wp14:editId="5C8E989E">
            <wp:extent cx="5943600" cy="251968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519680"/>
                    </a:xfrm>
                    <a:prstGeom prst="rect">
                      <a:avLst/>
                    </a:prstGeom>
                  </pic:spPr>
                </pic:pic>
              </a:graphicData>
            </a:graphic>
          </wp:inline>
        </w:drawing>
      </w:r>
    </w:p>
    <w:p w:rsidR="00DB63B6" w:rsidRDefault="00DB63B6" w:rsidP="00DB63B6">
      <w:pPr>
        <w:spacing w:after="0" w:line="240" w:lineRule="auto"/>
        <w:rPr>
          <w:rFonts w:ascii="Arial" w:hAnsi="Arial" w:cs="Arial"/>
          <w:b/>
        </w:rPr>
      </w:pPr>
      <w:r w:rsidRPr="00DB63B6">
        <w:rPr>
          <w:rFonts w:ascii="Arial" w:hAnsi="Arial" w:cs="Arial"/>
          <w:b/>
        </w:rPr>
        <w:drawing>
          <wp:inline distT="0" distB="0" distL="0" distR="0" wp14:anchorId="4A94513F" wp14:editId="7C3324B8">
            <wp:extent cx="5943600" cy="2449195"/>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449195"/>
                    </a:xfrm>
                    <a:prstGeom prst="rect">
                      <a:avLst/>
                    </a:prstGeom>
                  </pic:spPr>
                </pic:pic>
              </a:graphicData>
            </a:graphic>
          </wp:inline>
        </w:drawing>
      </w:r>
    </w:p>
    <w:p w:rsidR="00DB63B6" w:rsidRDefault="00DB63B6" w:rsidP="00DB63B6">
      <w:pPr>
        <w:spacing w:after="0" w:line="240" w:lineRule="auto"/>
        <w:rPr>
          <w:rFonts w:ascii="Arial" w:hAnsi="Arial" w:cs="Arial"/>
          <w:b/>
        </w:rPr>
      </w:pPr>
      <w:r w:rsidRPr="00DB63B6">
        <w:rPr>
          <w:rFonts w:ascii="Arial" w:hAnsi="Arial" w:cs="Arial"/>
          <w:b/>
        </w:rPr>
        <w:lastRenderedPageBreak/>
        <w:drawing>
          <wp:inline distT="0" distB="0" distL="0" distR="0" wp14:anchorId="51B1D784" wp14:editId="1A23E73C">
            <wp:extent cx="5943600" cy="2470785"/>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470785"/>
                    </a:xfrm>
                    <a:prstGeom prst="rect">
                      <a:avLst/>
                    </a:prstGeom>
                  </pic:spPr>
                </pic:pic>
              </a:graphicData>
            </a:graphic>
          </wp:inline>
        </w:drawing>
      </w:r>
    </w:p>
    <w:p w:rsidR="00DB63B6" w:rsidRDefault="00DB63B6" w:rsidP="00DB63B6">
      <w:pPr>
        <w:spacing w:after="0" w:line="240" w:lineRule="auto"/>
        <w:rPr>
          <w:rFonts w:ascii="Arial" w:hAnsi="Arial" w:cs="Arial"/>
          <w:b/>
        </w:rPr>
      </w:pPr>
      <w:r w:rsidRPr="00DB63B6">
        <w:rPr>
          <w:rFonts w:ascii="Arial" w:hAnsi="Arial" w:cs="Arial"/>
          <w:b/>
        </w:rPr>
        <w:drawing>
          <wp:inline distT="0" distB="0" distL="0" distR="0" wp14:anchorId="2F8824CE" wp14:editId="50CF3A63">
            <wp:extent cx="5943600" cy="2418080"/>
            <wp:effectExtent l="0" t="0" r="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418080"/>
                    </a:xfrm>
                    <a:prstGeom prst="rect">
                      <a:avLst/>
                    </a:prstGeom>
                  </pic:spPr>
                </pic:pic>
              </a:graphicData>
            </a:graphic>
          </wp:inline>
        </w:drawing>
      </w:r>
    </w:p>
    <w:p w:rsidR="00DB63B6" w:rsidRDefault="00DB63B6" w:rsidP="00DB63B6">
      <w:pPr>
        <w:spacing w:after="0" w:line="240" w:lineRule="auto"/>
        <w:rPr>
          <w:rFonts w:ascii="Arial" w:hAnsi="Arial" w:cs="Arial"/>
          <w:b/>
        </w:rPr>
      </w:pPr>
      <w:r w:rsidRPr="00DB63B6">
        <w:rPr>
          <w:rFonts w:ascii="Arial" w:hAnsi="Arial" w:cs="Arial"/>
          <w:b/>
        </w:rPr>
        <w:drawing>
          <wp:inline distT="0" distB="0" distL="0" distR="0" wp14:anchorId="6D168820" wp14:editId="47264212">
            <wp:extent cx="5943600" cy="2621915"/>
            <wp:effectExtent l="0" t="0" r="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2621915"/>
                    </a:xfrm>
                    <a:prstGeom prst="rect">
                      <a:avLst/>
                    </a:prstGeom>
                  </pic:spPr>
                </pic:pic>
              </a:graphicData>
            </a:graphic>
          </wp:inline>
        </w:drawing>
      </w:r>
    </w:p>
    <w:p w:rsidR="00DB63B6" w:rsidRPr="00DB63B6" w:rsidRDefault="00DB63B6" w:rsidP="00DB63B6">
      <w:pPr>
        <w:spacing w:after="0" w:line="240" w:lineRule="auto"/>
        <w:rPr>
          <w:rFonts w:ascii="Arial" w:hAnsi="Arial" w:cs="Arial"/>
          <w:b/>
        </w:rPr>
      </w:pPr>
      <w:r w:rsidRPr="00DB63B6">
        <w:rPr>
          <w:rFonts w:ascii="Arial" w:hAnsi="Arial" w:cs="Arial"/>
          <w:b/>
        </w:rPr>
        <w:lastRenderedPageBreak/>
        <w:drawing>
          <wp:inline distT="0" distB="0" distL="0" distR="0" wp14:anchorId="45FD88B6" wp14:editId="4D790105">
            <wp:extent cx="5943600" cy="308673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086735"/>
                    </a:xfrm>
                    <a:prstGeom prst="rect">
                      <a:avLst/>
                    </a:prstGeom>
                  </pic:spPr>
                </pic:pic>
              </a:graphicData>
            </a:graphic>
          </wp:inline>
        </w:drawing>
      </w:r>
    </w:p>
    <w:p w:rsidR="00CC3828" w:rsidRDefault="00CC3828" w:rsidP="006852FF">
      <w:pPr>
        <w:spacing w:beforeAutospacing="1" w:after="100" w:afterAutospacing="1" w:line="240" w:lineRule="auto"/>
        <w:rPr>
          <w:rFonts w:ascii="Times New Roman" w:eastAsia="Times New Roman" w:hAnsi="Times New Roman" w:cs="Times New Roman"/>
          <w:sz w:val="24"/>
          <w:szCs w:val="24"/>
          <w:lang w:eastAsia="en-GB"/>
        </w:rPr>
      </w:pPr>
    </w:p>
    <w:p w:rsidR="00BA3927" w:rsidRDefault="00BA3927" w:rsidP="006852FF">
      <w:pPr>
        <w:spacing w:beforeAutospacing="1" w:after="100" w:afterAutospacing="1" w:line="240" w:lineRule="auto"/>
        <w:rPr>
          <w:rFonts w:ascii="Times New Roman" w:eastAsia="Times New Roman" w:hAnsi="Times New Roman" w:cs="Times New Roman"/>
          <w:sz w:val="24"/>
          <w:szCs w:val="24"/>
          <w:lang w:eastAsia="en-GB"/>
        </w:rPr>
      </w:pPr>
    </w:p>
    <w:p w:rsidR="00DB63B6" w:rsidRDefault="00DB63B6" w:rsidP="006852FF">
      <w:pPr>
        <w:spacing w:beforeAutospacing="1" w:after="100" w:afterAutospacing="1" w:line="240" w:lineRule="auto"/>
        <w:rPr>
          <w:rFonts w:ascii="Times New Roman" w:eastAsia="Times New Roman" w:hAnsi="Times New Roman" w:cs="Times New Roman"/>
          <w:sz w:val="24"/>
          <w:szCs w:val="24"/>
          <w:lang w:eastAsia="en-GB"/>
        </w:rPr>
      </w:pPr>
    </w:p>
    <w:p w:rsidR="00DB63B6" w:rsidRDefault="00DB63B6" w:rsidP="006852FF">
      <w:pPr>
        <w:spacing w:beforeAutospacing="1" w:after="100" w:afterAutospacing="1" w:line="240" w:lineRule="auto"/>
        <w:rPr>
          <w:rFonts w:ascii="Times New Roman" w:eastAsia="Times New Roman" w:hAnsi="Times New Roman" w:cs="Times New Roman"/>
          <w:sz w:val="24"/>
          <w:szCs w:val="24"/>
          <w:lang w:eastAsia="en-GB"/>
        </w:rPr>
      </w:pPr>
    </w:p>
    <w:p w:rsidR="00DB63B6" w:rsidRDefault="00DB63B6" w:rsidP="006852FF">
      <w:pPr>
        <w:spacing w:beforeAutospacing="1" w:after="100" w:afterAutospacing="1" w:line="240" w:lineRule="auto"/>
        <w:rPr>
          <w:rFonts w:ascii="Times New Roman" w:eastAsia="Times New Roman" w:hAnsi="Times New Roman" w:cs="Times New Roman"/>
          <w:sz w:val="24"/>
          <w:szCs w:val="24"/>
          <w:lang w:eastAsia="en-GB"/>
        </w:rPr>
      </w:pPr>
    </w:p>
    <w:p w:rsidR="00DB63B6" w:rsidRDefault="00DB63B6" w:rsidP="006852FF">
      <w:pPr>
        <w:spacing w:beforeAutospacing="1" w:after="100" w:afterAutospacing="1" w:line="240" w:lineRule="auto"/>
        <w:rPr>
          <w:rFonts w:ascii="Times New Roman" w:eastAsia="Times New Roman" w:hAnsi="Times New Roman" w:cs="Times New Roman"/>
          <w:sz w:val="24"/>
          <w:szCs w:val="24"/>
          <w:lang w:eastAsia="en-GB"/>
        </w:rPr>
      </w:pPr>
    </w:p>
    <w:p w:rsidR="00DB63B6" w:rsidRDefault="00DB63B6" w:rsidP="006852FF">
      <w:pPr>
        <w:spacing w:beforeAutospacing="1" w:after="100" w:afterAutospacing="1" w:line="240" w:lineRule="auto"/>
        <w:rPr>
          <w:rFonts w:ascii="Times New Roman" w:eastAsia="Times New Roman" w:hAnsi="Times New Roman" w:cs="Times New Roman"/>
          <w:sz w:val="24"/>
          <w:szCs w:val="24"/>
          <w:lang w:eastAsia="en-GB"/>
        </w:rPr>
      </w:pPr>
    </w:p>
    <w:p w:rsidR="00DB63B6" w:rsidRDefault="00DB63B6" w:rsidP="006852FF">
      <w:pPr>
        <w:spacing w:beforeAutospacing="1" w:after="100" w:afterAutospacing="1" w:line="240" w:lineRule="auto"/>
        <w:rPr>
          <w:rFonts w:ascii="Times New Roman" w:eastAsia="Times New Roman" w:hAnsi="Times New Roman" w:cs="Times New Roman"/>
          <w:sz w:val="24"/>
          <w:szCs w:val="24"/>
          <w:lang w:eastAsia="en-GB"/>
        </w:rPr>
      </w:pPr>
    </w:p>
    <w:p w:rsidR="00DB63B6" w:rsidRDefault="00DB63B6" w:rsidP="006852FF">
      <w:pPr>
        <w:spacing w:beforeAutospacing="1" w:after="100" w:afterAutospacing="1" w:line="240" w:lineRule="auto"/>
        <w:rPr>
          <w:rFonts w:ascii="Times New Roman" w:eastAsia="Times New Roman" w:hAnsi="Times New Roman" w:cs="Times New Roman"/>
          <w:sz w:val="24"/>
          <w:szCs w:val="24"/>
          <w:lang w:eastAsia="en-GB"/>
        </w:rPr>
      </w:pPr>
    </w:p>
    <w:p w:rsidR="00DB63B6" w:rsidRDefault="00DB63B6" w:rsidP="006852FF">
      <w:pPr>
        <w:spacing w:beforeAutospacing="1" w:after="100" w:afterAutospacing="1" w:line="240" w:lineRule="auto"/>
        <w:rPr>
          <w:rFonts w:ascii="Times New Roman" w:eastAsia="Times New Roman" w:hAnsi="Times New Roman" w:cs="Times New Roman"/>
          <w:sz w:val="24"/>
          <w:szCs w:val="24"/>
          <w:lang w:eastAsia="en-GB"/>
        </w:rPr>
      </w:pPr>
    </w:p>
    <w:p w:rsidR="00DB63B6" w:rsidRDefault="00DB63B6" w:rsidP="006852FF">
      <w:pPr>
        <w:spacing w:beforeAutospacing="1" w:after="100" w:afterAutospacing="1" w:line="240" w:lineRule="auto"/>
        <w:rPr>
          <w:rFonts w:ascii="Times New Roman" w:eastAsia="Times New Roman" w:hAnsi="Times New Roman" w:cs="Times New Roman"/>
          <w:sz w:val="24"/>
          <w:szCs w:val="24"/>
          <w:lang w:eastAsia="en-GB"/>
        </w:rPr>
      </w:pPr>
    </w:p>
    <w:p w:rsidR="00DB63B6" w:rsidRDefault="00DB63B6" w:rsidP="006852FF">
      <w:pPr>
        <w:spacing w:beforeAutospacing="1" w:after="100" w:afterAutospacing="1" w:line="240" w:lineRule="auto"/>
        <w:rPr>
          <w:rFonts w:ascii="Times New Roman" w:eastAsia="Times New Roman" w:hAnsi="Times New Roman" w:cs="Times New Roman"/>
          <w:sz w:val="24"/>
          <w:szCs w:val="24"/>
          <w:lang w:eastAsia="en-GB"/>
        </w:rPr>
      </w:pPr>
    </w:p>
    <w:p w:rsidR="00DB63B6" w:rsidRDefault="00DB63B6" w:rsidP="006852FF">
      <w:pPr>
        <w:spacing w:beforeAutospacing="1" w:after="100" w:afterAutospacing="1" w:line="240" w:lineRule="auto"/>
        <w:rPr>
          <w:rFonts w:ascii="Times New Roman" w:eastAsia="Times New Roman" w:hAnsi="Times New Roman" w:cs="Times New Roman"/>
          <w:sz w:val="24"/>
          <w:szCs w:val="24"/>
          <w:lang w:eastAsia="en-GB"/>
        </w:rPr>
      </w:pPr>
    </w:p>
    <w:p w:rsidR="00DB63B6" w:rsidRDefault="00DB63B6" w:rsidP="006852FF">
      <w:pPr>
        <w:spacing w:beforeAutospacing="1" w:after="100" w:afterAutospacing="1" w:line="240" w:lineRule="auto"/>
        <w:rPr>
          <w:rFonts w:ascii="Times New Roman" w:eastAsia="Times New Roman" w:hAnsi="Times New Roman" w:cs="Times New Roman"/>
          <w:sz w:val="24"/>
          <w:szCs w:val="24"/>
          <w:lang w:eastAsia="en-GB"/>
        </w:rPr>
      </w:pPr>
    </w:p>
    <w:p w:rsidR="00BA3927" w:rsidRPr="00BA3927" w:rsidRDefault="00BA3927" w:rsidP="006852FF">
      <w:pPr>
        <w:spacing w:beforeAutospacing="1" w:after="100" w:afterAutospacing="1" w:line="240" w:lineRule="auto"/>
        <w:rPr>
          <w:rFonts w:ascii="Times New Roman" w:eastAsia="Times New Roman" w:hAnsi="Times New Roman" w:cs="Times New Roman"/>
          <w:b/>
          <w:sz w:val="32"/>
          <w:szCs w:val="24"/>
          <w:lang w:eastAsia="en-GB"/>
        </w:rPr>
      </w:pPr>
      <w:r>
        <w:rPr>
          <w:rFonts w:ascii="Times New Roman" w:eastAsia="Times New Roman" w:hAnsi="Times New Roman" w:cs="Times New Roman"/>
          <w:b/>
          <w:sz w:val="32"/>
          <w:szCs w:val="24"/>
          <w:lang w:eastAsia="en-GB"/>
        </w:rPr>
        <w:lastRenderedPageBreak/>
        <w:t xml:space="preserve">                                            </w:t>
      </w:r>
      <w:r w:rsidR="00327C04">
        <w:rPr>
          <w:rFonts w:ascii="Times New Roman" w:eastAsia="Times New Roman" w:hAnsi="Times New Roman" w:cs="Times New Roman"/>
          <w:b/>
          <w:sz w:val="32"/>
          <w:szCs w:val="24"/>
          <w:lang w:eastAsia="en-GB"/>
        </w:rPr>
        <w:t xml:space="preserve"> </w:t>
      </w:r>
      <w:r>
        <w:rPr>
          <w:rFonts w:ascii="Times New Roman" w:eastAsia="Times New Roman" w:hAnsi="Times New Roman" w:cs="Times New Roman"/>
          <w:b/>
          <w:sz w:val="32"/>
          <w:szCs w:val="24"/>
          <w:lang w:eastAsia="en-GB"/>
        </w:rPr>
        <w:t xml:space="preserve"> </w:t>
      </w:r>
      <w:r w:rsidRPr="00BA3927">
        <w:rPr>
          <w:rFonts w:ascii="Times New Roman" w:eastAsia="Times New Roman" w:hAnsi="Times New Roman" w:cs="Times New Roman"/>
          <w:b/>
          <w:sz w:val="32"/>
          <w:szCs w:val="24"/>
          <w:lang w:eastAsia="en-GB"/>
        </w:rPr>
        <w:t>Task-2</w:t>
      </w:r>
    </w:p>
    <w:p w:rsidR="009F5085" w:rsidRDefault="00E01374" w:rsidP="00E01374">
      <w:pPr>
        <w:pStyle w:val="Heading2"/>
        <w:rPr>
          <w:sz w:val="36"/>
        </w:rPr>
      </w:pPr>
      <w:r w:rsidRPr="00E01374">
        <w:rPr>
          <w:sz w:val="36"/>
        </w:rPr>
        <w:t xml:space="preserve">                          </w:t>
      </w:r>
      <w:r>
        <w:rPr>
          <w:sz w:val="36"/>
        </w:rPr>
        <w:t xml:space="preserve">   </w:t>
      </w:r>
    </w:p>
    <w:p w:rsidR="00E01374" w:rsidRPr="00E01374" w:rsidRDefault="00327C04" w:rsidP="00E01374">
      <w:pPr>
        <w:pStyle w:val="Heading2"/>
        <w:rPr>
          <w:sz w:val="36"/>
        </w:rPr>
      </w:pPr>
      <w:r>
        <w:rPr>
          <w:sz w:val="36"/>
        </w:rPr>
        <w:t xml:space="preserve">                                     </w:t>
      </w:r>
      <w:r w:rsidR="00E01374" w:rsidRPr="00E01374">
        <w:rPr>
          <w:sz w:val="36"/>
        </w:rPr>
        <w:t>Excel projection</w:t>
      </w:r>
    </w:p>
    <w:p w:rsidR="00E01374" w:rsidRDefault="00E01374" w:rsidP="00DE3F0A">
      <w:pPr>
        <w:spacing w:after="0"/>
      </w:pPr>
    </w:p>
    <w:p w:rsidR="0020399B" w:rsidRDefault="00082ADB" w:rsidP="00DE3F0A">
      <w:pPr>
        <w:spacing w:after="0"/>
      </w:pPr>
      <w:r>
        <w:object w:dxaOrig="7311" w:dyaOrig="23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0" type="#_x0000_t75" style="width:499.7pt;height:175.35pt" o:ole="">
            <v:imagedata r:id="rId24" o:title=""/>
          </v:shape>
          <o:OLEObject Type="Embed" ProgID="Excel.Sheet.12" ShapeID="_x0000_i1040" DrawAspect="Content" ObjectID="_1843075928" r:id="rId25"/>
        </w:object>
      </w:r>
    </w:p>
    <w:p w:rsidR="003D6BDD" w:rsidRDefault="003D6BDD" w:rsidP="00DE3F0A">
      <w:pPr>
        <w:spacing w:after="0"/>
      </w:pPr>
    </w:p>
    <w:p w:rsidR="00762F83" w:rsidRDefault="00762F83" w:rsidP="00762F83">
      <w:pPr>
        <w:spacing w:after="0"/>
      </w:pPr>
    </w:p>
    <w:p w:rsidR="00E01374" w:rsidRDefault="00E01374" w:rsidP="00762F83">
      <w:pPr>
        <w:spacing w:after="0"/>
      </w:pPr>
    </w:p>
    <w:p w:rsidR="00327C04" w:rsidRDefault="00327C04" w:rsidP="00762F83">
      <w:pPr>
        <w:spacing w:after="0"/>
        <w:rPr>
          <w:rStyle w:val="TitleChar"/>
        </w:rPr>
      </w:pPr>
      <w:bookmarkStart w:id="0" w:name="_GoBack"/>
      <w:bookmarkEnd w:id="0"/>
    </w:p>
    <w:p w:rsidR="00762F83" w:rsidRDefault="00762F83" w:rsidP="00762F83">
      <w:pPr>
        <w:spacing w:after="0"/>
      </w:pPr>
      <w:r w:rsidRPr="00E01374">
        <w:rPr>
          <w:rStyle w:val="TitleChar"/>
        </w:rPr>
        <w:t>Importance of Microsoft Excel in the Digital Era</w:t>
      </w:r>
      <w:r w:rsidRPr="00E01374">
        <w:rPr>
          <w:sz w:val="40"/>
        </w:rPr>
        <w:t xml:space="preserve"> </w:t>
      </w:r>
    </w:p>
    <w:p w:rsidR="00762F83" w:rsidRDefault="00762F83" w:rsidP="00762F83">
      <w:pPr>
        <w:spacing w:after="0"/>
      </w:pPr>
    </w:p>
    <w:p w:rsidR="00A04873" w:rsidRPr="00327C04" w:rsidRDefault="00A04873" w:rsidP="001429B5">
      <w:pPr>
        <w:pStyle w:val="NormalWeb"/>
        <w:rPr>
          <w:color w:val="1F243C"/>
          <w:shd w:val="clear" w:color="auto" w:fill="FFFFFF"/>
        </w:rPr>
      </w:pPr>
      <w:r w:rsidRPr="00327C04">
        <w:rPr>
          <w:color w:val="1F243C"/>
          <w:shd w:val="clear" w:color="auto" w:fill="FFFFFF"/>
        </w:rPr>
        <w:t xml:space="preserve">Microsoft Excel is an important digital tool in today’s business world. Even with the rise of specialized financial software, Excel is still widely used across different industries because of its flexibility, accessibility, and analytical strength. For small businesses, start-ups, and entrepreneurs, it offers an affordable option for financial </w:t>
      </w:r>
      <w:proofErr w:type="spellStart"/>
      <w:r w:rsidRPr="00327C04">
        <w:rPr>
          <w:color w:val="1F243C"/>
          <w:shd w:val="clear" w:color="auto" w:fill="FFFFFF"/>
        </w:rPr>
        <w:t>modeling</w:t>
      </w:r>
      <w:proofErr w:type="spellEnd"/>
      <w:r w:rsidRPr="00327C04">
        <w:rPr>
          <w:color w:val="1F243C"/>
          <w:shd w:val="clear" w:color="auto" w:fill="FFFFFF"/>
        </w:rPr>
        <w:t>, strategic planning, and making operational decisions.</w:t>
      </w:r>
    </w:p>
    <w:p w:rsidR="00FD346F" w:rsidRDefault="00FD346F" w:rsidP="001429B5">
      <w:pPr>
        <w:pStyle w:val="NormalWeb"/>
      </w:pPr>
      <w:r>
        <w:t xml:space="preserve">Spreadsheet proficiency is far more than just an isolated software skill; it is a fundamental pillar of professional digital capability. As Reedy and Parker (2017) point out, true digital literacy means knowing how to locate, manage, </w:t>
      </w:r>
      <w:proofErr w:type="spellStart"/>
      <w:r>
        <w:t>analyze</w:t>
      </w:r>
      <w:proofErr w:type="spellEnd"/>
      <w:r>
        <w:t>, and synthesize data to solve real-world problems. In today’s competitive business landscape, mastering Excel is a core competency that directly boosts organizational efficiency and empowers professionals to confidently handle complex quantitative demands (Reedy and Parker, 2017).</w:t>
      </w:r>
    </w:p>
    <w:p w:rsidR="00FD346F" w:rsidRDefault="00FD346F" w:rsidP="00FD346F">
      <w:pPr>
        <w:pStyle w:val="NormalWeb"/>
      </w:pPr>
      <w:r>
        <w:lastRenderedPageBreak/>
        <w:t>In today’s digital era, businesses operate in data-driven environments where strategic choices must be backed by empirical evidence rather than gut feeling. Excel allows users to structure and manipulate raw data streams efficiently, using formulas, logical functions, and forecasting tools to transform disorganized figures into actionable business insights. This capability is absolutely critical during early-stage corporate launches, where financial uncertainty is high and precise projections are a necessity. Ultimately, research highlights the vital role of structured data analysis in mitigating risk, noting that an overwhelming majority of start-ups fail simply due to cash-flow mismanagement and a lack of formalized financial forecasting (Blank, 2013).</w:t>
      </w:r>
    </w:p>
    <w:p w:rsidR="00FD346F" w:rsidRDefault="00FD346F" w:rsidP="001429B5">
      <w:pPr>
        <w:pStyle w:val="NormalWeb"/>
      </w:pPr>
      <w:r>
        <w:t>A major benefit of using Excel for emerging enterprises like the Study Hub Café lies in its ability to automate complex calculations. As Sandhu (2020) notes, integrating digital tools into business operations transforms traditional accounting from a static system of records into an active, agile forecasting engine. By using standard formulas to automate projected revenues, monthly expenses, annual profits, and break-even points, business owners can eliminate human error while running dynamic financial models. For instance, if daily customer footfall assumptions are adjusted from 40 to 50 visitors, Excel instantly recalculates the downstream impact on net profits. This allows management to run real-time scenarios and make immediate, data-driven adjustments to their planning (Sandhu, 2020).</w:t>
      </w:r>
    </w:p>
    <w:p w:rsidR="00FD346F" w:rsidRDefault="00FD346F" w:rsidP="00FD346F">
      <w:pPr>
        <w:pStyle w:val="NormalWeb"/>
      </w:pPr>
      <w:r>
        <w:t xml:space="preserve">Furthermore, Excel serves as an indispensable tool for risk management through scenario planning and predictive </w:t>
      </w:r>
      <w:proofErr w:type="spellStart"/>
      <w:r>
        <w:t>modeling</w:t>
      </w:r>
      <w:proofErr w:type="spellEnd"/>
      <w:r>
        <w:t xml:space="preserve">. Entrepreneurs can structure their spreadsheets to map out multiple financial paths, such as a best-case scenario </w:t>
      </w:r>
      <w:proofErr w:type="spellStart"/>
      <w:r>
        <w:t>modeling</w:t>
      </w:r>
      <w:proofErr w:type="spellEnd"/>
      <w:r>
        <w:t xml:space="preserve"> high customer volume, a worst-case scenario accounting for low local demand, and a moderate growth scenario tracking baseline market adoption. This structured approach allows business owners to evaluate their risk exposure mathematically and build solid contingency strategies before committing capital.</w:t>
      </w:r>
      <w:r w:rsidR="00327C04">
        <w:t xml:space="preserve"> </w:t>
      </w:r>
      <w:r>
        <w:t xml:space="preserve">Ultimately, linking these financial projections with academic models of consumer </w:t>
      </w:r>
      <w:proofErr w:type="spellStart"/>
      <w:r>
        <w:t>behavior</w:t>
      </w:r>
      <w:proofErr w:type="spellEnd"/>
      <w:r>
        <w:t xml:space="preserve"> and target market trends significantly increases the accuracy of revenue forecasts, enabling small businesses to align their operational capacity with actual market demand (Camilleri, 2018; Khan, 2020).</w:t>
      </w:r>
    </w:p>
    <w:p w:rsidR="00FD346F" w:rsidRDefault="00FD346F" w:rsidP="00FD346F">
      <w:pPr>
        <w:pStyle w:val="NormalWeb"/>
      </w:pPr>
      <w:r>
        <w:t xml:space="preserve">Excel also plays a vital role in enhancing financial transparency and cost control. By breaking down revenue streams and specific micro-cost categories, it allows managers to closely track variable spending patterns and implement lean efficiencies. For instance, if inventory supply costs fluctuate, the spreadsheet model instantly isolates the issue and measures its direct impact on gross margins, making it much easier to adjust budgets effectively. This alignment ensures that daily operational changes remain firmly grounded in financial reality (Lemon and </w:t>
      </w:r>
      <w:proofErr w:type="spellStart"/>
      <w:r>
        <w:t>Verhoef</w:t>
      </w:r>
      <w:proofErr w:type="spellEnd"/>
      <w:r>
        <w:t>, 2016).</w:t>
      </w:r>
    </w:p>
    <w:p w:rsidR="00FD346F" w:rsidRDefault="00FD346F" w:rsidP="00FD346F">
      <w:pPr>
        <w:pStyle w:val="NormalWeb"/>
      </w:pPr>
      <w:r>
        <w:t>Additionally, Excel’s widespread accessibility helps level the playing field, allowing small firms to compete effectively against large corporations. Unlike specialized enterprise resource planning (ERP) systems, Excel is globally available and highly intuitive, meaning small businesses can leverage powerful data tools without facing expensive software overheads. Because of this, spreadsheet-driven data literacy is widely recognized as a vital employability trait across marketing, business development, and entrepreneurial sectors (</w:t>
      </w:r>
      <w:proofErr w:type="spellStart"/>
      <w:r>
        <w:t>Salterio</w:t>
      </w:r>
      <w:proofErr w:type="spellEnd"/>
      <w:r>
        <w:t>, Hughes and Cooke, 2021).</w:t>
      </w:r>
    </w:p>
    <w:p w:rsidR="00FD346F" w:rsidRDefault="00FD346F" w:rsidP="00FD346F">
      <w:pPr>
        <w:pStyle w:val="NormalWeb"/>
      </w:pPr>
      <w:r>
        <w:lastRenderedPageBreak/>
        <w:t xml:space="preserve">From an output perspective, Excel integrates seamlessly with broader cross-platform digital systems, allowing quantitative data to be easily exported into professional summaries, visual dashboards, and investor pitches. In this portfolio project, raw financial projections were converted into clean bar charts to visually clarify complex data and make profitability thresholds instantly understandable to external stakeholders. This not only enhances brand consistency but also improves communication efficiency (Chaffey, 2022; </w:t>
      </w:r>
      <w:proofErr w:type="spellStart"/>
      <w:r>
        <w:t>Tuten</w:t>
      </w:r>
      <w:proofErr w:type="spellEnd"/>
      <w:r>
        <w:t xml:space="preserve"> and Solomon, 2020).</w:t>
      </w:r>
    </w:p>
    <w:p w:rsidR="00FD346F" w:rsidRDefault="00FD346F" w:rsidP="00FD346F">
      <w:pPr>
        <w:pStyle w:val="NormalWeb"/>
      </w:pPr>
      <w:r>
        <w:t>In conclusion, Microsoft Excel stands as a vital digital asset that underpins modern financial forecasting, risk mitigation, and evidence-based corporate decision-making. Within this portfolio, the platform successfully automated the complex calculation of revenue goals, break-even limits, and overall market viability for the Study Hub Café, proving itself essential for navigating today's digital economy.</w:t>
      </w:r>
    </w:p>
    <w:p w:rsidR="00082ADB" w:rsidRDefault="00082ADB" w:rsidP="00FD346F">
      <w:pPr>
        <w:pStyle w:val="NormalWeb"/>
      </w:pPr>
    </w:p>
    <w:p w:rsidR="00082ADB" w:rsidRPr="00082ADB" w:rsidRDefault="00082ADB" w:rsidP="00FD346F">
      <w:pPr>
        <w:pStyle w:val="NormalWeb"/>
        <w:rPr>
          <w:b/>
          <w:sz w:val="28"/>
        </w:rPr>
      </w:pPr>
      <w:r w:rsidRPr="00082ADB">
        <w:rPr>
          <w:b/>
          <w:sz w:val="28"/>
        </w:rPr>
        <w:t>Individual Presentation Slides:</w:t>
      </w:r>
    </w:p>
    <w:p w:rsidR="008D33EB" w:rsidRDefault="008D33EB" w:rsidP="00FD346F">
      <w:pPr>
        <w:pStyle w:val="NormalWeb"/>
      </w:pPr>
    </w:p>
    <w:p w:rsidR="008D33EB" w:rsidRDefault="00082ADB" w:rsidP="00FD346F">
      <w:pPr>
        <w:pStyle w:val="NormalWeb"/>
      </w:pPr>
      <w:r>
        <w:object w:dxaOrig="9600" w:dyaOrig="5401">
          <v:shape id="_x0000_i1032" type="#_x0000_t75" style="width:480.1pt;height:270.2pt" o:ole="">
            <v:imagedata r:id="rId26" o:title=""/>
          </v:shape>
          <o:OLEObject Type="Embed" ProgID="PowerPoint.Show.12" ShapeID="_x0000_i1032" DrawAspect="Content" ObjectID="_1843075929" r:id="rId27"/>
        </w:object>
      </w:r>
    </w:p>
    <w:p w:rsidR="001429B5" w:rsidRDefault="001429B5" w:rsidP="001429B5"/>
    <w:p w:rsidR="00762F83" w:rsidRDefault="00762F83" w:rsidP="00762F83">
      <w:pPr>
        <w:spacing w:after="0"/>
      </w:pPr>
    </w:p>
    <w:p w:rsidR="00762F83" w:rsidRDefault="00762F83" w:rsidP="00762F83">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D32A67" w:rsidRPr="00BA3927" w:rsidRDefault="00E01374" w:rsidP="00DE3F0A">
      <w:pPr>
        <w:spacing w:after="0"/>
        <w:rPr>
          <w:b/>
          <w:sz w:val="36"/>
        </w:rPr>
      </w:pPr>
      <w:r w:rsidRPr="00BA3927">
        <w:rPr>
          <w:b/>
          <w:sz w:val="36"/>
        </w:rPr>
        <w:t>References:</w:t>
      </w:r>
    </w:p>
    <w:p w:rsidR="009F664B" w:rsidRDefault="00562722" w:rsidP="00D32A67">
      <w:pPr>
        <w:spacing w:after="0"/>
      </w:pPr>
      <w:r>
        <w:t>1.</w:t>
      </w:r>
      <w:hyperlink r:id="rId28" w:history="1">
        <w:r w:rsidR="00D32A67" w:rsidRPr="009F664B">
          <w:rPr>
            <w:rStyle w:val="Hyperlink"/>
          </w:rPr>
          <w:t xml:space="preserve">Belanche, D., </w:t>
        </w:r>
        <w:proofErr w:type="spellStart"/>
        <w:r w:rsidR="00D32A67" w:rsidRPr="009F664B">
          <w:rPr>
            <w:rStyle w:val="Hyperlink"/>
          </w:rPr>
          <w:t>Cenjor</w:t>
        </w:r>
        <w:proofErr w:type="spellEnd"/>
        <w:r w:rsidR="00D32A67" w:rsidRPr="009F664B">
          <w:rPr>
            <w:rStyle w:val="Hyperlink"/>
          </w:rPr>
          <w:t xml:space="preserve">, I. and Pérez-Rueda, A. (2019) ‘Instagram Stories versus Facebook Wall: An advertising effectiveness analysis’, </w:t>
        </w:r>
        <w:r w:rsidR="00D32A67" w:rsidRPr="009F664B">
          <w:rPr>
            <w:rStyle w:val="Hyperlink"/>
            <w:i/>
            <w:iCs/>
          </w:rPr>
          <w:t>Spanish Journal of Marketing – ESIC</w:t>
        </w:r>
        <w:r w:rsidR="00D32A67" w:rsidRPr="009F664B">
          <w:rPr>
            <w:rStyle w:val="Hyperlink"/>
          </w:rPr>
          <w:t>, 23(1), pp. 69–94.</w:t>
        </w:r>
      </w:hyperlink>
    </w:p>
    <w:p w:rsidR="00E01374" w:rsidRDefault="00E01374" w:rsidP="00D32A67">
      <w:pPr>
        <w:spacing w:after="0"/>
      </w:pPr>
    </w:p>
    <w:p w:rsidR="00E01374" w:rsidRDefault="00562722" w:rsidP="00D32A67">
      <w:pPr>
        <w:spacing w:after="0"/>
      </w:pPr>
      <w:r>
        <w:t xml:space="preserve">2. </w:t>
      </w:r>
      <w:hyperlink r:id="rId29" w:history="1">
        <w:r w:rsidR="00D32A67" w:rsidRPr="00E01374">
          <w:rPr>
            <w:rStyle w:val="Hyperlink"/>
          </w:rPr>
          <w:t xml:space="preserve">Chaffey, D. (2022) ‘Digital marketing trends 2022’, </w:t>
        </w:r>
        <w:r w:rsidR="00D32A67" w:rsidRPr="00E01374">
          <w:rPr>
            <w:rStyle w:val="Hyperlink"/>
            <w:i/>
            <w:iCs/>
          </w:rPr>
          <w:t>Smart Insights</w:t>
        </w:r>
        <w:r w:rsidR="00D32A67" w:rsidRPr="00E01374">
          <w:rPr>
            <w:rStyle w:val="Hyperlink"/>
          </w:rPr>
          <w:t>.</w:t>
        </w:r>
      </w:hyperlink>
    </w:p>
    <w:p w:rsidR="00E01374" w:rsidRDefault="00E01374" w:rsidP="00D32A67">
      <w:pPr>
        <w:spacing w:after="0"/>
      </w:pPr>
    </w:p>
    <w:p w:rsidR="00E01374" w:rsidRDefault="00562722" w:rsidP="00D32A67">
      <w:pPr>
        <w:spacing w:after="0"/>
      </w:pPr>
      <w:r>
        <w:t xml:space="preserve">3. </w:t>
      </w:r>
      <w:hyperlink r:id="rId30" w:history="1">
        <w:r w:rsidR="00D32A67" w:rsidRPr="00E01374">
          <w:rPr>
            <w:rStyle w:val="Hyperlink"/>
          </w:rPr>
          <w:t xml:space="preserve">Deloitte (2023) </w:t>
        </w:r>
        <w:r w:rsidR="00D32A67" w:rsidRPr="00E01374">
          <w:rPr>
            <w:rStyle w:val="Hyperlink"/>
            <w:i/>
            <w:iCs/>
          </w:rPr>
          <w:t>UK Consumer Tracker 2023</w:t>
        </w:r>
        <w:r w:rsidR="00D32A67" w:rsidRPr="00E01374">
          <w:rPr>
            <w:rStyle w:val="Hyperlink"/>
          </w:rPr>
          <w:t>.</w:t>
        </w:r>
      </w:hyperlink>
    </w:p>
    <w:p w:rsidR="00E01374" w:rsidRDefault="00E01374" w:rsidP="00D32A67">
      <w:pPr>
        <w:spacing w:after="0"/>
      </w:pPr>
    </w:p>
    <w:p w:rsidR="00E01374" w:rsidRDefault="00562722" w:rsidP="00D32A67">
      <w:pPr>
        <w:spacing w:after="0"/>
      </w:pPr>
      <w:r>
        <w:t xml:space="preserve">4. </w:t>
      </w:r>
      <w:hyperlink r:id="rId31" w:history="1">
        <w:proofErr w:type="spellStart"/>
        <w:r w:rsidR="00752759" w:rsidRPr="00AF6D70">
          <w:rPr>
            <w:rStyle w:val="Hyperlink"/>
          </w:rPr>
          <w:t>Dadwal</w:t>
        </w:r>
        <w:proofErr w:type="spellEnd"/>
        <w:r w:rsidR="00752759" w:rsidRPr="00AF6D70">
          <w:rPr>
            <w:rStyle w:val="Hyperlink"/>
          </w:rPr>
          <w:t>, S.S. (ed.) (2020) Handbook of Research on Innovations in Technology and Marketing for the Connected Consumer. Hershey, PA: IGI Global.</w:t>
        </w:r>
      </w:hyperlink>
    </w:p>
    <w:p w:rsidR="00E01374" w:rsidRDefault="00562722" w:rsidP="00D32A67">
      <w:pPr>
        <w:spacing w:after="0"/>
      </w:pPr>
      <w:r>
        <w:t xml:space="preserve">5. </w:t>
      </w:r>
      <w:hyperlink r:id="rId32" w:history="1">
        <w:r w:rsidR="006A61D7" w:rsidRPr="00D33879">
          <w:rPr>
            <w:rStyle w:val="Hyperlink"/>
          </w:rPr>
          <w:t xml:space="preserve">Pinto, F.M. and </w:t>
        </w:r>
        <w:proofErr w:type="spellStart"/>
        <w:r w:rsidR="006A61D7" w:rsidRPr="00D33879">
          <w:rPr>
            <w:rStyle w:val="Hyperlink"/>
          </w:rPr>
          <w:t>Guarda</w:t>
        </w:r>
        <w:proofErr w:type="spellEnd"/>
        <w:r w:rsidR="006A61D7" w:rsidRPr="00D33879">
          <w:rPr>
            <w:rStyle w:val="Hyperlink"/>
          </w:rPr>
          <w:t>, T. (eds.) (2020) Digital Marketing Strategies and Models for Competitive Business. Hershey, PA: IGI Global.</w:t>
        </w:r>
      </w:hyperlink>
    </w:p>
    <w:p w:rsidR="00E01374" w:rsidRDefault="00562722" w:rsidP="00D32A67">
      <w:pPr>
        <w:spacing w:after="0"/>
      </w:pPr>
      <w:r>
        <w:t xml:space="preserve">6. </w:t>
      </w:r>
      <w:hyperlink r:id="rId33" w:history="1">
        <w:r w:rsidR="00D32A67" w:rsidRPr="00E01374">
          <w:rPr>
            <w:rStyle w:val="Hyperlink"/>
          </w:rPr>
          <w:t xml:space="preserve">Mintel (2023) </w:t>
        </w:r>
        <w:r w:rsidR="00D32A67" w:rsidRPr="00E01374">
          <w:rPr>
            <w:rStyle w:val="Hyperlink"/>
            <w:i/>
            <w:iCs/>
          </w:rPr>
          <w:t>Coffee Shops and Cafés – UK Market Report</w:t>
        </w:r>
        <w:r w:rsidR="00D32A67" w:rsidRPr="00E01374">
          <w:rPr>
            <w:rStyle w:val="Hyperlink"/>
          </w:rPr>
          <w:t>.</w:t>
        </w:r>
      </w:hyperlink>
    </w:p>
    <w:p w:rsidR="00E01374" w:rsidRDefault="00E01374" w:rsidP="00D32A67">
      <w:pPr>
        <w:spacing w:after="0"/>
      </w:pPr>
    </w:p>
    <w:p w:rsidR="00E01374" w:rsidRDefault="00562722" w:rsidP="00D32A67">
      <w:pPr>
        <w:spacing w:after="0"/>
      </w:pPr>
      <w:r>
        <w:t xml:space="preserve">7. </w:t>
      </w:r>
      <w:hyperlink r:id="rId34" w:history="1">
        <w:r w:rsidR="00D32A67" w:rsidRPr="00E01374">
          <w:rPr>
            <w:rStyle w:val="Hyperlink"/>
          </w:rPr>
          <w:t xml:space="preserve">Office for National Statistics (2023) </w:t>
        </w:r>
        <w:r w:rsidR="00D32A67" w:rsidRPr="00E01374">
          <w:rPr>
            <w:rStyle w:val="Hyperlink"/>
            <w:i/>
            <w:iCs/>
          </w:rPr>
          <w:t>Internet access – households and individuals, Great Britain</w:t>
        </w:r>
        <w:r w:rsidR="00D32A67" w:rsidRPr="00E01374">
          <w:rPr>
            <w:rStyle w:val="Hyperlink"/>
          </w:rPr>
          <w:t>.</w:t>
        </w:r>
      </w:hyperlink>
    </w:p>
    <w:p w:rsidR="00E01374" w:rsidRDefault="00E01374" w:rsidP="00D32A67">
      <w:pPr>
        <w:spacing w:after="0"/>
      </w:pPr>
    </w:p>
    <w:p w:rsidR="00E01374" w:rsidRDefault="00562722" w:rsidP="00D32A67">
      <w:pPr>
        <w:spacing w:after="0"/>
      </w:pPr>
      <w:r>
        <w:t xml:space="preserve">8. </w:t>
      </w:r>
      <w:hyperlink r:id="rId35" w:history="1">
        <w:r w:rsidR="00D32A67" w:rsidRPr="00E01374">
          <w:rPr>
            <w:rStyle w:val="Hyperlink"/>
          </w:rPr>
          <w:t xml:space="preserve">Parasuraman, A., Zeithaml, V.A. and Berry, L.L. (1988) ‘SERVQUAL: A Multiple-Item Scale for Measuring Consumer Perceptions of Service Quality’, </w:t>
        </w:r>
        <w:r w:rsidR="00D32A67" w:rsidRPr="00E01374">
          <w:rPr>
            <w:rStyle w:val="Hyperlink"/>
            <w:i/>
            <w:iCs/>
          </w:rPr>
          <w:t>Journal of Retailing</w:t>
        </w:r>
        <w:r w:rsidR="00D32A67" w:rsidRPr="00E01374">
          <w:rPr>
            <w:rStyle w:val="Hyperlink"/>
          </w:rPr>
          <w:t>, 64(1), pp. 12–40.</w:t>
        </w:r>
      </w:hyperlink>
    </w:p>
    <w:p w:rsidR="00E01374" w:rsidRDefault="00E01374" w:rsidP="00D32A67">
      <w:pPr>
        <w:spacing w:after="0"/>
      </w:pPr>
    </w:p>
    <w:p w:rsidR="00E01374" w:rsidRDefault="00562722" w:rsidP="00D32A67">
      <w:pPr>
        <w:spacing w:after="0"/>
      </w:pPr>
      <w:r>
        <w:t xml:space="preserve">9. </w:t>
      </w:r>
      <w:hyperlink r:id="rId36" w:history="1">
        <w:r w:rsidR="00D32A67" w:rsidRPr="00E01374">
          <w:rPr>
            <w:rStyle w:val="Hyperlink"/>
          </w:rPr>
          <w:t xml:space="preserve">PwC (2023) </w:t>
        </w:r>
        <w:r w:rsidR="00D32A67" w:rsidRPr="00E01374">
          <w:rPr>
            <w:rStyle w:val="Hyperlink"/>
            <w:i/>
            <w:iCs/>
          </w:rPr>
          <w:t>Global Consumer Insights Pulse Survey 2023</w:t>
        </w:r>
        <w:r w:rsidR="00D32A67" w:rsidRPr="00E01374">
          <w:rPr>
            <w:rStyle w:val="Hyperlink"/>
          </w:rPr>
          <w:t>.</w:t>
        </w:r>
      </w:hyperlink>
    </w:p>
    <w:p w:rsidR="00E01374" w:rsidRDefault="00E01374" w:rsidP="00D32A67">
      <w:pPr>
        <w:spacing w:after="0"/>
      </w:pPr>
    </w:p>
    <w:p w:rsidR="00E01374" w:rsidRDefault="00562722" w:rsidP="00D32A67">
      <w:pPr>
        <w:spacing w:after="0"/>
      </w:pPr>
      <w:r>
        <w:t xml:space="preserve">10. </w:t>
      </w:r>
      <w:hyperlink r:id="rId37" w:history="1">
        <w:r w:rsidR="00D32A67" w:rsidRPr="00E01374">
          <w:rPr>
            <w:rStyle w:val="Hyperlink"/>
          </w:rPr>
          <w:t xml:space="preserve">Statista (2024) </w:t>
        </w:r>
        <w:r w:rsidR="00D32A67" w:rsidRPr="00E01374">
          <w:rPr>
            <w:rStyle w:val="Hyperlink"/>
            <w:i/>
            <w:iCs/>
          </w:rPr>
          <w:t>Coffee consumption in the UK</w:t>
        </w:r>
        <w:r w:rsidR="00D32A67" w:rsidRPr="00E01374">
          <w:rPr>
            <w:rStyle w:val="Hyperlink"/>
          </w:rPr>
          <w:t>.</w:t>
        </w:r>
      </w:hyperlink>
    </w:p>
    <w:p w:rsidR="00E01374" w:rsidRDefault="00E01374" w:rsidP="00D32A67">
      <w:pPr>
        <w:spacing w:after="0"/>
      </w:pPr>
    </w:p>
    <w:p w:rsidR="00E01374" w:rsidRDefault="00562722" w:rsidP="00D32A67">
      <w:pPr>
        <w:spacing w:after="0"/>
      </w:pPr>
      <w:r>
        <w:t xml:space="preserve">11. </w:t>
      </w:r>
      <w:hyperlink r:id="rId38" w:history="1">
        <w:proofErr w:type="spellStart"/>
        <w:r w:rsidR="00D32A67" w:rsidRPr="00E01374">
          <w:rPr>
            <w:rStyle w:val="Hyperlink"/>
          </w:rPr>
          <w:t>Tuten</w:t>
        </w:r>
        <w:proofErr w:type="spellEnd"/>
        <w:r w:rsidR="00D32A67" w:rsidRPr="00E01374">
          <w:rPr>
            <w:rStyle w:val="Hyperlink"/>
          </w:rPr>
          <w:t xml:space="preserve">, T.L. and Solomon, M.R. (2020) </w:t>
        </w:r>
        <w:r w:rsidR="00D32A67" w:rsidRPr="00E01374">
          <w:rPr>
            <w:rStyle w:val="Hyperlink"/>
            <w:i/>
            <w:iCs/>
          </w:rPr>
          <w:t>Social Media Marketing</w:t>
        </w:r>
        <w:r w:rsidR="00D32A67" w:rsidRPr="00E01374">
          <w:rPr>
            <w:rStyle w:val="Hyperlink"/>
          </w:rPr>
          <w:t>. 4th edn. London: Sage.</w:t>
        </w:r>
      </w:hyperlink>
    </w:p>
    <w:p w:rsidR="00E01374" w:rsidRDefault="00E01374" w:rsidP="00D32A67">
      <w:pPr>
        <w:spacing w:after="0"/>
      </w:pPr>
    </w:p>
    <w:p w:rsidR="00D32A67" w:rsidRDefault="00562722" w:rsidP="00D32A67">
      <w:pPr>
        <w:spacing w:after="0"/>
      </w:pPr>
      <w:r>
        <w:t xml:space="preserve">12. </w:t>
      </w:r>
      <w:hyperlink r:id="rId39" w:history="1">
        <w:r w:rsidR="00D32A67" w:rsidRPr="00E01374">
          <w:rPr>
            <w:rStyle w:val="Hyperlink"/>
          </w:rPr>
          <w:t xml:space="preserve">Zeithaml, V.A., Bitner, M.J. and Gremler, D.D. (2020) </w:t>
        </w:r>
        <w:r w:rsidR="00D32A67" w:rsidRPr="00E01374">
          <w:rPr>
            <w:rStyle w:val="Hyperlink"/>
            <w:i/>
            <w:iCs/>
          </w:rPr>
          <w:t>Services Marketing: Integrating Customer Focus Across the Firm</w:t>
        </w:r>
        <w:r w:rsidR="00D32A67" w:rsidRPr="00E01374">
          <w:rPr>
            <w:rStyle w:val="Hyperlink"/>
          </w:rPr>
          <w:t>. 7th edn. New York: McGraw-Hill Education.</w:t>
        </w:r>
      </w:hyperlink>
    </w:p>
    <w:p w:rsidR="00762F83" w:rsidRDefault="00762F83" w:rsidP="00762F83">
      <w:pPr>
        <w:spacing w:after="0"/>
      </w:pPr>
    </w:p>
    <w:p w:rsidR="00762F83" w:rsidRDefault="00562722" w:rsidP="00762F83">
      <w:pPr>
        <w:spacing w:after="0"/>
      </w:pPr>
      <w:r>
        <w:t xml:space="preserve">13. </w:t>
      </w:r>
      <w:hyperlink r:id="rId40" w:history="1">
        <w:r w:rsidR="00762F83" w:rsidRPr="005D0B7B">
          <w:rPr>
            <w:rStyle w:val="Hyperlink"/>
          </w:rPr>
          <w:t>Blank, S. (2013) Why the lean start-up changes everything. Harvard Business Review.</w:t>
        </w:r>
      </w:hyperlink>
      <w:r w:rsidR="00762F83">
        <w:t xml:space="preserve"> </w:t>
      </w:r>
    </w:p>
    <w:p w:rsidR="00B55469" w:rsidRDefault="00562722" w:rsidP="00762F83">
      <w:pPr>
        <w:spacing w:after="0"/>
      </w:pPr>
      <w:r>
        <w:t xml:space="preserve">14. </w:t>
      </w:r>
      <w:hyperlink r:id="rId41" w:history="1">
        <w:r w:rsidR="00762F83" w:rsidRPr="00B55469">
          <w:rPr>
            <w:rStyle w:val="Hyperlink"/>
          </w:rPr>
          <w:t>Camilleri, M.A. (2018) Market segmentation, targeting and positioning.</w:t>
        </w:r>
      </w:hyperlink>
      <w:r w:rsidR="00762F83">
        <w:t xml:space="preserve"> </w:t>
      </w:r>
    </w:p>
    <w:p w:rsidR="00D33879" w:rsidRPr="00D33879" w:rsidRDefault="00D33879" w:rsidP="00762F83">
      <w:pPr>
        <w:spacing w:after="0"/>
      </w:pPr>
      <w:r>
        <w:t xml:space="preserve">15. </w:t>
      </w:r>
      <w:hyperlink r:id="rId42" w:history="1">
        <w:r w:rsidR="006A61D7" w:rsidRPr="00DD45E4">
          <w:rPr>
            <w:rStyle w:val="Hyperlink"/>
          </w:rPr>
          <w:t>Sandhu, K. (ed.) (2020) Digital Transformation and Innovative Services for Business and Learning. Hershey, PA: IGI Global.</w:t>
        </w:r>
      </w:hyperlink>
    </w:p>
    <w:p w:rsidR="00B55469" w:rsidRDefault="00762F83" w:rsidP="00762F83">
      <w:pPr>
        <w:spacing w:after="0"/>
      </w:pPr>
      <w:r>
        <w:t xml:space="preserve"> </w:t>
      </w:r>
    </w:p>
    <w:p w:rsidR="00762F83" w:rsidRDefault="00562722" w:rsidP="00762F83">
      <w:pPr>
        <w:spacing w:after="0"/>
      </w:pPr>
      <w:r>
        <w:t xml:space="preserve">16. </w:t>
      </w:r>
      <w:hyperlink r:id="rId43" w:history="1">
        <w:r w:rsidR="00762F83" w:rsidRPr="00B55469">
          <w:rPr>
            <w:rStyle w:val="Hyperlink"/>
          </w:rPr>
          <w:t>HubSpot (2024) Local SEO statistics</w:t>
        </w:r>
      </w:hyperlink>
      <w:r w:rsidR="00762F83">
        <w:t xml:space="preserve">. </w:t>
      </w:r>
    </w:p>
    <w:p w:rsidR="00B55469" w:rsidRDefault="00B55469" w:rsidP="00762F83">
      <w:pPr>
        <w:spacing w:after="0"/>
      </w:pPr>
    </w:p>
    <w:p w:rsidR="00762F83" w:rsidRDefault="00562722" w:rsidP="00762F83">
      <w:pPr>
        <w:spacing w:after="0"/>
      </w:pPr>
      <w:r>
        <w:t xml:space="preserve">17. </w:t>
      </w:r>
      <w:hyperlink r:id="rId44" w:history="1">
        <w:r w:rsidR="00762F83" w:rsidRPr="00B55469">
          <w:rPr>
            <w:rStyle w:val="Hyperlink"/>
          </w:rPr>
          <w:t>Khan, M.T. (2020) ‘The concept of consumer behaviour’, International Journal of Management Studies.</w:t>
        </w:r>
      </w:hyperlink>
      <w:r w:rsidR="00762F83">
        <w:t xml:space="preserve"> </w:t>
      </w:r>
    </w:p>
    <w:p w:rsidR="00762F83" w:rsidRPr="00B55469" w:rsidRDefault="00B55469" w:rsidP="00762F83">
      <w:pPr>
        <w:spacing w:after="0"/>
        <w:rPr>
          <w:rStyle w:val="Hyperlink"/>
        </w:rPr>
      </w:pPr>
      <w:r>
        <w:fldChar w:fldCharType="begin"/>
      </w:r>
      <w:r>
        <w:instrText xml:space="preserve"> HYPERLINK "https://journals.sagepub.com/doi/10.1509/jm.15.0420" </w:instrText>
      </w:r>
      <w:r>
        <w:fldChar w:fldCharType="separate"/>
      </w:r>
    </w:p>
    <w:p w:rsidR="00762F83" w:rsidRDefault="00562722" w:rsidP="00762F83">
      <w:pPr>
        <w:spacing w:after="0"/>
      </w:pPr>
      <w:r>
        <w:rPr>
          <w:rStyle w:val="Hyperlink"/>
        </w:rPr>
        <w:t xml:space="preserve">18. </w:t>
      </w:r>
      <w:r w:rsidR="00762F83" w:rsidRPr="00B55469">
        <w:rPr>
          <w:rStyle w:val="Hyperlink"/>
        </w:rPr>
        <w:t xml:space="preserve">Lemon, K.N. and </w:t>
      </w:r>
      <w:proofErr w:type="spellStart"/>
      <w:r w:rsidR="00762F83" w:rsidRPr="00B55469">
        <w:rPr>
          <w:rStyle w:val="Hyperlink"/>
        </w:rPr>
        <w:t>Verhoef</w:t>
      </w:r>
      <w:proofErr w:type="spellEnd"/>
      <w:r w:rsidR="00762F83" w:rsidRPr="00B55469">
        <w:rPr>
          <w:rStyle w:val="Hyperlink"/>
        </w:rPr>
        <w:t>, P.C. (2016) ‘Understanding customer experience’, Journal of Marketing.</w:t>
      </w:r>
      <w:r w:rsidR="00B55469">
        <w:fldChar w:fldCharType="end"/>
      </w:r>
      <w:r w:rsidR="00762F83">
        <w:t xml:space="preserve"> </w:t>
      </w:r>
    </w:p>
    <w:p w:rsidR="00762F83" w:rsidRDefault="00762F83" w:rsidP="00762F83">
      <w:pPr>
        <w:spacing w:after="0"/>
      </w:pPr>
    </w:p>
    <w:p w:rsidR="00B55469" w:rsidRDefault="00562722" w:rsidP="00762F83">
      <w:pPr>
        <w:spacing w:after="0"/>
      </w:pPr>
      <w:r>
        <w:t xml:space="preserve">19. </w:t>
      </w:r>
      <w:hyperlink r:id="rId45" w:history="1">
        <w:r w:rsidR="006A61D7" w:rsidRPr="00D33879">
          <w:rPr>
            <w:rStyle w:val="Hyperlink"/>
          </w:rPr>
          <w:t>Reedy, K. and Parker, J. (eds.) (2017) Digital Literacy Unpacked. London: Facet Publishing.</w:t>
        </w:r>
      </w:hyperlink>
    </w:p>
    <w:p w:rsidR="00762F83" w:rsidRDefault="00762F83" w:rsidP="00762F83">
      <w:pPr>
        <w:spacing w:after="0"/>
      </w:pPr>
    </w:p>
    <w:p w:rsidR="00762F83" w:rsidRDefault="00562722" w:rsidP="00762F83">
      <w:pPr>
        <w:spacing w:after="0"/>
        <w:rPr>
          <w:rStyle w:val="Hyperlink"/>
        </w:rPr>
      </w:pPr>
      <w:r>
        <w:t xml:space="preserve">20. </w:t>
      </w:r>
      <w:hyperlink r:id="rId46" w:history="1">
        <w:r w:rsidR="00762F83" w:rsidRPr="00B55469">
          <w:rPr>
            <w:rStyle w:val="Hyperlink"/>
          </w:rPr>
          <w:t>Statista (2024) Digital consumer behaviour statistics.</w:t>
        </w:r>
      </w:hyperlink>
    </w:p>
    <w:p w:rsidR="009E3788" w:rsidRPr="004D4766" w:rsidRDefault="009E3788" w:rsidP="00762F83">
      <w:pPr>
        <w:spacing w:after="0"/>
      </w:pPr>
      <w:r>
        <w:t xml:space="preserve">21. </w:t>
      </w:r>
      <w:proofErr w:type="spellStart"/>
      <w:r>
        <w:rPr>
          <w:b/>
          <w:bCs/>
        </w:rPr>
        <w:t>Salterio</w:t>
      </w:r>
      <w:proofErr w:type="spellEnd"/>
      <w:r>
        <w:rPr>
          <w:b/>
          <w:bCs/>
        </w:rPr>
        <w:t>, M., Hughes, M. and Cooke, L. (2021)</w:t>
      </w:r>
      <w:r>
        <w:t xml:space="preserve"> </w:t>
      </w:r>
      <w:r>
        <w:rPr>
          <w:i/>
          <w:iCs/>
        </w:rPr>
        <w:t>Digital Competence Frameworks in Action</w:t>
      </w:r>
      <w:r>
        <w:t>. London: Facet Publishing.</w:t>
      </w:r>
    </w:p>
    <w:p w:rsidR="00D32A67" w:rsidRDefault="00D32A67" w:rsidP="00DE3F0A">
      <w:pPr>
        <w:spacing w:after="0"/>
      </w:pPr>
    </w:p>
    <w:sectPr w:rsidR="00D32A6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714F" w:rsidRDefault="00E2714F" w:rsidP="00667FCB">
      <w:pPr>
        <w:spacing w:after="0" w:line="240" w:lineRule="auto"/>
      </w:pPr>
      <w:r>
        <w:separator/>
      </w:r>
    </w:p>
  </w:endnote>
  <w:endnote w:type="continuationSeparator" w:id="0">
    <w:p w:rsidR="00E2714F" w:rsidRDefault="00E2714F" w:rsidP="00667F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714F" w:rsidRDefault="00E2714F" w:rsidP="00667FCB">
      <w:pPr>
        <w:spacing w:after="0" w:line="240" w:lineRule="auto"/>
      </w:pPr>
      <w:r>
        <w:separator/>
      </w:r>
    </w:p>
  </w:footnote>
  <w:footnote w:type="continuationSeparator" w:id="0">
    <w:p w:rsidR="00E2714F" w:rsidRDefault="00E2714F" w:rsidP="00667F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E7F6C"/>
    <w:multiLevelType w:val="hybridMultilevel"/>
    <w:tmpl w:val="45C0675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3C2887"/>
    <w:multiLevelType w:val="multilevel"/>
    <w:tmpl w:val="097E7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5A2EE8"/>
    <w:multiLevelType w:val="hybridMultilevel"/>
    <w:tmpl w:val="804E994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483181"/>
    <w:multiLevelType w:val="hybridMultilevel"/>
    <w:tmpl w:val="E0DAC8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9E95F9E"/>
    <w:multiLevelType w:val="multilevel"/>
    <w:tmpl w:val="D7EE4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F92B19"/>
    <w:multiLevelType w:val="hybridMultilevel"/>
    <w:tmpl w:val="0E3212C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B346DBC"/>
    <w:multiLevelType w:val="multilevel"/>
    <w:tmpl w:val="41D2A1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D1751ED"/>
    <w:multiLevelType w:val="hybridMultilevel"/>
    <w:tmpl w:val="4E42C1A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7391D7A"/>
    <w:multiLevelType w:val="hybridMultilevel"/>
    <w:tmpl w:val="5E0ED400"/>
    <w:lvl w:ilvl="0" w:tplc="F148D7DA">
      <w:start w:val="4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9EF1632"/>
    <w:multiLevelType w:val="hybridMultilevel"/>
    <w:tmpl w:val="1EEE046A"/>
    <w:lvl w:ilvl="0" w:tplc="675A6304">
      <w:start w:val="4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CE77EB0"/>
    <w:multiLevelType w:val="multilevel"/>
    <w:tmpl w:val="16A8A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054D58"/>
    <w:multiLevelType w:val="hybridMultilevel"/>
    <w:tmpl w:val="E744BBF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30B1987"/>
    <w:multiLevelType w:val="hybridMultilevel"/>
    <w:tmpl w:val="E6E2309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30B1BF6"/>
    <w:multiLevelType w:val="hybridMultilevel"/>
    <w:tmpl w:val="C744EE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AB47E73"/>
    <w:multiLevelType w:val="hybridMultilevel"/>
    <w:tmpl w:val="AC84B45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F354C21"/>
    <w:multiLevelType w:val="hybridMultilevel"/>
    <w:tmpl w:val="9A0AE6D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10D772D"/>
    <w:multiLevelType w:val="hybridMultilevel"/>
    <w:tmpl w:val="852EBB58"/>
    <w:lvl w:ilvl="0" w:tplc="7B4CB6CE">
      <w:start w:val="4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11B224F"/>
    <w:multiLevelType w:val="hybridMultilevel"/>
    <w:tmpl w:val="D30C250C"/>
    <w:lvl w:ilvl="0" w:tplc="A10A9FC4">
      <w:start w:val="4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1D3397A"/>
    <w:multiLevelType w:val="multilevel"/>
    <w:tmpl w:val="6B727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D829DB"/>
    <w:multiLevelType w:val="hybridMultilevel"/>
    <w:tmpl w:val="D206AE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81925C5"/>
    <w:multiLevelType w:val="multilevel"/>
    <w:tmpl w:val="3D0C6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816F46"/>
    <w:multiLevelType w:val="hybridMultilevel"/>
    <w:tmpl w:val="5E845C4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ED168AD"/>
    <w:multiLevelType w:val="hybridMultilevel"/>
    <w:tmpl w:val="2962D90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07277B3"/>
    <w:multiLevelType w:val="hybridMultilevel"/>
    <w:tmpl w:val="A37C38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3012582"/>
    <w:multiLevelType w:val="hybridMultilevel"/>
    <w:tmpl w:val="55228C2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4DA6B33"/>
    <w:multiLevelType w:val="hybridMultilevel"/>
    <w:tmpl w:val="7FDEF3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7D55EC1"/>
    <w:multiLevelType w:val="hybridMultilevel"/>
    <w:tmpl w:val="BA861A0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8626A59"/>
    <w:multiLevelType w:val="hybridMultilevel"/>
    <w:tmpl w:val="41B0633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C736CEF"/>
    <w:multiLevelType w:val="hybridMultilevel"/>
    <w:tmpl w:val="CCDCAD5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6F6385D"/>
    <w:multiLevelType w:val="multilevel"/>
    <w:tmpl w:val="23D87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9E6707D"/>
    <w:multiLevelType w:val="hybridMultilevel"/>
    <w:tmpl w:val="820A225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A1C7899"/>
    <w:multiLevelType w:val="hybridMultilevel"/>
    <w:tmpl w:val="A8B6DD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F2D53B1"/>
    <w:multiLevelType w:val="multilevel"/>
    <w:tmpl w:val="EBC0C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3C77D26"/>
    <w:multiLevelType w:val="multilevel"/>
    <w:tmpl w:val="DF962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48E3C11"/>
    <w:multiLevelType w:val="hybridMultilevel"/>
    <w:tmpl w:val="483A524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4EE2015"/>
    <w:multiLevelType w:val="hybridMultilevel"/>
    <w:tmpl w:val="EAC299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CDF3E0F"/>
    <w:multiLevelType w:val="hybridMultilevel"/>
    <w:tmpl w:val="29CC032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E3F1871"/>
    <w:multiLevelType w:val="multilevel"/>
    <w:tmpl w:val="C254C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1"/>
  </w:num>
  <w:num w:numId="2">
    <w:abstractNumId w:val="24"/>
  </w:num>
  <w:num w:numId="3">
    <w:abstractNumId w:val="35"/>
  </w:num>
  <w:num w:numId="4">
    <w:abstractNumId w:val="5"/>
  </w:num>
  <w:num w:numId="5">
    <w:abstractNumId w:val="19"/>
  </w:num>
  <w:num w:numId="6">
    <w:abstractNumId w:val="7"/>
  </w:num>
  <w:num w:numId="7">
    <w:abstractNumId w:val="22"/>
  </w:num>
  <w:num w:numId="8">
    <w:abstractNumId w:val="21"/>
  </w:num>
  <w:num w:numId="9">
    <w:abstractNumId w:val="26"/>
  </w:num>
  <w:num w:numId="10">
    <w:abstractNumId w:val="36"/>
  </w:num>
  <w:num w:numId="11">
    <w:abstractNumId w:val="13"/>
  </w:num>
  <w:num w:numId="12">
    <w:abstractNumId w:val="3"/>
  </w:num>
  <w:num w:numId="13">
    <w:abstractNumId w:val="2"/>
  </w:num>
  <w:num w:numId="14">
    <w:abstractNumId w:val="30"/>
  </w:num>
  <w:num w:numId="15">
    <w:abstractNumId w:val="15"/>
  </w:num>
  <w:num w:numId="16">
    <w:abstractNumId w:val="34"/>
  </w:num>
  <w:num w:numId="17">
    <w:abstractNumId w:val="28"/>
  </w:num>
  <w:num w:numId="18">
    <w:abstractNumId w:val="12"/>
  </w:num>
  <w:num w:numId="19">
    <w:abstractNumId w:val="14"/>
  </w:num>
  <w:num w:numId="20">
    <w:abstractNumId w:val="8"/>
  </w:num>
  <w:num w:numId="21">
    <w:abstractNumId w:val="27"/>
  </w:num>
  <w:num w:numId="22">
    <w:abstractNumId w:val="16"/>
  </w:num>
  <w:num w:numId="23">
    <w:abstractNumId w:val="11"/>
  </w:num>
  <w:num w:numId="24">
    <w:abstractNumId w:val="9"/>
  </w:num>
  <w:num w:numId="25">
    <w:abstractNumId w:val="23"/>
  </w:num>
  <w:num w:numId="26">
    <w:abstractNumId w:val="17"/>
  </w:num>
  <w:num w:numId="27">
    <w:abstractNumId w:val="0"/>
  </w:num>
  <w:num w:numId="28">
    <w:abstractNumId w:val="4"/>
  </w:num>
  <w:num w:numId="29">
    <w:abstractNumId w:val="29"/>
  </w:num>
  <w:num w:numId="30">
    <w:abstractNumId w:val="18"/>
  </w:num>
  <w:num w:numId="31">
    <w:abstractNumId w:val="32"/>
  </w:num>
  <w:num w:numId="32">
    <w:abstractNumId w:val="33"/>
  </w:num>
  <w:num w:numId="33">
    <w:abstractNumId w:val="1"/>
  </w:num>
  <w:num w:numId="34">
    <w:abstractNumId w:val="6"/>
  </w:num>
  <w:num w:numId="35">
    <w:abstractNumId w:val="10"/>
  </w:num>
  <w:num w:numId="36">
    <w:abstractNumId w:val="20"/>
  </w:num>
  <w:num w:numId="37">
    <w:abstractNumId w:val="25"/>
  </w:num>
  <w:num w:numId="38">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BAB"/>
    <w:rsid w:val="00051507"/>
    <w:rsid w:val="00053F95"/>
    <w:rsid w:val="00082ADB"/>
    <w:rsid w:val="000B4E58"/>
    <w:rsid w:val="000F2889"/>
    <w:rsid w:val="00132BDE"/>
    <w:rsid w:val="001429B5"/>
    <w:rsid w:val="0020399B"/>
    <w:rsid w:val="002152DE"/>
    <w:rsid w:val="002A3B9A"/>
    <w:rsid w:val="00325D55"/>
    <w:rsid w:val="00327C04"/>
    <w:rsid w:val="003436A2"/>
    <w:rsid w:val="00357614"/>
    <w:rsid w:val="003B4F58"/>
    <w:rsid w:val="003D4326"/>
    <w:rsid w:val="003D6BDD"/>
    <w:rsid w:val="0040187C"/>
    <w:rsid w:val="00491BAB"/>
    <w:rsid w:val="004C642D"/>
    <w:rsid w:val="004D4766"/>
    <w:rsid w:val="00562722"/>
    <w:rsid w:val="00571B22"/>
    <w:rsid w:val="00576AEE"/>
    <w:rsid w:val="005D0B7B"/>
    <w:rsid w:val="005E5926"/>
    <w:rsid w:val="00642D3F"/>
    <w:rsid w:val="00667FCB"/>
    <w:rsid w:val="00681564"/>
    <w:rsid w:val="006852FF"/>
    <w:rsid w:val="006A439C"/>
    <w:rsid w:val="006A61D7"/>
    <w:rsid w:val="006A7E12"/>
    <w:rsid w:val="00752759"/>
    <w:rsid w:val="00762F83"/>
    <w:rsid w:val="008379A6"/>
    <w:rsid w:val="008D33EB"/>
    <w:rsid w:val="00910F33"/>
    <w:rsid w:val="009E3788"/>
    <w:rsid w:val="009F5085"/>
    <w:rsid w:val="009F664B"/>
    <w:rsid w:val="00A04873"/>
    <w:rsid w:val="00A40F83"/>
    <w:rsid w:val="00AA033E"/>
    <w:rsid w:val="00AF6D70"/>
    <w:rsid w:val="00B250C7"/>
    <w:rsid w:val="00B51AC5"/>
    <w:rsid w:val="00B55469"/>
    <w:rsid w:val="00BA3927"/>
    <w:rsid w:val="00C418CD"/>
    <w:rsid w:val="00CC3828"/>
    <w:rsid w:val="00D32A67"/>
    <w:rsid w:val="00D33879"/>
    <w:rsid w:val="00DB579E"/>
    <w:rsid w:val="00DB63B6"/>
    <w:rsid w:val="00DD45E4"/>
    <w:rsid w:val="00DE3F0A"/>
    <w:rsid w:val="00E01374"/>
    <w:rsid w:val="00E2714F"/>
    <w:rsid w:val="00E6715F"/>
    <w:rsid w:val="00EC0812"/>
    <w:rsid w:val="00EE7276"/>
    <w:rsid w:val="00F37947"/>
    <w:rsid w:val="00FD346F"/>
    <w:rsid w:val="00FF75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D6B2B"/>
  <w15:docId w15:val="{508A58BF-BB8D-4572-A8B3-D6361AA85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761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0137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35761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6BDD"/>
    <w:pPr>
      <w:ind w:left="720"/>
      <w:contextualSpacing/>
    </w:pPr>
  </w:style>
  <w:style w:type="character" w:styleId="Hyperlink">
    <w:name w:val="Hyperlink"/>
    <w:basedOn w:val="DefaultParagraphFont"/>
    <w:uiPriority w:val="99"/>
    <w:unhideWhenUsed/>
    <w:rsid w:val="00D32A67"/>
    <w:rPr>
      <w:color w:val="0000FF" w:themeColor="hyperlink"/>
      <w:u w:val="single"/>
    </w:rPr>
  </w:style>
  <w:style w:type="character" w:styleId="FollowedHyperlink">
    <w:name w:val="FollowedHyperlink"/>
    <w:basedOn w:val="DefaultParagraphFont"/>
    <w:uiPriority w:val="99"/>
    <w:semiHidden/>
    <w:unhideWhenUsed/>
    <w:rsid w:val="00B55469"/>
    <w:rPr>
      <w:color w:val="800080" w:themeColor="followedHyperlink"/>
      <w:u w:val="single"/>
    </w:rPr>
  </w:style>
  <w:style w:type="paragraph" w:styleId="Title">
    <w:name w:val="Title"/>
    <w:basedOn w:val="Normal"/>
    <w:next w:val="Normal"/>
    <w:link w:val="TitleChar"/>
    <w:uiPriority w:val="10"/>
    <w:qFormat/>
    <w:rsid w:val="00E0137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01374"/>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E01374"/>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667F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7FCB"/>
  </w:style>
  <w:style w:type="paragraph" w:styleId="Footer">
    <w:name w:val="footer"/>
    <w:basedOn w:val="Normal"/>
    <w:link w:val="FooterChar"/>
    <w:uiPriority w:val="99"/>
    <w:unhideWhenUsed/>
    <w:rsid w:val="00667F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7FCB"/>
  </w:style>
  <w:style w:type="paragraph" w:styleId="BalloonText">
    <w:name w:val="Balloon Text"/>
    <w:basedOn w:val="Normal"/>
    <w:link w:val="BalloonTextChar"/>
    <w:uiPriority w:val="99"/>
    <w:semiHidden/>
    <w:unhideWhenUsed/>
    <w:rsid w:val="009F50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5085"/>
    <w:rPr>
      <w:rFonts w:ascii="Tahoma" w:hAnsi="Tahoma" w:cs="Tahoma"/>
      <w:sz w:val="16"/>
      <w:szCs w:val="16"/>
    </w:rPr>
  </w:style>
  <w:style w:type="character" w:customStyle="1" w:styleId="Heading1Char">
    <w:name w:val="Heading 1 Char"/>
    <w:basedOn w:val="DefaultParagraphFont"/>
    <w:link w:val="Heading1"/>
    <w:uiPriority w:val="9"/>
    <w:rsid w:val="00357614"/>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357614"/>
    <w:rPr>
      <w:rFonts w:asciiTheme="majorHAnsi" w:eastAsiaTheme="majorEastAsia" w:hAnsiTheme="majorHAnsi" w:cstheme="majorBidi"/>
      <w:color w:val="243F60" w:themeColor="accent1" w:themeShade="7F"/>
      <w:sz w:val="24"/>
      <w:szCs w:val="24"/>
    </w:rPr>
  </w:style>
  <w:style w:type="paragraph" w:styleId="NormalWeb">
    <w:name w:val="Normal (Web)"/>
    <w:basedOn w:val="Normal"/>
    <w:uiPriority w:val="99"/>
    <w:unhideWhenUsed/>
    <w:rsid w:val="0035761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AF6D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7159917">
      <w:bodyDiv w:val="1"/>
      <w:marLeft w:val="0"/>
      <w:marRight w:val="0"/>
      <w:marTop w:val="0"/>
      <w:marBottom w:val="0"/>
      <w:divBdr>
        <w:top w:val="none" w:sz="0" w:space="0" w:color="auto"/>
        <w:left w:val="none" w:sz="0" w:space="0" w:color="auto"/>
        <w:bottom w:val="none" w:sz="0" w:space="0" w:color="auto"/>
        <w:right w:val="none" w:sz="0" w:space="0" w:color="auto"/>
      </w:divBdr>
    </w:div>
    <w:div w:id="1267731253">
      <w:bodyDiv w:val="1"/>
      <w:marLeft w:val="0"/>
      <w:marRight w:val="0"/>
      <w:marTop w:val="0"/>
      <w:marBottom w:val="0"/>
      <w:divBdr>
        <w:top w:val="none" w:sz="0" w:space="0" w:color="auto"/>
        <w:left w:val="none" w:sz="0" w:space="0" w:color="auto"/>
        <w:bottom w:val="none" w:sz="0" w:space="0" w:color="auto"/>
        <w:right w:val="none" w:sz="0" w:space="0" w:color="auto"/>
      </w:divBdr>
      <w:divsChild>
        <w:div w:id="37022592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87670058">
      <w:bodyDiv w:val="1"/>
      <w:marLeft w:val="0"/>
      <w:marRight w:val="0"/>
      <w:marTop w:val="0"/>
      <w:marBottom w:val="0"/>
      <w:divBdr>
        <w:top w:val="none" w:sz="0" w:space="0" w:color="auto"/>
        <w:left w:val="none" w:sz="0" w:space="0" w:color="auto"/>
        <w:bottom w:val="none" w:sz="0" w:space="0" w:color="auto"/>
        <w:right w:val="none" w:sz="0" w:space="0" w:color="auto"/>
      </w:divBdr>
      <w:divsChild>
        <w:div w:id="17548117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01338610">
      <w:bodyDiv w:val="1"/>
      <w:marLeft w:val="0"/>
      <w:marRight w:val="0"/>
      <w:marTop w:val="0"/>
      <w:marBottom w:val="0"/>
      <w:divBdr>
        <w:top w:val="none" w:sz="0" w:space="0" w:color="auto"/>
        <w:left w:val="none" w:sz="0" w:space="0" w:color="auto"/>
        <w:bottom w:val="none" w:sz="0" w:space="0" w:color="auto"/>
        <w:right w:val="none" w:sz="0" w:space="0" w:color="auto"/>
      </w:divBdr>
    </w:div>
    <w:div w:id="1824858021">
      <w:bodyDiv w:val="1"/>
      <w:marLeft w:val="0"/>
      <w:marRight w:val="0"/>
      <w:marTop w:val="0"/>
      <w:marBottom w:val="0"/>
      <w:divBdr>
        <w:top w:val="none" w:sz="0" w:space="0" w:color="auto"/>
        <w:left w:val="none" w:sz="0" w:space="0" w:color="auto"/>
        <w:bottom w:val="none" w:sz="0" w:space="0" w:color="auto"/>
        <w:right w:val="none" w:sz="0" w:space="0" w:color="auto"/>
      </w:divBdr>
    </w:div>
    <w:div w:id="1963992713">
      <w:bodyDiv w:val="1"/>
      <w:marLeft w:val="0"/>
      <w:marRight w:val="0"/>
      <w:marTop w:val="0"/>
      <w:marBottom w:val="0"/>
      <w:divBdr>
        <w:top w:val="none" w:sz="0" w:space="0" w:color="auto"/>
        <w:left w:val="none" w:sz="0" w:space="0" w:color="auto"/>
        <w:bottom w:val="none" w:sz="0" w:space="0" w:color="auto"/>
        <w:right w:val="none" w:sz="0" w:space="0" w:color="auto"/>
      </w:divBdr>
      <w:divsChild>
        <w:div w:id="4187150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28040628">
      <w:bodyDiv w:val="1"/>
      <w:marLeft w:val="0"/>
      <w:marRight w:val="0"/>
      <w:marTop w:val="0"/>
      <w:marBottom w:val="0"/>
      <w:divBdr>
        <w:top w:val="none" w:sz="0" w:space="0" w:color="auto"/>
        <w:left w:val="none" w:sz="0" w:space="0" w:color="auto"/>
        <w:bottom w:val="none" w:sz="0" w:space="0" w:color="auto"/>
        <w:right w:val="none" w:sz="0" w:space="0" w:color="auto"/>
      </w:divBdr>
      <w:divsChild>
        <w:div w:id="12448047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emf"/><Relationship Id="rId39" Type="http://schemas.openxmlformats.org/officeDocument/2006/relationships/hyperlink" Target="https://www.mheducation.com" TargetMode="External"/><Relationship Id="rId21" Type="http://schemas.openxmlformats.org/officeDocument/2006/relationships/image" Target="media/image14.png"/><Relationship Id="rId34" Type="http://schemas.openxmlformats.org/officeDocument/2006/relationships/hyperlink" Target="https://www.ons.gov.uk" TargetMode="External"/><Relationship Id="rId42" Type="http://schemas.openxmlformats.org/officeDocument/2006/relationships/hyperlink" Target="http://doi:10.4018/978-1-7998-5175-2"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hyperlink" Target="https://www.smartinsights.com/digital-marketing-strategy/digital-marketing-trend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7.emf"/><Relationship Id="rId32" Type="http://schemas.openxmlformats.org/officeDocument/2006/relationships/hyperlink" Target="https://www.igi-global.com/gateway/book/239390" TargetMode="External"/><Relationship Id="rId37" Type="http://schemas.openxmlformats.org/officeDocument/2006/relationships/hyperlink" Target="https://www.statista.com" TargetMode="External"/><Relationship Id="rId40" Type="http://schemas.openxmlformats.org/officeDocument/2006/relationships/hyperlink" Target="https://hbr.org/2013/05/why-the-lean-start-up-changes-everything" TargetMode="External"/><Relationship Id="rId45" Type="http://schemas.openxmlformats.org/officeDocument/2006/relationships/hyperlink" Target="https://login.microsoftonline.com/4e0f11f9-046e-4505-9cb8-db2152311e21/saml2?SAMLRequest=lZLLbtswEEV%2FReCe4sOULBGWAzdGUANpa8RKFt1R1DgWSpGuhkrbv69s10CyCZr93MfMmcXN794lLzBgF3xFRMpJAt6GtvPPFXms72hBEozGt8YFDxXxgdwsF2h6d9SrMR78A%2FwcAWOyQoQhTi63wePYw7CD4aWz8PhwX5FDjEfUjLnw3Pk0HMGbeACPqYfITmZMMmORYT%2BmxqbjD%2BYMa0RTZLPWUJvblqost7QAnlGjbLMX3KhmLkiynsK7ye7c%2F21O39khYNjH4F3nIbWhZwr4Xoh9SbnKYTKd%2FErbFLRtpMjkTAiQ4txIkuQuDBbOS1ZkbxwCSTbrijRWtTnYnM9nreJi1oBStjC2KXM1K6SaphBH2PjT3WJFJJc55TkVqualVnOdqbQs5XeSbIcQgw3uU%2BcvBx8Hr4PBDrU3PaCOVu9WX%2B61TLluLkOoP9f1lm6%2F7WqSPF3ByRO4CaVHfWbzvtXxXy65kNTnvsMr%2Fftyc0VNlv8DtodoWhMNxePHAS%2FYq4bXx%2Fs6Vdqst8F19k%2Byci78uh3AxOk9BWHLi%2BTtey7%2FAg%3D%3D&amp;RelayState=%2Fsaml%2F2%2Fsso%2Fsmu.ac.uk%2Fo%2F223%2Fc%2Foafed%3FSAMLRequest%3DfZJPj5swEMW%252FCvIdDIbwxwpZpRtVjbRtow3bQ2%252BDGTaoYFOPSbvfviQ0UtrD3ue9N%252FN%252Bs374PfTeGS11RpcsCkLmoVam6fRryV6qj37OPHKgG%252BiNxpJpwx42a4KhH%252BV2cif9jD8nJOdtidC62eXRaJoGtEe0507hy%252FNTyU7OjSQ5V0ZrVC4wI2pwJ9QUaHQcawv2LVBm4HGetWma1H6dJZmftEnug0jRD7OVggLqRDUZhzmYW3Xmlz0EHw055u3mLbrZ9XrILbA3r53%252BP%252B6i4oITGU7DFIAKph%252FccCFirriBFhvm7Xcla0JIW1QRQJEleRrnUBRC1PGqaJM0zYt5imjCvb4U5EomQpH6YepHSRUWMsnkKg7yPPrOvIM1zijTf%252Bj00uxktTRAHUkNA5J0Sh63n5%252BkCEJZL0MkP1XVwT98PVbM%252B3YjJC6EZmaa5BXC%252B1bj31y2IJPXfe2d%252Fn053Jiyza3QpUafxuAOmgE%252BoIMGHKz5XdDtUb7MzvvdwfSdevO2fW9%252BPVoEN79TxPhmkfz7Tps%252F%26RelayState%3D45e0a2b8-41be-46e7-8b0a-e93f28b637c3"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i.org/10.1108/SJME-09-2018-0042" TargetMode="External"/><Relationship Id="rId36" Type="http://schemas.openxmlformats.org/officeDocument/2006/relationships/hyperlink" Target="https://www.pwc.com/gx/en/industries/consumer-markets/consumer-insights-survey.html" TargetMode="External"/><Relationship Id="rId10" Type="http://schemas.openxmlformats.org/officeDocument/2006/relationships/hyperlink" Target="https://studyhubcafe.mystrikingly.com" TargetMode="External"/><Relationship Id="rId19" Type="http://schemas.openxmlformats.org/officeDocument/2006/relationships/image" Target="media/image12.png"/><Relationship Id="rId31" Type="http://schemas.openxmlformats.org/officeDocument/2006/relationships/hyperlink" Target="https://www.igi-global.com/gateway/book/226306" TargetMode="External"/><Relationship Id="rId44" Type="http://schemas.openxmlformats.org/officeDocument/2006/relationships/hyperlink" Target="https://www.researchgate.net/publication/342713312_Comments_on_Sternberg's_Canal-A_Rare_Cause_of_Spontaneous_Cerebrospinal_Fluid_Rhinorrhea"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package" Target="embeddings/Microsoft_PowerPoint_Presentation.pptx"/><Relationship Id="rId30" Type="http://schemas.openxmlformats.org/officeDocument/2006/relationships/hyperlink" Target="https://www2.deloitte.com/uk/en/pages/consumer-business/articles/consumer-tracker.html" TargetMode="External"/><Relationship Id="rId35" Type="http://schemas.openxmlformats.org/officeDocument/2006/relationships/hyperlink" Target="https://www.researchgate.net/publication/225083802" TargetMode="External"/><Relationship Id="rId43" Type="http://schemas.openxmlformats.org/officeDocument/2006/relationships/hyperlink" Target="https://blog.hubspot.com/marketing/local-seo-stats"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package" Target="embeddings/Microsoft_Excel_Worksheet.xlsx"/><Relationship Id="rId33" Type="http://schemas.openxmlformats.org/officeDocument/2006/relationships/hyperlink" Target="https://www.mintel.com" TargetMode="External"/><Relationship Id="rId38" Type="http://schemas.openxmlformats.org/officeDocument/2006/relationships/hyperlink" Target="https://uk.sagepub.com" TargetMode="External"/><Relationship Id="rId46" Type="http://schemas.openxmlformats.org/officeDocument/2006/relationships/hyperlink" Target="https://www.statista.com/topics/consumer-behavior/" TargetMode="External"/><Relationship Id="rId20" Type="http://schemas.openxmlformats.org/officeDocument/2006/relationships/image" Target="media/image13.png"/><Relationship Id="rId41" Type="http://schemas.openxmlformats.org/officeDocument/2006/relationships/hyperlink" Target="https://www.researchgate.net/publication/326207027_Comparative_Seroepidemiological_Study_of_Brucellosis_in_Sheep_under_Smallholder_Farming_and_Governmental_Breeding_Ranches_of_Central_and_North_East_Ethiop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923</TotalTime>
  <Pages>15</Pages>
  <Words>3017</Words>
  <Characters>17202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m.s computer</dc:creator>
  <cp:lastModifiedBy>007</cp:lastModifiedBy>
  <cp:revision>8</cp:revision>
  <dcterms:created xsi:type="dcterms:W3CDTF">2026-06-13T23:28:00Z</dcterms:created>
  <dcterms:modified xsi:type="dcterms:W3CDTF">2026-06-15T19:46:00Z</dcterms:modified>
</cp:coreProperties>
</file>