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C017D" w14:textId="77777777" w:rsidR="00B21F2E" w:rsidRDefault="00B21F2E" w:rsidP="004B368B">
      <w:pPr>
        <w:spacing w:after="240"/>
        <w:jc w:val="center"/>
        <w:rPr>
          <w:rFonts w:ascii="Tahoma" w:hAnsi="Tahoma" w:cs="Tahoma"/>
          <w:b/>
          <w:u w:val="single"/>
        </w:rPr>
      </w:pPr>
    </w:p>
    <w:p w14:paraId="1541FFF7" w14:textId="77777777" w:rsidR="001B69C8" w:rsidRDefault="001B69C8" w:rsidP="004B368B">
      <w:pPr>
        <w:spacing w:after="240"/>
        <w:jc w:val="both"/>
        <w:rPr>
          <w:rFonts w:ascii="Tahoma" w:hAnsi="Tahoma" w:cs="Tahoma"/>
          <w:b/>
          <w:u w:val="single"/>
        </w:rPr>
      </w:pPr>
    </w:p>
    <w:p w14:paraId="20055B42" w14:textId="77777777" w:rsidR="001B69C8" w:rsidRPr="003425C0" w:rsidRDefault="001B69C8" w:rsidP="004B368B">
      <w:pPr>
        <w:spacing w:after="240"/>
        <w:jc w:val="both"/>
        <w:rPr>
          <w:rFonts w:ascii="Tahoma" w:hAnsi="Tahoma" w:cs="Tahoma"/>
          <w:b/>
          <w:u w:val="single"/>
        </w:rPr>
      </w:pPr>
    </w:p>
    <w:p w14:paraId="088AB31E" w14:textId="77777777" w:rsidR="00301AD0" w:rsidRPr="003425C0" w:rsidRDefault="001B6DB4" w:rsidP="004B368B">
      <w:pPr>
        <w:spacing w:after="240"/>
        <w:jc w:val="both"/>
        <w:rPr>
          <w:rFonts w:ascii="Tahoma" w:hAnsi="Tahoma" w:cs="Tahoma"/>
          <w:b/>
          <w:u w:val="single"/>
        </w:rPr>
      </w:pPr>
      <w:r w:rsidRPr="003425C0">
        <w:rPr>
          <w:rFonts w:ascii="Tahoma" w:hAnsi="Tahoma" w:cs="Tahoma"/>
          <w:b/>
          <w:u w:val="single"/>
        </w:rPr>
        <w:t>L</w:t>
      </w:r>
      <w:r w:rsidR="001B69C8" w:rsidRPr="003425C0">
        <w:rPr>
          <w:rFonts w:ascii="Tahoma" w:hAnsi="Tahoma" w:cs="Tahoma"/>
          <w:b/>
          <w:u w:val="single"/>
        </w:rPr>
        <w:t>E</w:t>
      </w:r>
      <w:r w:rsidRPr="003425C0">
        <w:rPr>
          <w:rFonts w:ascii="Tahoma" w:hAnsi="Tahoma" w:cs="Tahoma"/>
          <w:b/>
          <w:u w:val="single"/>
        </w:rPr>
        <w:t>V</w:t>
      </w:r>
      <w:r w:rsidR="001B69C8" w:rsidRPr="003425C0">
        <w:rPr>
          <w:rFonts w:ascii="Tahoma" w:hAnsi="Tahoma" w:cs="Tahoma"/>
          <w:b/>
          <w:u w:val="single"/>
        </w:rPr>
        <w:t>EL 4</w:t>
      </w:r>
      <w:r w:rsidR="00643CB9" w:rsidRPr="003425C0">
        <w:rPr>
          <w:rFonts w:ascii="Tahoma" w:hAnsi="Tahoma" w:cs="Tahoma"/>
          <w:b/>
          <w:u w:val="single"/>
        </w:rPr>
        <w:t>–</w:t>
      </w:r>
      <w:r w:rsidR="00B21F2E" w:rsidRPr="003425C0">
        <w:rPr>
          <w:rFonts w:ascii="Tahoma" w:hAnsi="Tahoma" w:cs="Tahoma"/>
          <w:b/>
          <w:u w:val="single"/>
        </w:rPr>
        <w:t xml:space="preserve">Student Journal </w:t>
      </w:r>
      <w:r w:rsidR="00A138AA" w:rsidRPr="003425C0">
        <w:rPr>
          <w:rFonts w:ascii="Tahoma" w:hAnsi="Tahoma" w:cs="Tahoma"/>
          <w:b/>
          <w:u w:val="single"/>
        </w:rPr>
        <w:t>(750 words)</w:t>
      </w:r>
    </w:p>
    <w:p w14:paraId="4C064BF5" w14:textId="77777777" w:rsidR="00C50AE7" w:rsidRPr="003425C0" w:rsidRDefault="00C50AE7" w:rsidP="004B368B">
      <w:pPr>
        <w:spacing w:after="240"/>
        <w:jc w:val="both"/>
        <w:rPr>
          <w:rFonts w:ascii="Tahoma" w:hAnsi="Tahoma" w:cs="Tahoma"/>
          <w:b/>
          <w:u w:val="single"/>
        </w:rPr>
      </w:pPr>
    </w:p>
    <w:p w14:paraId="289CC97A" w14:textId="77777777" w:rsidR="00301AD0" w:rsidRPr="003425C0" w:rsidRDefault="00B21F2E" w:rsidP="004B368B">
      <w:pPr>
        <w:spacing w:after="240"/>
        <w:jc w:val="both"/>
        <w:rPr>
          <w:rFonts w:ascii="Tahoma" w:hAnsi="Tahoma" w:cs="Tahoma"/>
        </w:rPr>
      </w:pPr>
      <w:r w:rsidRPr="003425C0">
        <w:rPr>
          <w:rFonts w:ascii="Tahoma" w:hAnsi="Tahoma" w:cs="Tahoma"/>
        </w:rPr>
        <w:t xml:space="preserve">You are required to complete a </w:t>
      </w:r>
      <w:r w:rsidR="00AE799D" w:rsidRPr="003425C0">
        <w:rPr>
          <w:rFonts w:ascii="Tahoma" w:hAnsi="Tahoma" w:cs="Tahoma"/>
        </w:rPr>
        <w:t>j</w:t>
      </w:r>
      <w:r w:rsidRPr="003425C0">
        <w:rPr>
          <w:rFonts w:ascii="Tahoma" w:hAnsi="Tahoma" w:cs="Tahoma"/>
        </w:rPr>
        <w:t>ournal</w:t>
      </w:r>
      <w:r w:rsidR="00AE799D" w:rsidRPr="003425C0">
        <w:rPr>
          <w:rFonts w:ascii="Tahoma" w:hAnsi="Tahoma" w:cs="Tahoma"/>
        </w:rPr>
        <w:t xml:space="preserve"> entry</w:t>
      </w:r>
      <w:r w:rsidRPr="003425C0">
        <w:rPr>
          <w:rFonts w:ascii="Tahoma" w:hAnsi="Tahoma" w:cs="Tahoma"/>
        </w:rPr>
        <w:t xml:space="preserve"> to capture the learning experience and knowledge you </w:t>
      </w:r>
      <w:r w:rsidR="003617CF" w:rsidRPr="003425C0">
        <w:rPr>
          <w:rFonts w:ascii="Tahoma" w:hAnsi="Tahoma" w:cs="Tahoma"/>
        </w:rPr>
        <w:t>have</w:t>
      </w:r>
      <w:r w:rsidRPr="003425C0">
        <w:rPr>
          <w:rFonts w:ascii="Tahoma" w:hAnsi="Tahoma" w:cs="Tahoma"/>
        </w:rPr>
        <w:t xml:space="preserve"> acquiring during </w:t>
      </w:r>
      <w:r w:rsidR="003617CF" w:rsidRPr="003425C0">
        <w:rPr>
          <w:rFonts w:ascii="Tahoma" w:hAnsi="Tahoma" w:cs="Tahoma"/>
        </w:rPr>
        <w:t>a particular lecture</w:t>
      </w:r>
      <w:r w:rsidRPr="003425C0">
        <w:rPr>
          <w:rFonts w:ascii="Tahoma" w:hAnsi="Tahoma" w:cs="Tahoma"/>
        </w:rPr>
        <w:t xml:space="preserve">. </w:t>
      </w:r>
      <w:r w:rsidR="003617CF" w:rsidRPr="003425C0">
        <w:rPr>
          <w:rFonts w:ascii="Tahoma" w:hAnsi="Tahoma" w:cs="Tahoma"/>
        </w:rPr>
        <w:t>You may choose from the following topics:</w:t>
      </w:r>
    </w:p>
    <w:p w14:paraId="21EA0E23" w14:textId="77777777" w:rsidR="0079230B" w:rsidRPr="003425C0" w:rsidRDefault="0079230B" w:rsidP="004B368B">
      <w:pPr>
        <w:pStyle w:val="NormalWeb"/>
        <w:numPr>
          <w:ilvl w:val="0"/>
          <w:numId w:val="28"/>
        </w:numPr>
        <w:spacing w:after="240" w:afterAutospacing="0"/>
        <w:rPr>
          <w:rFonts w:ascii="SymbolMT" w:hAnsi="SymbolMT"/>
        </w:rPr>
      </w:pPr>
      <w:r w:rsidRPr="003425C0">
        <w:rPr>
          <w:rFonts w:ascii="Calibri" w:hAnsi="Calibri" w:cs="Calibri"/>
        </w:rPr>
        <w:t xml:space="preserve">Allergies and Intolerances and the importance within the industry </w:t>
      </w:r>
    </w:p>
    <w:p w14:paraId="2B2D0CC3" w14:textId="77777777" w:rsidR="0079230B" w:rsidRPr="003425C0" w:rsidRDefault="0079230B" w:rsidP="004B368B">
      <w:pPr>
        <w:pStyle w:val="NormalWeb"/>
        <w:numPr>
          <w:ilvl w:val="0"/>
          <w:numId w:val="28"/>
        </w:numPr>
        <w:spacing w:after="240" w:afterAutospacing="0"/>
        <w:rPr>
          <w:rFonts w:ascii="SymbolMT" w:hAnsi="SymbolMT"/>
        </w:rPr>
      </w:pPr>
      <w:r w:rsidRPr="003425C0">
        <w:rPr>
          <w:rFonts w:ascii="Calibri" w:hAnsi="Calibri" w:cs="Calibri"/>
        </w:rPr>
        <w:t xml:space="preserve">Ratings, Inspections and Reporting Procedures </w:t>
      </w:r>
    </w:p>
    <w:p w14:paraId="7A4F6995" w14:textId="77777777" w:rsidR="00B945EA" w:rsidRPr="003425C0" w:rsidRDefault="00B945EA" w:rsidP="004B368B">
      <w:pPr>
        <w:spacing w:after="240"/>
        <w:jc w:val="both"/>
        <w:rPr>
          <w:rFonts w:ascii="Tahoma" w:hAnsi="Tahoma" w:cs="Tahoma"/>
        </w:rPr>
      </w:pPr>
    </w:p>
    <w:p w14:paraId="539263AD" w14:textId="77777777" w:rsidR="00B21F2E" w:rsidRPr="003425C0" w:rsidRDefault="00B21F2E" w:rsidP="004B368B">
      <w:pPr>
        <w:spacing w:after="240"/>
        <w:jc w:val="both"/>
        <w:rPr>
          <w:rFonts w:ascii="Tahoma" w:hAnsi="Tahoma" w:cs="Tahoma"/>
        </w:rPr>
      </w:pPr>
      <w:r w:rsidRPr="003425C0">
        <w:rPr>
          <w:rFonts w:ascii="Tahoma" w:hAnsi="Tahoma" w:cs="Tahoma"/>
        </w:rPr>
        <w:t xml:space="preserve">Consider the </w:t>
      </w:r>
      <w:r w:rsidR="00C414B0" w:rsidRPr="003425C0">
        <w:rPr>
          <w:rFonts w:ascii="Tahoma" w:hAnsi="Tahoma" w:cs="Tahoma"/>
        </w:rPr>
        <w:t xml:space="preserve">appropriate </w:t>
      </w:r>
      <w:r w:rsidRPr="003425C0">
        <w:rPr>
          <w:rFonts w:ascii="Tahoma" w:hAnsi="Tahoma" w:cs="Tahoma"/>
        </w:rPr>
        <w:t>lecture</w:t>
      </w:r>
      <w:r w:rsidR="00C414B0" w:rsidRPr="003425C0">
        <w:rPr>
          <w:rFonts w:ascii="Tahoma" w:hAnsi="Tahoma" w:cs="Tahoma"/>
        </w:rPr>
        <w:t>s</w:t>
      </w:r>
      <w:r w:rsidRPr="003425C0">
        <w:rPr>
          <w:rFonts w:ascii="Tahoma" w:hAnsi="Tahoma" w:cs="Tahoma"/>
        </w:rPr>
        <w:t xml:space="preserve">. What was the </w:t>
      </w:r>
      <w:r w:rsidR="00B945EA" w:rsidRPr="003425C0">
        <w:rPr>
          <w:rFonts w:ascii="Tahoma" w:hAnsi="Tahoma" w:cs="Tahoma"/>
        </w:rPr>
        <w:t>topic and w</w:t>
      </w:r>
      <w:r w:rsidRPr="003425C0">
        <w:rPr>
          <w:rFonts w:ascii="Tahoma" w:hAnsi="Tahoma" w:cs="Tahoma"/>
        </w:rPr>
        <w:t>hat have you learn</w:t>
      </w:r>
      <w:r w:rsidR="0066732A" w:rsidRPr="003425C0">
        <w:rPr>
          <w:rFonts w:ascii="Tahoma" w:hAnsi="Tahoma" w:cs="Tahoma"/>
        </w:rPr>
        <w:t>t</w:t>
      </w:r>
      <w:r w:rsidRPr="003425C0">
        <w:rPr>
          <w:rFonts w:ascii="Tahoma" w:hAnsi="Tahoma" w:cs="Tahoma"/>
        </w:rPr>
        <w:t xml:space="preserve">? </w:t>
      </w:r>
      <w:r w:rsidR="001B69C8" w:rsidRPr="003425C0">
        <w:rPr>
          <w:rFonts w:ascii="Tahoma" w:hAnsi="Tahoma" w:cs="Tahoma"/>
        </w:rPr>
        <w:t xml:space="preserve">Provide a </w:t>
      </w:r>
      <w:r w:rsidR="001B69C8" w:rsidRPr="003425C0">
        <w:rPr>
          <w:rFonts w:ascii="Tahoma" w:hAnsi="Tahoma" w:cs="Tahoma"/>
          <w:b/>
          <w:bCs/>
        </w:rPr>
        <w:t>brief summary</w:t>
      </w:r>
      <w:r w:rsidR="001B69C8" w:rsidRPr="003425C0">
        <w:rPr>
          <w:rFonts w:ascii="Tahoma" w:hAnsi="Tahoma" w:cs="Tahoma"/>
        </w:rPr>
        <w:t xml:space="preserve">. </w:t>
      </w:r>
      <w:r w:rsidRPr="003425C0">
        <w:rPr>
          <w:rFonts w:ascii="Tahoma" w:hAnsi="Tahoma" w:cs="Tahoma"/>
        </w:rPr>
        <w:t xml:space="preserve">What </w:t>
      </w:r>
      <w:r w:rsidR="00B945EA" w:rsidRPr="003425C0">
        <w:rPr>
          <w:rFonts w:ascii="Tahoma" w:hAnsi="Tahoma" w:cs="Tahoma"/>
          <w:b/>
          <w:bCs/>
        </w:rPr>
        <w:t>new skills</w:t>
      </w:r>
      <w:r w:rsidR="00C414B0" w:rsidRPr="003425C0">
        <w:rPr>
          <w:rFonts w:ascii="Tahoma" w:hAnsi="Tahoma" w:cs="Tahoma"/>
          <w:b/>
          <w:bCs/>
        </w:rPr>
        <w:t xml:space="preserve"> / knowledge</w:t>
      </w:r>
      <w:r w:rsidR="00B945EA" w:rsidRPr="003425C0">
        <w:rPr>
          <w:rFonts w:ascii="Tahoma" w:hAnsi="Tahoma" w:cs="Tahoma"/>
          <w:b/>
          <w:bCs/>
        </w:rPr>
        <w:t xml:space="preserve"> have you acquired</w:t>
      </w:r>
      <w:r w:rsidR="00B945EA" w:rsidRPr="003425C0">
        <w:rPr>
          <w:rFonts w:ascii="Tahoma" w:hAnsi="Tahoma" w:cs="Tahoma"/>
        </w:rPr>
        <w:t xml:space="preserve">? How will you </w:t>
      </w:r>
      <w:r w:rsidR="00B945EA" w:rsidRPr="003425C0">
        <w:rPr>
          <w:rFonts w:ascii="Tahoma" w:hAnsi="Tahoma" w:cs="Tahoma"/>
          <w:b/>
          <w:bCs/>
        </w:rPr>
        <w:t>apply your knowledge</w:t>
      </w:r>
      <w:r w:rsidR="00C414B0" w:rsidRPr="003425C0">
        <w:rPr>
          <w:rFonts w:ascii="Tahoma" w:hAnsi="Tahoma" w:cs="Tahoma"/>
          <w:b/>
          <w:bCs/>
        </w:rPr>
        <w:t xml:space="preserve"> in the future</w:t>
      </w:r>
      <w:r w:rsidR="00B945EA" w:rsidRPr="003425C0">
        <w:rPr>
          <w:rFonts w:ascii="Tahoma" w:hAnsi="Tahoma" w:cs="Tahoma"/>
        </w:rPr>
        <w:t xml:space="preserve">? </w:t>
      </w:r>
      <w:r w:rsidR="0066732A" w:rsidRPr="003425C0">
        <w:rPr>
          <w:rFonts w:ascii="Tahoma" w:hAnsi="Tahoma" w:cs="Tahoma"/>
        </w:rPr>
        <w:t xml:space="preserve">What are your </w:t>
      </w:r>
      <w:r w:rsidR="0066732A" w:rsidRPr="003425C0">
        <w:rPr>
          <w:rFonts w:ascii="Tahoma" w:hAnsi="Tahoma" w:cs="Tahoma"/>
          <w:b/>
          <w:bCs/>
        </w:rPr>
        <w:t>personal reflections</w:t>
      </w:r>
      <w:r w:rsidR="00197F4A" w:rsidRPr="003425C0">
        <w:rPr>
          <w:rFonts w:ascii="Tahoma" w:hAnsi="Tahoma" w:cs="Tahoma"/>
        </w:rPr>
        <w:t xml:space="preserve"> on the subject</w:t>
      </w:r>
      <w:r w:rsidR="00C35AEF" w:rsidRPr="003425C0">
        <w:rPr>
          <w:rFonts w:ascii="Tahoma" w:hAnsi="Tahoma" w:cs="Tahoma"/>
        </w:rPr>
        <w:t xml:space="preserve">? </w:t>
      </w:r>
      <w:r w:rsidR="00CC3464" w:rsidRPr="003425C0">
        <w:rPr>
          <w:rFonts w:ascii="Tahoma" w:hAnsi="Tahoma" w:cs="Tahoma"/>
        </w:rPr>
        <w:t xml:space="preserve">Why is this </w:t>
      </w:r>
      <w:r w:rsidR="00CC3464" w:rsidRPr="003425C0">
        <w:rPr>
          <w:rFonts w:ascii="Tahoma" w:hAnsi="Tahoma" w:cs="Tahoma"/>
          <w:b/>
          <w:bCs/>
        </w:rPr>
        <w:t>topic impo</w:t>
      </w:r>
      <w:r w:rsidR="00CD40C2" w:rsidRPr="003425C0">
        <w:rPr>
          <w:rFonts w:ascii="Tahoma" w:hAnsi="Tahoma" w:cs="Tahoma"/>
          <w:b/>
          <w:bCs/>
        </w:rPr>
        <w:t>rtant within the industry</w:t>
      </w:r>
      <w:r w:rsidR="00CD40C2" w:rsidRPr="003425C0">
        <w:rPr>
          <w:rFonts w:ascii="Tahoma" w:hAnsi="Tahoma" w:cs="Tahoma"/>
        </w:rPr>
        <w:t xml:space="preserve">? </w:t>
      </w:r>
      <w:r w:rsidR="00C35AEF" w:rsidRPr="003425C0">
        <w:rPr>
          <w:rFonts w:ascii="Tahoma" w:hAnsi="Tahoma" w:cs="Tahoma"/>
        </w:rPr>
        <w:t xml:space="preserve">Provide </w:t>
      </w:r>
      <w:r w:rsidR="00C35AEF" w:rsidRPr="003425C0">
        <w:rPr>
          <w:rFonts w:ascii="Tahoma" w:hAnsi="Tahoma" w:cs="Tahoma"/>
          <w:b/>
          <w:bCs/>
        </w:rPr>
        <w:t>evidence of further reading</w:t>
      </w:r>
      <w:r w:rsidR="00CD40C2" w:rsidRPr="003425C0">
        <w:rPr>
          <w:rFonts w:ascii="Tahoma" w:hAnsi="Tahoma" w:cs="Tahoma"/>
        </w:rPr>
        <w:t>. Include a minimum of 5 references</w:t>
      </w:r>
      <w:r w:rsidR="00A138AA" w:rsidRPr="003425C0">
        <w:rPr>
          <w:rFonts w:ascii="Tahoma" w:hAnsi="Tahoma" w:cs="Tahoma"/>
        </w:rPr>
        <w:t>.</w:t>
      </w:r>
    </w:p>
    <w:p w14:paraId="3206C914" w14:textId="77777777" w:rsidR="00301AD0" w:rsidRPr="003425C0" w:rsidRDefault="00301AD0" w:rsidP="004B368B">
      <w:pPr>
        <w:spacing w:after="240"/>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425C0" w14:paraId="4DAD0162" w14:textId="77777777" w:rsidTr="00B21F2E">
        <w:tc>
          <w:tcPr>
            <w:tcW w:w="3987" w:type="dxa"/>
            <w:shd w:val="clear" w:color="auto" w:fill="8DB3E2" w:themeFill="text2" w:themeFillTint="66"/>
          </w:tcPr>
          <w:p w14:paraId="495CC6F4" w14:textId="24889507" w:rsidR="00B21F2E" w:rsidRPr="000B0D1C" w:rsidRDefault="00B21F2E" w:rsidP="004B368B">
            <w:pPr>
              <w:spacing w:after="240"/>
              <w:rPr>
                <w:rFonts w:ascii="Tahoma" w:hAnsi="Tahoma" w:cs="Tahoma"/>
                <w:b/>
                <w:sz w:val="20"/>
                <w:szCs w:val="20"/>
                <w:lang w:val="nl-NL"/>
              </w:rPr>
            </w:pPr>
            <w:r w:rsidRPr="000B0D1C">
              <w:rPr>
                <w:rFonts w:ascii="Tahoma" w:hAnsi="Tahoma" w:cs="Tahoma"/>
                <w:b/>
                <w:sz w:val="20"/>
                <w:szCs w:val="20"/>
                <w:lang w:val="nl-NL"/>
              </w:rPr>
              <w:t>Student Name:</w:t>
            </w:r>
            <w:r w:rsidR="000B0D1C" w:rsidRPr="000B0D1C">
              <w:rPr>
                <w:rFonts w:ascii="Tahoma" w:hAnsi="Tahoma" w:cs="Tahoma"/>
                <w:b/>
                <w:sz w:val="20"/>
                <w:szCs w:val="20"/>
                <w:lang w:val="nl-NL"/>
              </w:rPr>
              <w:t xml:space="preserve"> Va</w:t>
            </w:r>
            <w:r w:rsidR="000B0D1C">
              <w:rPr>
                <w:rFonts w:ascii="Tahoma" w:hAnsi="Tahoma" w:cs="Tahoma"/>
                <w:b/>
                <w:sz w:val="20"/>
                <w:szCs w:val="20"/>
                <w:lang w:val="nl-NL"/>
              </w:rPr>
              <w:t>sile Daniel Stan</w:t>
            </w:r>
          </w:p>
          <w:p w14:paraId="07494B72" w14:textId="77777777" w:rsidR="001B69C8" w:rsidRPr="000B0D1C" w:rsidRDefault="001B69C8" w:rsidP="004B368B">
            <w:pPr>
              <w:spacing w:after="240"/>
              <w:rPr>
                <w:rFonts w:ascii="Tahoma" w:hAnsi="Tahoma" w:cs="Tahoma"/>
                <w:b/>
                <w:sz w:val="20"/>
                <w:szCs w:val="20"/>
                <w:lang w:val="nl-NL"/>
              </w:rPr>
            </w:pPr>
          </w:p>
          <w:p w14:paraId="21E00EDC" w14:textId="6677E403" w:rsidR="00B21F2E" w:rsidRPr="000B0D1C" w:rsidRDefault="001B69C8" w:rsidP="004B368B">
            <w:pPr>
              <w:spacing w:after="240"/>
              <w:rPr>
                <w:rFonts w:ascii="Tahoma" w:hAnsi="Tahoma" w:cs="Tahoma"/>
                <w:b/>
                <w:sz w:val="20"/>
                <w:szCs w:val="20"/>
                <w:lang w:val="nl-NL"/>
              </w:rPr>
            </w:pPr>
            <w:r w:rsidRPr="000B0D1C">
              <w:rPr>
                <w:rFonts w:ascii="Tahoma" w:hAnsi="Tahoma" w:cs="Tahoma"/>
                <w:b/>
                <w:sz w:val="20"/>
                <w:szCs w:val="20"/>
                <w:lang w:val="nl-NL"/>
              </w:rPr>
              <w:t xml:space="preserve">Student </w:t>
            </w:r>
            <w:proofErr w:type="spellStart"/>
            <w:r w:rsidRPr="000B0D1C">
              <w:rPr>
                <w:rFonts w:ascii="Tahoma" w:hAnsi="Tahoma" w:cs="Tahoma"/>
                <w:b/>
                <w:sz w:val="20"/>
                <w:szCs w:val="20"/>
                <w:lang w:val="nl-NL"/>
              </w:rPr>
              <w:t>Number</w:t>
            </w:r>
            <w:proofErr w:type="spellEnd"/>
            <w:r w:rsidRPr="000B0D1C">
              <w:rPr>
                <w:rFonts w:ascii="Tahoma" w:hAnsi="Tahoma" w:cs="Tahoma"/>
                <w:b/>
                <w:sz w:val="20"/>
                <w:szCs w:val="20"/>
                <w:lang w:val="nl-NL"/>
              </w:rPr>
              <w:t>:</w:t>
            </w:r>
            <w:r w:rsidR="000B0D1C">
              <w:rPr>
                <w:rFonts w:ascii="Tahoma" w:hAnsi="Tahoma" w:cs="Tahoma"/>
                <w:b/>
                <w:sz w:val="20"/>
                <w:szCs w:val="20"/>
                <w:lang w:val="nl-NL"/>
              </w:rPr>
              <w:t xml:space="preserve"> 1912877</w:t>
            </w:r>
          </w:p>
          <w:p w14:paraId="2BA6DB79" w14:textId="77777777" w:rsidR="00B21F2E" w:rsidRPr="000B0D1C" w:rsidRDefault="00B21F2E" w:rsidP="004B368B">
            <w:pPr>
              <w:spacing w:after="240"/>
              <w:rPr>
                <w:rFonts w:ascii="Tahoma" w:hAnsi="Tahoma" w:cs="Tahoma"/>
                <w:b/>
                <w:sz w:val="20"/>
                <w:szCs w:val="20"/>
                <w:lang w:val="nl-NL"/>
              </w:rPr>
            </w:pPr>
          </w:p>
        </w:tc>
        <w:tc>
          <w:tcPr>
            <w:tcW w:w="7195" w:type="dxa"/>
            <w:shd w:val="clear" w:color="auto" w:fill="8DB3E2" w:themeFill="text2" w:themeFillTint="66"/>
          </w:tcPr>
          <w:p w14:paraId="3B3E8AB9" w14:textId="3D0CB5B0" w:rsidR="00B21F2E" w:rsidRPr="003425C0" w:rsidRDefault="001B69C8" w:rsidP="004B368B">
            <w:pPr>
              <w:spacing w:after="240"/>
              <w:rPr>
                <w:rFonts w:ascii="Tahoma" w:hAnsi="Tahoma" w:cs="Tahoma"/>
                <w:b/>
                <w:sz w:val="20"/>
                <w:szCs w:val="20"/>
              </w:rPr>
            </w:pPr>
            <w:r w:rsidRPr="003425C0">
              <w:rPr>
                <w:rFonts w:ascii="Tahoma" w:hAnsi="Tahoma" w:cs="Tahoma"/>
                <w:b/>
                <w:sz w:val="20"/>
                <w:szCs w:val="20"/>
              </w:rPr>
              <w:t>Module:</w:t>
            </w:r>
            <w:r w:rsidR="000D2C77">
              <w:rPr>
                <w:rFonts w:ascii="Tahoma" w:hAnsi="Tahoma" w:cs="Tahoma"/>
                <w:b/>
                <w:sz w:val="20"/>
                <w:szCs w:val="20"/>
              </w:rPr>
              <w:t xml:space="preserve"> </w:t>
            </w:r>
            <w:r w:rsidR="000D2C77" w:rsidRPr="00C57EC5">
              <w:rPr>
                <w:rFonts w:ascii="Tahoma" w:eastAsia="Tahoma" w:hAnsi="Tahoma" w:cs="Tahoma"/>
                <w:b/>
                <w:sz w:val="20"/>
                <w:szCs w:val="20"/>
              </w:rPr>
              <w:t>Food &amp; Beverage Operations (B</w:t>
            </w:r>
            <w:r w:rsidR="000D2C77">
              <w:rPr>
                <w:rFonts w:ascii="Tahoma" w:eastAsia="Tahoma" w:hAnsi="Tahoma" w:cs="Tahoma"/>
                <w:b/>
                <w:sz w:val="20"/>
                <w:szCs w:val="20"/>
              </w:rPr>
              <w:t>MIH4002)</w:t>
            </w:r>
          </w:p>
          <w:p w14:paraId="695CA5E9" w14:textId="77777777" w:rsidR="00B21F2E" w:rsidRPr="003425C0" w:rsidRDefault="00B21F2E" w:rsidP="004B368B">
            <w:pPr>
              <w:spacing w:after="240"/>
              <w:rPr>
                <w:rFonts w:ascii="Tahoma" w:hAnsi="Tahoma" w:cs="Tahoma"/>
                <w:b/>
                <w:sz w:val="20"/>
                <w:szCs w:val="20"/>
              </w:rPr>
            </w:pPr>
          </w:p>
          <w:p w14:paraId="2255B928" w14:textId="7B740529" w:rsidR="001B69C8" w:rsidRPr="003425C0" w:rsidRDefault="001B69C8" w:rsidP="004B368B">
            <w:pPr>
              <w:spacing w:after="240"/>
              <w:rPr>
                <w:rFonts w:ascii="Tahoma" w:hAnsi="Tahoma" w:cs="Tahoma"/>
                <w:b/>
                <w:sz w:val="20"/>
                <w:szCs w:val="20"/>
              </w:rPr>
            </w:pPr>
            <w:r w:rsidRPr="003425C0">
              <w:rPr>
                <w:rFonts w:ascii="Tahoma" w:hAnsi="Tahoma" w:cs="Tahoma"/>
                <w:b/>
                <w:sz w:val="20"/>
                <w:szCs w:val="20"/>
              </w:rPr>
              <w:t>Lecturer:</w:t>
            </w:r>
            <w:r w:rsidR="000D2C77">
              <w:rPr>
                <w:rFonts w:ascii="Tahoma" w:hAnsi="Tahoma" w:cs="Tahoma"/>
                <w:b/>
                <w:sz w:val="20"/>
                <w:szCs w:val="20"/>
              </w:rPr>
              <w:t xml:space="preserve"> </w:t>
            </w:r>
            <w:r w:rsidR="000D2C77" w:rsidRPr="00C57EC5">
              <w:rPr>
                <w:rFonts w:ascii="Tahoma" w:eastAsia="Tahoma" w:hAnsi="Tahoma" w:cs="Tahoma"/>
                <w:b/>
                <w:sz w:val="20"/>
                <w:szCs w:val="20"/>
                <w:lang w:val="fr-FR"/>
              </w:rPr>
              <w:t>Laurence Blake</w:t>
            </w:r>
          </w:p>
        </w:tc>
      </w:tr>
    </w:tbl>
    <w:p w14:paraId="011ADBE1" w14:textId="77777777" w:rsidR="0062012D" w:rsidRPr="003425C0" w:rsidRDefault="0062012D" w:rsidP="004B368B">
      <w:pPr>
        <w:spacing w:after="240"/>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425C0" w14:paraId="49D6E2C1" w14:textId="77777777" w:rsidTr="006F2574">
        <w:tc>
          <w:tcPr>
            <w:tcW w:w="3983" w:type="dxa"/>
            <w:shd w:val="clear" w:color="auto" w:fill="FBD4B4" w:themeFill="accent6" w:themeFillTint="66"/>
          </w:tcPr>
          <w:p w14:paraId="7E7200F4" w14:textId="77777777" w:rsidR="00B21F2E" w:rsidRPr="003425C0" w:rsidRDefault="008F0D83" w:rsidP="004B368B">
            <w:pPr>
              <w:spacing w:after="240"/>
              <w:rPr>
                <w:rFonts w:ascii="Tahoma" w:hAnsi="Tahoma" w:cs="Tahoma"/>
                <w:b/>
                <w:sz w:val="20"/>
                <w:szCs w:val="20"/>
              </w:rPr>
            </w:pPr>
            <w:r w:rsidRPr="003425C0">
              <w:rPr>
                <w:rFonts w:ascii="Tahoma" w:hAnsi="Tahoma" w:cs="Tahoma"/>
                <w:b/>
                <w:sz w:val="20"/>
                <w:szCs w:val="20"/>
              </w:rPr>
              <w:t>Topic of choice:</w:t>
            </w:r>
          </w:p>
        </w:tc>
        <w:tc>
          <w:tcPr>
            <w:tcW w:w="7199" w:type="dxa"/>
            <w:shd w:val="clear" w:color="auto" w:fill="FBD4B4" w:themeFill="accent6" w:themeFillTint="66"/>
          </w:tcPr>
          <w:p w14:paraId="769B9603" w14:textId="77777777" w:rsidR="00B21F2E" w:rsidRPr="003425C0" w:rsidRDefault="006F2574" w:rsidP="006F2574">
            <w:pPr>
              <w:spacing w:after="240"/>
              <w:rPr>
                <w:rFonts w:ascii="Tahoma" w:hAnsi="Tahoma" w:cs="Tahoma"/>
                <w:b/>
                <w:sz w:val="20"/>
                <w:szCs w:val="20"/>
              </w:rPr>
            </w:pPr>
            <w:r w:rsidRPr="003425C0">
              <w:rPr>
                <w:rFonts w:ascii="Tahoma" w:hAnsi="Tahoma" w:cs="Tahoma"/>
                <w:b/>
                <w:sz w:val="20"/>
                <w:szCs w:val="20"/>
              </w:rPr>
              <w:t>Allergies and Intolerances and the importance within the industry </w:t>
            </w:r>
          </w:p>
        </w:tc>
      </w:tr>
      <w:tr w:rsidR="00B945EA" w:rsidRPr="003425C0" w14:paraId="020822D6" w14:textId="77777777" w:rsidTr="006F2574">
        <w:trPr>
          <w:trHeight w:val="2494"/>
        </w:trPr>
        <w:tc>
          <w:tcPr>
            <w:tcW w:w="11182" w:type="dxa"/>
            <w:gridSpan w:val="2"/>
          </w:tcPr>
          <w:p w14:paraId="53C5F515" w14:textId="77777777" w:rsidR="006F2574" w:rsidRPr="003425C0" w:rsidRDefault="006F2574" w:rsidP="006F2574">
            <w:pPr>
              <w:spacing w:before="240" w:after="240"/>
              <w:jc w:val="both"/>
              <w:rPr>
                <w:rFonts w:ascii="Tahoma" w:hAnsi="Tahoma" w:cs="Tahoma"/>
                <w:sz w:val="20"/>
                <w:szCs w:val="20"/>
              </w:rPr>
            </w:pPr>
            <w:r w:rsidRPr="003425C0">
              <w:rPr>
                <w:rFonts w:ascii="Tahoma" w:hAnsi="Tahoma" w:cs="Tahoma"/>
                <w:sz w:val="20"/>
                <w:szCs w:val="20"/>
              </w:rPr>
              <w:t>As per Taylor and Baumert (2012), food intolerance and food allergy might have similar symptoms, thus it is not uncommon for people to get the wrong diagnosis. Allergies and intolerances to food may have certain symptoms, though their reasons are quite diverse. It is possible to have an intolerance to some foods but not an allergy to others when the body is incapable of adequately digesting certain foods. Allergic symptoms may range from mild (like itching) to severe, (like breathing difficulty) and even death. In the food industry, allergies and intolerances to a wide array of common foods are all too commonplace. Examples of food allergies include gluten intolerance, peanut allergy, and lactose intolerance.</w:t>
            </w:r>
          </w:p>
          <w:p w14:paraId="6C5800D7" w14:textId="77777777" w:rsidR="006F2574" w:rsidRPr="003425C0" w:rsidRDefault="006F2574" w:rsidP="006F2574">
            <w:pPr>
              <w:spacing w:before="240" w:after="240"/>
              <w:jc w:val="both"/>
              <w:rPr>
                <w:rFonts w:ascii="Tahoma" w:hAnsi="Tahoma" w:cs="Tahoma"/>
                <w:sz w:val="20"/>
                <w:szCs w:val="20"/>
              </w:rPr>
            </w:pPr>
            <w:r w:rsidRPr="003425C0">
              <w:rPr>
                <w:rFonts w:ascii="Tahoma" w:hAnsi="Tahoma" w:cs="Tahoma"/>
                <w:sz w:val="20"/>
                <w:szCs w:val="20"/>
              </w:rPr>
              <w:t xml:space="preserve">All people have experienced an allergic reaction at some time in their lives. Since I have no idea how severe someone else’s response would be, similarly addressing all food allergies is critical. While certain meals may be lethal to those who are allergic to them, those who are intolerant are improbable to be affected by even the tiniest amount of the food, and the way we cope with these varying reactions also needs to be different (Acker </w:t>
            </w:r>
            <w:r w:rsidRPr="003425C0">
              <w:rPr>
                <w:rFonts w:ascii="Tahoma" w:hAnsi="Tahoma" w:cs="Tahoma"/>
                <w:i/>
                <w:sz w:val="20"/>
                <w:szCs w:val="20"/>
              </w:rPr>
              <w:t xml:space="preserve">et al, </w:t>
            </w:r>
            <w:r w:rsidRPr="003425C0">
              <w:rPr>
                <w:rFonts w:ascii="Tahoma" w:hAnsi="Tahoma" w:cs="Tahoma"/>
                <w:sz w:val="20"/>
                <w:szCs w:val="20"/>
              </w:rPr>
              <w:t xml:space="preserve">2017). Customer input is critical in helping us choose the best course of action. Food intolerance cannot be discovered with allergy testing. There are many misconceptions about food intolerance, and doctors are frequently unaware of it. </w:t>
            </w:r>
          </w:p>
          <w:p w14:paraId="07252C9F" w14:textId="77777777" w:rsidR="006F2574" w:rsidRPr="003425C0" w:rsidRDefault="006F2574" w:rsidP="006F2574">
            <w:pPr>
              <w:spacing w:before="240" w:after="240"/>
              <w:jc w:val="both"/>
              <w:rPr>
                <w:rFonts w:ascii="Tahoma" w:hAnsi="Tahoma" w:cs="Tahoma"/>
                <w:sz w:val="20"/>
                <w:szCs w:val="20"/>
              </w:rPr>
            </w:pPr>
            <w:r w:rsidRPr="003425C0">
              <w:rPr>
                <w:rFonts w:ascii="Tahoma" w:hAnsi="Tahoma" w:cs="Tahoma"/>
                <w:sz w:val="20"/>
                <w:szCs w:val="20"/>
              </w:rPr>
              <w:t xml:space="preserve">Food intolerance that does not cause severe allergic reactions is not a result of the immune system’s involvement (termed anaphylaxis). If one has anaphylaxis, as Acker </w:t>
            </w:r>
            <w:r w:rsidRPr="003425C0">
              <w:rPr>
                <w:rFonts w:ascii="Tahoma" w:hAnsi="Tahoma" w:cs="Tahoma"/>
                <w:i/>
                <w:sz w:val="20"/>
                <w:szCs w:val="20"/>
              </w:rPr>
              <w:t>et al</w:t>
            </w:r>
            <w:r w:rsidRPr="003425C0">
              <w:rPr>
                <w:rFonts w:ascii="Tahoma" w:hAnsi="Tahoma" w:cs="Tahoma"/>
                <w:sz w:val="20"/>
                <w:szCs w:val="20"/>
              </w:rPr>
              <w:t xml:space="preserve"> (2017) opined, s/he needs medical help right away. Anaphylaxis is most often caused by foods (such as peanuts, shellfish, tree nuts, eggs, milk, and wheat) as well as bug bites and stings and certain medications. Irritable bowel syndrome-related symptoms such as migraines, rashes, or stomach pain might be </w:t>
            </w:r>
            <w:r w:rsidRPr="003425C0">
              <w:rPr>
                <w:rFonts w:ascii="Tahoma" w:hAnsi="Tahoma" w:cs="Tahoma"/>
                <w:sz w:val="20"/>
                <w:szCs w:val="20"/>
              </w:rPr>
              <w:lastRenderedPageBreak/>
              <w:t xml:space="preserve">exacerbated by meals that contain chemicals that may increase the frequency and severity of these symptoms in some people. Overreacting to protein causes allergies in those who are susceptible. The proteins in food, pollens, household dust, animal hair and moulds may all trigger allergic responses. </w:t>
            </w:r>
          </w:p>
          <w:p w14:paraId="382D949F" w14:textId="77777777" w:rsidR="006F2574" w:rsidRPr="003425C0" w:rsidRDefault="006F2574" w:rsidP="006F2574">
            <w:pPr>
              <w:spacing w:before="240" w:after="240"/>
              <w:jc w:val="both"/>
              <w:rPr>
                <w:rFonts w:ascii="Tahoma" w:hAnsi="Tahoma" w:cs="Tahoma"/>
                <w:sz w:val="20"/>
                <w:szCs w:val="20"/>
              </w:rPr>
            </w:pPr>
            <w:r w:rsidRPr="003425C0">
              <w:rPr>
                <w:rFonts w:ascii="Tahoma" w:hAnsi="Tahoma" w:cs="Tahoma"/>
                <w:sz w:val="20"/>
                <w:szCs w:val="20"/>
              </w:rPr>
              <w:t xml:space="preserve">Allergic reactions to these compounds discussed above are described by </w:t>
            </w:r>
            <w:proofErr w:type="spellStart"/>
            <w:r w:rsidRPr="003425C0">
              <w:rPr>
                <w:rFonts w:ascii="Tahoma" w:hAnsi="Tahoma" w:cs="Tahoma"/>
                <w:sz w:val="20"/>
                <w:szCs w:val="20"/>
              </w:rPr>
              <w:t>Facioni</w:t>
            </w:r>
            <w:proofErr w:type="spellEnd"/>
            <w:r w:rsidRPr="003425C0">
              <w:rPr>
                <w:rFonts w:ascii="Tahoma" w:hAnsi="Tahoma" w:cs="Tahoma"/>
                <w:sz w:val="20"/>
                <w:szCs w:val="20"/>
              </w:rPr>
              <w:t xml:space="preserve"> </w:t>
            </w:r>
            <w:r w:rsidRPr="003425C0">
              <w:rPr>
                <w:rFonts w:ascii="Tahoma" w:hAnsi="Tahoma" w:cs="Tahoma"/>
                <w:i/>
                <w:sz w:val="20"/>
                <w:szCs w:val="20"/>
              </w:rPr>
              <w:t>et al</w:t>
            </w:r>
            <w:r w:rsidRPr="003425C0">
              <w:rPr>
                <w:rFonts w:ascii="Tahoma" w:hAnsi="Tahoma" w:cs="Tahoma"/>
                <w:sz w:val="20"/>
                <w:szCs w:val="20"/>
              </w:rPr>
              <w:t xml:space="preserve"> (2020). Allergy is how the body’s immune system reacts to something it perceives to be dangerous, and we refer to this as an “allergy”. It is not an immune response, as some assume, but rather a chemical reaction that happens in certain people when they consume particular foods or beverages Irritable gut, persistent tiredness and asthma are all connected to food intolerance. Food allergies are becoming more and more of a danger to food safety. In order to avoid triggering an allergic reaction, people with food allergies must take care while choosing their meals.</w:t>
            </w:r>
          </w:p>
          <w:p w14:paraId="47AB6ED4" w14:textId="77777777" w:rsidR="006F2574" w:rsidRPr="003425C0" w:rsidRDefault="006F2574" w:rsidP="006F2574">
            <w:pPr>
              <w:spacing w:before="240" w:after="240"/>
              <w:jc w:val="both"/>
              <w:rPr>
                <w:rFonts w:ascii="Tahoma" w:hAnsi="Tahoma" w:cs="Tahoma"/>
                <w:sz w:val="20"/>
                <w:szCs w:val="20"/>
              </w:rPr>
            </w:pPr>
            <w:proofErr w:type="spellStart"/>
            <w:r w:rsidRPr="003425C0">
              <w:rPr>
                <w:rFonts w:ascii="Tahoma" w:hAnsi="Tahoma" w:cs="Tahoma"/>
                <w:sz w:val="20"/>
                <w:szCs w:val="20"/>
              </w:rPr>
              <w:t>Onyimba</w:t>
            </w:r>
            <w:proofErr w:type="spellEnd"/>
            <w:r w:rsidRPr="003425C0">
              <w:rPr>
                <w:rFonts w:ascii="Tahoma" w:hAnsi="Tahoma" w:cs="Tahoma"/>
                <w:sz w:val="20"/>
                <w:szCs w:val="20"/>
              </w:rPr>
              <w:t xml:space="preserve"> </w:t>
            </w:r>
            <w:r w:rsidRPr="003425C0">
              <w:rPr>
                <w:rFonts w:ascii="Tahoma" w:hAnsi="Tahoma" w:cs="Tahoma"/>
                <w:i/>
                <w:sz w:val="20"/>
                <w:szCs w:val="20"/>
              </w:rPr>
              <w:t>et al</w:t>
            </w:r>
            <w:r w:rsidRPr="003425C0">
              <w:rPr>
                <w:rFonts w:ascii="Tahoma" w:hAnsi="Tahoma" w:cs="Tahoma"/>
                <w:sz w:val="20"/>
                <w:szCs w:val="20"/>
              </w:rPr>
              <w:t xml:space="preserve"> (2021) opined that the remarkable growth in reported food allergy incidences, especially among children and young people, has brought growing consumer concern about allergens into the sharp spotlight in the last two decades. For the sake of its consumers’ health, the food industry must do more to prevent allergies from developing among its patrons. There is a lot of work to be done by consumers, government agencies, and food manufacturers to combat food allergies. The importance of allergy management is covered in several national and international laws, which require food manufacturers to satisfy. It is a standard for food management systems that consider allergic responses to be a risk. To ensure that their products are free of allergens and pollutants, firms are required by law to take certain precautions in their operations. In the absence of a cure for food allergies, allergy patients must avoid the foods that cause their symptoms.</w:t>
            </w:r>
          </w:p>
          <w:p w14:paraId="16C79768" w14:textId="77777777" w:rsidR="00375882" w:rsidRPr="003425C0" w:rsidRDefault="006F2574" w:rsidP="006F2574">
            <w:pPr>
              <w:spacing w:after="240"/>
              <w:jc w:val="both"/>
              <w:rPr>
                <w:rFonts w:ascii="Tahoma" w:hAnsi="Tahoma" w:cs="Tahoma"/>
                <w:sz w:val="20"/>
                <w:szCs w:val="20"/>
              </w:rPr>
            </w:pPr>
            <w:r w:rsidRPr="003425C0">
              <w:rPr>
                <w:rFonts w:ascii="Tahoma" w:hAnsi="Tahoma" w:cs="Tahoma"/>
                <w:sz w:val="20"/>
                <w:szCs w:val="20"/>
              </w:rPr>
              <w:t>A preconditioning programme mandated by ISO 22000 has already been implemented by food corporations that have implemented food safety systems in accordance with the standard. It is necessary to follow ISO 22002-1:2009 guidelines while designing and carrying out an allergy management programme (pecb.com, n. d). Organisations may use international standards and voluntary suggestions, as well as national laws that regulate food allergen labelling, to help them better avoid allergic reactions. Professionals like me at restaurants, government agencies, and other institutions involved in providing food must be aware of potential challenges caused by allergens due to a rising incidence of food allergies. It is called “cross-contact” when the allergens from two separate meals come into contact. As public health concerns about food allergies grow, the food industry has ramped up its efforts to keep them contained.</w:t>
            </w:r>
          </w:p>
        </w:tc>
      </w:tr>
    </w:tbl>
    <w:p w14:paraId="0D2D2C1C" w14:textId="77777777" w:rsidR="00B00678" w:rsidRPr="003425C0" w:rsidRDefault="00B00678" w:rsidP="004B368B">
      <w:pPr>
        <w:spacing w:after="240"/>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425C0" w14:paraId="7173921A" w14:textId="77777777" w:rsidTr="004B368B">
        <w:tc>
          <w:tcPr>
            <w:tcW w:w="10910" w:type="dxa"/>
            <w:shd w:val="clear" w:color="auto" w:fill="FBD4B4" w:themeFill="accent6" w:themeFillTint="66"/>
          </w:tcPr>
          <w:p w14:paraId="1901E2C7" w14:textId="77777777" w:rsidR="00375882" w:rsidRPr="003425C0" w:rsidRDefault="00375882" w:rsidP="004B368B">
            <w:pPr>
              <w:spacing w:after="240"/>
              <w:rPr>
                <w:rFonts w:ascii="Tahoma" w:hAnsi="Tahoma" w:cs="Tahoma"/>
                <w:b/>
                <w:sz w:val="20"/>
                <w:szCs w:val="20"/>
              </w:rPr>
            </w:pPr>
            <w:r w:rsidRPr="003425C0">
              <w:rPr>
                <w:rFonts w:ascii="Tahoma" w:hAnsi="Tahoma" w:cs="Tahoma"/>
                <w:b/>
                <w:sz w:val="20"/>
                <w:szCs w:val="20"/>
              </w:rPr>
              <w:t xml:space="preserve">REFERENCE LIST </w:t>
            </w:r>
            <w:r w:rsidR="00A138AA" w:rsidRPr="003425C0">
              <w:rPr>
                <w:rFonts w:ascii="Tahoma" w:hAnsi="Tahoma" w:cs="Tahoma"/>
                <w:b/>
                <w:sz w:val="20"/>
                <w:szCs w:val="20"/>
              </w:rPr>
              <w:t>(not included in word count)</w:t>
            </w:r>
          </w:p>
        </w:tc>
        <w:tc>
          <w:tcPr>
            <w:tcW w:w="272" w:type="dxa"/>
            <w:shd w:val="clear" w:color="auto" w:fill="FBD4B4" w:themeFill="accent6" w:themeFillTint="66"/>
          </w:tcPr>
          <w:p w14:paraId="7865A407" w14:textId="77777777" w:rsidR="00375882" w:rsidRPr="003425C0" w:rsidRDefault="00375882" w:rsidP="004B368B">
            <w:pPr>
              <w:spacing w:after="240"/>
              <w:jc w:val="center"/>
              <w:rPr>
                <w:rFonts w:ascii="Tahoma" w:hAnsi="Tahoma" w:cs="Tahoma"/>
                <w:b/>
                <w:sz w:val="20"/>
                <w:szCs w:val="20"/>
              </w:rPr>
            </w:pPr>
          </w:p>
          <w:p w14:paraId="6E5296E4" w14:textId="77777777" w:rsidR="00375882" w:rsidRPr="003425C0" w:rsidRDefault="00375882" w:rsidP="004B368B">
            <w:pPr>
              <w:spacing w:after="240"/>
              <w:jc w:val="center"/>
              <w:rPr>
                <w:rFonts w:ascii="Tahoma" w:hAnsi="Tahoma" w:cs="Tahoma"/>
                <w:b/>
                <w:sz w:val="20"/>
                <w:szCs w:val="20"/>
              </w:rPr>
            </w:pPr>
          </w:p>
        </w:tc>
      </w:tr>
      <w:tr w:rsidR="00375882" w:rsidRPr="003425C0" w14:paraId="1E22C53E" w14:textId="77777777" w:rsidTr="004B368B">
        <w:trPr>
          <w:trHeight w:val="2494"/>
        </w:trPr>
        <w:tc>
          <w:tcPr>
            <w:tcW w:w="11182" w:type="dxa"/>
            <w:gridSpan w:val="2"/>
          </w:tcPr>
          <w:p w14:paraId="79B8D139" w14:textId="77777777" w:rsidR="004B368B" w:rsidRPr="003425C0" w:rsidRDefault="004B368B" w:rsidP="004B368B">
            <w:pPr>
              <w:spacing w:before="240" w:after="240"/>
              <w:jc w:val="both"/>
              <w:rPr>
                <w:rFonts w:ascii="Tahoma" w:hAnsi="Tahoma" w:cs="Tahoma"/>
                <w:sz w:val="20"/>
                <w:szCs w:val="20"/>
              </w:rPr>
            </w:pPr>
            <w:r w:rsidRPr="003425C0">
              <w:rPr>
                <w:rFonts w:ascii="Tahoma" w:hAnsi="Tahoma" w:cs="Tahoma"/>
                <w:sz w:val="20"/>
                <w:szCs w:val="20"/>
              </w:rPr>
              <w:t xml:space="preserve">Acker, W.W., </w:t>
            </w:r>
            <w:proofErr w:type="spellStart"/>
            <w:r w:rsidRPr="003425C0">
              <w:rPr>
                <w:rFonts w:ascii="Tahoma" w:hAnsi="Tahoma" w:cs="Tahoma"/>
                <w:sz w:val="20"/>
                <w:szCs w:val="20"/>
              </w:rPr>
              <w:t>Plasek</w:t>
            </w:r>
            <w:proofErr w:type="spellEnd"/>
            <w:r w:rsidRPr="003425C0">
              <w:rPr>
                <w:rFonts w:ascii="Tahoma" w:hAnsi="Tahoma" w:cs="Tahoma"/>
                <w:sz w:val="20"/>
                <w:szCs w:val="20"/>
              </w:rPr>
              <w:t>, J.M., Blumenthal, K.G., Lai, K.H., Topaz, M., Seger, D.L., Goss, F.R., Slight, S.P., Bates, D.W. and Zhou, L., 2017. Prevalence of food allergies and intolerances documented in electronic health records. </w:t>
            </w:r>
            <w:r w:rsidRPr="003425C0">
              <w:rPr>
                <w:rFonts w:ascii="Tahoma" w:hAnsi="Tahoma" w:cs="Tahoma"/>
                <w:i/>
                <w:iCs/>
                <w:sz w:val="20"/>
                <w:szCs w:val="20"/>
              </w:rPr>
              <w:t>Journal of Allergy and Clinical Immunology</w:t>
            </w:r>
            <w:r w:rsidRPr="003425C0">
              <w:rPr>
                <w:rFonts w:ascii="Tahoma" w:hAnsi="Tahoma" w:cs="Tahoma"/>
                <w:sz w:val="20"/>
                <w:szCs w:val="20"/>
              </w:rPr>
              <w:t>, </w:t>
            </w:r>
            <w:r w:rsidRPr="003425C0">
              <w:rPr>
                <w:rFonts w:ascii="Tahoma" w:hAnsi="Tahoma" w:cs="Tahoma"/>
                <w:i/>
                <w:iCs/>
                <w:sz w:val="20"/>
                <w:szCs w:val="20"/>
              </w:rPr>
              <w:t>140</w:t>
            </w:r>
            <w:r w:rsidRPr="003425C0">
              <w:rPr>
                <w:rFonts w:ascii="Tahoma" w:hAnsi="Tahoma" w:cs="Tahoma"/>
                <w:sz w:val="20"/>
                <w:szCs w:val="20"/>
              </w:rPr>
              <w:t>(6), pp.1587-1591.</w:t>
            </w:r>
          </w:p>
          <w:p w14:paraId="423F798F" w14:textId="77777777" w:rsidR="004B368B" w:rsidRPr="003425C0" w:rsidRDefault="004B368B" w:rsidP="004B368B">
            <w:pPr>
              <w:spacing w:after="240"/>
              <w:jc w:val="both"/>
              <w:rPr>
                <w:rFonts w:ascii="Tahoma" w:hAnsi="Tahoma" w:cs="Tahoma"/>
                <w:sz w:val="20"/>
                <w:szCs w:val="20"/>
              </w:rPr>
            </w:pPr>
            <w:proofErr w:type="spellStart"/>
            <w:r w:rsidRPr="003425C0">
              <w:rPr>
                <w:rFonts w:ascii="Tahoma" w:hAnsi="Tahoma" w:cs="Tahoma"/>
                <w:sz w:val="20"/>
                <w:szCs w:val="20"/>
              </w:rPr>
              <w:t>Facioni</w:t>
            </w:r>
            <w:proofErr w:type="spellEnd"/>
            <w:r w:rsidRPr="003425C0">
              <w:rPr>
                <w:rFonts w:ascii="Tahoma" w:hAnsi="Tahoma" w:cs="Tahoma"/>
                <w:sz w:val="20"/>
                <w:szCs w:val="20"/>
              </w:rPr>
              <w:t xml:space="preserve">, M.S., </w:t>
            </w:r>
            <w:proofErr w:type="spellStart"/>
            <w:r w:rsidRPr="003425C0">
              <w:rPr>
                <w:rFonts w:ascii="Tahoma" w:hAnsi="Tahoma" w:cs="Tahoma"/>
                <w:sz w:val="20"/>
                <w:szCs w:val="20"/>
              </w:rPr>
              <w:t>Raspini</w:t>
            </w:r>
            <w:proofErr w:type="spellEnd"/>
            <w:r w:rsidRPr="003425C0">
              <w:rPr>
                <w:rFonts w:ascii="Tahoma" w:hAnsi="Tahoma" w:cs="Tahoma"/>
                <w:sz w:val="20"/>
                <w:szCs w:val="20"/>
              </w:rPr>
              <w:t xml:space="preserve">, B., </w:t>
            </w:r>
            <w:proofErr w:type="spellStart"/>
            <w:r w:rsidRPr="003425C0">
              <w:rPr>
                <w:rFonts w:ascii="Tahoma" w:hAnsi="Tahoma" w:cs="Tahoma"/>
                <w:sz w:val="20"/>
                <w:szCs w:val="20"/>
              </w:rPr>
              <w:t>Pivari</w:t>
            </w:r>
            <w:proofErr w:type="spellEnd"/>
            <w:r w:rsidRPr="003425C0">
              <w:rPr>
                <w:rFonts w:ascii="Tahoma" w:hAnsi="Tahoma" w:cs="Tahoma"/>
                <w:sz w:val="20"/>
                <w:szCs w:val="20"/>
              </w:rPr>
              <w:t xml:space="preserve">, F., </w:t>
            </w:r>
            <w:proofErr w:type="spellStart"/>
            <w:r w:rsidRPr="003425C0">
              <w:rPr>
                <w:rFonts w:ascii="Tahoma" w:hAnsi="Tahoma" w:cs="Tahoma"/>
                <w:sz w:val="20"/>
                <w:szCs w:val="20"/>
              </w:rPr>
              <w:t>Dogliotti</w:t>
            </w:r>
            <w:proofErr w:type="spellEnd"/>
            <w:r w:rsidRPr="003425C0">
              <w:rPr>
                <w:rFonts w:ascii="Tahoma" w:hAnsi="Tahoma" w:cs="Tahoma"/>
                <w:sz w:val="20"/>
                <w:szCs w:val="20"/>
              </w:rPr>
              <w:t>, E. and Cena, H., 2020. Nutritional management of lactose intolerance: The importance of diet and food labelling. </w:t>
            </w:r>
            <w:r w:rsidRPr="003425C0">
              <w:rPr>
                <w:rFonts w:ascii="Tahoma" w:hAnsi="Tahoma" w:cs="Tahoma"/>
                <w:i/>
                <w:iCs/>
                <w:sz w:val="20"/>
                <w:szCs w:val="20"/>
              </w:rPr>
              <w:t>Journal of Translational Medicine</w:t>
            </w:r>
            <w:r w:rsidRPr="003425C0">
              <w:rPr>
                <w:rFonts w:ascii="Tahoma" w:hAnsi="Tahoma" w:cs="Tahoma"/>
                <w:sz w:val="20"/>
                <w:szCs w:val="20"/>
              </w:rPr>
              <w:t>, </w:t>
            </w:r>
            <w:r w:rsidRPr="003425C0">
              <w:rPr>
                <w:rFonts w:ascii="Tahoma" w:hAnsi="Tahoma" w:cs="Tahoma"/>
                <w:i/>
                <w:iCs/>
                <w:sz w:val="20"/>
                <w:szCs w:val="20"/>
              </w:rPr>
              <w:t>18</w:t>
            </w:r>
            <w:r w:rsidRPr="003425C0">
              <w:rPr>
                <w:rFonts w:ascii="Tahoma" w:hAnsi="Tahoma" w:cs="Tahoma"/>
                <w:sz w:val="20"/>
                <w:szCs w:val="20"/>
              </w:rPr>
              <w:t>(1), pp.1-9.</w:t>
            </w:r>
          </w:p>
          <w:p w14:paraId="1827348D" w14:textId="77777777" w:rsidR="004B368B" w:rsidRPr="003425C0" w:rsidRDefault="004B368B" w:rsidP="004B368B">
            <w:pPr>
              <w:spacing w:after="240"/>
              <w:jc w:val="both"/>
              <w:rPr>
                <w:rFonts w:ascii="Tahoma" w:hAnsi="Tahoma" w:cs="Tahoma"/>
                <w:sz w:val="20"/>
                <w:szCs w:val="20"/>
              </w:rPr>
            </w:pPr>
            <w:proofErr w:type="spellStart"/>
            <w:r w:rsidRPr="003425C0">
              <w:rPr>
                <w:rFonts w:ascii="Tahoma" w:hAnsi="Tahoma" w:cs="Tahoma"/>
                <w:sz w:val="20"/>
                <w:szCs w:val="20"/>
              </w:rPr>
              <w:t>Onyimba</w:t>
            </w:r>
            <w:proofErr w:type="spellEnd"/>
            <w:r w:rsidRPr="003425C0">
              <w:rPr>
                <w:rFonts w:ascii="Tahoma" w:hAnsi="Tahoma" w:cs="Tahoma"/>
                <w:sz w:val="20"/>
                <w:szCs w:val="20"/>
              </w:rPr>
              <w:t>, F., Crowe, S.E., Johnson, S. and Leung, J., 2021. Food allergies and intolerances: A clinical approach to the diagnosis and management of adverse reactions to food. </w:t>
            </w:r>
            <w:r w:rsidRPr="003425C0">
              <w:rPr>
                <w:rFonts w:ascii="Tahoma" w:hAnsi="Tahoma" w:cs="Tahoma"/>
                <w:i/>
                <w:iCs/>
                <w:sz w:val="20"/>
                <w:szCs w:val="20"/>
              </w:rPr>
              <w:t>Clinical Gastroenterology and Hepatology</w:t>
            </w:r>
            <w:r w:rsidRPr="003425C0">
              <w:rPr>
                <w:rFonts w:ascii="Tahoma" w:hAnsi="Tahoma" w:cs="Tahoma"/>
                <w:sz w:val="20"/>
                <w:szCs w:val="20"/>
              </w:rPr>
              <w:t>.</w:t>
            </w:r>
          </w:p>
          <w:p w14:paraId="3317B148" w14:textId="77777777" w:rsidR="004B368B" w:rsidRPr="003425C0" w:rsidRDefault="004B368B" w:rsidP="004B368B">
            <w:pPr>
              <w:spacing w:after="240"/>
              <w:jc w:val="both"/>
              <w:rPr>
                <w:rFonts w:ascii="Tahoma" w:hAnsi="Tahoma" w:cs="Tahoma"/>
                <w:sz w:val="20"/>
                <w:szCs w:val="20"/>
              </w:rPr>
            </w:pPr>
            <w:r w:rsidRPr="003425C0">
              <w:rPr>
                <w:rFonts w:ascii="Tahoma" w:hAnsi="Tahoma" w:cs="Tahoma"/>
                <w:sz w:val="20"/>
                <w:szCs w:val="20"/>
              </w:rPr>
              <w:t xml:space="preserve">pecb.com. n. d. </w:t>
            </w:r>
            <w:r w:rsidRPr="003425C0">
              <w:rPr>
                <w:rFonts w:ascii="Tahoma" w:hAnsi="Tahoma" w:cs="Tahoma"/>
                <w:i/>
                <w:sz w:val="20"/>
                <w:szCs w:val="20"/>
              </w:rPr>
              <w:t>THE IMPORTANCE OF ALLERGEN MANAGEMENT IN FOOD INDUSTRY</w:t>
            </w:r>
            <w:r w:rsidRPr="003425C0">
              <w:rPr>
                <w:rFonts w:ascii="Tahoma" w:hAnsi="Tahoma" w:cs="Tahoma"/>
                <w:sz w:val="20"/>
                <w:szCs w:val="20"/>
              </w:rPr>
              <w:t xml:space="preserve">. [online] Available at: </w:t>
            </w:r>
            <w:hyperlink r:id="rId7" w:history="1">
              <w:r w:rsidRPr="003425C0">
                <w:rPr>
                  <w:rStyle w:val="Hyperlink"/>
                  <w:rFonts w:ascii="Tahoma" w:hAnsi="Tahoma" w:cs="Tahoma"/>
                  <w:sz w:val="20"/>
                  <w:szCs w:val="20"/>
                </w:rPr>
                <w:t>https://pecb.com/pdf/articles/12-pecb_the-importance-of-allergen-management-in-food-industry.pdf</w:t>
              </w:r>
            </w:hyperlink>
            <w:r w:rsidRPr="003425C0">
              <w:rPr>
                <w:rFonts w:ascii="Tahoma" w:hAnsi="Tahoma" w:cs="Tahoma"/>
                <w:sz w:val="20"/>
                <w:szCs w:val="20"/>
              </w:rPr>
              <w:t xml:space="preserve"> [Accessed on: 6th February, 2022]</w:t>
            </w:r>
          </w:p>
          <w:p w14:paraId="2EF8E981" w14:textId="77777777" w:rsidR="00375882" w:rsidRPr="003425C0" w:rsidRDefault="004B368B" w:rsidP="004B368B">
            <w:pPr>
              <w:spacing w:after="240"/>
              <w:jc w:val="both"/>
              <w:rPr>
                <w:rFonts w:ascii="Tahoma" w:hAnsi="Tahoma" w:cs="Tahoma"/>
                <w:sz w:val="20"/>
                <w:szCs w:val="20"/>
              </w:rPr>
            </w:pPr>
            <w:r w:rsidRPr="003425C0">
              <w:rPr>
                <w:rFonts w:ascii="Tahoma" w:hAnsi="Tahoma" w:cs="Tahoma"/>
                <w:sz w:val="20"/>
                <w:szCs w:val="20"/>
              </w:rPr>
              <w:t>Taylor, S.L. and Baumert, J.L., 2012. Food allergies and intolerances. In </w:t>
            </w:r>
            <w:r w:rsidRPr="003425C0">
              <w:rPr>
                <w:rFonts w:ascii="Tahoma" w:hAnsi="Tahoma" w:cs="Tahoma"/>
                <w:i/>
                <w:iCs/>
                <w:sz w:val="20"/>
                <w:szCs w:val="20"/>
              </w:rPr>
              <w:t>Present Knowledge in Nutrition: Tenth Edition</w:t>
            </w:r>
            <w:r w:rsidRPr="003425C0">
              <w:rPr>
                <w:rFonts w:ascii="Tahoma" w:hAnsi="Tahoma" w:cs="Tahoma"/>
                <w:sz w:val="20"/>
                <w:szCs w:val="20"/>
              </w:rPr>
              <w:t> (pp. 1222-1235). Wiley-Blackwell.</w:t>
            </w:r>
          </w:p>
        </w:tc>
      </w:tr>
    </w:tbl>
    <w:p w14:paraId="36F5AB06" w14:textId="77777777" w:rsidR="00B00678" w:rsidRPr="003425C0" w:rsidRDefault="00B00678" w:rsidP="004B368B">
      <w:pPr>
        <w:spacing w:after="240"/>
        <w:rPr>
          <w:rFonts w:ascii="Tahoma" w:hAnsi="Tahoma" w:cs="Tahoma"/>
          <w:b/>
        </w:rPr>
      </w:pPr>
    </w:p>
    <w:p w14:paraId="09AED44F" w14:textId="77777777" w:rsidR="00B00678" w:rsidRPr="003425C0" w:rsidRDefault="00B00678" w:rsidP="004B368B">
      <w:pPr>
        <w:spacing w:after="240"/>
        <w:rPr>
          <w:rFonts w:ascii="Tahoma" w:hAnsi="Tahoma" w:cs="Tahoma"/>
          <w:b/>
        </w:rPr>
      </w:pPr>
    </w:p>
    <w:p w14:paraId="131386FC" w14:textId="77777777" w:rsidR="00B00678" w:rsidRPr="003425C0" w:rsidRDefault="00B00678" w:rsidP="004B368B">
      <w:pPr>
        <w:spacing w:after="240"/>
        <w:rPr>
          <w:rFonts w:ascii="Tahoma" w:hAnsi="Tahoma" w:cs="Tahoma"/>
          <w:b/>
        </w:rPr>
      </w:pPr>
    </w:p>
    <w:p w14:paraId="6F2E326F" w14:textId="77777777" w:rsidR="00B00678" w:rsidRPr="003425C0" w:rsidRDefault="00B00678" w:rsidP="004B368B">
      <w:pPr>
        <w:spacing w:after="240"/>
        <w:rPr>
          <w:rFonts w:ascii="Tahoma" w:hAnsi="Tahoma" w:cs="Tahoma"/>
          <w:b/>
        </w:rPr>
      </w:pPr>
    </w:p>
    <w:p w14:paraId="5A51B1B3" w14:textId="77777777" w:rsidR="00B00678" w:rsidRPr="003425C0" w:rsidRDefault="00B00678" w:rsidP="004B368B">
      <w:pPr>
        <w:spacing w:after="240"/>
        <w:rPr>
          <w:rFonts w:ascii="Tahoma" w:hAnsi="Tahoma" w:cs="Tahoma"/>
          <w:b/>
        </w:rPr>
      </w:pPr>
    </w:p>
    <w:p w14:paraId="0B1B1718" w14:textId="77777777" w:rsidR="00B00678" w:rsidRPr="003425C0" w:rsidRDefault="00B00678" w:rsidP="004B368B">
      <w:pPr>
        <w:spacing w:after="240"/>
        <w:rPr>
          <w:rFonts w:ascii="Tahoma" w:hAnsi="Tahoma" w:cs="Tahoma"/>
          <w:b/>
        </w:rPr>
      </w:pPr>
    </w:p>
    <w:p w14:paraId="295198E3" w14:textId="77777777" w:rsidR="00A45D42" w:rsidRPr="003425C0" w:rsidRDefault="00A45D42" w:rsidP="004B368B">
      <w:pPr>
        <w:spacing w:after="240"/>
        <w:rPr>
          <w:rFonts w:ascii="Tahoma" w:hAnsi="Tahoma" w:cs="Tahoma"/>
          <w:b/>
        </w:rPr>
      </w:pPr>
    </w:p>
    <w:p w14:paraId="3A62F38A" w14:textId="77777777" w:rsidR="004B368B" w:rsidRPr="003425C0" w:rsidRDefault="004B368B">
      <w:pPr>
        <w:spacing w:after="240"/>
        <w:rPr>
          <w:rFonts w:ascii="Tahoma" w:hAnsi="Tahoma" w:cs="Tahoma"/>
          <w:b/>
        </w:rPr>
      </w:pPr>
    </w:p>
    <w:sectPr w:rsidR="004B368B" w:rsidRPr="003425C0"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751BF" w14:textId="77777777" w:rsidR="00C237DC" w:rsidRDefault="00C237DC">
      <w:r>
        <w:separator/>
      </w:r>
    </w:p>
  </w:endnote>
  <w:endnote w:type="continuationSeparator" w:id="0">
    <w:p w14:paraId="5928D9BD" w14:textId="77777777" w:rsidR="00C237DC" w:rsidRDefault="00C237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57B9213" w14:textId="77777777" w:rsidR="00B44B68" w:rsidRDefault="00300B60">
        <w:pPr>
          <w:pStyle w:val="Footer"/>
          <w:jc w:val="right"/>
        </w:pPr>
        <w:r>
          <w:fldChar w:fldCharType="begin"/>
        </w:r>
        <w:r w:rsidR="00B44B68">
          <w:instrText xml:space="preserve"> PAGE   \* MERGEFORMAT </w:instrText>
        </w:r>
        <w:r>
          <w:fldChar w:fldCharType="separate"/>
        </w:r>
        <w:r w:rsidR="00414F02">
          <w:rPr>
            <w:noProof/>
          </w:rPr>
          <w:t>1</w:t>
        </w:r>
        <w:r>
          <w:rPr>
            <w:noProof/>
          </w:rPr>
          <w:fldChar w:fldCharType="end"/>
        </w:r>
      </w:p>
    </w:sdtContent>
  </w:sdt>
  <w:p w14:paraId="509FDE3C"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D657B" w14:textId="77777777" w:rsidR="00C237DC" w:rsidRDefault="00C237DC">
      <w:r>
        <w:separator/>
      </w:r>
    </w:p>
  </w:footnote>
  <w:footnote w:type="continuationSeparator" w:id="0">
    <w:p w14:paraId="78092BA5" w14:textId="77777777" w:rsidR="00C237DC" w:rsidRDefault="00C237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52125"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6F9A65F2" wp14:editId="1145E5C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0D1C"/>
    <w:rsid w:val="000B2F4F"/>
    <w:rsid w:val="000D2C77"/>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0B60"/>
    <w:rsid w:val="00301AD0"/>
    <w:rsid w:val="003036C9"/>
    <w:rsid w:val="0032684A"/>
    <w:rsid w:val="00332099"/>
    <w:rsid w:val="00340C62"/>
    <w:rsid w:val="003425C0"/>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368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2574"/>
    <w:rsid w:val="006F4FB6"/>
    <w:rsid w:val="006F501B"/>
    <w:rsid w:val="00702077"/>
    <w:rsid w:val="00715AEF"/>
    <w:rsid w:val="00725F0E"/>
    <w:rsid w:val="00734189"/>
    <w:rsid w:val="00735BB1"/>
    <w:rsid w:val="00744482"/>
    <w:rsid w:val="007451E8"/>
    <w:rsid w:val="0078654A"/>
    <w:rsid w:val="0079230B"/>
    <w:rsid w:val="00797115"/>
    <w:rsid w:val="007A5E44"/>
    <w:rsid w:val="007D18CA"/>
    <w:rsid w:val="007D291E"/>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905FC"/>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54FA9"/>
    <w:rsid w:val="00B60FDF"/>
    <w:rsid w:val="00B61256"/>
    <w:rsid w:val="00B73A1C"/>
    <w:rsid w:val="00B945EA"/>
    <w:rsid w:val="00B949BC"/>
    <w:rsid w:val="00BA53CD"/>
    <w:rsid w:val="00BB5FB3"/>
    <w:rsid w:val="00BC4D17"/>
    <w:rsid w:val="00BC7F1B"/>
    <w:rsid w:val="00BE2584"/>
    <w:rsid w:val="00C10069"/>
    <w:rsid w:val="00C21568"/>
    <w:rsid w:val="00C237DC"/>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BE1B96"/>
  <w15:docId w15:val="{E2AEFA49-0F63-4FCA-8237-743C68F40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4B36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ecb.com/pdf/articles/12-pecb_the-importance-of-allergen-management-in-food-indust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1034</Words>
  <Characters>5899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Lavinia Irina Stan (1912876)</cp:lastModifiedBy>
  <cp:revision>4</cp:revision>
  <cp:lastPrinted>2020-09-28T20:53:00Z</cp:lastPrinted>
  <dcterms:created xsi:type="dcterms:W3CDTF">2022-02-10T14:51:00Z</dcterms:created>
  <dcterms:modified xsi:type="dcterms:W3CDTF">2022-02-11T13:04:00Z</dcterms:modified>
</cp:coreProperties>
</file>