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AB7" w:rsidRPr="0005697D" w:rsidRDefault="005B29F9" w:rsidP="005B29F9">
      <w:pPr>
        <w:jc w:val="center"/>
        <w:rPr>
          <w:rFonts w:ascii="Times New Roman" w:hAnsi="Times New Roman" w:cs="Times New Roman"/>
          <w:b/>
          <w:sz w:val="24"/>
          <w:u w:val="single"/>
        </w:rPr>
      </w:pPr>
      <w:r w:rsidRPr="0005697D">
        <w:rPr>
          <w:rFonts w:ascii="Times New Roman" w:hAnsi="Times New Roman" w:cs="Times New Roman"/>
          <w:b/>
          <w:sz w:val="24"/>
          <w:u w:val="single"/>
        </w:rPr>
        <w:t>Discuss if the Delian League became an Athenian Empire</w:t>
      </w:r>
    </w:p>
    <w:p w:rsidR="0000097D" w:rsidRPr="0005697D" w:rsidRDefault="0000097D" w:rsidP="007C4628">
      <w:pPr>
        <w:spacing w:line="360" w:lineRule="auto"/>
        <w:jc w:val="both"/>
        <w:rPr>
          <w:b/>
        </w:rPr>
      </w:pPr>
    </w:p>
    <w:p w:rsidR="00C472F8" w:rsidRDefault="00C472F8" w:rsidP="007C4628">
      <w:pPr>
        <w:spacing w:line="360" w:lineRule="auto"/>
        <w:jc w:val="both"/>
        <w:rPr>
          <w:rFonts w:ascii="Times New Roman" w:hAnsi="Times New Roman" w:cs="Times New Roman"/>
        </w:rPr>
      </w:pPr>
      <w:r w:rsidRPr="00C472F8">
        <w:rPr>
          <w:rFonts w:ascii="Times New Roman" w:hAnsi="Times New Roman" w:cs="Times New Roman"/>
        </w:rPr>
        <w:t xml:space="preserve">The Delian League was originally created to be an anti-Persian force </w:t>
      </w:r>
      <w:r>
        <w:rPr>
          <w:rFonts w:ascii="Times New Roman" w:hAnsi="Times New Roman" w:cs="Times New Roman"/>
        </w:rPr>
        <w:t>that would prevent future invasion by the Persian Empire, named after the Island of Delos where the treasury was originally kept</w:t>
      </w:r>
      <w:r w:rsidR="00E05EBB">
        <w:rPr>
          <w:rFonts w:ascii="Times New Roman" w:hAnsi="Times New Roman" w:cs="Times New Roman"/>
        </w:rPr>
        <w:t>. I</w:t>
      </w:r>
      <w:r>
        <w:rPr>
          <w:rFonts w:ascii="Times New Roman" w:hAnsi="Times New Roman" w:cs="Times New Roman"/>
        </w:rPr>
        <w:t>t was made up of</w:t>
      </w:r>
      <w:r w:rsidR="00871B11">
        <w:rPr>
          <w:rFonts w:ascii="Times New Roman" w:hAnsi="Times New Roman" w:cs="Times New Roman"/>
        </w:rPr>
        <w:t xml:space="preserve"> many states and P</w:t>
      </w:r>
      <w:r w:rsidR="00E05EBB">
        <w:rPr>
          <w:rFonts w:ascii="Times New Roman" w:hAnsi="Times New Roman" w:cs="Times New Roman"/>
        </w:rPr>
        <w:t xml:space="preserve">olis, </w:t>
      </w:r>
      <w:r w:rsidR="00421813">
        <w:rPr>
          <w:rFonts w:ascii="Times New Roman" w:hAnsi="Times New Roman" w:cs="Times New Roman"/>
        </w:rPr>
        <w:t>including Chios</w:t>
      </w:r>
      <w:r w:rsidR="00E05EBB">
        <w:rPr>
          <w:rFonts w:ascii="Times New Roman" w:hAnsi="Times New Roman" w:cs="Times New Roman"/>
        </w:rPr>
        <w:t xml:space="preserve">, Lesbos, Plataea, Corcyra, </w:t>
      </w:r>
      <w:proofErr w:type="spellStart"/>
      <w:r w:rsidR="00E05EBB">
        <w:rPr>
          <w:rFonts w:ascii="Times New Roman" w:hAnsi="Times New Roman" w:cs="Times New Roman"/>
        </w:rPr>
        <w:t>Zacynthus</w:t>
      </w:r>
      <w:proofErr w:type="spellEnd"/>
      <w:r w:rsidR="00E05EBB">
        <w:rPr>
          <w:rFonts w:ascii="Times New Roman" w:hAnsi="Times New Roman" w:cs="Times New Roman"/>
        </w:rPr>
        <w:t>, Ionia and the Hellespont</w:t>
      </w:r>
      <w:r w:rsidR="00421813">
        <w:rPr>
          <w:rFonts w:ascii="Times New Roman" w:hAnsi="Times New Roman" w:cs="Times New Roman"/>
        </w:rPr>
        <w:t>, all of which were allies of Athens</w:t>
      </w:r>
      <w:r w:rsidR="00E05EBB">
        <w:rPr>
          <w:rFonts w:ascii="Times New Roman" w:hAnsi="Times New Roman" w:cs="Times New Roman"/>
        </w:rPr>
        <w:t>.</w:t>
      </w:r>
      <w:r w:rsidR="00E05EBB">
        <w:rPr>
          <w:rStyle w:val="FootnoteReference"/>
          <w:rFonts w:ascii="Times New Roman" w:hAnsi="Times New Roman" w:cs="Times New Roman"/>
        </w:rPr>
        <w:footnoteReference w:id="1"/>
      </w:r>
      <w:r w:rsidR="00421813">
        <w:rPr>
          <w:rFonts w:ascii="Times New Roman" w:hAnsi="Times New Roman" w:cs="Times New Roman"/>
        </w:rPr>
        <w:t xml:space="preserve"> The members </w:t>
      </w:r>
      <w:r w:rsidR="0000097D">
        <w:rPr>
          <w:rFonts w:ascii="Times New Roman" w:hAnsi="Times New Roman" w:cs="Times New Roman"/>
        </w:rPr>
        <w:t xml:space="preserve">were required to pay tribute in the form of </w:t>
      </w:r>
      <w:r w:rsidR="0005697D">
        <w:rPr>
          <w:rFonts w:ascii="Times New Roman" w:hAnsi="Times New Roman" w:cs="Times New Roman"/>
        </w:rPr>
        <w:t>money</w:t>
      </w:r>
      <w:r w:rsidR="0000097D">
        <w:rPr>
          <w:rFonts w:ascii="Times New Roman" w:hAnsi="Times New Roman" w:cs="Times New Roman"/>
        </w:rPr>
        <w:t xml:space="preserve">, infantry or ships to the league to provide </w:t>
      </w:r>
      <w:r w:rsidR="00871B11">
        <w:rPr>
          <w:rFonts w:ascii="Times New Roman" w:hAnsi="Times New Roman" w:cs="Times New Roman"/>
        </w:rPr>
        <w:t>defensive force</w:t>
      </w:r>
      <w:r w:rsidR="0000097D">
        <w:rPr>
          <w:rFonts w:ascii="Times New Roman" w:hAnsi="Times New Roman" w:cs="Times New Roman"/>
        </w:rPr>
        <w:t xml:space="preserve"> against </w:t>
      </w:r>
      <w:r w:rsidR="00894AB8">
        <w:rPr>
          <w:rFonts w:ascii="Times New Roman" w:hAnsi="Times New Roman" w:cs="Times New Roman"/>
        </w:rPr>
        <w:t xml:space="preserve">any </w:t>
      </w:r>
      <w:r w:rsidR="0000097D">
        <w:rPr>
          <w:rFonts w:ascii="Times New Roman" w:hAnsi="Times New Roman" w:cs="Times New Roman"/>
        </w:rPr>
        <w:t>potential Persian invasion</w:t>
      </w:r>
      <w:r w:rsidR="00871B11">
        <w:rPr>
          <w:rFonts w:ascii="Times New Roman" w:hAnsi="Times New Roman" w:cs="Times New Roman"/>
        </w:rPr>
        <w:t xml:space="preserve"> or, arguably</w:t>
      </w:r>
      <w:r w:rsidR="00894AB8">
        <w:rPr>
          <w:rFonts w:ascii="Times New Roman" w:hAnsi="Times New Roman" w:cs="Times New Roman"/>
        </w:rPr>
        <w:t>, to exact revenge upon the Persian Empire for the destruction brought by the War</w:t>
      </w:r>
      <w:r w:rsidR="00894AB8">
        <w:rPr>
          <w:rStyle w:val="FootnoteReference"/>
          <w:rFonts w:ascii="Times New Roman" w:hAnsi="Times New Roman" w:cs="Times New Roman"/>
        </w:rPr>
        <w:footnoteReference w:id="2"/>
      </w:r>
      <w:r w:rsidR="0000097D">
        <w:rPr>
          <w:rFonts w:ascii="Times New Roman" w:hAnsi="Times New Roman" w:cs="Times New Roman"/>
        </w:rPr>
        <w:t xml:space="preserve">. However over time it can be argued that Athens claimed more control over the administration of the League, used it to enact </w:t>
      </w:r>
      <w:r w:rsidR="00871B11">
        <w:rPr>
          <w:rFonts w:ascii="Times New Roman" w:hAnsi="Times New Roman" w:cs="Times New Roman"/>
        </w:rPr>
        <w:t>power</w:t>
      </w:r>
      <w:r w:rsidR="0000097D">
        <w:rPr>
          <w:rFonts w:ascii="Times New Roman" w:hAnsi="Times New Roman" w:cs="Times New Roman"/>
        </w:rPr>
        <w:t xml:space="preserve"> over other states and polis, resulting in the League becoming either a tool to facilitate the establishment of an Empire or the start of </w:t>
      </w:r>
      <w:r w:rsidR="008F3C48">
        <w:rPr>
          <w:rFonts w:ascii="Times New Roman" w:hAnsi="Times New Roman" w:cs="Times New Roman"/>
        </w:rPr>
        <w:t>the Athenian Empire itself.</w:t>
      </w:r>
    </w:p>
    <w:p w:rsidR="00AC799E" w:rsidRPr="0057164D" w:rsidRDefault="008F3C48" w:rsidP="007C4628">
      <w:pPr>
        <w:spacing w:line="360" w:lineRule="auto"/>
        <w:jc w:val="both"/>
        <w:rPr>
          <w:rFonts w:ascii="Times New Roman" w:hAnsi="Times New Roman" w:cs="Times New Roman"/>
        </w:rPr>
      </w:pPr>
      <w:r>
        <w:rPr>
          <w:rFonts w:ascii="Times New Roman" w:hAnsi="Times New Roman" w:cs="Times New Roman"/>
        </w:rPr>
        <w:t xml:space="preserve">There is little doubt that the Delian League </w:t>
      </w:r>
      <w:r w:rsidR="00602724">
        <w:rPr>
          <w:rFonts w:ascii="Times New Roman" w:hAnsi="Times New Roman" w:cs="Times New Roman"/>
        </w:rPr>
        <w:t xml:space="preserve">was the </w:t>
      </w:r>
      <w:r w:rsidR="004C2A2E">
        <w:rPr>
          <w:rFonts w:ascii="Times New Roman" w:hAnsi="Times New Roman" w:cs="Times New Roman"/>
        </w:rPr>
        <w:t xml:space="preserve">foundation </w:t>
      </w:r>
      <w:r w:rsidR="00602724">
        <w:rPr>
          <w:rFonts w:ascii="Times New Roman" w:hAnsi="Times New Roman" w:cs="Times New Roman"/>
        </w:rPr>
        <w:t xml:space="preserve">from which the Athenians built their empire, </w:t>
      </w:r>
      <w:r w:rsidR="004C2A2E">
        <w:rPr>
          <w:rFonts w:ascii="Times New Roman" w:hAnsi="Times New Roman" w:cs="Times New Roman"/>
        </w:rPr>
        <w:t xml:space="preserve">the alliance with so many states acted as a gateway for Athenian influence to spread through </w:t>
      </w:r>
      <w:r w:rsidR="00871B11">
        <w:rPr>
          <w:rFonts w:ascii="Times New Roman" w:hAnsi="Times New Roman" w:cs="Times New Roman"/>
        </w:rPr>
        <w:t>Hellenistic</w:t>
      </w:r>
      <w:r w:rsidR="004C2A2E">
        <w:rPr>
          <w:rFonts w:ascii="Times New Roman" w:hAnsi="Times New Roman" w:cs="Times New Roman"/>
        </w:rPr>
        <w:t xml:space="preserve"> Greece and exert control. </w:t>
      </w:r>
      <w:r w:rsidR="004C2A2E" w:rsidRPr="0057164D">
        <w:rPr>
          <w:rFonts w:ascii="Times New Roman" w:hAnsi="Times New Roman" w:cs="Times New Roman"/>
        </w:rPr>
        <w:t>Athens often sent political officers to reform allied cities or garrisons to suppress revolts</w:t>
      </w:r>
      <w:r w:rsidR="004C2A2E" w:rsidRPr="0057164D">
        <w:rPr>
          <w:rStyle w:val="FootnoteReference"/>
          <w:rFonts w:ascii="Times New Roman" w:hAnsi="Times New Roman" w:cs="Times New Roman"/>
        </w:rPr>
        <w:footnoteReference w:id="3"/>
      </w:r>
      <w:r w:rsidR="004C2A2E" w:rsidRPr="0057164D">
        <w:rPr>
          <w:rFonts w:ascii="Times New Roman" w:hAnsi="Times New Roman" w:cs="Times New Roman"/>
        </w:rPr>
        <w:t xml:space="preserve">, thus cementing their power as peacekeepers of the Delian League. </w:t>
      </w:r>
      <w:r w:rsidR="004C2A2E">
        <w:rPr>
          <w:rFonts w:ascii="Times New Roman" w:hAnsi="Times New Roman" w:cs="Times New Roman"/>
        </w:rPr>
        <w:t>Within the League Athens exerted extensive control carrying out numerous administrative and politics check on their allies; the deployment of several hundred Athenian governors, officials, garrisons and episkopoi (supervisors) to support or enforce a democracy on the host city.</w:t>
      </w:r>
      <w:r w:rsidR="004C2A2E">
        <w:rPr>
          <w:rStyle w:val="FootnoteReference"/>
          <w:rFonts w:ascii="Times New Roman" w:hAnsi="Times New Roman" w:cs="Times New Roman"/>
        </w:rPr>
        <w:footnoteReference w:id="4"/>
      </w:r>
      <w:r w:rsidR="004C2A2E">
        <w:rPr>
          <w:rFonts w:ascii="Times New Roman" w:hAnsi="Times New Roman" w:cs="Times New Roman"/>
        </w:rPr>
        <w:t xml:space="preserve"> </w:t>
      </w:r>
      <w:r w:rsidR="00841337">
        <w:rPr>
          <w:rFonts w:ascii="Times New Roman" w:hAnsi="Times New Roman" w:cs="Times New Roman"/>
        </w:rPr>
        <w:t>The</w:t>
      </w:r>
      <w:r w:rsidR="004C2A2E">
        <w:rPr>
          <w:rFonts w:ascii="Times New Roman" w:hAnsi="Times New Roman" w:cs="Times New Roman"/>
        </w:rPr>
        <w:t xml:space="preserve"> settlers never tried to e</w:t>
      </w:r>
      <w:r w:rsidR="00871B11">
        <w:rPr>
          <w:rFonts w:ascii="Times New Roman" w:hAnsi="Times New Roman" w:cs="Times New Roman"/>
        </w:rPr>
        <w:t>nact</w:t>
      </w:r>
      <w:r w:rsidR="004C2A2E">
        <w:rPr>
          <w:rFonts w:ascii="Times New Roman" w:hAnsi="Times New Roman" w:cs="Times New Roman"/>
        </w:rPr>
        <w:t xml:space="preserve"> the same democratic model as used in </w:t>
      </w:r>
      <w:proofErr w:type="gramStart"/>
      <w:r w:rsidR="004C2A2E">
        <w:rPr>
          <w:rFonts w:ascii="Times New Roman" w:hAnsi="Times New Roman" w:cs="Times New Roman"/>
        </w:rPr>
        <w:t>Athens,</w:t>
      </w:r>
      <w:proofErr w:type="gramEnd"/>
      <w:r w:rsidR="004C2A2E">
        <w:rPr>
          <w:rFonts w:ascii="Times New Roman" w:hAnsi="Times New Roman" w:cs="Times New Roman"/>
        </w:rPr>
        <w:t xml:space="preserve"> </w:t>
      </w:r>
      <w:r w:rsidR="00841337">
        <w:rPr>
          <w:rFonts w:ascii="Times New Roman" w:hAnsi="Times New Roman" w:cs="Times New Roman"/>
        </w:rPr>
        <w:t>they always took into consideration the size of the community they were m</w:t>
      </w:r>
      <w:r w:rsidR="00871B11">
        <w:rPr>
          <w:rFonts w:ascii="Times New Roman" w:hAnsi="Times New Roman" w:cs="Times New Roman"/>
        </w:rPr>
        <w:t>anipulating. N</w:t>
      </w:r>
      <w:r w:rsidR="00841337">
        <w:rPr>
          <w:rFonts w:ascii="Times New Roman" w:hAnsi="Times New Roman" w:cs="Times New Roman"/>
        </w:rPr>
        <w:t xml:space="preserve">onetheless they changed it as much as possible to either suit the Athenian system or best benefits Athens. Even then Athens mostly promoted a democratic society </w:t>
      </w:r>
      <w:r w:rsidR="007F6ABD">
        <w:rPr>
          <w:rFonts w:ascii="Times New Roman" w:hAnsi="Times New Roman" w:cs="Times New Roman"/>
        </w:rPr>
        <w:t>over</w:t>
      </w:r>
      <w:r w:rsidR="00841337">
        <w:rPr>
          <w:rFonts w:ascii="Times New Roman" w:hAnsi="Times New Roman" w:cs="Times New Roman"/>
        </w:rPr>
        <w:t xml:space="preserve"> the oligarchic systems but did not cond</w:t>
      </w:r>
      <w:r w:rsidR="007F6ABD">
        <w:rPr>
          <w:rFonts w:ascii="Times New Roman" w:hAnsi="Times New Roman" w:cs="Times New Roman"/>
        </w:rPr>
        <w:t xml:space="preserve">emn them if </w:t>
      </w:r>
      <w:r w:rsidR="00841337">
        <w:rPr>
          <w:rFonts w:ascii="Times New Roman" w:hAnsi="Times New Roman" w:cs="Times New Roman"/>
        </w:rPr>
        <w:t xml:space="preserve">they could be </w:t>
      </w:r>
      <w:r w:rsidR="007F6ABD">
        <w:rPr>
          <w:rFonts w:ascii="Times New Roman" w:hAnsi="Times New Roman" w:cs="Times New Roman"/>
        </w:rPr>
        <w:t>exploited</w:t>
      </w:r>
      <w:r w:rsidR="00841337">
        <w:rPr>
          <w:rFonts w:ascii="Times New Roman" w:hAnsi="Times New Roman" w:cs="Times New Roman"/>
        </w:rPr>
        <w:t xml:space="preserve"> for their best interests</w:t>
      </w:r>
      <w:r w:rsidR="007F6ABD">
        <w:rPr>
          <w:rFonts w:ascii="Times New Roman" w:hAnsi="Times New Roman" w:cs="Times New Roman"/>
        </w:rPr>
        <w:t>, often in regards to obtaining tribute</w:t>
      </w:r>
      <w:r w:rsidR="00841337">
        <w:rPr>
          <w:rStyle w:val="FootnoteReference"/>
          <w:rFonts w:ascii="Times New Roman" w:hAnsi="Times New Roman" w:cs="Times New Roman"/>
        </w:rPr>
        <w:footnoteReference w:id="5"/>
      </w:r>
      <w:r w:rsidR="007F6ABD">
        <w:rPr>
          <w:rFonts w:ascii="Times New Roman" w:hAnsi="Times New Roman" w:cs="Times New Roman"/>
        </w:rPr>
        <w:t>.</w:t>
      </w:r>
      <w:r w:rsidR="00AC799E" w:rsidRPr="00AC799E">
        <w:rPr>
          <w:rFonts w:ascii="Times New Roman" w:hAnsi="Times New Roman" w:cs="Times New Roman"/>
        </w:rPr>
        <w:t xml:space="preserve"> </w:t>
      </w:r>
      <w:r w:rsidR="00AC799E" w:rsidRPr="0057164D">
        <w:rPr>
          <w:rFonts w:ascii="Times New Roman" w:hAnsi="Times New Roman" w:cs="Times New Roman"/>
        </w:rPr>
        <w:t>Those Polis that contributed ships to the federal fleet, such as Samos, Chios and Lesbos were less likely to face Athenian involvement</w:t>
      </w:r>
      <w:r w:rsidR="00AC799E" w:rsidRPr="0057164D">
        <w:rPr>
          <w:rStyle w:val="FootnoteReference"/>
          <w:rFonts w:ascii="Times New Roman" w:hAnsi="Times New Roman" w:cs="Times New Roman"/>
        </w:rPr>
        <w:footnoteReference w:id="6"/>
      </w:r>
      <w:r w:rsidR="00AC799E">
        <w:rPr>
          <w:rFonts w:ascii="Times New Roman" w:hAnsi="Times New Roman" w:cs="Times New Roman"/>
        </w:rPr>
        <w:t>, thus proving the benefits of appeasing Athens.</w:t>
      </w:r>
      <w:r w:rsidR="007F6ABD">
        <w:rPr>
          <w:rFonts w:ascii="Times New Roman" w:hAnsi="Times New Roman" w:cs="Times New Roman"/>
        </w:rPr>
        <w:t xml:space="preserve"> The collection of tribute was originally used for building up a naval fleet</w:t>
      </w:r>
      <w:r w:rsidR="00894AB8">
        <w:rPr>
          <w:rFonts w:ascii="Times New Roman" w:hAnsi="Times New Roman" w:cs="Times New Roman"/>
        </w:rPr>
        <w:t xml:space="preserve"> with Anti-Persian intentions, whether to protect Greece from or to punish the Persian Empire, with the treasury being kept on the island of Delos. However the treasury was moved to Athens</w:t>
      </w:r>
      <w:r w:rsidR="00783CCE">
        <w:rPr>
          <w:rFonts w:ascii="Times New Roman" w:hAnsi="Times New Roman" w:cs="Times New Roman"/>
        </w:rPr>
        <w:t xml:space="preserve"> sometime between 478-454BC whereupon it was decided that a sixtieth of tribute paid by each state would go to the Goddess </w:t>
      </w:r>
      <w:proofErr w:type="gramStart"/>
      <w:r w:rsidR="00783CCE">
        <w:rPr>
          <w:rFonts w:ascii="Times New Roman" w:hAnsi="Times New Roman" w:cs="Times New Roman"/>
        </w:rPr>
        <w:t>Athena ,</w:t>
      </w:r>
      <w:proofErr w:type="gramEnd"/>
      <w:r w:rsidR="00783CCE">
        <w:rPr>
          <w:rFonts w:ascii="Times New Roman" w:hAnsi="Times New Roman" w:cs="Times New Roman"/>
        </w:rPr>
        <w:t xml:space="preserve"> the patron Goddess of the city.</w:t>
      </w:r>
      <w:r w:rsidR="00783CCE">
        <w:rPr>
          <w:rStyle w:val="FootnoteReference"/>
          <w:rFonts w:ascii="Times New Roman" w:hAnsi="Times New Roman" w:cs="Times New Roman"/>
        </w:rPr>
        <w:footnoteReference w:id="7"/>
      </w:r>
      <w:r w:rsidR="00AC799E" w:rsidRPr="00AC799E">
        <w:rPr>
          <w:rFonts w:ascii="Times New Roman" w:hAnsi="Times New Roman" w:cs="Times New Roman"/>
        </w:rPr>
        <w:t xml:space="preserve"> </w:t>
      </w:r>
      <w:r w:rsidR="00452092">
        <w:rPr>
          <w:rFonts w:ascii="Times New Roman" w:hAnsi="Times New Roman" w:cs="Times New Roman"/>
        </w:rPr>
        <w:t xml:space="preserve">Consequently the League quickly </w:t>
      </w:r>
      <w:r w:rsidR="00D3110A">
        <w:rPr>
          <w:rFonts w:ascii="Times New Roman" w:hAnsi="Times New Roman" w:cs="Times New Roman"/>
        </w:rPr>
        <w:lastRenderedPageBreak/>
        <w:t>started to be manipulated by Athens in accord to its own interests, becoming more of a monetary implement in constructing the foundations for an Empire.</w:t>
      </w:r>
    </w:p>
    <w:p w:rsidR="008F1681" w:rsidRDefault="00783CCE" w:rsidP="007C4628">
      <w:pPr>
        <w:spacing w:line="360" w:lineRule="auto"/>
        <w:jc w:val="both"/>
        <w:rPr>
          <w:rFonts w:ascii="Times New Roman" w:hAnsi="Times New Roman" w:cs="Times New Roman"/>
        </w:rPr>
      </w:pPr>
      <w:r>
        <w:rPr>
          <w:rFonts w:ascii="Times New Roman" w:hAnsi="Times New Roman" w:cs="Times New Roman"/>
        </w:rPr>
        <w:t xml:space="preserve"> With this increased economic control</w:t>
      </w:r>
      <w:r w:rsidR="00451688">
        <w:rPr>
          <w:rFonts w:ascii="Times New Roman" w:hAnsi="Times New Roman" w:cs="Times New Roman"/>
        </w:rPr>
        <w:t xml:space="preserve"> it becomes evident that Athens viewed the Delian League as a means to fund endeavours closer to home, as shown with the construction of the Parthenon </w:t>
      </w:r>
      <w:r w:rsidR="0077014F">
        <w:rPr>
          <w:rFonts w:ascii="Times New Roman" w:hAnsi="Times New Roman" w:cs="Times New Roman"/>
        </w:rPr>
        <w:t>which was sourced from the treasury</w:t>
      </w:r>
      <w:r w:rsidR="0005697D">
        <w:rPr>
          <w:rFonts w:ascii="Times New Roman" w:hAnsi="Times New Roman" w:cs="Times New Roman"/>
        </w:rPr>
        <w:t xml:space="preserve"> at the insistence of Pericles</w:t>
      </w:r>
      <w:r w:rsidR="0077014F">
        <w:rPr>
          <w:rStyle w:val="FootnoteReference"/>
          <w:rFonts w:ascii="Times New Roman" w:hAnsi="Times New Roman" w:cs="Times New Roman"/>
        </w:rPr>
        <w:footnoteReference w:id="8"/>
      </w:r>
      <w:r w:rsidR="008F1681">
        <w:rPr>
          <w:rFonts w:ascii="Times New Roman" w:hAnsi="Times New Roman" w:cs="Times New Roman"/>
        </w:rPr>
        <w:t xml:space="preserve">, this level of disregard for being a part of the league is also shown within Athens’ foreign policies. </w:t>
      </w:r>
      <w:r w:rsidR="007D23E1">
        <w:rPr>
          <w:rFonts w:ascii="Times New Roman" w:hAnsi="Times New Roman" w:cs="Times New Roman"/>
        </w:rPr>
        <w:t>The Delian League’s foundation in preventing a return of Persian invasion was undermined by Athens’ alliance with Argos and Thessaly as both had either abstained from the Per</w:t>
      </w:r>
      <w:r w:rsidR="00871B11">
        <w:rPr>
          <w:rFonts w:ascii="Times New Roman" w:hAnsi="Times New Roman" w:cs="Times New Roman"/>
        </w:rPr>
        <w:t>sian Wars or had sided with the invaders</w:t>
      </w:r>
      <w:r w:rsidR="007D23E1">
        <w:rPr>
          <w:rFonts w:ascii="Times New Roman" w:hAnsi="Times New Roman" w:cs="Times New Roman"/>
        </w:rPr>
        <w:t>.</w:t>
      </w:r>
      <w:r w:rsidR="007D23E1">
        <w:rPr>
          <w:rStyle w:val="FootnoteReference"/>
          <w:rFonts w:ascii="Times New Roman" w:hAnsi="Times New Roman" w:cs="Times New Roman"/>
        </w:rPr>
        <w:footnoteReference w:id="9"/>
      </w:r>
      <w:r w:rsidR="007D23E1">
        <w:rPr>
          <w:rFonts w:ascii="Times New Roman" w:hAnsi="Times New Roman" w:cs="Times New Roman"/>
        </w:rPr>
        <w:t xml:space="preserve"> This alliance was formed without prior consultation of the league, proving how Athens acted independently and only used the league for its own </w:t>
      </w:r>
      <w:r w:rsidR="00871B11">
        <w:rPr>
          <w:rFonts w:ascii="Times New Roman" w:hAnsi="Times New Roman" w:cs="Times New Roman"/>
        </w:rPr>
        <w:t>benefit</w:t>
      </w:r>
      <w:r w:rsidR="00D3110A">
        <w:rPr>
          <w:rFonts w:ascii="Times New Roman" w:hAnsi="Times New Roman" w:cs="Times New Roman"/>
        </w:rPr>
        <w:t>, as shown by obtaining allies that had more of an incentive to fight against Sparta than Persia</w:t>
      </w:r>
      <w:r w:rsidR="00871B11">
        <w:rPr>
          <w:rFonts w:ascii="Times New Roman" w:hAnsi="Times New Roman" w:cs="Times New Roman"/>
        </w:rPr>
        <w:t xml:space="preserve">. </w:t>
      </w:r>
      <w:r w:rsidR="008F1681">
        <w:rPr>
          <w:rFonts w:ascii="Times New Roman" w:hAnsi="Times New Roman" w:cs="Times New Roman"/>
        </w:rPr>
        <w:t xml:space="preserve">Athens involvement in </w:t>
      </w:r>
      <w:r w:rsidR="008F1681" w:rsidRPr="0057164D">
        <w:rPr>
          <w:rFonts w:ascii="Times New Roman" w:hAnsi="Times New Roman" w:cs="Times New Roman"/>
        </w:rPr>
        <w:t>affairs</w:t>
      </w:r>
      <w:r w:rsidR="008F1681">
        <w:rPr>
          <w:rFonts w:ascii="Times New Roman" w:hAnsi="Times New Roman" w:cs="Times New Roman"/>
        </w:rPr>
        <w:t xml:space="preserve"> abroad</w:t>
      </w:r>
      <w:r w:rsidR="008F1681" w:rsidRPr="0057164D">
        <w:rPr>
          <w:rFonts w:ascii="Times New Roman" w:hAnsi="Times New Roman" w:cs="Times New Roman"/>
        </w:rPr>
        <w:t xml:space="preserve"> can</w:t>
      </w:r>
      <w:r w:rsidR="00871B11">
        <w:rPr>
          <w:rFonts w:ascii="Times New Roman" w:hAnsi="Times New Roman" w:cs="Times New Roman"/>
        </w:rPr>
        <w:t xml:space="preserve"> further</w:t>
      </w:r>
      <w:r w:rsidR="008F1681" w:rsidRPr="0057164D">
        <w:rPr>
          <w:rFonts w:ascii="Times New Roman" w:hAnsi="Times New Roman" w:cs="Times New Roman"/>
        </w:rPr>
        <w:t xml:space="preserve"> be seen in the Congress Decree which invited all Greek states to send delegates to a meeting of congress in Athens. This Congress was to address a threefold agenda that primarily focused on Athenian interests such as addressing the Greek sanctuaries burned by the Persians and considering the measures to be taken to keep the peace of the seas</w:t>
      </w:r>
      <w:r w:rsidR="007D23E1">
        <w:rPr>
          <w:rFonts w:ascii="Times New Roman" w:hAnsi="Times New Roman" w:cs="Times New Roman"/>
        </w:rPr>
        <w:t>, both of which were more applicable to Athens than any other state</w:t>
      </w:r>
      <w:r w:rsidR="008F1681" w:rsidRPr="0057164D">
        <w:rPr>
          <w:rFonts w:ascii="Times New Roman" w:hAnsi="Times New Roman" w:cs="Times New Roman"/>
        </w:rPr>
        <w:t>.</w:t>
      </w:r>
      <w:r w:rsidR="008F1681" w:rsidRPr="0057164D">
        <w:rPr>
          <w:rStyle w:val="FootnoteReference"/>
          <w:rFonts w:ascii="Times New Roman" w:hAnsi="Times New Roman" w:cs="Times New Roman"/>
        </w:rPr>
        <w:footnoteReference w:id="10"/>
      </w:r>
      <w:r w:rsidR="008F1681" w:rsidRPr="0057164D">
        <w:rPr>
          <w:rFonts w:ascii="Times New Roman" w:hAnsi="Times New Roman" w:cs="Times New Roman"/>
        </w:rPr>
        <w:t xml:space="preserve">  Although the congress never met it shows how Athens exercised its position as a superpower in Classical Greece and attempted to exert its power over other states and polis</w:t>
      </w:r>
      <w:r w:rsidR="007D23E1">
        <w:rPr>
          <w:rFonts w:ascii="Times New Roman" w:hAnsi="Times New Roman" w:cs="Times New Roman"/>
        </w:rPr>
        <w:t xml:space="preserve"> both within and without the Delian League</w:t>
      </w:r>
      <w:r w:rsidR="008F1681" w:rsidRPr="0057164D">
        <w:rPr>
          <w:rFonts w:ascii="Times New Roman" w:hAnsi="Times New Roman" w:cs="Times New Roman"/>
        </w:rPr>
        <w:t xml:space="preserve"> and use them to its </w:t>
      </w:r>
      <w:r w:rsidR="008F1681">
        <w:rPr>
          <w:rFonts w:ascii="Times New Roman" w:hAnsi="Times New Roman" w:cs="Times New Roman"/>
        </w:rPr>
        <w:t xml:space="preserve">own </w:t>
      </w:r>
      <w:r w:rsidR="008F1681" w:rsidRPr="0057164D">
        <w:rPr>
          <w:rFonts w:ascii="Times New Roman" w:hAnsi="Times New Roman" w:cs="Times New Roman"/>
        </w:rPr>
        <w:t>benefaction. The Athenian control</w:t>
      </w:r>
      <w:r w:rsidR="008F1681">
        <w:rPr>
          <w:rFonts w:ascii="Times New Roman" w:hAnsi="Times New Roman" w:cs="Times New Roman"/>
        </w:rPr>
        <w:t xml:space="preserve"> itself</w:t>
      </w:r>
      <w:r w:rsidR="008F1681" w:rsidRPr="0057164D">
        <w:rPr>
          <w:rFonts w:ascii="Times New Roman" w:hAnsi="Times New Roman" w:cs="Times New Roman"/>
        </w:rPr>
        <w:t xml:space="preserve"> became borderline oppression as they controlled and taxed grain distribution, exempting any heading directly for Athens</w:t>
      </w:r>
      <w:r w:rsidR="008F1681">
        <w:rPr>
          <w:rFonts w:ascii="Times New Roman" w:hAnsi="Times New Roman" w:cs="Times New Roman"/>
        </w:rPr>
        <w:t>, established military and administrative garrisons and centred all judicial proceedings in Athens</w:t>
      </w:r>
      <w:r w:rsidR="008F1681" w:rsidRPr="0057164D">
        <w:rPr>
          <w:rFonts w:ascii="Times New Roman" w:hAnsi="Times New Roman" w:cs="Times New Roman"/>
        </w:rPr>
        <w:t>.</w:t>
      </w:r>
      <w:r w:rsidR="008F1681" w:rsidRPr="0057164D">
        <w:rPr>
          <w:rStyle w:val="FootnoteReference"/>
          <w:rFonts w:ascii="Times New Roman" w:hAnsi="Times New Roman" w:cs="Times New Roman"/>
        </w:rPr>
        <w:footnoteReference w:id="11"/>
      </w:r>
      <w:r w:rsidR="00871B11">
        <w:rPr>
          <w:rFonts w:ascii="Times New Roman" w:hAnsi="Times New Roman" w:cs="Times New Roman"/>
        </w:rPr>
        <w:t xml:space="preserve"> It can therefore be argued that the Athenian moulded the Delian League to suit its needs and to </w:t>
      </w:r>
      <w:r w:rsidR="007C264F">
        <w:rPr>
          <w:rFonts w:ascii="Times New Roman" w:hAnsi="Times New Roman" w:cs="Times New Roman"/>
        </w:rPr>
        <w:t>establish the beginnings of an Athenian Empire</w:t>
      </w:r>
      <w:r w:rsidR="00BD3D8F">
        <w:rPr>
          <w:rFonts w:ascii="Times New Roman" w:hAnsi="Times New Roman" w:cs="Times New Roman"/>
        </w:rPr>
        <w:t>, the foreign ties allowed Athens to exert control over numerous cities and spread its influence into other colonies.</w:t>
      </w:r>
    </w:p>
    <w:p w:rsidR="008F1681" w:rsidRDefault="00AC799E" w:rsidP="007C4628">
      <w:pPr>
        <w:spacing w:line="360" w:lineRule="auto"/>
        <w:jc w:val="both"/>
        <w:rPr>
          <w:rFonts w:ascii="Times New Roman" w:hAnsi="Times New Roman" w:cs="Times New Roman"/>
        </w:rPr>
      </w:pPr>
      <w:r>
        <w:rPr>
          <w:rFonts w:ascii="Times New Roman" w:hAnsi="Times New Roman" w:cs="Times New Roman"/>
        </w:rPr>
        <w:t>That is not to say that the consolidation of Athenian power was</w:t>
      </w:r>
      <w:r w:rsidR="00833F46">
        <w:rPr>
          <w:rFonts w:ascii="Times New Roman" w:hAnsi="Times New Roman" w:cs="Times New Roman"/>
        </w:rPr>
        <w:t xml:space="preserve"> unrivalled;</w:t>
      </w:r>
      <w:r w:rsidR="0078764A">
        <w:rPr>
          <w:rFonts w:ascii="Times New Roman" w:hAnsi="Times New Roman" w:cs="Times New Roman"/>
        </w:rPr>
        <w:t xml:space="preserve"> a failed campaign in Egypt </w:t>
      </w:r>
      <w:r>
        <w:rPr>
          <w:rFonts w:ascii="Times New Roman" w:hAnsi="Times New Roman" w:cs="Times New Roman"/>
        </w:rPr>
        <w:t>cost the League</w:t>
      </w:r>
      <w:r w:rsidR="0078764A">
        <w:rPr>
          <w:rFonts w:ascii="Times New Roman" w:hAnsi="Times New Roman" w:cs="Times New Roman"/>
        </w:rPr>
        <w:t xml:space="preserve"> roughly 200 trireemes and a further 50 in the relief expedition. Although the numbers aren’t certain, it is known that more than half the Delian fleet was lost in </w:t>
      </w:r>
      <w:r w:rsidR="00D5524D">
        <w:rPr>
          <w:rFonts w:ascii="Times New Roman" w:hAnsi="Times New Roman" w:cs="Times New Roman"/>
        </w:rPr>
        <w:t>Egypt, which would have drastically reduced Athenian power</w:t>
      </w:r>
      <w:r w:rsidR="00D5524D">
        <w:rPr>
          <w:rStyle w:val="FootnoteReference"/>
          <w:rFonts w:ascii="Times New Roman" w:hAnsi="Times New Roman" w:cs="Times New Roman"/>
        </w:rPr>
        <w:footnoteReference w:id="12"/>
      </w:r>
      <w:r w:rsidR="00611080">
        <w:rPr>
          <w:rFonts w:ascii="Times New Roman" w:hAnsi="Times New Roman" w:cs="Times New Roman"/>
        </w:rPr>
        <w:t xml:space="preserve">. </w:t>
      </w:r>
      <w:r w:rsidR="00725EFD">
        <w:rPr>
          <w:rFonts w:ascii="Times New Roman" w:hAnsi="Times New Roman" w:cs="Times New Roman"/>
        </w:rPr>
        <w:t xml:space="preserve">Moreover there were indications of disaffection from </w:t>
      </w:r>
      <w:r w:rsidR="00611080">
        <w:rPr>
          <w:rFonts w:ascii="Times New Roman" w:hAnsi="Times New Roman" w:cs="Times New Roman"/>
        </w:rPr>
        <w:t>the Leagu</w:t>
      </w:r>
      <w:r w:rsidR="00725EFD">
        <w:rPr>
          <w:rFonts w:ascii="Times New Roman" w:hAnsi="Times New Roman" w:cs="Times New Roman"/>
        </w:rPr>
        <w:t>e by numerous cities that were either noticeably absent from the tribute lists from around 449</w:t>
      </w:r>
      <w:r w:rsidR="00833F46">
        <w:rPr>
          <w:rFonts w:ascii="Times New Roman" w:hAnsi="Times New Roman" w:cs="Times New Roman"/>
        </w:rPr>
        <w:t xml:space="preserve">-7; such places as </w:t>
      </w:r>
      <w:proofErr w:type="spellStart"/>
      <w:r w:rsidR="00833F46">
        <w:rPr>
          <w:rFonts w:ascii="Times New Roman" w:hAnsi="Times New Roman" w:cs="Times New Roman"/>
        </w:rPr>
        <w:t>Astacus</w:t>
      </w:r>
      <w:proofErr w:type="spellEnd"/>
      <w:r w:rsidR="00833F46">
        <w:rPr>
          <w:rFonts w:ascii="Times New Roman" w:hAnsi="Times New Roman" w:cs="Times New Roman"/>
        </w:rPr>
        <w:t xml:space="preserve">, </w:t>
      </w:r>
      <w:proofErr w:type="spellStart"/>
      <w:r w:rsidR="00833F46">
        <w:rPr>
          <w:rFonts w:ascii="Times New Roman" w:hAnsi="Times New Roman" w:cs="Times New Roman"/>
        </w:rPr>
        <w:t>Perinthus</w:t>
      </w:r>
      <w:proofErr w:type="spellEnd"/>
      <w:r w:rsidR="00833F46">
        <w:rPr>
          <w:rFonts w:ascii="Times New Roman" w:hAnsi="Times New Roman" w:cs="Times New Roman"/>
        </w:rPr>
        <w:t xml:space="preserve">, </w:t>
      </w:r>
      <w:proofErr w:type="spellStart"/>
      <w:r w:rsidR="00833F46">
        <w:rPr>
          <w:rFonts w:ascii="Times New Roman" w:hAnsi="Times New Roman" w:cs="Times New Roman"/>
        </w:rPr>
        <w:t>Neandria</w:t>
      </w:r>
      <w:proofErr w:type="spellEnd"/>
      <w:r w:rsidR="00833F46">
        <w:rPr>
          <w:rFonts w:ascii="Times New Roman" w:hAnsi="Times New Roman" w:cs="Times New Roman"/>
        </w:rPr>
        <w:t xml:space="preserve"> and Aegina were amongst those that disaffected. Furthermore</w:t>
      </w:r>
      <w:r w:rsidR="00073C0D">
        <w:rPr>
          <w:rFonts w:ascii="Times New Roman" w:hAnsi="Times New Roman" w:cs="Times New Roman"/>
        </w:rPr>
        <w:t xml:space="preserve"> an Athenian Decree </w:t>
      </w:r>
      <w:r w:rsidR="00833F46">
        <w:rPr>
          <w:rFonts w:ascii="Times New Roman" w:hAnsi="Times New Roman" w:cs="Times New Roman"/>
        </w:rPr>
        <w:t xml:space="preserve">was found </w:t>
      </w:r>
      <w:r w:rsidR="00073C0D">
        <w:rPr>
          <w:rFonts w:ascii="Times New Roman" w:hAnsi="Times New Roman" w:cs="Times New Roman"/>
        </w:rPr>
        <w:t>regarding the regulations for Colophon</w:t>
      </w:r>
      <w:r w:rsidR="00833F46">
        <w:rPr>
          <w:rFonts w:ascii="Times New Roman" w:hAnsi="Times New Roman" w:cs="Times New Roman"/>
        </w:rPr>
        <w:t>,</w:t>
      </w:r>
      <w:r w:rsidR="00833F46" w:rsidRPr="00833F46">
        <w:rPr>
          <w:rFonts w:ascii="Times New Roman" w:hAnsi="Times New Roman" w:cs="Times New Roman"/>
        </w:rPr>
        <w:t xml:space="preserve"> </w:t>
      </w:r>
      <w:r w:rsidR="00833F46">
        <w:rPr>
          <w:rFonts w:ascii="Times New Roman" w:hAnsi="Times New Roman" w:cs="Times New Roman"/>
        </w:rPr>
        <w:t xml:space="preserve">), a city known to have rebelled against Athens, as well as an oath relating to Athens being the founding city (and hence </w:t>
      </w:r>
      <w:r w:rsidR="00833F46">
        <w:rPr>
          <w:rFonts w:ascii="Times New Roman" w:hAnsi="Times New Roman" w:cs="Times New Roman"/>
        </w:rPr>
        <w:lastRenderedPageBreak/>
        <w:t>entitled to tribute to be paid to them)</w:t>
      </w:r>
      <w:r w:rsidR="00073C0D">
        <w:rPr>
          <w:rStyle w:val="FootnoteReference"/>
          <w:rFonts w:ascii="Times New Roman" w:hAnsi="Times New Roman" w:cs="Times New Roman"/>
        </w:rPr>
        <w:footnoteReference w:id="13"/>
      </w:r>
      <w:r w:rsidR="00174777">
        <w:rPr>
          <w:rFonts w:ascii="Times New Roman" w:hAnsi="Times New Roman" w:cs="Times New Roman"/>
        </w:rPr>
        <w:t>. Therefore although Athens’ power was extensive, it was n</w:t>
      </w:r>
      <w:r w:rsidR="00833F46">
        <w:rPr>
          <w:rFonts w:ascii="Times New Roman" w:hAnsi="Times New Roman" w:cs="Times New Roman"/>
        </w:rPr>
        <w:t xml:space="preserve">ot absolute nor beyond reproach as it had been challenged numerous times both within the League and external to it. </w:t>
      </w:r>
    </w:p>
    <w:p w:rsidR="00D6786F" w:rsidRPr="00362A98" w:rsidRDefault="00BD3D8F" w:rsidP="007C4628">
      <w:pPr>
        <w:spacing w:line="360" w:lineRule="auto"/>
        <w:jc w:val="both"/>
        <w:rPr>
          <w:rFonts w:ascii="Times New Roman" w:hAnsi="Times New Roman" w:cs="Times New Roman"/>
        </w:rPr>
      </w:pPr>
      <w:r>
        <w:rPr>
          <w:rFonts w:ascii="Times New Roman" w:hAnsi="Times New Roman" w:cs="Times New Roman"/>
        </w:rPr>
        <w:t xml:space="preserve">Athens reputation as a lead naval power made it </w:t>
      </w:r>
      <w:r w:rsidR="007C4628">
        <w:rPr>
          <w:rFonts w:ascii="Times New Roman" w:hAnsi="Times New Roman" w:cs="Times New Roman"/>
        </w:rPr>
        <w:t>a popular choice as leader of</w:t>
      </w:r>
      <w:r>
        <w:rPr>
          <w:rFonts w:ascii="Times New Roman" w:hAnsi="Times New Roman" w:cs="Times New Roman"/>
        </w:rPr>
        <w:t xml:space="preserve"> the Delian League, a choice which enabled the domination</w:t>
      </w:r>
      <w:r w:rsidR="007C4628">
        <w:rPr>
          <w:rFonts w:ascii="Times New Roman" w:hAnsi="Times New Roman" w:cs="Times New Roman"/>
        </w:rPr>
        <w:t xml:space="preserve"> of Athens over the League.</w:t>
      </w:r>
      <w:r>
        <w:rPr>
          <w:rStyle w:val="FootnoteReference"/>
          <w:rFonts w:ascii="Times New Roman" w:hAnsi="Times New Roman" w:cs="Times New Roman"/>
        </w:rPr>
        <w:footnoteReference w:id="14"/>
      </w:r>
      <w:r w:rsidR="007C4628">
        <w:rPr>
          <w:rFonts w:ascii="Times New Roman" w:hAnsi="Times New Roman" w:cs="Times New Roman"/>
        </w:rPr>
        <w:t xml:space="preserve">Many scholars argue that the greed of Athens meant that the development of an Empire from the League was inevitable, along with circumstances of the time such as the Peace of </w:t>
      </w:r>
      <w:proofErr w:type="spellStart"/>
      <w:r w:rsidR="007C4628">
        <w:rPr>
          <w:rFonts w:ascii="Times New Roman" w:hAnsi="Times New Roman" w:cs="Times New Roman"/>
        </w:rPr>
        <w:t>Callais</w:t>
      </w:r>
      <w:proofErr w:type="spellEnd"/>
      <w:r w:rsidR="007C4628">
        <w:rPr>
          <w:rFonts w:ascii="Times New Roman" w:hAnsi="Times New Roman" w:cs="Times New Roman"/>
        </w:rPr>
        <w:t xml:space="preserve"> in </w:t>
      </w:r>
      <w:r w:rsidR="00D3110A">
        <w:rPr>
          <w:rFonts w:ascii="Times New Roman" w:hAnsi="Times New Roman" w:cs="Times New Roman"/>
        </w:rPr>
        <w:t xml:space="preserve">which </w:t>
      </w:r>
      <w:r w:rsidR="00D3110A" w:rsidRPr="0057164D">
        <w:rPr>
          <w:rFonts w:ascii="Times New Roman" w:hAnsi="Times New Roman" w:cs="Times New Roman"/>
        </w:rPr>
        <w:t>‘the</w:t>
      </w:r>
      <w:r w:rsidR="007C4628" w:rsidRPr="0057164D">
        <w:rPr>
          <w:rFonts w:ascii="Times New Roman" w:hAnsi="Times New Roman" w:cs="Times New Roman"/>
        </w:rPr>
        <w:t xml:space="preserve"> treaty precipitated a crisis which may be said to have transformed the alliance from a Delian League into an Athenian Empire’</w:t>
      </w:r>
      <w:r w:rsidR="007C4628" w:rsidRPr="0057164D">
        <w:rPr>
          <w:rStyle w:val="FootnoteReference"/>
          <w:rFonts w:ascii="Times New Roman" w:hAnsi="Times New Roman" w:cs="Times New Roman"/>
        </w:rPr>
        <w:footnoteReference w:id="15"/>
      </w:r>
      <w:r w:rsidR="007C4628">
        <w:rPr>
          <w:rFonts w:ascii="Times New Roman" w:hAnsi="Times New Roman" w:cs="Times New Roman"/>
        </w:rPr>
        <w:t>. Indeed it is said that t</w:t>
      </w:r>
      <w:r w:rsidR="00875F5C" w:rsidRPr="0057164D">
        <w:rPr>
          <w:rFonts w:ascii="Times New Roman" w:hAnsi="Times New Roman" w:cs="Times New Roman"/>
        </w:rPr>
        <w:t xml:space="preserve">he Delian League in its </w:t>
      </w:r>
      <w:r w:rsidR="00875F5C" w:rsidRPr="007C4628">
        <w:rPr>
          <w:rFonts w:ascii="Times New Roman" w:hAnsi="Times New Roman" w:cs="Times New Roman"/>
          <w:i/>
        </w:rPr>
        <w:t>developed</w:t>
      </w:r>
      <w:r w:rsidR="00875F5C" w:rsidRPr="0057164D">
        <w:rPr>
          <w:rFonts w:ascii="Times New Roman" w:hAnsi="Times New Roman" w:cs="Times New Roman"/>
        </w:rPr>
        <w:t xml:space="preserve"> form is often referred to as the Athenian Empire due to the </w:t>
      </w:r>
      <w:r w:rsidR="00602724" w:rsidRPr="0057164D">
        <w:rPr>
          <w:rFonts w:ascii="Times New Roman" w:hAnsi="Times New Roman" w:cs="Times New Roman"/>
        </w:rPr>
        <w:t xml:space="preserve">authoritarian </w:t>
      </w:r>
      <w:r w:rsidR="00602724">
        <w:rPr>
          <w:rFonts w:ascii="Times New Roman" w:hAnsi="Times New Roman" w:cs="Times New Roman"/>
        </w:rPr>
        <w:t>leadership</w:t>
      </w:r>
      <w:r w:rsidR="00875F5C" w:rsidRPr="0057164D">
        <w:rPr>
          <w:rFonts w:ascii="Times New Roman" w:hAnsi="Times New Roman" w:cs="Times New Roman"/>
        </w:rPr>
        <w:t xml:space="preserve"> of Athens</w:t>
      </w:r>
      <w:r w:rsidR="00875F5C" w:rsidRPr="0057164D">
        <w:rPr>
          <w:rStyle w:val="FootnoteReference"/>
          <w:rFonts w:ascii="Times New Roman" w:hAnsi="Times New Roman" w:cs="Times New Roman"/>
        </w:rPr>
        <w:footnoteReference w:id="16"/>
      </w:r>
      <w:r w:rsidR="007C4628">
        <w:rPr>
          <w:rFonts w:ascii="Times New Roman" w:hAnsi="Times New Roman" w:cs="Times New Roman"/>
        </w:rPr>
        <w:t xml:space="preserve">, thus showing the effectiveness of the extensive interference of Athens in other Polis in establishing a powerful dominion. </w:t>
      </w:r>
      <w:r w:rsidR="00452092">
        <w:rPr>
          <w:rFonts w:ascii="Times New Roman" w:hAnsi="Times New Roman" w:cs="Times New Roman"/>
        </w:rPr>
        <w:t>Thus what was originally supposed to be a binary system with equal power was undermine when the members of the Delian League lost their autonomy to Athens and became subordinates</w:t>
      </w:r>
      <w:r w:rsidR="00452092">
        <w:rPr>
          <w:rStyle w:val="FootnoteReference"/>
          <w:rFonts w:ascii="Times New Roman" w:hAnsi="Times New Roman" w:cs="Times New Roman"/>
        </w:rPr>
        <w:footnoteReference w:id="17"/>
      </w:r>
      <w:r w:rsidR="00452092">
        <w:rPr>
          <w:rFonts w:ascii="Times New Roman" w:hAnsi="Times New Roman" w:cs="Times New Roman"/>
        </w:rPr>
        <w:t xml:space="preserve"> facilitation the establishment of an empire. The conquering of this hegemonic League, although not unassailable, as proven by the disaffection and rebellion of a few members, is shown best in the shift of interest and intention. The primary focus on prevention of Persian invasion quickly shifted to embody more anti-Spartan sentiments in the lead up to the Great Peloponnesian War as Athens took more control of the directive of the League and used it to enact more personal ambitions.</w:t>
      </w:r>
      <w:r w:rsidR="00D3110A">
        <w:rPr>
          <w:rFonts w:ascii="Times New Roman" w:hAnsi="Times New Roman" w:cs="Times New Roman"/>
        </w:rPr>
        <w:t xml:space="preserve"> Through assuming monetary control over the League and possessing both the treasury and the fleet within Athens itself, along with enacting independently from the League but still using its resources, the City subsumes the League marking the start of an Empire.</w:t>
      </w:r>
      <w:r w:rsidR="00362A98">
        <w:rPr>
          <w:rFonts w:ascii="Times New Roman" w:hAnsi="Times New Roman" w:cs="Times New Roman"/>
        </w:rPr>
        <w:t xml:space="preserve"> Conclusively it is beyond reproach that the Delian League became the Athenian Empire due to the oppressive actions of Athens, h</w:t>
      </w:r>
      <w:r w:rsidR="00875F5C" w:rsidRPr="00362A98">
        <w:rPr>
          <w:rFonts w:ascii="Times New Roman" w:hAnsi="Times New Roman" w:cs="Times New Roman"/>
        </w:rPr>
        <w:t xml:space="preserve">owever it should be considered that the Empire was in a state of flux that never reached stability under Athenian </w:t>
      </w:r>
      <w:r w:rsidR="00D6786F" w:rsidRPr="00362A98">
        <w:rPr>
          <w:rFonts w:ascii="Times New Roman" w:hAnsi="Times New Roman" w:cs="Times New Roman"/>
        </w:rPr>
        <w:t>control</w:t>
      </w:r>
      <w:r w:rsidR="00D6786F" w:rsidRPr="00362A98">
        <w:rPr>
          <w:rStyle w:val="FootnoteReference"/>
          <w:rFonts w:ascii="Times New Roman" w:hAnsi="Times New Roman" w:cs="Times New Roman"/>
        </w:rPr>
        <w:footnoteReference w:id="18"/>
      </w:r>
      <w:r w:rsidR="00D6786F" w:rsidRPr="00362A98">
        <w:rPr>
          <w:rFonts w:ascii="Times New Roman" w:hAnsi="Times New Roman" w:cs="Times New Roman"/>
        </w:rPr>
        <w:t>.</w:t>
      </w:r>
      <w:r w:rsidR="00362A98">
        <w:rPr>
          <w:rFonts w:ascii="Times New Roman" w:hAnsi="Times New Roman" w:cs="Times New Roman"/>
        </w:rPr>
        <w:t xml:space="preserve"> </w:t>
      </w:r>
      <w:r w:rsidR="00080905">
        <w:rPr>
          <w:rFonts w:ascii="Times New Roman" w:hAnsi="Times New Roman" w:cs="Times New Roman"/>
        </w:rPr>
        <w:t xml:space="preserve">Hence although the League was the foundation for the Empire, the lack of stability proves that, despite extensive Athenian control, the states quest of independence prevented a complete consolidation of power that would ensure the longevity of the Empire. </w:t>
      </w:r>
    </w:p>
    <w:p w:rsidR="00910B8B" w:rsidRDefault="00910B8B" w:rsidP="007C4628">
      <w:pPr>
        <w:spacing w:line="360" w:lineRule="auto"/>
        <w:jc w:val="both"/>
        <w:rPr>
          <w:rFonts w:ascii="Times New Roman" w:hAnsi="Times New Roman" w:cs="Times New Roman"/>
          <w:b/>
          <w:sz w:val="24"/>
          <w:u w:val="single"/>
        </w:rPr>
      </w:pPr>
    </w:p>
    <w:p w:rsidR="00833F46" w:rsidRDefault="00910B8B" w:rsidP="00833F46">
      <w:pPr>
        <w:rPr>
          <w:rFonts w:ascii="Times New Roman" w:hAnsi="Times New Roman" w:cs="Times New Roman"/>
          <w:b/>
          <w:sz w:val="24"/>
          <w:u w:val="single"/>
        </w:rPr>
      </w:pPr>
      <w:r>
        <w:rPr>
          <w:rFonts w:ascii="Times New Roman" w:hAnsi="Times New Roman" w:cs="Times New Roman"/>
          <w:b/>
          <w:sz w:val="24"/>
          <w:u w:val="single"/>
        </w:rPr>
        <w:br w:type="page"/>
      </w:r>
    </w:p>
    <w:p w:rsidR="00D6786F" w:rsidRPr="00D6786F" w:rsidRDefault="00D6786F" w:rsidP="00833F46">
      <w:pPr>
        <w:jc w:val="center"/>
        <w:rPr>
          <w:rFonts w:ascii="Times New Roman" w:hAnsi="Times New Roman" w:cs="Times New Roman"/>
          <w:b/>
          <w:sz w:val="24"/>
          <w:u w:val="single"/>
        </w:rPr>
      </w:pPr>
      <w:r w:rsidRPr="00D6786F">
        <w:rPr>
          <w:rFonts w:ascii="Times New Roman" w:hAnsi="Times New Roman" w:cs="Times New Roman"/>
          <w:b/>
          <w:sz w:val="24"/>
          <w:u w:val="single"/>
        </w:rPr>
        <w:lastRenderedPageBreak/>
        <w:t>Bibliography</w:t>
      </w:r>
    </w:p>
    <w:p w:rsidR="000426D0" w:rsidRPr="000426D0" w:rsidRDefault="000426D0" w:rsidP="0057164D">
      <w:pPr>
        <w:spacing w:line="360" w:lineRule="auto"/>
        <w:rPr>
          <w:rFonts w:ascii="Times New Roman" w:hAnsi="Times New Roman" w:cs="Times New Roman"/>
        </w:rPr>
      </w:pPr>
      <w:r>
        <w:rPr>
          <w:rFonts w:ascii="Times New Roman" w:hAnsi="Times New Roman" w:cs="Times New Roman"/>
        </w:rPr>
        <w:t xml:space="preserve">Hansen, M.H.  2006. </w:t>
      </w:r>
      <w:r>
        <w:rPr>
          <w:rFonts w:ascii="Times New Roman" w:hAnsi="Times New Roman" w:cs="Times New Roman"/>
          <w:i/>
        </w:rPr>
        <w:t xml:space="preserve">Polis: an Introduction to the Ancient Greek City State. </w:t>
      </w:r>
      <w:r w:rsidR="00421813">
        <w:rPr>
          <w:rFonts w:ascii="Times New Roman" w:hAnsi="Times New Roman" w:cs="Times New Roman"/>
        </w:rPr>
        <w:t xml:space="preserve">New York. </w:t>
      </w:r>
      <w:proofErr w:type="gramStart"/>
      <w:r>
        <w:rPr>
          <w:rFonts w:ascii="Times New Roman" w:hAnsi="Times New Roman" w:cs="Times New Roman"/>
        </w:rPr>
        <w:t>Ox</w:t>
      </w:r>
      <w:r w:rsidR="00421813">
        <w:rPr>
          <w:rFonts w:ascii="Times New Roman" w:hAnsi="Times New Roman" w:cs="Times New Roman"/>
        </w:rPr>
        <w:t>ford University Press.</w:t>
      </w:r>
      <w:proofErr w:type="gramEnd"/>
    </w:p>
    <w:p w:rsidR="00F208A7" w:rsidRDefault="00F208A7" w:rsidP="0057164D">
      <w:pPr>
        <w:spacing w:line="360" w:lineRule="auto"/>
        <w:rPr>
          <w:rFonts w:ascii="Times New Roman" w:hAnsi="Times New Roman" w:cs="Times New Roman"/>
        </w:rPr>
      </w:pPr>
      <w:proofErr w:type="spellStart"/>
      <w:r>
        <w:rPr>
          <w:rFonts w:ascii="Times New Roman" w:hAnsi="Times New Roman" w:cs="Times New Roman"/>
        </w:rPr>
        <w:t>Hornblower</w:t>
      </w:r>
      <w:proofErr w:type="spellEnd"/>
      <w:r>
        <w:rPr>
          <w:rFonts w:ascii="Times New Roman" w:hAnsi="Times New Roman" w:cs="Times New Roman"/>
        </w:rPr>
        <w:t xml:space="preserve">, S. </w:t>
      </w:r>
      <w:r>
        <w:rPr>
          <w:rFonts w:ascii="Times New Roman" w:hAnsi="Times New Roman" w:cs="Times New Roman"/>
          <w:i/>
        </w:rPr>
        <w:t xml:space="preserve">Greece: The History of the Classical Period. </w:t>
      </w:r>
      <w:r>
        <w:rPr>
          <w:rFonts w:ascii="Times New Roman" w:hAnsi="Times New Roman" w:cs="Times New Roman"/>
        </w:rPr>
        <w:t xml:space="preserve"> In:  Boardman, J. Griffin, J. Murphy, O. 1986. </w:t>
      </w:r>
      <w:proofErr w:type="gramStart"/>
      <w:r>
        <w:rPr>
          <w:rFonts w:ascii="Times New Roman" w:hAnsi="Times New Roman" w:cs="Times New Roman"/>
          <w:i/>
        </w:rPr>
        <w:t>The Oxford History of Greece and the Hellenistic World.</w:t>
      </w:r>
      <w:proofErr w:type="gramEnd"/>
      <w:r>
        <w:rPr>
          <w:rFonts w:ascii="Times New Roman" w:hAnsi="Times New Roman" w:cs="Times New Roman"/>
          <w:i/>
        </w:rPr>
        <w:t xml:space="preserve"> </w:t>
      </w:r>
      <w:r w:rsidR="00421813">
        <w:rPr>
          <w:rFonts w:ascii="Times New Roman" w:hAnsi="Times New Roman" w:cs="Times New Roman"/>
        </w:rPr>
        <w:t xml:space="preserve">Oxford. </w:t>
      </w:r>
      <w:proofErr w:type="gramStart"/>
      <w:r>
        <w:rPr>
          <w:rFonts w:ascii="Times New Roman" w:hAnsi="Times New Roman" w:cs="Times New Roman"/>
        </w:rPr>
        <w:t>O</w:t>
      </w:r>
      <w:r w:rsidR="00421813">
        <w:rPr>
          <w:rFonts w:ascii="Times New Roman" w:hAnsi="Times New Roman" w:cs="Times New Roman"/>
        </w:rPr>
        <w:t>xford University Press.</w:t>
      </w:r>
      <w:proofErr w:type="gramEnd"/>
    </w:p>
    <w:p w:rsidR="000426D0" w:rsidRDefault="000426D0" w:rsidP="0057164D">
      <w:pPr>
        <w:spacing w:line="360" w:lineRule="auto"/>
        <w:rPr>
          <w:rFonts w:ascii="Times New Roman" w:hAnsi="Times New Roman" w:cs="Times New Roman"/>
        </w:rPr>
      </w:pPr>
      <w:proofErr w:type="spellStart"/>
      <w:r>
        <w:rPr>
          <w:rFonts w:ascii="Times New Roman" w:hAnsi="Times New Roman" w:cs="Times New Roman"/>
        </w:rPr>
        <w:t>Hornblower</w:t>
      </w:r>
      <w:proofErr w:type="spellEnd"/>
      <w:r>
        <w:rPr>
          <w:rFonts w:ascii="Times New Roman" w:hAnsi="Times New Roman" w:cs="Times New Roman"/>
        </w:rPr>
        <w:t xml:space="preserve">, S. 2011. </w:t>
      </w:r>
      <w:r>
        <w:rPr>
          <w:rFonts w:ascii="Times New Roman" w:hAnsi="Times New Roman" w:cs="Times New Roman"/>
          <w:i/>
        </w:rPr>
        <w:t>The Greek World: 479-323BC.</w:t>
      </w:r>
      <w:r>
        <w:rPr>
          <w:rFonts w:ascii="Times New Roman" w:hAnsi="Times New Roman" w:cs="Times New Roman"/>
        </w:rPr>
        <w:t xml:space="preserve"> </w:t>
      </w:r>
      <w:r w:rsidR="00421813">
        <w:rPr>
          <w:rFonts w:ascii="Times New Roman" w:hAnsi="Times New Roman" w:cs="Times New Roman"/>
        </w:rPr>
        <w:t xml:space="preserve">Oxon. </w:t>
      </w:r>
      <w:proofErr w:type="spellStart"/>
      <w:r w:rsidR="00421813">
        <w:rPr>
          <w:rFonts w:ascii="Times New Roman" w:hAnsi="Times New Roman" w:cs="Times New Roman"/>
        </w:rPr>
        <w:t>Routledge</w:t>
      </w:r>
      <w:proofErr w:type="spellEnd"/>
      <w:r w:rsidR="00421813">
        <w:rPr>
          <w:rFonts w:ascii="Times New Roman" w:hAnsi="Times New Roman" w:cs="Times New Roman"/>
        </w:rPr>
        <w:t>.</w:t>
      </w:r>
    </w:p>
    <w:p w:rsidR="0005697D" w:rsidRPr="0005697D" w:rsidRDefault="0005697D" w:rsidP="0057164D">
      <w:pPr>
        <w:spacing w:line="360" w:lineRule="auto"/>
        <w:rPr>
          <w:rFonts w:ascii="Times New Roman" w:hAnsi="Times New Roman" w:cs="Times New Roman"/>
          <w:color w:val="000000"/>
        </w:rPr>
      </w:pPr>
      <w:r w:rsidRPr="0005697D">
        <w:rPr>
          <w:rFonts w:ascii="Times New Roman" w:hAnsi="Times New Roman" w:cs="Times New Roman"/>
          <w:color w:val="000000"/>
        </w:rPr>
        <w:t xml:space="preserve">Plutarch. </w:t>
      </w:r>
      <w:proofErr w:type="spellStart"/>
      <w:r w:rsidRPr="0005697D">
        <w:rPr>
          <w:rFonts w:ascii="Times New Roman" w:hAnsi="Times New Roman" w:cs="Times New Roman"/>
          <w:i/>
          <w:color w:val="000000"/>
        </w:rPr>
        <w:t>Plutarch's</w:t>
      </w:r>
      <w:proofErr w:type="spellEnd"/>
      <w:r w:rsidRPr="0005697D">
        <w:rPr>
          <w:rFonts w:ascii="Times New Roman" w:hAnsi="Times New Roman" w:cs="Times New Roman"/>
          <w:i/>
          <w:color w:val="000000"/>
        </w:rPr>
        <w:t xml:space="preserve"> </w:t>
      </w:r>
      <w:proofErr w:type="spellStart"/>
      <w:r w:rsidRPr="0005697D">
        <w:rPr>
          <w:rFonts w:ascii="Times New Roman" w:hAnsi="Times New Roman" w:cs="Times New Roman"/>
          <w:i/>
          <w:color w:val="000000"/>
        </w:rPr>
        <w:t>Lives.</w:t>
      </w:r>
      <w:r w:rsidRPr="0005697D">
        <w:rPr>
          <w:rFonts w:ascii="Times New Roman" w:hAnsi="Times New Roman" w:cs="Times New Roman"/>
          <w:color w:val="000000"/>
        </w:rPr>
        <w:t>Perrin</w:t>
      </w:r>
      <w:proofErr w:type="spellEnd"/>
      <w:r>
        <w:rPr>
          <w:rFonts w:ascii="Times New Roman" w:hAnsi="Times New Roman" w:cs="Times New Roman"/>
          <w:color w:val="000000"/>
        </w:rPr>
        <w:t>, B</w:t>
      </w:r>
      <w:r w:rsidRPr="0005697D">
        <w:rPr>
          <w:rFonts w:ascii="Times New Roman" w:hAnsi="Times New Roman" w:cs="Times New Roman"/>
          <w:color w:val="000000"/>
        </w:rPr>
        <w:t xml:space="preserve"> (</w:t>
      </w:r>
      <w:proofErr w:type="gramStart"/>
      <w:r w:rsidRPr="0005697D">
        <w:rPr>
          <w:rFonts w:ascii="Times New Roman" w:hAnsi="Times New Roman" w:cs="Times New Roman"/>
          <w:color w:val="000000"/>
        </w:rPr>
        <w:t>trans</w:t>
      </w:r>
      <w:proofErr w:type="gramEnd"/>
      <w:r w:rsidRPr="0005697D">
        <w:rPr>
          <w:rFonts w:ascii="Times New Roman" w:hAnsi="Times New Roman" w:cs="Times New Roman"/>
          <w:color w:val="000000"/>
        </w:rPr>
        <w:t xml:space="preserve">).1916.  London. </w:t>
      </w:r>
      <w:proofErr w:type="gramStart"/>
      <w:r w:rsidRPr="0005697D">
        <w:rPr>
          <w:rFonts w:ascii="Times New Roman" w:hAnsi="Times New Roman" w:cs="Times New Roman"/>
          <w:color w:val="000000"/>
        </w:rPr>
        <w:t>Harvard University Press.</w:t>
      </w:r>
      <w:proofErr w:type="gramEnd"/>
      <w:r w:rsidRPr="0005697D">
        <w:rPr>
          <w:rFonts w:ascii="Times New Roman" w:hAnsi="Times New Roman" w:cs="Times New Roman"/>
          <w:color w:val="000000"/>
        </w:rPr>
        <w:t xml:space="preserve"> London. </w:t>
      </w:r>
    </w:p>
    <w:p w:rsidR="00421813" w:rsidRDefault="00F208A7" w:rsidP="0057164D">
      <w:pPr>
        <w:spacing w:line="360" w:lineRule="auto"/>
        <w:rPr>
          <w:rFonts w:ascii="Times New Roman" w:hAnsi="Times New Roman" w:cs="Times New Roman"/>
        </w:rPr>
      </w:pPr>
      <w:proofErr w:type="gramStart"/>
      <w:r>
        <w:rPr>
          <w:rFonts w:ascii="Times New Roman" w:hAnsi="Times New Roman" w:cs="Times New Roman"/>
        </w:rPr>
        <w:t>Powell, A. 1988.</w:t>
      </w:r>
      <w:proofErr w:type="gramEnd"/>
      <w:r>
        <w:rPr>
          <w:rFonts w:ascii="Times New Roman" w:hAnsi="Times New Roman" w:cs="Times New Roman"/>
        </w:rPr>
        <w:t xml:space="preserve"> </w:t>
      </w:r>
      <w:r>
        <w:rPr>
          <w:rFonts w:ascii="Times New Roman" w:hAnsi="Times New Roman" w:cs="Times New Roman"/>
          <w:i/>
        </w:rPr>
        <w:t xml:space="preserve">Athens and Sparta: Constructing Greek Political and Social History from 478B.C </w:t>
      </w:r>
      <w:r w:rsidR="00421813">
        <w:rPr>
          <w:rFonts w:ascii="Times New Roman" w:hAnsi="Times New Roman" w:cs="Times New Roman"/>
        </w:rPr>
        <w:t xml:space="preserve">London. </w:t>
      </w:r>
      <w:proofErr w:type="spellStart"/>
      <w:proofErr w:type="gramStart"/>
      <w:r>
        <w:rPr>
          <w:rFonts w:ascii="Times New Roman" w:hAnsi="Times New Roman" w:cs="Times New Roman"/>
        </w:rPr>
        <w:t>Routledge</w:t>
      </w:r>
      <w:proofErr w:type="spellEnd"/>
      <w:r w:rsidR="00421813">
        <w:rPr>
          <w:rFonts w:ascii="Times New Roman" w:hAnsi="Times New Roman" w:cs="Times New Roman"/>
        </w:rPr>
        <w:t>.</w:t>
      </w:r>
      <w:proofErr w:type="gramEnd"/>
    </w:p>
    <w:p w:rsidR="00D6786F" w:rsidRDefault="00D6786F" w:rsidP="0057164D">
      <w:pPr>
        <w:spacing w:line="360" w:lineRule="auto"/>
        <w:rPr>
          <w:rFonts w:ascii="Times New Roman" w:hAnsi="Times New Roman" w:cs="Times New Roman"/>
        </w:rPr>
      </w:pPr>
      <w:proofErr w:type="spellStart"/>
      <w:r w:rsidRPr="00D6786F">
        <w:rPr>
          <w:rFonts w:ascii="Times New Roman" w:hAnsi="Times New Roman" w:cs="Times New Roman"/>
        </w:rPr>
        <w:t>Sealey</w:t>
      </w:r>
      <w:proofErr w:type="spellEnd"/>
      <w:r w:rsidRPr="00D6786F">
        <w:rPr>
          <w:rFonts w:ascii="Times New Roman" w:hAnsi="Times New Roman" w:cs="Times New Roman"/>
        </w:rPr>
        <w:t xml:space="preserve">, </w:t>
      </w:r>
      <w:proofErr w:type="gramStart"/>
      <w:r w:rsidRPr="00D6786F">
        <w:rPr>
          <w:rFonts w:ascii="Times New Roman" w:hAnsi="Times New Roman" w:cs="Times New Roman"/>
        </w:rPr>
        <w:t>R.1976 .</w:t>
      </w:r>
      <w:proofErr w:type="gramEnd"/>
      <w:r w:rsidRPr="00D6786F">
        <w:rPr>
          <w:rFonts w:ascii="Times New Roman" w:hAnsi="Times New Roman" w:cs="Times New Roman"/>
        </w:rPr>
        <w:t xml:space="preserve"> </w:t>
      </w:r>
      <w:proofErr w:type="gramStart"/>
      <w:r w:rsidRPr="00D6786F">
        <w:rPr>
          <w:rFonts w:ascii="Times New Roman" w:hAnsi="Times New Roman" w:cs="Times New Roman"/>
          <w:i/>
        </w:rPr>
        <w:t xml:space="preserve">A History of the Greek City States 700-338B.C. </w:t>
      </w:r>
      <w:r w:rsidR="00421813">
        <w:rPr>
          <w:rFonts w:ascii="Times New Roman" w:hAnsi="Times New Roman" w:cs="Times New Roman"/>
        </w:rPr>
        <w:t>London.</w:t>
      </w:r>
      <w:proofErr w:type="gramEnd"/>
      <w:r w:rsidR="00421813">
        <w:rPr>
          <w:rFonts w:ascii="Times New Roman" w:hAnsi="Times New Roman" w:cs="Times New Roman"/>
        </w:rPr>
        <w:t xml:space="preserve"> </w:t>
      </w:r>
      <w:proofErr w:type="gramStart"/>
      <w:r w:rsidRPr="00D6786F">
        <w:rPr>
          <w:rFonts w:ascii="Times New Roman" w:hAnsi="Times New Roman" w:cs="Times New Roman"/>
        </w:rPr>
        <w:t>Univers</w:t>
      </w:r>
      <w:r w:rsidR="00421813">
        <w:rPr>
          <w:rFonts w:ascii="Times New Roman" w:hAnsi="Times New Roman" w:cs="Times New Roman"/>
        </w:rPr>
        <w:t>ity of California Press.</w:t>
      </w:r>
      <w:proofErr w:type="gramEnd"/>
    </w:p>
    <w:p w:rsidR="00421813" w:rsidRPr="00421813" w:rsidRDefault="00421813" w:rsidP="0057164D">
      <w:pPr>
        <w:spacing w:line="360" w:lineRule="auto"/>
        <w:rPr>
          <w:rFonts w:ascii="Times New Roman" w:hAnsi="Times New Roman" w:cs="Times New Roman"/>
        </w:rPr>
      </w:pPr>
      <w:r>
        <w:rPr>
          <w:rFonts w:ascii="Times New Roman" w:hAnsi="Times New Roman" w:cs="Times New Roman"/>
        </w:rPr>
        <w:t xml:space="preserve">Thucydides. </w:t>
      </w:r>
      <w:proofErr w:type="gramStart"/>
      <w:r>
        <w:rPr>
          <w:rFonts w:ascii="Times New Roman" w:hAnsi="Times New Roman" w:cs="Times New Roman"/>
          <w:i/>
        </w:rPr>
        <w:t>History of the Peloponnesian War.</w:t>
      </w:r>
      <w:proofErr w:type="gramEnd"/>
      <w:r>
        <w:rPr>
          <w:rFonts w:ascii="Times New Roman" w:hAnsi="Times New Roman" w:cs="Times New Roman"/>
          <w:i/>
        </w:rPr>
        <w:t xml:space="preserve"> </w:t>
      </w:r>
      <w:r>
        <w:rPr>
          <w:rFonts w:ascii="Times New Roman" w:hAnsi="Times New Roman" w:cs="Times New Roman"/>
        </w:rPr>
        <w:t>Warner, R (</w:t>
      </w:r>
      <w:proofErr w:type="gramStart"/>
      <w:r>
        <w:rPr>
          <w:rFonts w:ascii="Times New Roman" w:hAnsi="Times New Roman" w:cs="Times New Roman"/>
        </w:rPr>
        <w:t>trans</w:t>
      </w:r>
      <w:proofErr w:type="gramEnd"/>
      <w:r>
        <w:rPr>
          <w:rFonts w:ascii="Times New Roman" w:hAnsi="Times New Roman" w:cs="Times New Roman"/>
        </w:rPr>
        <w:t xml:space="preserve">). 1972. St. Ives. </w:t>
      </w:r>
      <w:proofErr w:type="gramStart"/>
      <w:r>
        <w:rPr>
          <w:rFonts w:ascii="Times New Roman" w:hAnsi="Times New Roman" w:cs="Times New Roman"/>
        </w:rPr>
        <w:t>Penguin.</w:t>
      </w:r>
      <w:proofErr w:type="gramEnd"/>
      <w:r>
        <w:rPr>
          <w:rFonts w:ascii="Times New Roman" w:hAnsi="Times New Roman" w:cs="Times New Roman"/>
        </w:rPr>
        <w:t xml:space="preserve"> </w:t>
      </w:r>
    </w:p>
    <w:p w:rsidR="0057164D" w:rsidRDefault="0057164D">
      <w:pPr>
        <w:spacing w:line="360" w:lineRule="auto"/>
        <w:rPr>
          <w:rFonts w:ascii="Times New Roman" w:hAnsi="Times New Roman" w:cs="Times New Roman"/>
        </w:rPr>
      </w:pPr>
    </w:p>
    <w:sectPr w:rsidR="0057164D" w:rsidSect="007E0AB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99E" w:rsidRDefault="00AC799E" w:rsidP="00875F5C">
      <w:pPr>
        <w:spacing w:after="0" w:line="240" w:lineRule="auto"/>
      </w:pPr>
      <w:r>
        <w:separator/>
      </w:r>
    </w:p>
  </w:endnote>
  <w:endnote w:type="continuationSeparator" w:id="0">
    <w:p w:rsidR="00AC799E" w:rsidRDefault="00AC799E" w:rsidP="00875F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99E" w:rsidRDefault="00AC799E" w:rsidP="00875F5C">
      <w:pPr>
        <w:spacing w:after="0" w:line="240" w:lineRule="auto"/>
      </w:pPr>
      <w:r>
        <w:separator/>
      </w:r>
    </w:p>
  </w:footnote>
  <w:footnote w:type="continuationSeparator" w:id="0">
    <w:p w:rsidR="00AC799E" w:rsidRDefault="00AC799E" w:rsidP="00875F5C">
      <w:pPr>
        <w:spacing w:after="0" w:line="240" w:lineRule="auto"/>
      </w:pPr>
      <w:r>
        <w:continuationSeparator/>
      </w:r>
    </w:p>
  </w:footnote>
  <w:footnote w:id="1">
    <w:p w:rsidR="00AC799E" w:rsidRPr="00421813" w:rsidRDefault="00AC799E">
      <w:pPr>
        <w:pStyle w:val="FootnoteText"/>
        <w:rPr>
          <w:rFonts w:ascii="Times New Roman" w:hAnsi="Times New Roman" w:cs="Times New Roman"/>
        </w:rPr>
      </w:pPr>
      <w:r w:rsidRPr="00421813">
        <w:rPr>
          <w:rStyle w:val="FootnoteReference"/>
          <w:rFonts w:ascii="Times New Roman" w:hAnsi="Times New Roman" w:cs="Times New Roman"/>
        </w:rPr>
        <w:footnoteRef/>
      </w:r>
      <w:r w:rsidRPr="00421813">
        <w:rPr>
          <w:rFonts w:ascii="Times New Roman" w:hAnsi="Times New Roman" w:cs="Times New Roman"/>
        </w:rPr>
        <w:t xml:space="preserve"> </w:t>
      </w:r>
      <w:proofErr w:type="spellStart"/>
      <w:proofErr w:type="gramStart"/>
      <w:r w:rsidRPr="00421813">
        <w:rPr>
          <w:rFonts w:ascii="Times New Roman" w:hAnsi="Times New Roman" w:cs="Times New Roman"/>
        </w:rPr>
        <w:t>Thuc</w:t>
      </w:r>
      <w:proofErr w:type="spellEnd"/>
      <w:r w:rsidRPr="00421813">
        <w:rPr>
          <w:rFonts w:ascii="Times New Roman" w:hAnsi="Times New Roman" w:cs="Times New Roman"/>
        </w:rPr>
        <w:t>.</w:t>
      </w:r>
      <w:proofErr w:type="gramEnd"/>
      <w:r w:rsidRPr="00421813">
        <w:rPr>
          <w:rFonts w:ascii="Times New Roman" w:hAnsi="Times New Roman" w:cs="Times New Roman"/>
        </w:rPr>
        <w:t xml:space="preserve"> </w:t>
      </w:r>
      <w:r w:rsidRPr="00421813">
        <w:rPr>
          <w:rFonts w:ascii="Times New Roman" w:hAnsi="Times New Roman" w:cs="Times New Roman"/>
          <w:i/>
        </w:rPr>
        <w:t xml:space="preserve">Peloponnesian War: </w:t>
      </w:r>
      <w:r w:rsidRPr="00421813">
        <w:rPr>
          <w:rFonts w:ascii="Times New Roman" w:hAnsi="Times New Roman" w:cs="Times New Roman"/>
        </w:rPr>
        <w:t>2:8</w:t>
      </w:r>
    </w:p>
  </w:footnote>
  <w:footnote w:id="2">
    <w:p w:rsidR="00AC799E" w:rsidRDefault="00AC799E">
      <w:pPr>
        <w:pStyle w:val="FootnoteText"/>
      </w:pPr>
      <w:r>
        <w:rPr>
          <w:rStyle w:val="FootnoteReference"/>
        </w:rPr>
        <w:footnoteRef/>
      </w:r>
      <w:r>
        <w:t xml:space="preserve"> </w:t>
      </w:r>
      <w:r w:rsidRPr="00894AB8">
        <w:rPr>
          <w:rFonts w:ascii="Times New Roman" w:hAnsi="Times New Roman" w:cs="Times New Roman"/>
        </w:rPr>
        <w:t>Powell 1988: 6</w:t>
      </w:r>
    </w:p>
  </w:footnote>
  <w:footnote w:id="3">
    <w:p w:rsidR="00AC799E" w:rsidRPr="00E9654F" w:rsidRDefault="00AC799E" w:rsidP="004C2A2E">
      <w:pPr>
        <w:pStyle w:val="FootnoteText"/>
        <w:rPr>
          <w:rFonts w:ascii="Times New Roman" w:hAnsi="Times New Roman" w:cs="Times New Roman"/>
        </w:rPr>
      </w:pPr>
      <w:r w:rsidRPr="00E9654F">
        <w:rPr>
          <w:rStyle w:val="FootnoteReference"/>
          <w:rFonts w:ascii="Times New Roman" w:hAnsi="Times New Roman" w:cs="Times New Roman"/>
        </w:rPr>
        <w:footnoteRef/>
      </w:r>
      <w:r w:rsidRPr="00E9654F">
        <w:rPr>
          <w:rFonts w:ascii="Times New Roman" w:hAnsi="Times New Roman" w:cs="Times New Roman"/>
        </w:rPr>
        <w:t xml:space="preserve"> </w:t>
      </w:r>
      <w:proofErr w:type="spellStart"/>
      <w:r w:rsidRPr="00E9654F">
        <w:rPr>
          <w:rFonts w:ascii="Times New Roman" w:hAnsi="Times New Roman" w:cs="Times New Roman"/>
        </w:rPr>
        <w:t>Sealey</w:t>
      </w:r>
      <w:proofErr w:type="spellEnd"/>
      <w:r w:rsidRPr="00E9654F">
        <w:rPr>
          <w:rFonts w:ascii="Times New Roman" w:hAnsi="Times New Roman" w:cs="Times New Roman"/>
        </w:rPr>
        <w:t xml:space="preserve"> 1976: 305</w:t>
      </w:r>
    </w:p>
  </w:footnote>
  <w:footnote w:id="4">
    <w:p w:rsidR="00AC799E" w:rsidRDefault="00AC799E" w:rsidP="004C2A2E">
      <w:pPr>
        <w:pStyle w:val="FootnoteText"/>
      </w:pPr>
      <w:r w:rsidRPr="00744162">
        <w:rPr>
          <w:rStyle w:val="FootnoteReference"/>
          <w:rFonts w:ascii="Times New Roman" w:hAnsi="Times New Roman" w:cs="Times New Roman"/>
        </w:rPr>
        <w:footnoteRef/>
      </w:r>
      <w:r w:rsidRPr="00744162">
        <w:rPr>
          <w:rFonts w:ascii="Times New Roman" w:hAnsi="Times New Roman" w:cs="Times New Roman"/>
        </w:rPr>
        <w:t xml:space="preserve"> </w:t>
      </w:r>
      <w:proofErr w:type="spellStart"/>
      <w:r w:rsidRPr="00744162">
        <w:rPr>
          <w:rFonts w:ascii="Times New Roman" w:hAnsi="Times New Roman" w:cs="Times New Roman"/>
        </w:rPr>
        <w:t>Hornblower</w:t>
      </w:r>
      <w:proofErr w:type="spellEnd"/>
      <w:r w:rsidRPr="00744162">
        <w:rPr>
          <w:rFonts w:ascii="Times New Roman" w:hAnsi="Times New Roman" w:cs="Times New Roman"/>
        </w:rPr>
        <w:t xml:space="preserve"> 2011: 15</w:t>
      </w:r>
    </w:p>
  </w:footnote>
  <w:footnote w:id="5">
    <w:p w:rsidR="00AC799E" w:rsidRPr="00783CCE" w:rsidRDefault="00AC799E">
      <w:pPr>
        <w:pStyle w:val="FootnoteText"/>
        <w:rPr>
          <w:rFonts w:ascii="Times New Roman" w:hAnsi="Times New Roman" w:cs="Times New Roman"/>
        </w:rPr>
      </w:pPr>
      <w:r w:rsidRPr="00783CCE">
        <w:rPr>
          <w:rStyle w:val="FootnoteReference"/>
          <w:rFonts w:ascii="Times New Roman" w:hAnsi="Times New Roman" w:cs="Times New Roman"/>
        </w:rPr>
        <w:footnoteRef/>
      </w:r>
      <w:r w:rsidRPr="00783CCE">
        <w:rPr>
          <w:rFonts w:ascii="Times New Roman" w:hAnsi="Times New Roman" w:cs="Times New Roman"/>
        </w:rPr>
        <w:t xml:space="preserve"> </w:t>
      </w:r>
      <w:proofErr w:type="spellStart"/>
      <w:r w:rsidRPr="00783CCE">
        <w:rPr>
          <w:rFonts w:ascii="Times New Roman" w:hAnsi="Times New Roman" w:cs="Times New Roman"/>
        </w:rPr>
        <w:t>Hornblower</w:t>
      </w:r>
      <w:proofErr w:type="spellEnd"/>
      <w:r w:rsidRPr="00783CCE">
        <w:rPr>
          <w:rFonts w:ascii="Times New Roman" w:hAnsi="Times New Roman" w:cs="Times New Roman"/>
        </w:rPr>
        <w:t xml:space="preserve"> 1986: 154</w:t>
      </w:r>
    </w:p>
  </w:footnote>
  <w:footnote w:id="6">
    <w:p w:rsidR="00AC799E" w:rsidRPr="00E9654F" w:rsidRDefault="00AC799E" w:rsidP="00AC799E">
      <w:pPr>
        <w:pStyle w:val="FootnoteText"/>
        <w:rPr>
          <w:rFonts w:ascii="Times New Roman" w:hAnsi="Times New Roman" w:cs="Times New Roman"/>
        </w:rPr>
      </w:pPr>
      <w:r w:rsidRPr="00E9654F">
        <w:rPr>
          <w:rStyle w:val="FootnoteReference"/>
          <w:rFonts w:ascii="Times New Roman" w:hAnsi="Times New Roman" w:cs="Times New Roman"/>
        </w:rPr>
        <w:footnoteRef/>
      </w:r>
      <w:r w:rsidRPr="00E9654F">
        <w:rPr>
          <w:rFonts w:ascii="Times New Roman" w:hAnsi="Times New Roman" w:cs="Times New Roman"/>
        </w:rPr>
        <w:t xml:space="preserve"> </w:t>
      </w:r>
      <w:proofErr w:type="spellStart"/>
      <w:r w:rsidRPr="00E9654F">
        <w:rPr>
          <w:rFonts w:ascii="Times New Roman" w:hAnsi="Times New Roman" w:cs="Times New Roman"/>
        </w:rPr>
        <w:t>Sealey</w:t>
      </w:r>
      <w:proofErr w:type="spellEnd"/>
      <w:r w:rsidRPr="00E9654F">
        <w:rPr>
          <w:rFonts w:ascii="Times New Roman" w:hAnsi="Times New Roman" w:cs="Times New Roman"/>
        </w:rPr>
        <w:t xml:space="preserve"> 1976: 304</w:t>
      </w:r>
    </w:p>
  </w:footnote>
  <w:footnote w:id="7">
    <w:p w:rsidR="00AC799E" w:rsidRDefault="00AC799E">
      <w:pPr>
        <w:pStyle w:val="FootnoteText"/>
      </w:pPr>
      <w:r w:rsidRPr="00783CCE">
        <w:rPr>
          <w:rStyle w:val="FootnoteReference"/>
          <w:rFonts w:ascii="Times New Roman" w:hAnsi="Times New Roman" w:cs="Times New Roman"/>
        </w:rPr>
        <w:footnoteRef/>
      </w:r>
      <w:r w:rsidRPr="00783CCE">
        <w:rPr>
          <w:rFonts w:ascii="Times New Roman" w:hAnsi="Times New Roman" w:cs="Times New Roman"/>
        </w:rPr>
        <w:t xml:space="preserve"> </w:t>
      </w:r>
      <w:proofErr w:type="spellStart"/>
      <w:r w:rsidRPr="00783CCE">
        <w:rPr>
          <w:rFonts w:ascii="Times New Roman" w:hAnsi="Times New Roman" w:cs="Times New Roman"/>
        </w:rPr>
        <w:t>Sealey</w:t>
      </w:r>
      <w:proofErr w:type="spellEnd"/>
      <w:r w:rsidRPr="00783CCE">
        <w:rPr>
          <w:rFonts w:ascii="Times New Roman" w:hAnsi="Times New Roman" w:cs="Times New Roman"/>
        </w:rPr>
        <w:t xml:space="preserve"> 1976: 244</w:t>
      </w:r>
    </w:p>
  </w:footnote>
  <w:footnote w:id="8">
    <w:p w:rsidR="00AC799E" w:rsidRPr="0077014F" w:rsidRDefault="00AC799E">
      <w:pPr>
        <w:pStyle w:val="FootnoteText"/>
        <w:rPr>
          <w:rFonts w:ascii="Times New Roman" w:hAnsi="Times New Roman" w:cs="Times New Roman"/>
        </w:rPr>
      </w:pPr>
      <w:r w:rsidRPr="008F1681">
        <w:rPr>
          <w:rStyle w:val="FootnoteReference"/>
          <w:rFonts w:ascii="Times New Roman" w:hAnsi="Times New Roman" w:cs="Times New Roman"/>
        </w:rPr>
        <w:footnoteRef/>
      </w:r>
      <w:r w:rsidRPr="008F1681">
        <w:rPr>
          <w:rFonts w:ascii="Times New Roman" w:hAnsi="Times New Roman" w:cs="Times New Roman"/>
        </w:rPr>
        <w:t xml:space="preserve"> Plu</w:t>
      </w:r>
      <w:r w:rsidRPr="0077014F">
        <w:rPr>
          <w:rFonts w:ascii="Times New Roman" w:hAnsi="Times New Roman" w:cs="Times New Roman"/>
        </w:rPr>
        <w:t xml:space="preserve">. </w:t>
      </w:r>
      <w:r w:rsidRPr="0077014F">
        <w:rPr>
          <w:rFonts w:ascii="Times New Roman" w:hAnsi="Times New Roman" w:cs="Times New Roman"/>
          <w:i/>
        </w:rPr>
        <w:t xml:space="preserve">Per. </w:t>
      </w:r>
      <w:r w:rsidRPr="0077014F">
        <w:rPr>
          <w:rFonts w:ascii="Times New Roman" w:hAnsi="Times New Roman" w:cs="Times New Roman"/>
        </w:rPr>
        <w:t>12.1</w:t>
      </w:r>
    </w:p>
  </w:footnote>
  <w:footnote w:id="9">
    <w:p w:rsidR="00AC799E" w:rsidRDefault="00AC799E" w:rsidP="007D23E1">
      <w:pPr>
        <w:pStyle w:val="FootnoteText"/>
      </w:pPr>
      <w:r w:rsidRPr="00A644F2">
        <w:rPr>
          <w:rStyle w:val="FootnoteReference"/>
          <w:rFonts w:ascii="Times New Roman" w:hAnsi="Times New Roman" w:cs="Times New Roman"/>
        </w:rPr>
        <w:footnoteRef/>
      </w:r>
      <w:r w:rsidRPr="00A644F2">
        <w:rPr>
          <w:rFonts w:ascii="Times New Roman" w:hAnsi="Times New Roman" w:cs="Times New Roman"/>
        </w:rPr>
        <w:t xml:space="preserve"> Powel 1988: 36</w:t>
      </w:r>
    </w:p>
  </w:footnote>
  <w:footnote w:id="10">
    <w:p w:rsidR="00AC799E" w:rsidRPr="00E9654F" w:rsidRDefault="00AC799E" w:rsidP="008F1681">
      <w:pPr>
        <w:pStyle w:val="FootnoteText"/>
        <w:rPr>
          <w:rFonts w:ascii="Times New Roman" w:hAnsi="Times New Roman" w:cs="Times New Roman"/>
        </w:rPr>
      </w:pPr>
      <w:r w:rsidRPr="00E9654F">
        <w:rPr>
          <w:rStyle w:val="FootnoteReference"/>
          <w:rFonts w:ascii="Times New Roman" w:hAnsi="Times New Roman" w:cs="Times New Roman"/>
        </w:rPr>
        <w:footnoteRef/>
      </w:r>
      <w:r w:rsidRPr="00E9654F">
        <w:rPr>
          <w:rFonts w:ascii="Times New Roman" w:hAnsi="Times New Roman" w:cs="Times New Roman"/>
        </w:rPr>
        <w:t xml:space="preserve"> </w:t>
      </w:r>
      <w:proofErr w:type="spellStart"/>
      <w:r w:rsidRPr="00E9654F">
        <w:rPr>
          <w:rFonts w:ascii="Times New Roman" w:hAnsi="Times New Roman" w:cs="Times New Roman"/>
        </w:rPr>
        <w:t>Sealey</w:t>
      </w:r>
      <w:proofErr w:type="spellEnd"/>
      <w:r w:rsidRPr="00E9654F">
        <w:rPr>
          <w:rFonts w:ascii="Times New Roman" w:hAnsi="Times New Roman" w:cs="Times New Roman"/>
        </w:rPr>
        <w:t xml:space="preserve"> 1976: 283-285</w:t>
      </w:r>
    </w:p>
  </w:footnote>
  <w:footnote w:id="11">
    <w:p w:rsidR="00AC799E" w:rsidRPr="00A644F2" w:rsidRDefault="00AC799E" w:rsidP="008F1681">
      <w:pPr>
        <w:pStyle w:val="FootnoteText"/>
        <w:rPr>
          <w:rFonts w:ascii="Times New Roman" w:hAnsi="Times New Roman" w:cs="Times New Roman"/>
        </w:rPr>
      </w:pPr>
      <w:r w:rsidRPr="00A644F2">
        <w:rPr>
          <w:rStyle w:val="FootnoteReference"/>
          <w:rFonts w:ascii="Times New Roman" w:hAnsi="Times New Roman" w:cs="Times New Roman"/>
        </w:rPr>
        <w:footnoteRef/>
      </w:r>
      <w:r w:rsidRPr="00A644F2">
        <w:rPr>
          <w:rFonts w:ascii="Times New Roman" w:hAnsi="Times New Roman" w:cs="Times New Roman"/>
        </w:rPr>
        <w:t xml:space="preserve"> </w:t>
      </w:r>
      <w:proofErr w:type="spellStart"/>
      <w:r w:rsidRPr="00A644F2">
        <w:rPr>
          <w:rFonts w:ascii="Times New Roman" w:hAnsi="Times New Roman" w:cs="Times New Roman"/>
        </w:rPr>
        <w:t>Hornblower</w:t>
      </w:r>
      <w:proofErr w:type="spellEnd"/>
      <w:r w:rsidRPr="00A644F2">
        <w:rPr>
          <w:rFonts w:ascii="Times New Roman" w:hAnsi="Times New Roman" w:cs="Times New Roman"/>
        </w:rPr>
        <w:t xml:space="preserve"> 1986: 152</w:t>
      </w:r>
    </w:p>
  </w:footnote>
  <w:footnote w:id="12">
    <w:p w:rsidR="00D5524D" w:rsidRDefault="00D5524D">
      <w:pPr>
        <w:pStyle w:val="FootnoteText"/>
      </w:pPr>
      <w:r>
        <w:rPr>
          <w:rStyle w:val="FootnoteReference"/>
        </w:rPr>
        <w:footnoteRef/>
      </w:r>
      <w:r>
        <w:t xml:space="preserve"> </w:t>
      </w:r>
      <w:r w:rsidRPr="00D5524D">
        <w:rPr>
          <w:rFonts w:ascii="Times New Roman" w:hAnsi="Times New Roman" w:cs="Times New Roman"/>
        </w:rPr>
        <w:t>Powell 1988: 41</w:t>
      </w:r>
    </w:p>
  </w:footnote>
  <w:footnote w:id="13">
    <w:p w:rsidR="00073C0D" w:rsidRPr="00073C0D" w:rsidRDefault="00073C0D">
      <w:pPr>
        <w:pStyle w:val="FootnoteText"/>
        <w:rPr>
          <w:rFonts w:ascii="Times New Roman" w:hAnsi="Times New Roman" w:cs="Times New Roman"/>
        </w:rPr>
      </w:pPr>
      <w:r w:rsidRPr="00073C0D">
        <w:rPr>
          <w:rStyle w:val="FootnoteReference"/>
          <w:rFonts w:ascii="Times New Roman" w:hAnsi="Times New Roman" w:cs="Times New Roman"/>
        </w:rPr>
        <w:footnoteRef/>
      </w:r>
      <w:r w:rsidRPr="00073C0D">
        <w:rPr>
          <w:rFonts w:ascii="Times New Roman" w:hAnsi="Times New Roman" w:cs="Times New Roman"/>
        </w:rPr>
        <w:t xml:space="preserve"> </w:t>
      </w:r>
      <w:proofErr w:type="spellStart"/>
      <w:r w:rsidRPr="00073C0D">
        <w:rPr>
          <w:rFonts w:ascii="Times New Roman" w:hAnsi="Times New Roman" w:cs="Times New Roman"/>
        </w:rPr>
        <w:t>Sealey</w:t>
      </w:r>
      <w:proofErr w:type="spellEnd"/>
      <w:r w:rsidRPr="00073C0D">
        <w:rPr>
          <w:rFonts w:ascii="Times New Roman" w:hAnsi="Times New Roman" w:cs="Times New Roman"/>
        </w:rPr>
        <w:t xml:space="preserve"> 1976: 288-289</w:t>
      </w:r>
    </w:p>
  </w:footnote>
  <w:footnote w:id="14">
    <w:p w:rsidR="00BD3D8F" w:rsidRPr="007C4628" w:rsidRDefault="00BD3D8F">
      <w:pPr>
        <w:pStyle w:val="FootnoteText"/>
        <w:rPr>
          <w:rFonts w:ascii="Times New Roman" w:hAnsi="Times New Roman" w:cs="Times New Roman"/>
        </w:rPr>
      </w:pPr>
      <w:r w:rsidRPr="007C4628">
        <w:rPr>
          <w:rStyle w:val="FootnoteReference"/>
          <w:rFonts w:ascii="Times New Roman" w:hAnsi="Times New Roman" w:cs="Times New Roman"/>
        </w:rPr>
        <w:footnoteRef/>
      </w:r>
      <w:r w:rsidRPr="007C4628">
        <w:rPr>
          <w:rFonts w:ascii="Times New Roman" w:hAnsi="Times New Roman" w:cs="Times New Roman"/>
        </w:rPr>
        <w:t xml:space="preserve"> </w:t>
      </w:r>
      <w:r w:rsidR="007C4628" w:rsidRPr="007C4628">
        <w:rPr>
          <w:rFonts w:ascii="Times New Roman" w:hAnsi="Times New Roman" w:cs="Times New Roman"/>
        </w:rPr>
        <w:t>Powell 1988: 2</w:t>
      </w:r>
    </w:p>
  </w:footnote>
  <w:footnote w:id="15">
    <w:p w:rsidR="007C4628" w:rsidRPr="00E9654F" w:rsidRDefault="007C4628" w:rsidP="007C4628">
      <w:pPr>
        <w:pStyle w:val="FootnoteText"/>
        <w:rPr>
          <w:rFonts w:ascii="Times New Roman" w:hAnsi="Times New Roman" w:cs="Times New Roman"/>
        </w:rPr>
      </w:pPr>
      <w:r w:rsidRPr="00E9654F">
        <w:rPr>
          <w:rStyle w:val="FootnoteReference"/>
          <w:rFonts w:ascii="Times New Roman" w:hAnsi="Times New Roman" w:cs="Times New Roman"/>
        </w:rPr>
        <w:footnoteRef/>
      </w:r>
      <w:r w:rsidRPr="00E9654F">
        <w:rPr>
          <w:rFonts w:ascii="Times New Roman" w:hAnsi="Times New Roman" w:cs="Times New Roman"/>
        </w:rPr>
        <w:t xml:space="preserve"> </w:t>
      </w:r>
      <w:proofErr w:type="spellStart"/>
      <w:r w:rsidRPr="00E9654F">
        <w:rPr>
          <w:rFonts w:ascii="Times New Roman" w:hAnsi="Times New Roman" w:cs="Times New Roman"/>
        </w:rPr>
        <w:t>Sealey</w:t>
      </w:r>
      <w:proofErr w:type="spellEnd"/>
      <w:r w:rsidRPr="00E9654F">
        <w:rPr>
          <w:rFonts w:ascii="Times New Roman" w:hAnsi="Times New Roman" w:cs="Times New Roman"/>
        </w:rPr>
        <w:t xml:space="preserve"> 1976: 282</w:t>
      </w:r>
    </w:p>
  </w:footnote>
  <w:footnote w:id="16">
    <w:p w:rsidR="00AC799E" w:rsidRPr="00E9654F" w:rsidRDefault="00AC799E">
      <w:pPr>
        <w:pStyle w:val="FootnoteText"/>
        <w:rPr>
          <w:rFonts w:ascii="Times New Roman" w:hAnsi="Times New Roman" w:cs="Times New Roman"/>
        </w:rPr>
      </w:pPr>
      <w:r w:rsidRPr="00D6786F">
        <w:rPr>
          <w:rStyle w:val="FootnoteReference"/>
          <w:rFonts w:ascii="Times New Roman" w:hAnsi="Times New Roman" w:cs="Times New Roman"/>
        </w:rPr>
        <w:footnoteRef/>
      </w:r>
      <w:r w:rsidRPr="00D6786F">
        <w:rPr>
          <w:rFonts w:ascii="Times New Roman" w:hAnsi="Times New Roman" w:cs="Times New Roman"/>
        </w:rPr>
        <w:t xml:space="preserve"> </w:t>
      </w:r>
      <w:proofErr w:type="spellStart"/>
      <w:r w:rsidRPr="00E9654F">
        <w:rPr>
          <w:rFonts w:ascii="Times New Roman" w:hAnsi="Times New Roman" w:cs="Times New Roman"/>
        </w:rPr>
        <w:t>Sealey</w:t>
      </w:r>
      <w:proofErr w:type="spellEnd"/>
      <w:r w:rsidRPr="00E9654F">
        <w:rPr>
          <w:rFonts w:ascii="Times New Roman" w:hAnsi="Times New Roman" w:cs="Times New Roman"/>
        </w:rPr>
        <w:t xml:space="preserve"> 1976: 304</w:t>
      </w:r>
    </w:p>
  </w:footnote>
  <w:footnote w:id="17">
    <w:p w:rsidR="00452092" w:rsidRPr="00744162" w:rsidRDefault="00452092" w:rsidP="00452092">
      <w:pPr>
        <w:pStyle w:val="FootnoteText"/>
        <w:rPr>
          <w:rFonts w:ascii="Times New Roman" w:hAnsi="Times New Roman" w:cs="Times New Roman"/>
        </w:rPr>
      </w:pPr>
      <w:r w:rsidRPr="00744162">
        <w:rPr>
          <w:rStyle w:val="FootnoteReference"/>
          <w:rFonts w:ascii="Times New Roman" w:hAnsi="Times New Roman" w:cs="Times New Roman"/>
        </w:rPr>
        <w:footnoteRef/>
      </w:r>
      <w:r w:rsidRPr="00744162">
        <w:rPr>
          <w:rFonts w:ascii="Times New Roman" w:hAnsi="Times New Roman" w:cs="Times New Roman"/>
        </w:rPr>
        <w:t xml:space="preserve"> Hansen 2006: 129</w:t>
      </w:r>
    </w:p>
  </w:footnote>
  <w:footnote w:id="18">
    <w:p w:rsidR="00AC799E" w:rsidRPr="00E9654F" w:rsidRDefault="00AC799E">
      <w:pPr>
        <w:pStyle w:val="FootnoteText"/>
        <w:rPr>
          <w:rFonts w:ascii="Times New Roman" w:hAnsi="Times New Roman" w:cs="Times New Roman"/>
        </w:rPr>
      </w:pPr>
      <w:r w:rsidRPr="00E9654F">
        <w:rPr>
          <w:rStyle w:val="FootnoteReference"/>
          <w:rFonts w:ascii="Times New Roman" w:hAnsi="Times New Roman" w:cs="Times New Roman"/>
        </w:rPr>
        <w:footnoteRef/>
      </w:r>
      <w:r w:rsidRPr="00E9654F">
        <w:rPr>
          <w:rFonts w:ascii="Times New Roman" w:hAnsi="Times New Roman" w:cs="Times New Roman"/>
        </w:rPr>
        <w:t xml:space="preserve"> </w:t>
      </w:r>
      <w:proofErr w:type="spellStart"/>
      <w:r w:rsidRPr="00E9654F">
        <w:rPr>
          <w:rFonts w:ascii="Times New Roman" w:hAnsi="Times New Roman" w:cs="Times New Roman"/>
        </w:rPr>
        <w:t>Sealey</w:t>
      </w:r>
      <w:proofErr w:type="spellEnd"/>
      <w:r w:rsidRPr="00E9654F">
        <w:rPr>
          <w:rFonts w:ascii="Times New Roman" w:hAnsi="Times New Roman" w:cs="Times New Roman"/>
        </w:rPr>
        <w:t xml:space="preserve"> 1976: 304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5B29F9"/>
    <w:rsid w:val="0000097D"/>
    <w:rsid w:val="000426D0"/>
    <w:rsid w:val="0005697D"/>
    <w:rsid w:val="00073C0D"/>
    <w:rsid w:val="00080905"/>
    <w:rsid w:val="000C6AD3"/>
    <w:rsid w:val="000E130D"/>
    <w:rsid w:val="00100BEB"/>
    <w:rsid w:val="00174777"/>
    <w:rsid w:val="001904FA"/>
    <w:rsid w:val="00362A98"/>
    <w:rsid w:val="003C7B5A"/>
    <w:rsid w:val="00421813"/>
    <w:rsid w:val="00451688"/>
    <w:rsid w:val="00452092"/>
    <w:rsid w:val="004C2A2E"/>
    <w:rsid w:val="004F49DB"/>
    <w:rsid w:val="00507A03"/>
    <w:rsid w:val="0057164D"/>
    <w:rsid w:val="005B29F9"/>
    <w:rsid w:val="005C48CE"/>
    <w:rsid w:val="00602724"/>
    <w:rsid w:val="00611080"/>
    <w:rsid w:val="00614945"/>
    <w:rsid w:val="00657FCF"/>
    <w:rsid w:val="0068273D"/>
    <w:rsid w:val="006930A2"/>
    <w:rsid w:val="00725EFD"/>
    <w:rsid w:val="00744162"/>
    <w:rsid w:val="0077014F"/>
    <w:rsid w:val="00783CCE"/>
    <w:rsid w:val="0078764A"/>
    <w:rsid w:val="007C264F"/>
    <w:rsid w:val="007C4628"/>
    <w:rsid w:val="007D23E1"/>
    <w:rsid w:val="007E0AB7"/>
    <w:rsid w:val="007F6ABD"/>
    <w:rsid w:val="00833F46"/>
    <w:rsid w:val="00841337"/>
    <w:rsid w:val="00871B11"/>
    <w:rsid w:val="00875F5C"/>
    <w:rsid w:val="00894AB8"/>
    <w:rsid w:val="008E65D1"/>
    <w:rsid w:val="008F1681"/>
    <w:rsid w:val="008F3C48"/>
    <w:rsid w:val="00910B8B"/>
    <w:rsid w:val="00A644F2"/>
    <w:rsid w:val="00A749BA"/>
    <w:rsid w:val="00AC799E"/>
    <w:rsid w:val="00BD3D8F"/>
    <w:rsid w:val="00C472F8"/>
    <w:rsid w:val="00D3110A"/>
    <w:rsid w:val="00D5524D"/>
    <w:rsid w:val="00D6786F"/>
    <w:rsid w:val="00E05EBB"/>
    <w:rsid w:val="00E32494"/>
    <w:rsid w:val="00E9654F"/>
    <w:rsid w:val="00F208A7"/>
    <w:rsid w:val="00F35BC5"/>
    <w:rsid w:val="00FA74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A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75F5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75F5C"/>
  </w:style>
  <w:style w:type="paragraph" w:styleId="Footer">
    <w:name w:val="footer"/>
    <w:basedOn w:val="Normal"/>
    <w:link w:val="FooterChar"/>
    <w:uiPriority w:val="99"/>
    <w:unhideWhenUsed/>
    <w:rsid w:val="00875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F5C"/>
  </w:style>
  <w:style w:type="paragraph" w:styleId="BalloonText">
    <w:name w:val="Balloon Text"/>
    <w:basedOn w:val="Normal"/>
    <w:link w:val="BalloonTextChar"/>
    <w:uiPriority w:val="99"/>
    <w:semiHidden/>
    <w:unhideWhenUsed/>
    <w:rsid w:val="00875F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F5C"/>
    <w:rPr>
      <w:rFonts w:ascii="Tahoma" w:hAnsi="Tahoma" w:cs="Tahoma"/>
      <w:sz w:val="16"/>
      <w:szCs w:val="16"/>
    </w:rPr>
  </w:style>
  <w:style w:type="paragraph" w:styleId="FootnoteText">
    <w:name w:val="footnote text"/>
    <w:basedOn w:val="Normal"/>
    <w:link w:val="FootnoteTextChar"/>
    <w:uiPriority w:val="99"/>
    <w:semiHidden/>
    <w:unhideWhenUsed/>
    <w:rsid w:val="00875F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5F5C"/>
    <w:rPr>
      <w:sz w:val="20"/>
      <w:szCs w:val="20"/>
    </w:rPr>
  </w:style>
  <w:style w:type="character" w:styleId="FootnoteReference">
    <w:name w:val="footnote reference"/>
    <w:basedOn w:val="DefaultParagraphFont"/>
    <w:uiPriority w:val="99"/>
    <w:semiHidden/>
    <w:unhideWhenUsed/>
    <w:rsid w:val="00875F5C"/>
    <w:rPr>
      <w:vertAlign w:val="superscript"/>
    </w:rPr>
  </w:style>
</w:styles>
</file>

<file path=word/webSettings.xml><?xml version="1.0" encoding="utf-8"?>
<w:webSettings xmlns:r="http://schemas.openxmlformats.org/officeDocument/2006/relationships" xmlns:w="http://schemas.openxmlformats.org/wordprocessingml/2006/main">
  <w:divs>
    <w:div w:id="1618021720">
      <w:bodyDiv w:val="1"/>
      <w:marLeft w:val="0"/>
      <w:marRight w:val="0"/>
      <w:marTop w:val="0"/>
      <w:marBottom w:val="0"/>
      <w:divBdr>
        <w:top w:val="none" w:sz="0" w:space="0" w:color="auto"/>
        <w:left w:val="none" w:sz="0" w:space="0" w:color="auto"/>
        <w:bottom w:val="none" w:sz="0" w:space="0" w:color="auto"/>
        <w:right w:val="none" w:sz="0" w:space="0" w:color="auto"/>
      </w:divBdr>
      <w:divsChild>
        <w:div w:id="1308316201">
          <w:marLeft w:val="0"/>
          <w:marRight w:val="0"/>
          <w:marTop w:val="0"/>
          <w:marBottom w:val="187"/>
          <w:divBdr>
            <w:top w:val="none" w:sz="0" w:space="0" w:color="auto"/>
            <w:left w:val="none" w:sz="0" w:space="0" w:color="auto"/>
            <w:bottom w:val="none" w:sz="0" w:space="0" w:color="auto"/>
            <w:right w:val="none" w:sz="0" w:space="0" w:color="auto"/>
          </w:divBdr>
          <w:divsChild>
            <w:div w:id="1603799726">
              <w:marLeft w:val="0"/>
              <w:marRight w:val="0"/>
              <w:marTop w:val="0"/>
              <w:marBottom w:val="187"/>
              <w:divBdr>
                <w:top w:val="none" w:sz="0" w:space="0" w:color="auto"/>
                <w:left w:val="none" w:sz="0" w:space="0" w:color="auto"/>
                <w:bottom w:val="none" w:sz="0" w:space="0" w:color="auto"/>
                <w:right w:val="none" w:sz="0" w:space="0" w:color="auto"/>
              </w:divBdr>
              <w:divsChild>
                <w:div w:id="290213578">
                  <w:marLeft w:val="0"/>
                  <w:marRight w:val="0"/>
                  <w:marTop w:val="0"/>
                  <w:marBottom w:val="37"/>
                  <w:divBdr>
                    <w:top w:val="none" w:sz="0" w:space="0" w:color="auto"/>
                    <w:left w:val="none" w:sz="0" w:space="0" w:color="auto"/>
                    <w:bottom w:val="none" w:sz="0" w:space="0" w:color="auto"/>
                    <w:right w:val="none" w:sz="0" w:space="0" w:color="auto"/>
                  </w:divBdr>
                </w:div>
                <w:div w:id="687100940">
                  <w:marLeft w:val="0"/>
                  <w:marRight w:val="0"/>
                  <w:marTop w:val="0"/>
                  <w:marBottom w:val="37"/>
                  <w:divBdr>
                    <w:top w:val="none" w:sz="0" w:space="0" w:color="auto"/>
                    <w:left w:val="none" w:sz="0" w:space="0" w:color="auto"/>
                    <w:bottom w:val="none" w:sz="0" w:space="0" w:color="auto"/>
                    <w:right w:val="none" w:sz="0" w:space="0" w:color="auto"/>
                  </w:divBdr>
                </w:div>
              </w:divsChild>
            </w:div>
          </w:divsChild>
        </w:div>
        <w:div w:id="1387799947">
          <w:marLeft w:val="0"/>
          <w:marRight w:val="0"/>
          <w:marTop w:val="0"/>
          <w:marBottom w:val="0"/>
          <w:divBdr>
            <w:top w:val="none" w:sz="0" w:space="0" w:color="auto"/>
            <w:left w:val="none" w:sz="0" w:space="0" w:color="auto"/>
            <w:bottom w:val="none" w:sz="0" w:space="0" w:color="auto"/>
            <w:right w:val="none" w:sz="0" w:space="0" w:color="auto"/>
          </w:divBdr>
          <w:divsChild>
            <w:div w:id="1825007441">
              <w:marLeft w:val="0"/>
              <w:marRight w:val="0"/>
              <w:marTop w:val="0"/>
              <w:marBottom w:val="374"/>
              <w:divBdr>
                <w:top w:val="none" w:sz="0" w:space="0" w:color="auto"/>
                <w:left w:val="none" w:sz="0" w:space="0" w:color="auto"/>
                <w:bottom w:val="none" w:sz="0" w:space="0" w:color="auto"/>
                <w:right w:val="none" w:sz="0" w:space="0" w:color="auto"/>
              </w:divBdr>
            </w:div>
            <w:div w:id="2025672541">
              <w:marLeft w:val="0"/>
              <w:marRight w:val="0"/>
              <w:marTop w:val="0"/>
              <w:marBottom w:val="374"/>
              <w:divBdr>
                <w:top w:val="none" w:sz="0" w:space="0" w:color="auto"/>
                <w:left w:val="none" w:sz="0" w:space="0" w:color="auto"/>
                <w:bottom w:val="none" w:sz="0" w:space="0" w:color="auto"/>
                <w:right w:val="none" w:sz="0" w:space="0" w:color="auto"/>
              </w:divBdr>
            </w:div>
            <w:div w:id="2047169395">
              <w:marLeft w:val="0"/>
              <w:marRight w:val="0"/>
              <w:marTop w:val="0"/>
              <w:marBottom w:val="374"/>
              <w:divBdr>
                <w:top w:val="none" w:sz="0" w:space="0" w:color="auto"/>
                <w:left w:val="none" w:sz="0" w:space="0" w:color="auto"/>
                <w:bottom w:val="none" w:sz="0" w:space="0" w:color="auto"/>
                <w:right w:val="none" w:sz="0" w:space="0" w:color="auto"/>
              </w:divBdr>
            </w:div>
            <w:div w:id="1364331269">
              <w:marLeft w:val="0"/>
              <w:marRight w:val="0"/>
              <w:marTop w:val="0"/>
              <w:marBottom w:val="374"/>
              <w:divBdr>
                <w:top w:val="none" w:sz="0" w:space="0" w:color="auto"/>
                <w:left w:val="none" w:sz="0" w:space="0" w:color="auto"/>
                <w:bottom w:val="none" w:sz="0" w:space="0" w:color="auto"/>
                <w:right w:val="none" w:sz="0" w:space="0" w:color="auto"/>
              </w:divBdr>
              <w:divsChild>
                <w:div w:id="1067730557">
                  <w:marLeft w:val="0"/>
                  <w:marRight w:val="0"/>
                  <w:marTop w:val="0"/>
                  <w:marBottom w:val="0"/>
                  <w:divBdr>
                    <w:top w:val="none" w:sz="0" w:space="0" w:color="auto"/>
                    <w:left w:val="none" w:sz="0" w:space="0" w:color="auto"/>
                    <w:bottom w:val="none" w:sz="0" w:space="0" w:color="auto"/>
                    <w:right w:val="none" w:sz="0" w:space="0" w:color="auto"/>
                  </w:divBdr>
                  <w:divsChild>
                    <w:div w:id="265698669">
                      <w:marLeft w:val="0"/>
                      <w:marRight w:val="0"/>
                      <w:marTop w:val="0"/>
                      <w:marBottom w:val="94"/>
                      <w:divBdr>
                        <w:top w:val="none" w:sz="0" w:space="0" w:color="auto"/>
                        <w:left w:val="none" w:sz="0" w:space="0" w:color="auto"/>
                        <w:bottom w:val="none" w:sz="0" w:space="0" w:color="auto"/>
                        <w:right w:val="none" w:sz="0" w:space="0" w:color="auto"/>
                      </w:divBdr>
                    </w:div>
                    <w:div w:id="392505747">
                      <w:marLeft w:val="0"/>
                      <w:marRight w:val="0"/>
                      <w:marTop w:val="0"/>
                      <w:marBottom w:val="94"/>
                      <w:divBdr>
                        <w:top w:val="none" w:sz="0" w:space="0" w:color="auto"/>
                        <w:left w:val="none" w:sz="0" w:space="0" w:color="auto"/>
                        <w:bottom w:val="none" w:sz="0" w:space="0" w:color="auto"/>
                        <w:right w:val="none" w:sz="0" w:space="0" w:color="auto"/>
                      </w:divBdr>
                    </w:div>
                    <w:div w:id="128204795">
                      <w:marLeft w:val="0"/>
                      <w:marRight w:val="0"/>
                      <w:marTop w:val="0"/>
                      <w:marBottom w:val="94"/>
                      <w:divBdr>
                        <w:top w:val="none" w:sz="0" w:space="0" w:color="auto"/>
                        <w:left w:val="none" w:sz="0" w:space="0" w:color="auto"/>
                        <w:bottom w:val="none" w:sz="0" w:space="0" w:color="auto"/>
                        <w:right w:val="none" w:sz="0" w:space="0" w:color="auto"/>
                      </w:divBdr>
                    </w:div>
                    <w:div w:id="765347225">
                      <w:marLeft w:val="0"/>
                      <w:marRight w:val="0"/>
                      <w:marTop w:val="0"/>
                      <w:marBottom w:val="94"/>
                      <w:divBdr>
                        <w:top w:val="none" w:sz="0" w:space="0" w:color="auto"/>
                        <w:left w:val="none" w:sz="0" w:space="0" w:color="auto"/>
                        <w:bottom w:val="none" w:sz="0" w:space="0" w:color="auto"/>
                        <w:right w:val="none" w:sz="0" w:space="0" w:color="auto"/>
                      </w:divBdr>
                    </w:div>
                    <w:div w:id="560402975">
                      <w:marLeft w:val="0"/>
                      <w:marRight w:val="0"/>
                      <w:marTop w:val="0"/>
                      <w:marBottom w:val="94"/>
                      <w:divBdr>
                        <w:top w:val="none" w:sz="0" w:space="0" w:color="auto"/>
                        <w:left w:val="none" w:sz="0" w:space="0" w:color="auto"/>
                        <w:bottom w:val="none" w:sz="0" w:space="0" w:color="auto"/>
                        <w:right w:val="none" w:sz="0" w:space="0" w:color="auto"/>
                      </w:divBdr>
                    </w:div>
                    <w:div w:id="1007975657">
                      <w:marLeft w:val="0"/>
                      <w:marRight w:val="0"/>
                      <w:marTop w:val="0"/>
                      <w:marBottom w:val="94"/>
                      <w:divBdr>
                        <w:top w:val="none" w:sz="0" w:space="0" w:color="auto"/>
                        <w:left w:val="none" w:sz="0" w:space="0" w:color="auto"/>
                        <w:bottom w:val="none" w:sz="0" w:space="0" w:color="auto"/>
                        <w:right w:val="none" w:sz="0" w:space="0" w:color="auto"/>
                      </w:divBdr>
                    </w:div>
                    <w:div w:id="537086077">
                      <w:marLeft w:val="0"/>
                      <w:marRight w:val="0"/>
                      <w:marTop w:val="0"/>
                      <w:marBottom w:val="94"/>
                      <w:divBdr>
                        <w:top w:val="none" w:sz="0" w:space="0" w:color="auto"/>
                        <w:left w:val="none" w:sz="0" w:space="0" w:color="auto"/>
                        <w:bottom w:val="none" w:sz="0" w:space="0" w:color="auto"/>
                        <w:right w:val="none" w:sz="0" w:space="0" w:color="auto"/>
                      </w:divBdr>
                    </w:div>
                    <w:div w:id="1899516961">
                      <w:marLeft w:val="0"/>
                      <w:marRight w:val="0"/>
                      <w:marTop w:val="0"/>
                      <w:marBottom w:val="94"/>
                      <w:divBdr>
                        <w:top w:val="none" w:sz="0" w:space="0" w:color="auto"/>
                        <w:left w:val="none" w:sz="0" w:space="0" w:color="auto"/>
                        <w:bottom w:val="none" w:sz="0" w:space="0" w:color="auto"/>
                        <w:right w:val="none" w:sz="0" w:space="0" w:color="auto"/>
                      </w:divBdr>
                    </w:div>
                    <w:div w:id="694231021">
                      <w:marLeft w:val="0"/>
                      <w:marRight w:val="0"/>
                      <w:marTop w:val="0"/>
                      <w:marBottom w:val="94"/>
                      <w:divBdr>
                        <w:top w:val="none" w:sz="0" w:space="0" w:color="auto"/>
                        <w:left w:val="none" w:sz="0" w:space="0" w:color="auto"/>
                        <w:bottom w:val="none" w:sz="0" w:space="0" w:color="auto"/>
                        <w:right w:val="none" w:sz="0" w:space="0" w:color="auto"/>
                      </w:divBdr>
                    </w:div>
                    <w:div w:id="1432704298">
                      <w:marLeft w:val="0"/>
                      <w:marRight w:val="0"/>
                      <w:marTop w:val="0"/>
                      <w:marBottom w:val="94"/>
                      <w:divBdr>
                        <w:top w:val="none" w:sz="0" w:space="0" w:color="auto"/>
                        <w:left w:val="none" w:sz="0" w:space="0" w:color="auto"/>
                        <w:bottom w:val="none" w:sz="0" w:space="0" w:color="auto"/>
                        <w:right w:val="none" w:sz="0" w:space="0" w:color="auto"/>
                      </w:divBdr>
                    </w:div>
                    <w:div w:id="1221479482">
                      <w:marLeft w:val="0"/>
                      <w:marRight w:val="0"/>
                      <w:marTop w:val="0"/>
                      <w:marBottom w:val="94"/>
                      <w:divBdr>
                        <w:top w:val="none" w:sz="0" w:space="0" w:color="auto"/>
                        <w:left w:val="none" w:sz="0" w:space="0" w:color="auto"/>
                        <w:bottom w:val="none" w:sz="0" w:space="0" w:color="auto"/>
                        <w:right w:val="none" w:sz="0" w:space="0" w:color="auto"/>
                      </w:divBdr>
                    </w:div>
                    <w:div w:id="555901073">
                      <w:marLeft w:val="0"/>
                      <w:marRight w:val="0"/>
                      <w:marTop w:val="0"/>
                      <w:marBottom w:val="94"/>
                      <w:divBdr>
                        <w:top w:val="none" w:sz="0" w:space="0" w:color="auto"/>
                        <w:left w:val="none" w:sz="0" w:space="0" w:color="auto"/>
                        <w:bottom w:val="none" w:sz="0" w:space="0" w:color="auto"/>
                        <w:right w:val="none" w:sz="0" w:space="0" w:color="auto"/>
                      </w:divBdr>
                      <w:divsChild>
                        <w:div w:id="555434273">
                          <w:marLeft w:val="94"/>
                          <w:marRight w:val="0"/>
                          <w:marTop w:val="94"/>
                          <w:marBottom w:val="0"/>
                          <w:divBdr>
                            <w:top w:val="none" w:sz="0" w:space="0" w:color="auto"/>
                            <w:left w:val="none" w:sz="0" w:space="0" w:color="auto"/>
                            <w:bottom w:val="none" w:sz="0" w:space="0" w:color="auto"/>
                            <w:right w:val="none" w:sz="0" w:space="0" w:color="auto"/>
                          </w:divBdr>
                          <w:divsChild>
                            <w:div w:id="1683554955">
                              <w:marLeft w:val="94"/>
                              <w:marRight w:val="0"/>
                              <w:marTop w:val="0"/>
                              <w:marBottom w:val="94"/>
                              <w:divBdr>
                                <w:top w:val="none" w:sz="0" w:space="0" w:color="auto"/>
                                <w:left w:val="none" w:sz="0" w:space="0" w:color="auto"/>
                                <w:bottom w:val="none" w:sz="0" w:space="0" w:color="auto"/>
                                <w:right w:val="none" w:sz="0" w:space="0" w:color="auto"/>
                              </w:divBdr>
                            </w:div>
                            <w:div w:id="164636838">
                              <w:marLeft w:val="94"/>
                              <w:marRight w:val="0"/>
                              <w:marTop w:val="0"/>
                              <w:marBottom w:val="94"/>
                              <w:divBdr>
                                <w:top w:val="none" w:sz="0" w:space="0" w:color="auto"/>
                                <w:left w:val="none" w:sz="0" w:space="0" w:color="auto"/>
                                <w:bottom w:val="none" w:sz="0" w:space="0" w:color="auto"/>
                                <w:right w:val="none" w:sz="0" w:space="0" w:color="auto"/>
                              </w:divBdr>
                            </w:div>
                            <w:div w:id="83651770">
                              <w:marLeft w:val="94"/>
                              <w:marRight w:val="0"/>
                              <w:marTop w:val="0"/>
                              <w:marBottom w:val="94"/>
                              <w:divBdr>
                                <w:top w:val="none" w:sz="0" w:space="0" w:color="auto"/>
                                <w:left w:val="none" w:sz="0" w:space="0" w:color="auto"/>
                                <w:bottom w:val="none" w:sz="0" w:space="0" w:color="auto"/>
                                <w:right w:val="none" w:sz="0" w:space="0" w:color="auto"/>
                              </w:divBdr>
                            </w:div>
                            <w:div w:id="1214268759">
                              <w:marLeft w:val="94"/>
                              <w:marRight w:val="0"/>
                              <w:marTop w:val="0"/>
                              <w:marBottom w:val="94"/>
                              <w:divBdr>
                                <w:top w:val="none" w:sz="0" w:space="0" w:color="auto"/>
                                <w:left w:val="none" w:sz="0" w:space="0" w:color="auto"/>
                                <w:bottom w:val="none" w:sz="0" w:space="0" w:color="auto"/>
                                <w:right w:val="none" w:sz="0" w:space="0" w:color="auto"/>
                              </w:divBdr>
                            </w:div>
                            <w:div w:id="651638584">
                              <w:marLeft w:val="94"/>
                              <w:marRight w:val="0"/>
                              <w:marTop w:val="0"/>
                              <w:marBottom w:val="94"/>
                              <w:divBdr>
                                <w:top w:val="none" w:sz="0" w:space="0" w:color="auto"/>
                                <w:left w:val="none" w:sz="0" w:space="0" w:color="auto"/>
                                <w:bottom w:val="none" w:sz="0" w:space="0" w:color="auto"/>
                                <w:right w:val="none" w:sz="0" w:space="0" w:color="auto"/>
                              </w:divBdr>
                            </w:div>
                            <w:div w:id="1857422810">
                              <w:marLeft w:val="94"/>
                              <w:marRight w:val="0"/>
                              <w:marTop w:val="0"/>
                              <w:marBottom w:val="94"/>
                              <w:divBdr>
                                <w:top w:val="none" w:sz="0" w:space="0" w:color="auto"/>
                                <w:left w:val="none" w:sz="0" w:space="0" w:color="auto"/>
                                <w:bottom w:val="none" w:sz="0" w:space="0" w:color="auto"/>
                                <w:right w:val="none" w:sz="0" w:space="0" w:color="auto"/>
                              </w:divBdr>
                            </w:div>
                            <w:div w:id="1951543724">
                              <w:marLeft w:val="94"/>
                              <w:marRight w:val="0"/>
                              <w:marTop w:val="0"/>
                              <w:marBottom w:val="94"/>
                              <w:divBdr>
                                <w:top w:val="none" w:sz="0" w:space="0" w:color="auto"/>
                                <w:left w:val="none" w:sz="0" w:space="0" w:color="auto"/>
                                <w:bottom w:val="none" w:sz="0" w:space="0" w:color="auto"/>
                                <w:right w:val="none" w:sz="0" w:space="0" w:color="auto"/>
                              </w:divBdr>
                            </w:div>
                          </w:divsChild>
                        </w:div>
                      </w:divsChild>
                    </w:div>
                    <w:div w:id="878977721">
                      <w:marLeft w:val="0"/>
                      <w:marRight w:val="0"/>
                      <w:marTop w:val="0"/>
                      <w:marBottom w:val="94"/>
                      <w:divBdr>
                        <w:top w:val="none" w:sz="0" w:space="0" w:color="auto"/>
                        <w:left w:val="none" w:sz="0" w:space="0" w:color="auto"/>
                        <w:bottom w:val="none" w:sz="0" w:space="0" w:color="auto"/>
                        <w:right w:val="none" w:sz="0" w:space="0" w:color="auto"/>
                      </w:divBdr>
                    </w:div>
                    <w:div w:id="861745122">
                      <w:marLeft w:val="0"/>
                      <w:marRight w:val="0"/>
                      <w:marTop w:val="0"/>
                      <w:marBottom w:val="94"/>
                      <w:divBdr>
                        <w:top w:val="none" w:sz="0" w:space="0" w:color="auto"/>
                        <w:left w:val="none" w:sz="0" w:space="0" w:color="auto"/>
                        <w:bottom w:val="none" w:sz="0" w:space="0" w:color="auto"/>
                        <w:right w:val="none" w:sz="0" w:space="0" w:color="auto"/>
                      </w:divBdr>
                    </w:div>
                    <w:div w:id="290863766">
                      <w:marLeft w:val="0"/>
                      <w:marRight w:val="0"/>
                      <w:marTop w:val="0"/>
                      <w:marBottom w:val="94"/>
                      <w:divBdr>
                        <w:top w:val="none" w:sz="0" w:space="0" w:color="auto"/>
                        <w:left w:val="none" w:sz="0" w:space="0" w:color="auto"/>
                        <w:bottom w:val="none" w:sz="0" w:space="0" w:color="auto"/>
                        <w:right w:val="none" w:sz="0" w:space="0" w:color="auto"/>
                      </w:divBdr>
                    </w:div>
                    <w:div w:id="682123275">
                      <w:marLeft w:val="0"/>
                      <w:marRight w:val="0"/>
                      <w:marTop w:val="0"/>
                      <w:marBottom w:val="94"/>
                      <w:divBdr>
                        <w:top w:val="none" w:sz="0" w:space="0" w:color="auto"/>
                        <w:left w:val="none" w:sz="0" w:space="0" w:color="auto"/>
                        <w:bottom w:val="none" w:sz="0" w:space="0" w:color="auto"/>
                        <w:right w:val="none" w:sz="0" w:space="0" w:color="auto"/>
                      </w:divBdr>
                    </w:div>
                    <w:div w:id="706370547">
                      <w:marLeft w:val="0"/>
                      <w:marRight w:val="0"/>
                      <w:marTop w:val="0"/>
                      <w:marBottom w:val="94"/>
                      <w:divBdr>
                        <w:top w:val="none" w:sz="0" w:space="0" w:color="auto"/>
                        <w:left w:val="none" w:sz="0" w:space="0" w:color="auto"/>
                        <w:bottom w:val="none" w:sz="0" w:space="0" w:color="auto"/>
                        <w:right w:val="none" w:sz="0" w:space="0" w:color="auto"/>
                      </w:divBdr>
                    </w:div>
                    <w:div w:id="733966440">
                      <w:marLeft w:val="0"/>
                      <w:marRight w:val="0"/>
                      <w:marTop w:val="0"/>
                      <w:marBottom w:val="94"/>
                      <w:divBdr>
                        <w:top w:val="none" w:sz="0" w:space="0" w:color="auto"/>
                        <w:left w:val="none" w:sz="0" w:space="0" w:color="auto"/>
                        <w:bottom w:val="none" w:sz="0" w:space="0" w:color="auto"/>
                        <w:right w:val="none" w:sz="0" w:space="0" w:color="auto"/>
                      </w:divBdr>
                    </w:div>
                    <w:div w:id="1616520225">
                      <w:marLeft w:val="0"/>
                      <w:marRight w:val="0"/>
                      <w:marTop w:val="0"/>
                      <w:marBottom w:val="94"/>
                      <w:divBdr>
                        <w:top w:val="none" w:sz="0" w:space="0" w:color="auto"/>
                        <w:left w:val="none" w:sz="0" w:space="0" w:color="auto"/>
                        <w:bottom w:val="none" w:sz="0" w:space="0" w:color="auto"/>
                        <w:right w:val="none" w:sz="0" w:space="0" w:color="auto"/>
                      </w:divBdr>
                    </w:div>
                    <w:div w:id="177045372">
                      <w:marLeft w:val="0"/>
                      <w:marRight w:val="0"/>
                      <w:marTop w:val="0"/>
                      <w:marBottom w:val="94"/>
                      <w:divBdr>
                        <w:top w:val="none" w:sz="0" w:space="0" w:color="auto"/>
                        <w:left w:val="none" w:sz="0" w:space="0" w:color="auto"/>
                        <w:bottom w:val="none" w:sz="0" w:space="0" w:color="auto"/>
                        <w:right w:val="none" w:sz="0" w:space="0" w:color="auto"/>
                      </w:divBdr>
                    </w:div>
                    <w:div w:id="1586305365">
                      <w:marLeft w:val="0"/>
                      <w:marRight w:val="0"/>
                      <w:marTop w:val="0"/>
                      <w:marBottom w:val="94"/>
                      <w:divBdr>
                        <w:top w:val="none" w:sz="0" w:space="0" w:color="auto"/>
                        <w:left w:val="none" w:sz="0" w:space="0" w:color="auto"/>
                        <w:bottom w:val="none" w:sz="0" w:space="0" w:color="auto"/>
                        <w:right w:val="none" w:sz="0" w:space="0" w:color="auto"/>
                      </w:divBdr>
                    </w:div>
                    <w:div w:id="1758286085">
                      <w:marLeft w:val="0"/>
                      <w:marRight w:val="0"/>
                      <w:marTop w:val="0"/>
                      <w:marBottom w:val="94"/>
                      <w:divBdr>
                        <w:top w:val="none" w:sz="0" w:space="0" w:color="auto"/>
                        <w:left w:val="none" w:sz="0" w:space="0" w:color="auto"/>
                        <w:bottom w:val="none" w:sz="0" w:space="0" w:color="auto"/>
                        <w:right w:val="none" w:sz="0" w:space="0" w:color="auto"/>
                      </w:divBdr>
                    </w:div>
                    <w:div w:id="1017849906">
                      <w:marLeft w:val="0"/>
                      <w:marRight w:val="0"/>
                      <w:marTop w:val="0"/>
                      <w:marBottom w:val="94"/>
                      <w:divBdr>
                        <w:top w:val="none" w:sz="0" w:space="0" w:color="auto"/>
                        <w:left w:val="none" w:sz="0" w:space="0" w:color="auto"/>
                        <w:bottom w:val="none" w:sz="0" w:space="0" w:color="auto"/>
                        <w:right w:val="none" w:sz="0" w:space="0" w:color="auto"/>
                      </w:divBdr>
                    </w:div>
                    <w:div w:id="190850170">
                      <w:marLeft w:val="0"/>
                      <w:marRight w:val="0"/>
                      <w:marTop w:val="0"/>
                      <w:marBottom w:val="94"/>
                      <w:divBdr>
                        <w:top w:val="none" w:sz="0" w:space="0" w:color="auto"/>
                        <w:left w:val="none" w:sz="0" w:space="0" w:color="auto"/>
                        <w:bottom w:val="none" w:sz="0" w:space="0" w:color="auto"/>
                        <w:right w:val="none" w:sz="0" w:space="0" w:color="auto"/>
                      </w:divBdr>
                    </w:div>
                    <w:div w:id="1679773404">
                      <w:marLeft w:val="0"/>
                      <w:marRight w:val="0"/>
                      <w:marTop w:val="0"/>
                      <w:marBottom w:val="94"/>
                      <w:divBdr>
                        <w:top w:val="none" w:sz="0" w:space="0" w:color="auto"/>
                        <w:left w:val="none" w:sz="0" w:space="0" w:color="auto"/>
                        <w:bottom w:val="none" w:sz="0" w:space="0" w:color="auto"/>
                        <w:right w:val="none" w:sz="0" w:space="0" w:color="auto"/>
                      </w:divBdr>
                    </w:div>
                    <w:div w:id="1798841141">
                      <w:marLeft w:val="0"/>
                      <w:marRight w:val="0"/>
                      <w:marTop w:val="0"/>
                      <w:marBottom w:val="94"/>
                      <w:divBdr>
                        <w:top w:val="none" w:sz="0" w:space="0" w:color="auto"/>
                        <w:left w:val="none" w:sz="0" w:space="0" w:color="auto"/>
                        <w:bottom w:val="none" w:sz="0" w:space="0" w:color="auto"/>
                        <w:right w:val="none" w:sz="0" w:space="0" w:color="auto"/>
                      </w:divBdr>
                    </w:div>
                    <w:div w:id="1254363578">
                      <w:marLeft w:val="0"/>
                      <w:marRight w:val="0"/>
                      <w:marTop w:val="0"/>
                      <w:marBottom w:val="94"/>
                      <w:divBdr>
                        <w:top w:val="none" w:sz="0" w:space="0" w:color="auto"/>
                        <w:left w:val="none" w:sz="0" w:space="0" w:color="auto"/>
                        <w:bottom w:val="none" w:sz="0" w:space="0" w:color="auto"/>
                        <w:right w:val="none" w:sz="0" w:space="0" w:color="auto"/>
                      </w:divBdr>
                    </w:div>
                    <w:div w:id="218135495">
                      <w:marLeft w:val="0"/>
                      <w:marRight w:val="0"/>
                      <w:marTop w:val="0"/>
                      <w:marBottom w:val="94"/>
                      <w:divBdr>
                        <w:top w:val="none" w:sz="0" w:space="0" w:color="auto"/>
                        <w:left w:val="none" w:sz="0" w:space="0" w:color="auto"/>
                        <w:bottom w:val="none" w:sz="0" w:space="0" w:color="auto"/>
                        <w:right w:val="none" w:sz="0" w:space="0" w:color="auto"/>
                      </w:divBdr>
                    </w:div>
                    <w:div w:id="465003939">
                      <w:marLeft w:val="0"/>
                      <w:marRight w:val="0"/>
                      <w:marTop w:val="0"/>
                      <w:marBottom w:val="94"/>
                      <w:divBdr>
                        <w:top w:val="none" w:sz="0" w:space="0" w:color="auto"/>
                        <w:left w:val="none" w:sz="0" w:space="0" w:color="auto"/>
                        <w:bottom w:val="none" w:sz="0" w:space="0" w:color="auto"/>
                        <w:right w:val="none" w:sz="0" w:space="0" w:color="auto"/>
                      </w:divBdr>
                    </w:div>
                    <w:div w:id="1005012847">
                      <w:marLeft w:val="0"/>
                      <w:marRight w:val="0"/>
                      <w:marTop w:val="0"/>
                      <w:marBottom w:val="94"/>
                      <w:divBdr>
                        <w:top w:val="none" w:sz="0" w:space="0" w:color="auto"/>
                        <w:left w:val="none" w:sz="0" w:space="0" w:color="auto"/>
                        <w:bottom w:val="none" w:sz="0" w:space="0" w:color="auto"/>
                        <w:right w:val="none" w:sz="0" w:space="0" w:color="auto"/>
                      </w:divBdr>
                    </w:div>
                    <w:div w:id="478613027">
                      <w:marLeft w:val="0"/>
                      <w:marRight w:val="0"/>
                      <w:marTop w:val="0"/>
                      <w:marBottom w:val="94"/>
                      <w:divBdr>
                        <w:top w:val="none" w:sz="0" w:space="0" w:color="auto"/>
                        <w:left w:val="none" w:sz="0" w:space="0" w:color="auto"/>
                        <w:bottom w:val="none" w:sz="0" w:space="0" w:color="auto"/>
                        <w:right w:val="none" w:sz="0" w:space="0" w:color="auto"/>
                      </w:divBdr>
                    </w:div>
                    <w:div w:id="1737506886">
                      <w:marLeft w:val="0"/>
                      <w:marRight w:val="0"/>
                      <w:marTop w:val="0"/>
                      <w:marBottom w:val="94"/>
                      <w:divBdr>
                        <w:top w:val="none" w:sz="0" w:space="0" w:color="auto"/>
                        <w:left w:val="none" w:sz="0" w:space="0" w:color="auto"/>
                        <w:bottom w:val="none" w:sz="0" w:space="0" w:color="auto"/>
                        <w:right w:val="none" w:sz="0" w:space="0" w:color="auto"/>
                      </w:divBdr>
                    </w:div>
                    <w:div w:id="1724059488">
                      <w:marLeft w:val="0"/>
                      <w:marRight w:val="0"/>
                      <w:marTop w:val="0"/>
                      <w:marBottom w:val="94"/>
                      <w:divBdr>
                        <w:top w:val="none" w:sz="0" w:space="0" w:color="auto"/>
                        <w:left w:val="none" w:sz="0" w:space="0" w:color="auto"/>
                        <w:bottom w:val="none" w:sz="0" w:space="0" w:color="auto"/>
                        <w:right w:val="none" w:sz="0" w:space="0" w:color="auto"/>
                      </w:divBdr>
                    </w:div>
                    <w:div w:id="1864048257">
                      <w:marLeft w:val="0"/>
                      <w:marRight w:val="0"/>
                      <w:marTop w:val="0"/>
                      <w:marBottom w:val="94"/>
                      <w:divBdr>
                        <w:top w:val="none" w:sz="0" w:space="0" w:color="auto"/>
                        <w:left w:val="none" w:sz="0" w:space="0" w:color="auto"/>
                        <w:bottom w:val="none" w:sz="0" w:space="0" w:color="auto"/>
                        <w:right w:val="none" w:sz="0" w:space="0" w:color="auto"/>
                      </w:divBdr>
                    </w:div>
                    <w:div w:id="1218052892">
                      <w:marLeft w:val="0"/>
                      <w:marRight w:val="0"/>
                      <w:marTop w:val="0"/>
                      <w:marBottom w:val="94"/>
                      <w:divBdr>
                        <w:top w:val="none" w:sz="0" w:space="0" w:color="auto"/>
                        <w:left w:val="none" w:sz="0" w:space="0" w:color="auto"/>
                        <w:bottom w:val="none" w:sz="0" w:space="0" w:color="auto"/>
                        <w:right w:val="none" w:sz="0" w:space="0" w:color="auto"/>
                      </w:divBdr>
                    </w:div>
                    <w:div w:id="1565750804">
                      <w:marLeft w:val="0"/>
                      <w:marRight w:val="0"/>
                      <w:marTop w:val="0"/>
                      <w:marBottom w:val="94"/>
                      <w:divBdr>
                        <w:top w:val="none" w:sz="0" w:space="0" w:color="auto"/>
                        <w:left w:val="none" w:sz="0" w:space="0" w:color="auto"/>
                        <w:bottom w:val="none" w:sz="0" w:space="0" w:color="auto"/>
                        <w:right w:val="none" w:sz="0" w:space="0" w:color="auto"/>
                      </w:divBdr>
                    </w:div>
                    <w:div w:id="1984116414">
                      <w:marLeft w:val="0"/>
                      <w:marRight w:val="0"/>
                      <w:marTop w:val="0"/>
                      <w:marBottom w:val="94"/>
                      <w:divBdr>
                        <w:top w:val="none" w:sz="0" w:space="0" w:color="auto"/>
                        <w:left w:val="none" w:sz="0" w:space="0" w:color="auto"/>
                        <w:bottom w:val="none" w:sz="0" w:space="0" w:color="auto"/>
                        <w:right w:val="none" w:sz="0" w:space="0" w:color="auto"/>
                      </w:divBdr>
                    </w:div>
                    <w:div w:id="1034159120">
                      <w:marLeft w:val="0"/>
                      <w:marRight w:val="0"/>
                      <w:marTop w:val="0"/>
                      <w:marBottom w:val="94"/>
                      <w:divBdr>
                        <w:top w:val="none" w:sz="0" w:space="0" w:color="auto"/>
                        <w:left w:val="none" w:sz="0" w:space="0" w:color="auto"/>
                        <w:bottom w:val="none" w:sz="0" w:space="0" w:color="auto"/>
                        <w:right w:val="none" w:sz="0" w:space="0" w:color="auto"/>
                      </w:divBdr>
                    </w:div>
                    <w:div w:id="1601259220">
                      <w:marLeft w:val="0"/>
                      <w:marRight w:val="0"/>
                      <w:marTop w:val="0"/>
                      <w:marBottom w:val="94"/>
                      <w:divBdr>
                        <w:top w:val="none" w:sz="0" w:space="0" w:color="auto"/>
                        <w:left w:val="none" w:sz="0" w:space="0" w:color="auto"/>
                        <w:bottom w:val="none" w:sz="0" w:space="0" w:color="auto"/>
                        <w:right w:val="none" w:sz="0" w:space="0" w:color="auto"/>
                      </w:divBdr>
                    </w:div>
                  </w:divsChild>
                </w:div>
              </w:divsChild>
            </w:div>
          </w:divsChild>
        </w:div>
        <w:div w:id="703479478">
          <w:marLeft w:val="247"/>
          <w:marRight w:val="0"/>
          <w:marTop w:val="0"/>
          <w:marBottom w:val="0"/>
          <w:divBdr>
            <w:top w:val="none" w:sz="0" w:space="0" w:color="auto"/>
            <w:left w:val="none" w:sz="0" w:space="0" w:color="auto"/>
            <w:bottom w:val="none" w:sz="0" w:space="0" w:color="auto"/>
            <w:right w:val="none" w:sz="0" w:space="0" w:color="auto"/>
          </w:divBdr>
          <w:divsChild>
            <w:div w:id="1381979916">
              <w:marLeft w:val="0"/>
              <w:marRight w:val="0"/>
              <w:marTop w:val="0"/>
              <w:marBottom w:val="0"/>
              <w:divBdr>
                <w:top w:val="none" w:sz="0" w:space="0" w:color="auto"/>
                <w:left w:val="none" w:sz="0" w:space="0" w:color="auto"/>
                <w:bottom w:val="none" w:sz="0" w:space="0" w:color="auto"/>
                <w:right w:val="none" w:sz="0" w:space="0" w:color="auto"/>
              </w:divBdr>
            </w:div>
            <w:div w:id="2063870657">
              <w:marLeft w:val="0"/>
              <w:marRight w:val="0"/>
              <w:marTop w:val="0"/>
              <w:marBottom w:val="0"/>
              <w:divBdr>
                <w:top w:val="none" w:sz="0" w:space="0" w:color="auto"/>
                <w:left w:val="none" w:sz="0" w:space="0" w:color="auto"/>
                <w:bottom w:val="none" w:sz="0" w:space="0" w:color="auto"/>
                <w:right w:val="none" w:sz="0" w:space="0" w:color="auto"/>
              </w:divBdr>
              <w:divsChild>
                <w:div w:id="1671908904">
                  <w:marLeft w:val="0"/>
                  <w:marRight w:val="0"/>
                  <w:marTop w:val="0"/>
                  <w:marBottom w:val="0"/>
                  <w:divBdr>
                    <w:top w:val="none" w:sz="0" w:space="0" w:color="auto"/>
                    <w:left w:val="none" w:sz="0" w:space="0" w:color="auto"/>
                    <w:bottom w:val="none" w:sz="0" w:space="0" w:color="auto"/>
                    <w:right w:val="none" w:sz="0" w:space="0" w:color="auto"/>
                  </w:divBdr>
                  <w:divsChild>
                    <w:div w:id="10061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783016">
              <w:marLeft w:val="0"/>
              <w:marRight w:val="0"/>
              <w:marTop w:val="0"/>
              <w:marBottom w:val="0"/>
              <w:divBdr>
                <w:top w:val="none" w:sz="0" w:space="0" w:color="auto"/>
                <w:left w:val="none" w:sz="0" w:space="0" w:color="auto"/>
                <w:bottom w:val="none" w:sz="0" w:space="0" w:color="auto"/>
                <w:right w:val="none" w:sz="0" w:space="0" w:color="auto"/>
              </w:divBdr>
              <w:divsChild>
                <w:div w:id="117533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3F6E86-93FE-4058-B810-F50102D00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1733</TotalTime>
  <Pages>4</Pages>
  <Words>1338</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A Bull</dc:creator>
  <cp:lastModifiedBy>Elizabeth A Bull</cp:lastModifiedBy>
  <cp:revision>7</cp:revision>
  <dcterms:created xsi:type="dcterms:W3CDTF">2017-11-13T16:29:00Z</dcterms:created>
  <dcterms:modified xsi:type="dcterms:W3CDTF">2017-11-14T21:22:00Z</dcterms:modified>
</cp:coreProperties>
</file>