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rPr>
        <w:id w:val="-1959022262"/>
        <w:docPartObj>
          <w:docPartGallery w:val="Cover Pages"/>
          <w:docPartUnique/>
        </w:docPartObj>
      </w:sdtPr>
      <w:sdtEndPr>
        <w:rPr>
          <w:b/>
          <w:bCs/>
        </w:rPr>
      </w:sdtEndPr>
      <w:sdtContent>
        <w:p w14:paraId="513AA736" w14:textId="21A40679" w:rsidR="0031263D" w:rsidRPr="005F030F" w:rsidRDefault="00FE445D">
          <w:pPr>
            <w:rPr>
              <w:rFonts w:asciiTheme="minorBidi" w:hAnsiTheme="minorBidi"/>
            </w:rPr>
          </w:pPr>
          <w:r w:rsidRPr="005F030F">
            <w:rPr>
              <w:rFonts w:asciiTheme="minorBidi" w:hAnsiTheme="minorBidi"/>
              <w:noProof/>
            </w:rPr>
            <w:pict w14:anchorId="6DC35FC7">
              <v:rect id="Rectangle 33" o:spid="_x0000_s2050" style="position:absolute;margin-left:-457.1pt;margin-top:19.35pt;width:79.3pt;height:82.2pt;z-index:251659264;visibility:visible;mso-height-percent:98;mso-top-percent:23;mso-wrap-distance-left:9pt;mso-wrap-distance-top:0;mso-wrap-distance-right:9pt;mso-wrap-distance-bottom:0;mso-position-horizontal:right;mso-position-horizontal-relative:margin;mso-position-vertical-relative:page;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804DC3F" w14:textId="69BCCAF1" w:rsidR="0031263D" w:rsidRDefault="00FE445D">
                          <w:pPr>
                            <w:pStyle w:val="NoSpacing"/>
                            <w:jc w:val="right"/>
                            <w:rPr>
                              <w:color w:val="FFFFFF" w:themeColor="background1"/>
                              <w:sz w:val="24"/>
                              <w:szCs w:val="24"/>
                            </w:rPr>
                          </w:pPr>
                          <w:r w:rsidRPr="007A07D9">
                            <w:rPr>
                              <w:color w:val="FFFFFF" w:themeColor="background1"/>
                              <w:sz w:val="24"/>
                              <w:szCs w:val="24"/>
                            </w:rPr>
                            <w:t xml:space="preserve">ECDE7012 Component </w:t>
                          </w:r>
                          <w:r>
                            <w:rPr>
                              <w:color w:val="FFFFFF" w:themeColor="background1"/>
                              <w:sz w:val="24"/>
                              <w:szCs w:val="24"/>
                            </w:rPr>
                            <w:t>2</w:t>
                          </w:r>
                        </w:p>
                      </w:sdtContent>
                    </w:sdt>
                  </w:txbxContent>
                </v:textbox>
                <w10:wrap anchorx="margin" anchory="page"/>
              </v:rect>
            </w:pict>
          </w:r>
        </w:p>
        <w:p w14:paraId="5655D476" w14:textId="200CAF0B" w:rsidR="0031263D" w:rsidRPr="005F030F" w:rsidRDefault="0031263D">
          <w:pPr>
            <w:rPr>
              <w:rFonts w:asciiTheme="minorBidi" w:hAnsiTheme="minorBidi"/>
              <w:b/>
              <w:bCs/>
            </w:rPr>
          </w:pPr>
          <w:r w:rsidRPr="005F030F">
            <w:rPr>
              <w:rFonts w:asciiTheme="minorBidi" w:hAnsiTheme="minorBidi"/>
              <w:noProof/>
            </w:rPr>
            <w:pict w14:anchorId="34FE851E">
              <v:shapetype id="_x0000_t202" coordsize="21600,21600" o:spt="202" path="m,l,21600r21600,l21600,xe">
                <v:stroke joinstyle="miter"/>
                <v:path gradientshapeok="t" o:connecttype="rect"/>
              </v:shapetype>
              <v:shape id="Text Box 32" o:spid="_x0000_s2051"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37383E3" w14:textId="79907C63" w:rsidR="0031263D" w:rsidRDefault="0040671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887F2A">
                            <w:rPr>
                              <w:color w:val="4472C4" w:themeColor="accent1"/>
                              <w:sz w:val="72"/>
                              <w:szCs w:val="72"/>
                            </w:rPr>
                            <w:t>Joint Accountability in Initial Teacher Education: Perspectives from Lead Partner Schools in Wales</w:t>
                          </w:r>
                        </w:sdtContent>
                      </w:sdt>
                    </w:p>
                    <w:p w14:paraId="01974FD8" w14:textId="77F929D3" w:rsidR="0031263D" w:rsidRDefault="0031263D">
                      <w:pPr>
                        <w:pStyle w:val="NoSpacing"/>
                        <w:spacing w:before="40" w:after="40"/>
                        <w:rPr>
                          <w:caps/>
                          <w:color w:val="1F4E79" w:themeColor="accent5" w:themeShade="80"/>
                          <w:sz w:val="28"/>
                          <w:szCs w:val="28"/>
                        </w:rPr>
                      </w:pPr>
                    </w:p>
                    <w:sdt>
                      <w:sdtPr>
                        <w:rPr>
                          <w:caps/>
                          <w:color w:val="5B9BD5" w:themeColor="accent5"/>
                          <w:sz w:val="24"/>
                          <w:szCs w:val="24"/>
                          <w14:ligatures w14:val="none"/>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DEC3AC" w14:textId="648C97A4" w:rsidR="0031263D" w:rsidRDefault="00BD4593">
                          <w:pPr>
                            <w:pStyle w:val="NoSpacing"/>
                            <w:spacing w:before="80" w:after="40"/>
                            <w:rPr>
                              <w:caps/>
                              <w:color w:val="5B9BD5" w:themeColor="accent5"/>
                              <w:sz w:val="24"/>
                              <w:szCs w:val="24"/>
                            </w:rPr>
                          </w:pPr>
                          <w:r w:rsidRPr="00BD4593">
                            <w:rPr>
                              <w:caps/>
                              <w:color w:val="5B9BD5" w:themeColor="accent5"/>
                              <w:sz w:val="24"/>
                              <w:szCs w:val="24"/>
                              <w14:ligatures w14:val="none"/>
                            </w:rPr>
                            <w:t xml:space="preserve">Laurence Thomas (0202197) </w:t>
                          </w:r>
                        </w:p>
                      </w:sdtContent>
                    </w:sdt>
                  </w:txbxContent>
                </v:textbox>
                <w10:wrap type="square" anchorx="margin" anchory="page"/>
              </v:shape>
            </w:pict>
          </w:r>
          <w:r w:rsidRPr="005F030F">
            <w:rPr>
              <w:rFonts w:asciiTheme="minorBidi" w:hAnsiTheme="minorBidi"/>
              <w:b/>
              <w:bCs/>
            </w:rPr>
            <w:br w:type="page"/>
          </w:r>
        </w:p>
      </w:sdtContent>
    </w:sdt>
    <w:sdt>
      <w:sdtPr>
        <w:rPr>
          <w:rFonts w:asciiTheme="minorBidi" w:hAnsiTheme="minorBidi" w:cstheme="minorBidi"/>
        </w:rPr>
        <w:id w:val="537631696"/>
        <w:docPartObj>
          <w:docPartGallery w:val="Table of Contents"/>
          <w:docPartUnique/>
        </w:docPartObj>
      </w:sdtPr>
      <w:sdtEndPr>
        <w:rPr>
          <w:rFonts w:eastAsiaTheme="minorEastAsia"/>
          <w:b/>
          <w:bCs/>
          <w:noProof/>
          <w:color w:val="auto"/>
          <w:kern w:val="2"/>
          <w:sz w:val="22"/>
          <w:szCs w:val="22"/>
          <w:lang w:val="en-GB" w:eastAsia="zh-CN"/>
        </w:rPr>
      </w:sdtEndPr>
      <w:sdtContent>
        <w:p w14:paraId="71AF2640" w14:textId="0D51A3CF" w:rsidR="00D92F21" w:rsidRDefault="00D92F21" w:rsidP="00B37E60">
          <w:pPr>
            <w:pStyle w:val="TOCHeading"/>
            <w:numPr>
              <w:ilvl w:val="0"/>
              <w:numId w:val="0"/>
            </w:numPr>
            <w:ind w:left="432" w:hanging="432"/>
            <w:rPr>
              <w:rFonts w:asciiTheme="minorBidi" w:hAnsiTheme="minorBidi" w:cstheme="minorBidi"/>
            </w:rPr>
          </w:pPr>
          <w:r w:rsidRPr="005F030F">
            <w:rPr>
              <w:rFonts w:asciiTheme="minorBidi" w:hAnsiTheme="minorBidi" w:cstheme="minorBidi"/>
            </w:rPr>
            <w:t>Contents</w:t>
          </w:r>
        </w:p>
        <w:p w14:paraId="34A4E80A" w14:textId="77777777" w:rsidR="000F4182" w:rsidRPr="000F4182" w:rsidRDefault="000F4182" w:rsidP="000F4182">
          <w:pPr>
            <w:rPr>
              <w:lang w:val="en-US" w:eastAsia="en-US"/>
            </w:rPr>
          </w:pPr>
        </w:p>
        <w:p w14:paraId="42F358B6" w14:textId="18B47B3E" w:rsidR="005F030F" w:rsidRPr="005F030F" w:rsidRDefault="00D92F21">
          <w:pPr>
            <w:pStyle w:val="TOC1"/>
            <w:tabs>
              <w:tab w:val="left" w:pos="480"/>
              <w:tab w:val="right" w:leader="dot" w:pos="9016"/>
            </w:tabs>
            <w:rPr>
              <w:rFonts w:asciiTheme="minorBidi" w:hAnsiTheme="minorBidi"/>
              <w:noProof/>
              <w:sz w:val="24"/>
              <w:szCs w:val="24"/>
            </w:rPr>
          </w:pPr>
          <w:r w:rsidRPr="005F030F">
            <w:rPr>
              <w:rFonts w:asciiTheme="minorBidi" w:hAnsiTheme="minorBidi"/>
            </w:rPr>
            <w:fldChar w:fldCharType="begin"/>
          </w:r>
          <w:r w:rsidRPr="005F030F">
            <w:rPr>
              <w:rFonts w:asciiTheme="minorBidi" w:hAnsiTheme="minorBidi"/>
            </w:rPr>
            <w:instrText xml:space="preserve"> TOC \o "1-3" \h \z \u </w:instrText>
          </w:r>
          <w:r w:rsidRPr="005F030F">
            <w:rPr>
              <w:rFonts w:asciiTheme="minorBidi" w:hAnsiTheme="minorBidi"/>
            </w:rPr>
            <w:fldChar w:fldCharType="separate"/>
          </w:r>
          <w:hyperlink w:anchor="_Toc196824661" w:history="1">
            <w:r w:rsidR="005F030F" w:rsidRPr="005F030F">
              <w:rPr>
                <w:rStyle w:val="Hyperlink"/>
                <w:rFonts w:asciiTheme="minorBidi" w:hAnsiTheme="minorBidi"/>
                <w:noProof/>
              </w:rPr>
              <w:t>1</w:t>
            </w:r>
            <w:r w:rsidR="005F030F" w:rsidRPr="005F030F">
              <w:rPr>
                <w:rFonts w:asciiTheme="minorBidi" w:hAnsiTheme="minorBidi"/>
                <w:noProof/>
                <w:sz w:val="24"/>
                <w:szCs w:val="24"/>
              </w:rPr>
              <w:tab/>
            </w:r>
            <w:r w:rsidR="005F030F" w:rsidRPr="005F030F">
              <w:rPr>
                <w:rStyle w:val="Hyperlink"/>
                <w:rFonts w:asciiTheme="minorBidi" w:hAnsiTheme="minorBidi"/>
                <w:noProof/>
              </w:rPr>
              <w:t>Research Context</w:t>
            </w:r>
            <w:r w:rsidR="005F030F" w:rsidRPr="005F030F">
              <w:rPr>
                <w:rFonts w:asciiTheme="minorBidi" w:hAnsiTheme="minorBidi"/>
                <w:noProof/>
                <w:webHidden/>
              </w:rPr>
              <w:tab/>
            </w:r>
            <w:r w:rsidR="005F030F" w:rsidRPr="005F030F">
              <w:rPr>
                <w:rFonts w:asciiTheme="minorBidi" w:hAnsiTheme="minorBidi"/>
                <w:noProof/>
                <w:webHidden/>
              </w:rPr>
              <w:fldChar w:fldCharType="begin"/>
            </w:r>
            <w:r w:rsidR="005F030F" w:rsidRPr="005F030F">
              <w:rPr>
                <w:rFonts w:asciiTheme="minorBidi" w:hAnsiTheme="minorBidi"/>
                <w:noProof/>
                <w:webHidden/>
              </w:rPr>
              <w:instrText xml:space="preserve"> PAGEREF _Toc196824661 \h </w:instrText>
            </w:r>
            <w:r w:rsidR="005F030F" w:rsidRPr="005F030F">
              <w:rPr>
                <w:rFonts w:asciiTheme="minorBidi" w:hAnsiTheme="minorBidi"/>
                <w:noProof/>
                <w:webHidden/>
              </w:rPr>
            </w:r>
            <w:r w:rsidR="005F030F" w:rsidRPr="005F030F">
              <w:rPr>
                <w:rFonts w:asciiTheme="minorBidi" w:hAnsiTheme="minorBidi"/>
                <w:noProof/>
                <w:webHidden/>
              </w:rPr>
              <w:fldChar w:fldCharType="separate"/>
            </w:r>
            <w:r w:rsidR="005F030F" w:rsidRPr="005F030F">
              <w:rPr>
                <w:rFonts w:asciiTheme="minorBidi" w:hAnsiTheme="minorBidi"/>
                <w:noProof/>
                <w:webHidden/>
              </w:rPr>
              <w:t>2</w:t>
            </w:r>
            <w:r w:rsidR="005F030F" w:rsidRPr="005F030F">
              <w:rPr>
                <w:rFonts w:asciiTheme="minorBidi" w:hAnsiTheme="minorBidi"/>
                <w:noProof/>
                <w:webHidden/>
              </w:rPr>
              <w:fldChar w:fldCharType="end"/>
            </w:r>
          </w:hyperlink>
        </w:p>
        <w:p w14:paraId="0C9F2479" w14:textId="41232EAF" w:rsidR="005F030F" w:rsidRPr="005F030F" w:rsidRDefault="005F030F">
          <w:pPr>
            <w:pStyle w:val="TOC1"/>
            <w:tabs>
              <w:tab w:val="left" w:pos="480"/>
              <w:tab w:val="right" w:leader="dot" w:pos="9016"/>
            </w:tabs>
            <w:rPr>
              <w:rFonts w:asciiTheme="minorBidi" w:hAnsiTheme="minorBidi"/>
              <w:noProof/>
              <w:sz w:val="24"/>
              <w:szCs w:val="24"/>
            </w:rPr>
          </w:pPr>
          <w:hyperlink w:anchor="_Toc196824662" w:history="1">
            <w:r w:rsidRPr="005F030F">
              <w:rPr>
                <w:rStyle w:val="Hyperlink"/>
                <w:rFonts w:asciiTheme="minorBidi" w:hAnsiTheme="minorBidi"/>
                <w:noProof/>
              </w:rPr>
              <w:t>2</w:t>
            </w:r>
            <w:r w:rsidRPr="005F030F">
              <w:rPr>
                <w:rFonts w:asciiTheme="minorBidi" w:hAnsiTheme="minorBidi"/>
                <w:noProof/>
                <w:sz w:val="24"/>
                <w:szCs w:val="24"/>
              </w:rPr>
              <w:tab/>
            </w:r>
            <w:r w:rsidRPr="005F030F">
              <w:rPr>
                <w:rStyle w:val="Hyperlink"/>
                <w:rFonts w:asciiTheme="minorBidi" w:hAnsiTheme="minorBidi"/>
                <w:noProof/>
              </w:rPr>
              <w:t>Research Design</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_Toc196824662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2</w:t>
            </w:r>
            <w:r w:rsidRPr="005F030F">
              <w:rPr>
                <w:rFonts w:asciiTheme="minorBidi" w:hAnsiTheme="minorBidi"/>
                <w:noProof/>
                <w:webHidden/>
              </w:rPr>
              <w:fldChar w:fldCharType="end"/>
            </w:r>
          </w:hyperlink>
        </w:p>
        <w:p w14:paraId="5046EE14" w14:textId="3E3C9E32" w:rsidR="005F030F" w:rsidRPr="005F030F" w:rsidRDefault="005F030F">
          <w:pPr>
            <w:pStyle w:val="TOC2"/>
            <w:tabs>
              <w:tab w:val="left" w:pos="960"/>
              <w:tab w:val="right" w:leader="dot" w:pos="9016"/>
            </w:tabs>
            <w:rPr>
              <w:rFonts w:asciiTheme="minorBidi" w:hAnsiTheme="minorBidi"/>
              <w:noProof/>
              <w:sz w:val="24"/>
              <w:szCs w:val="24"/>
            </w:rPr>
          </w:pPr>
          <w:hyperlink w:anchor="_Toc196824663" w:history="1">
            <w:r w:rsidRPr="005F030F">
              <w:rPr>
                <w:rStyle w:val="Hyperlink"/>
                <w:rFonts w:asciiTheme="minorBidi" w:hAnsiTheme="minorBidi"/>
                <w:noProof/>
              </w:rPr>
              <w:t>2.1</w:t>
            </w:r>
            <w:r w:rsidRPr="005F030F">
              <w:rPr>
                <w:rFonts w:asciiTheme="minorBidi" w:hAnsiTheme="minorBidi"/>
                <w:noProof/>
                <w:sz w:val="24"/>
                <w:szCs w:val="24"/>
              </w:rPr>
              <w:tab/>
            </w:r>
            <w:r w:rsidRPr="005F030F">
              <w:rPr>
                <w:rStyle w:val="Hyperlink"/>
                <w:rFonts w:asciiTheme="minorBidi" w:hAnsiTheme="minorBidi"/>
                <w:noProof/>
              </w:rPr>
              <w:t>Philosophical underpinnings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_Toc196824663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2</w:t>
            </w:r>
            <w:r w:rsidRPr="005F030F">
              <w:rPr>
                <w:rFonts w:asciiTheme="minorBidi" w:hAnsiTheme="minorBidi"/>
                <w:noProof/>
                <w:webHidden/>
              </w:rPr>
              <w:fldChar w:fldCharType="end"/>
            </w:r>
          </w:hyperlink>
        </w:p>
        <w:p w14:paraId="4C2850FA" w14:textId="68AC6285" w:rsidR="005F030F" w:rsidRPr="005F030F" w:rsidRDefault="005F030F">
          <w:pPr>
            <w:pStyle w:val="TOC2"/>
            <w:tabs>
              <w:tab w:val="left" w:pos="960"/>
              <w:tab w:val="right" w:leader="dot" w:pos="9016"/>
            </w:tabs>
            <w:rPr>
              <w:rFonts w:asciiTheme="minorBidi" w:hAnsiTheme="minorBidi"/>
              <w:noProof/>
              <w:sz w:val="24"/>
              <w:szCs w:val="24"/>
            </w:rPr>
          </w:pPr>
          <w:hyperlink w:anchor="_Toc196824664" w:history="1">
            <w:r w:rsidRPr="005F030F">
              <w:rPr>
                <w:rStyle w:val="Hyperlink"/>
                <w:rFonts w:asciiTheme="minorBidi" w:hAnsiTheme="minorBidi"/>
                <w:noProof/>
              </w:rPr>
              <w:t>2.2</w:t>
            </w:r>
            <w:r w:rsidRPr="005F030F">
              <w:rPr>
                <w:rFonts w:asciiTheme="minorBidi" w:hAnsiTheme="minorBidi"/>
                <w:noProof/>
                <w:sz w:val="24"/>
                <w:szCs w:val="24"/>
              </w:rPr>
              <w:tab/>
            </w:r>
            <w:r w:rsidRPr="005F030F">
              <w:rPr>
                <w:rStyle w:val="Hyperlink"/>
                <w:rFonts w:asciiTheme="minorBidi" w:hAnsiTheme="minorBidi"/>
                <w:noProof/>
              </w:rPr>
              <w:t>Theoretical Framework</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_Toc196824664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3</w:t>
            </w:r>
            <w:r w:rsidRPr="005F030F">
              <w:rPr>
                <w:rFonts w:asciiTheme="minorBidi" w:hAnsiTheme="minorBidi"/>
                <w:noProof/>
                <w:webHidden/>
              </w:rPr>
              <w:fldChar w:fldCharType="end"/>
            </w:r>
          </w:hyperlink>
        </w:p>
        <w:p w14:paraId="41B76D3F" w14:textId="40229A8C" w:rsidR="005F030F" w:rsidRPr="005F030F" w:rsidRDefault="005F030F">
          <w:pPr>
            <w:pStyle w:val="TOC2"/>
            <w:tabs>
              <w:tab w:val="left" w:pos="960"/>
              <w:tab w:val="right" w:leader="dot" w:pos="9016"/>
            </w:tabs>
            <w:rPr>
              <w:rFonts w:asciiTheme="minorBidi" w:hAnsiTheme="minorBidi"/>
              <w:noProof/>
              <w:sz w:val="24"/>
              <w:szCs w:val="24"/>
            </w:rPr>
          </w:pPr>
          <w:hyperlink w:anchor="_Toc196824665" w:history="1">
            <w:r w:rsidRPr="005F030F">
              <w:rPr>
                <w:rStyle w:val="Hyperlink"/>
                <w:rFonts w:asciiTheme="minorBidi" w:hAnsiTheme="minorBidi"/>
                <w:noProof/>
              </w:rPr>
              <w:t>2.3</w:t>
            </w:r>
            <w:r w:rsidRPr="005F030F">
              <w:rPr>
                <w:rFonts w:asciiTheme="minorBidi" w:hAnsiTheme="minorBidi"/>
                <w:noProof/>
                <w:sz w:val="24"/>
                <w:szCs w:val="24"/>
              </w:rPr>
              <w:tab/>
            </w:r>
            <w:r w:rsidRPr="005F030F">
              <w:rPr>
                <w:rStyle w:val="Hyperlink"/>
                <w:rFonts w:asciiTheme="minorBidi" w:hAnsiTheme="minorBidi"/>
                <w:noProof/>
              </w:rPr>
              <w:t>Positionality</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_Toc196824665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5</w:t>
            </w:r>
            <w:r w:rsidRPr="005F030F">
              <w:rPr>
                <w:rFonts w:asciiTheme="minorBidi" w:hAnsiTheme="minorBidi"/>
                <w:noProof/>
                <w:webHidden/>
              </w:rPr>
              <w:fldChar w:fldCharType="end"/>
            </w:r>
          </w:hyperlink>
        </w:p>
        <w:p w14:paraId="34E6EF57" w14:textId="1320BE9E" w:rsidR="005F030F" w:rsidRPr="005F030F" w:rsidRDefault="005F030F">
          <w:pPr>
            <w:pStyle w:val="TOC1"/>
            <w:tabs>
              <w:tab w:val="left" w:pos="480"/>
              <w:tab w:val="right" w:leader="dot" w:pos="9016"/>
            </w:tabs>
            <w:rPr>
              <w:rFonts w:asciiTheme="minorBidi" w:hAnsiTheme="minorBidi"/>
              <w:noProof/>
              <w:sz w:val="24"/>
              <w:szCs w:val="24"/>
            </w:rPr>
          </w:pPr>
          <w:hyperlink w:anchor="_Toc196824666" w:history="1">
            <w:r w:rsidRPr="005F030F">
              <w:rPr>
                <w:rStyle w:val="Hyperlink"/>
                <w:rFonts w:asciiTheme="minorBidi" w:hAnsiTheme="minorBidi"/>
                <w:noProof/>
              </w:rPr>
              <w:t>3</w:t>
            </w:r>
            <w:r w:rsidRPr="005F030F">
              <w:rPr>
                <w:rFonts w:asciiTheme="minorBidi" w:hAnsiTheme="minorBidi"/>
                <w:noProof/>
                <w:sz w:val="24"/>
                <w:szCs w:val="24"/>
              </w:rPr>
              <w:tab/>
            </w:r>
            <w:r w:rsidRPr="005F030F">
              <w:rPr>
                <w:rStyle w:val="Hyperlink"/>
                <w:rFonts w:asciiTheme="minorBidi" w:hAnsiTheme="minorBidi"/>
                <w:noProof/>
              </w:rPr>
              <w:t>Research Methods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_Toc196824666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6</w:t>
            </w:r>
            <w:r w:rsidRPr="005F030F">
              <w:rPr>
                <w:rFonts w:asciiTheme="minorBidi" w:hAnsiTheme="minorBidi"/>
                <w:noProof/>
                <w:webHidden/>
              </w:rPr>
              <w:fldChar w:fldCharType="end"/>
            </w:r>
          </w:hyperlink>
        </w:p>
        <w:p w14:paraId="1A78B433" w14:textId="51F54EB6" w:rsidR="005F030F" w:rsidRPr="005F030F" w:rsidRDefault="005F030F">
          <w:pPr>
            <w:pStyle w:val="TOC2"/>
            <w:tabs>
              <w:tab w:val="left" w:pos="960"/>
              <w:tab w:val="right" w:leader="dot" w:pos="9016"/>
            </w:tabs>
            <w:rPr>
              <w:rFonts w:asciiTheme="minorBidi" w:hAnsiTheme="minorBidi"/>
              <w:noProof/>
              <w:sz w:val="24"/>
              <w:szCs w:val="24"/>
            </w:rPr>
          </w:pPr>
          <w:hyperlink w:anchor="_Toc196824667" w:history="1">
            <w:r w:rsidRPr="005F030F">
              <w:rPr>
                <w:rStyle w:val="Hyperlink"/>
                <w:rFonts w:asciiTheme="minorBidi" w:hAnsiTheme="minorBidi"/>
                <w:noProof/>
              </w:rPr>
              <w:t>3.1</w:t>
            </w:r>
            <w:r w:rsidRPr="005F030F">
              <w:rPr>
                <w:rFonts w:asciiTheme="minorBidi" w:hAnsiTheme="minorBidi"/>
                <w:noProof/>
                <w:sz w:val="24"/>
                <w:szCs w:val="24"/>
              </w:rPr>
              <w:tab/>
            </w:r>
            <w:r w:rsidRPr="005F030F">
              <w:rPr>
                <w:rStyle w:val="Hyperlink"/>
                <w:rFonts w:asciiTheme="minorBidi" w:hAnsiTheme="minorBidi"/>
                <w:noProof/>
              </w:rPr>
              <w:t>Qualitative methods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_Toc196824667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6</w:t>
            </w:r>
            <w:r w:rsidRPr="005F030F">
              <w:rPr>
                <w:rFonts w:asciiTheme="minorBidi" w:hAnsiTheme="minorBidi"/>
                <w:noProof/>
                <w:webHidden/>
              </w:rPr>
              <w:fldChar w:fldCharType="end"/>
            </w:r>
          </w:hyperlink>
        </w:p>
        <w:p w14:paraId="23A5C8F8" w14:textId="51AE8A0A" w:rsidR="005F030F" w:rsidRPr="005F030F" w:rsidRDefault="005F030F">
          <w:pPr>
            <w:pStyle w:val="TOC2"/>
            <w:tabs>
              <w:tab w:val="left" w:pos="960"/>
              <w:tab w:val="right" w:leader="dot" w:pos="9016"/>
            </w:tabs>
            <w:rPr>
              <w:rFonts w:asciiTheme="minorBidi" w:hAnsiTheme="minorBidi"/>
              <w:noProof/>
              <w:sz w:val="24"/>
              <w:szCs w:val="24"/>
            </w:rPr>
          </w:pPr>
          <w:hyperlink w:anchor="_Toc196824668" w:history="1">
            <w:r w:rsidRPr="005F030F">
              <w:rPr>
                <w:rStyle w:val="Hyperlink"/>
                <w:rFonts w:asciiTheme="minorBidi" w:hAnsiTheme="minorBidi"/>
                <w:noProof/>
              </w:rPr>
              <w:t>3.2</w:t>
            </w:r>
            <w:r w:rsidRPr="005F030F">
              <w:rPr>
                <w:rFonts w:asciiTheme="minorBidi" w:hAnsiTheme="minorBidi"/>
                <w:noProof/>
                <w:sz w:val="24"/>
                <w:szCs w:val="24"/>
              </w:rPr>
              <w:tab/>
            </w:r>
            <w:r w:rsidRPr="005F030F">
              <w:rPr>
                <w:rStyle w:val="Hyperlink"/>
                <w:rFonts w:asciiTheme="minorBidi" w:hAnsiTheme="minorBidi"/>
                <w:noProof/>
              </w:rPr>
              <w:t>Semi-structured interviews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_Toc196824668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6</w:t>
            </w:r>
            <w:r w:rsidRPr="005F030F">
              <w:rPr>
                <w:rFonts w:asciiTheme="minorBidi" w:hAnsiTheme="minorBidi"/>
                <w:noProof/>
                <w:webHidden/>
              </w:rPr>
              <w:fldChar w:fldCharType="end"/>
            </w:r>
          </w:hyperlink>
        </w:p>
        <w:p w14:paraId="2A1B8DAA" w14:textId="0C5A68D2" w:rsidR="005F030F" w:rsidRPr="005F030F" w:rsidRDefault="005F030F">
          <w:pPr>
            <w:pStyle w:val="TOC2"/>
            <w:tabs>
              <w:tab w:val="left" w:pos="960"/>
              <w:tab w:val="right" w:leader="dot" w:pos="9016"/>
            </w:tabs>
            <w:rPr>
              <w:rFonts w:asciiTheme="minorBidi" w:hAnsiTheme="minorBidi"/>
              <w:noProof/>
              <w:sz w:val="24"/>
              <w:szCs w:val="24"/>
            </w:rPr>
          </w:pPr>
          <w:hyperlink w:anchor="_Toc196824669" w:history="1">
            <w:r w:rsidRPr="005F030F">
              <w:rPr>
                <w:rStyle w:val="Hyperlink"/>
                <w:rFonts w:asciiTheme="minorBidi" w:hAnsiTheme="minorBidi"/>
                <w:noProof/>
              </w:rPr>
              <w:t>3.3</w:t>
            </w:r>
            <w:r w:rsidRPr="005F030F">
              <w:rPr>
                <w:rFonts w:asciiTheme="minorBidi" w:hAnsiTheme="minorBidi"/>
                <w:noProof/>
                <w:sz w:val="24"/>
                <w:szCs w:val="24"/>
              </w:rPr>
              <w:tab/>
            </w:r>
            <w:r w:rsidRPr="005F030F">
              <w:rPr>
                <w:rStyle w:val="Hyperlink"/>
                <w:rFonts w:asciiTheme="minorBidi" w:hAnsiTheme="minorBidi"/>
                <w:noProof/>
              </w:rPr>
              <w:t>Validity</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_Toc196824669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7</w:t>
            </w:r>
            <w:r w:rsidRPr="005F030F">
              <w:rPr>
                <w:rFonts w:asciiTheme="minorBidi" w:hAnsiTheme="minorBidi"/>
                <w:noProof/>
                <w:webHidden/>
              </w:rPr>
              <w:fldChar w:fldCharType="end"/>
            </w:r>
          </w:hyperlink>
        </w:p>
        <w:p w14:paraId="7E1675BE" w14:textId="63F27167" w:rsidR="005F030F" w:rsidRPr="005F030F" w:rsidRDefault="005F030F">
          <w:pPr>
            <w:pStyle w:val="TOC2"/>
            <w:tabs>
              <w:tab w:val="left" w:pos="960"/>
              <w:tab w:val="right" w:leader="dot" w:pos="9016"/>
            </w:tabs>
            <w:rPr>
              <w:rFonts w:asciiTheme="minorBidi" w:hAnsiTheme="minorBidi"/>
              <w:noProof/>
              <w:sz w:val="24"/>
              <w:szCs w:val="24"/>
            </w:rPr>
          </w:pPr>
          <w:hyperlink w:anchor="_Toc196824670" w:history="1">
            <w:r w:rsidRPr="005F030F">
              <w:rPr>
                <w:rStyle w:val="Hyperlink"/>
                <w:rFonts w:asciiTheme="minorBidi" w:hAnsiTheme="minorBidi"/>
                <w:noProof/>
              </w:rPr>
              <w:t>3.4</w:t>
            </w:r>
            <w:r w:rsidRPr="005F030F">
              <w:rPr>
                <w:rFonts w:asciiTheme="minorBidi" w:hAnsiTheme="minorBidi"/>
                <w:noProof/>
                <w:sz w:val="24"/>
                <w:szCs w:val="24"/>
              </w:rPr>
              <w:tab/>
            </w:r>
            <w:r w:rsidRPr="005F030F">
              <w:rPr>
                <w:rStyle w:val="Hyperlink"/>
                <w:rFonts w:asciiTheme="minorBidi" w:hAnsiTheme="minorBidi"/>
                <w:noProof/>
              </w:rPr>
              <w:t>Purposive sampling</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_Toc196824670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8</w:t>
            </w:r>
            <w:r w:rsidRPr="005F030F">
              <w:rPr>
                <w:rFonts w:asciiTheme="minorBidi" w:hAnsiTheme="minorBidi"/>
                <w:noProof/>
                <w:webHidden/>
              </w:rPr>
              <w:fldChar w:fldCharType="end"/>
            </w:r>
          </w:hyperlink>
        </w:p>
        <w:p w14:paraId="3EAFE2B3" w14:textId="6BF2A5DC" w:rsidR="005F030F" w:rsidRPr="005F030F" w:rsidRDefault="005F030F">
          <w:pPr>
            <w:pStyle w:val="TOC2"/>
            <w:tabs>
              <w:tab w:val="left" w:pos="960"/>
              <w:tab w:val="right" w:leader="dot" w:pos="9016"/>
            </w:tabs>
            <w:rPr>
              <w:rFonts w:asciiTheme="minorBidi" w:hAnsiTheme="minorBidi"/>
              <w:noProof/>
              <w:sz w:val="24"/>
              <w:szCs w:val="24"/>
            </w:rPr>
          </w:pPr>
          <w:hyperlink w:anchor="_Toc196824671" w:history="1">
            <w:r w:rsidRPr="005F030F">
              <w:rPr>
                <w:rStyle w:val="Hyperlink"/>
                <w:rFonts w:asciiTheme="minorBidi" w:hAnsiTheme="minorBidi"/>
                <w:noProof/>
              </w:rPr>
              <w:t>3.5</w:t>
            </w:r>
            <w:r w:rsidRPr="005F030F">
              <w:rPr>
                <w:rFonts w:asciiTheme="minorBidi" w:hAnsiTheme="minorBidi"/>
                <w:noProof/>
                <w:sz w:val="24"/>
                <w:szCs w:val="24"/>
              </w:rPr>
              <w:tab/>
            </w:r>
            <w:r w:rsidRPr="005F030F">
              <w:rPr>
                <w:rStyle w:val="Hyperlink"/>
                <w:rFonts w:asciiTheme="minorBidi" w:hAnsiTheme="minorBidi"/>
                <w:noProof/>
              </w:rPr>
              <w:t>Ethical considerations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_Toc196824671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8</w:t>
            </w:r>
            <w:r w:rsidRPr="005F030F">
              <w:rPr>
                <w:rFonts w:asciiTheme="minorBidi" w:hAnsiTheme="minorBidi"/>
                <w:noProof/>
                <w:webHidden/>
              </w:rPr>
              <w:fldChar w:fldCharType="end"/>
            </w:r>
          </w:hyperlink>
        </w:p>
        <w:p w14:paraId="7C98BD6C" w14:textId="6BA0457B" w:rsidR="005F030F" w:rsidRPr="005F030F" w:rsidRDefault="005F030F">
          <w:pPr>
            <w:pStyle w:val="TOC1"/>
            <w:tabs>
              <w:tab w:val="left" w:pos="480"/>
              <w:tab w:val="right" w:leader="dot" w:pos="9016"/>
            </w:tabs>
            <w:rPr>
              <w:rFonts w:asciiTheme="minorBidi" w:hAnsiTheme="minorBidi"/>
              <w:noProof/>
              <w:sz w:val="24"/>
              <w:szCs w:val="24"/>
            </w:rPr>
          </w:pPr>
          <w:hyperlink w:anchor="_Toc196824672" w:history="1">
            <w:r w:rsidRPr="005F030F">
              <w:rPr>
                <w:rStyle w:val="Hyperlink"/>
                <w:rFonts w:asciiTheme="minorBidi" w:hAnsiTheme="minorBidi"/>
                <w:noProof/>
              </w:rPr>
              <w:t>4</w:t>
            </w:r>
            <w:r w:rsidRPr="005F030F">
              <w:rPr>
                <w:rFonts w:asciiTheme="minorBidi" w:hAnsiTheme="minorBidi"/>
                <w:noProof/>
                <w:sz w:val="24"/>
                <w:szCs w:val="24"/>
              </w:rPr>
              <w:tab/>
            </w:r>
            <w:r w:rsidRPr="005F030F">
              <w:rPr>
                <w:rStyle w:val="Hyperlink"/>
                <w:rFonts w:asciiTheme="minorBidi" w:hAnsiTheme="minorBidi"/>
                <w:noProof/>
              </w:rPr>
              <w:t>Analysis Methods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_Toc196824672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9</w:t>
            </w:r>
            <w:r w:rsidRPr="005F030F">
              <w:rPr>
                <w:rFonts w:asciiTheme="minorBidi" w:hAnsiTheme="minorBidi"/>
                <w:noProof/>
                <w:webHidden/>
              </w:rPr>
              <w:fldChar w:fldCharType="end"/>
            </w:r>
          </w:hyperlink>
        </w:p>
        <w:p w14:paraId="0AA7D49E" w14:textId="4F6ED124" w:rsidR="005F030F" w:rsidRPr="005F030F" w:rsidRDefault="005F030F">
          <w:pPr>
            <w:pStyle w:val="TOC2"/>
            <w:tabs>
              <w:tab w:val="left" w:pos="960"/>
              <w:tab w:val="right" w:leader="dot" w:pos="9016"/>
            </w:tabs>
            <w:rPr>
              <w:rFonts w:asciiTheme="minorBidi" w:hAnsiTheme="minorBidi"/>
              <w:noProof/>
              <w:sz w:val="24"/>
              <w:szCs w:val="24"/>
            </w:rPr>
          </w:pPr>
          <w:hyperlink w:anchor="_Toc196824673" w:history="1">
            <w:r w:rsidRPr="005F030F">
              <w:rPr>
                <w:rStyle w:val="Hyperlink"/>
                <w:rFonts w:asciiTheme="minorBidi" w:hAnsiTheme="minorBidi"/>
                <w:noProof/>
              </w:rPr>
              <w:t>4.1</w:t>
            </w:r>
            <w:r w:rsidRPr="005F030F">
              <w:rPr>
                <w:rFonts w:asciiTheme="minorBidi" w:hAnsiTheme="minorBidi"/>
                <w:noProof/>
                <w:sz w:val="24"/>
                <w:szCs w:val="24"/>
              </w:rPr>
              <w:tab/>
            </w:r>
            <w:r w:rsidRPr="005F030F">
              <w:rPr>
                <w:rStyle w:val="Hyperlink"/>
                <w:rFonts w:asciiTheme="minorBidi" w:hAnsiTheme="minorBidi"/>
                <w:noProof/>
              </w:rPr>
              <w:t>Foucauldian Discourse Analysis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_Toc196824673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9</w:t>
            </w:r>
            <w:r w:rsidRPr="005F030F">
              <w:rPr>
                <w:rFonts w:asciiTheme="minorBidi" w:hAnsiTheme="minorBidi"/>
                <w:noProof/>
                <w:webHidden/>
              </w:rPr>
              <w:fldChar w:fldCharType="end"/>
            </w:r>
          </w:hyperlink>
        </w:p>
        <w:p w14:paraId="639478F4" w14:textId="2E89488B" w:rsidR="005F030F" w:rsidRPr="005F030F" w:rsidRDefault="005F030F">
          <w:pPr>
            <w:pStyle w:val="TOC2"/>
            <w:tabs>
              <w:tab w:val="left" w:pos="960"/>
              <w:tab w:val="right" w:leader="dot" w:pos="9016"/>
            </w:tabs>
            <w:rPr>
              <w:rFonts w:asciiTheme="minorBidi" w:hAnsiTheme="minorBidi"/>
              <w:noProof/>
              <w:sz w:val="24"/>
              <w:szCs w:val="24"/>
            </w:rPr>
          </w:pPr>
          <w:hyperlink w:anchor="_Toc196824674" w:history="1">
            <w:r w:rsidRPr="005F030F">
              <w:rPr>
                <w:rStyle w:val="Hyperlink"/>
                <w:rFonts w:asciiTheme="minorBidi" w:hAnsiTheme="minorBidi"/>
                <w:noProof/>
              </w:rPr>
              <w:t>4.2</w:t>
            </w:r>
            <w:r w:rsidRPr="005F030F">
              <w:rPr>
                <w:rFonts w:asciiTheme="minorBidi" w:hAnsiTheme="minorBidi"/>
                <w:noProof/>
                <w:sz w:val="24"/>
                <w:szCs w:val="24"/>
              </w:rPr>
              <w:tab/>
            </w:r>
            <w:r w:rsidRPr="005F030F">
              <w:rPr>
                <w:rStyle w:val="Hyperlink"/>
                <w:rFonts w:asciiTheme="minorBidi" w:hAnsiTheme="minorBidi"/>
                <w:noProof/>
              </w:rPr>
              <w:t>Kendall and Wickham’s (1999) Five Step FDA Approach</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_Toc196824674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10</w:t>
            </w:r>
            <w:r w:rsidRPr="005F030F">
              <w:rPr>
                <w:rFonts w:asciiTheme="minorBidi" w:hAnsiTheme="minorBidi"/>
                <w:noProof/>
                <w:webHidden/>
              </w:rPr>
              <w:fldChar w:fldCharType="end"/>
            </w:r>
          </w:hyperlink>
        </w:p>
        <w:p w14:paraId="51F11463" w14:textId="7D33FD21" w:rsidR="005F030F" w:rsidRPr="005F030F" w:rsidRDefault="005F030F">
          <w:pPr>
            <w:pStyle w:val="TOC1"/>
            <w:tabs>
              <w:tab w:val="left" w:pos="480"/>
              <w:tab w:val="right" w:leader="dot" w:pos="9016"/>
            </w:tabs>
            <w:rPr>
              <w:rFonts w:asciiTheme="minorBidi" w:hAnsiTheme="minorBidi"/>
              <w:noProof/>
              <w:sz w:val="24"/>
              <w:szCs w:val="24"/>
            </w:rPr>
          </w:pPr>
          <w:hyperlink w:anchor="_Toc196824675" w:history="1">
            <w:r w:rsidRPr="005F030F">
              <w:rPr>
                <w:rStyle w:val="Hyperlink"/>
                <w:rFonts w:asciiTheme="minorBidi" w:hAnsiTheme="minorBidi"/>
                <w:noProof/>
              </w:rPr>
              <w:t>5</w:t>
            </w:r>
            <w:r w:rsidRPr="005F030F">
              <w:rPr>
                <w:rFonts w:asciiTheme="minorBidi" w:hAnsiTheme="minorBidi"/>
                <w:noProof/>
                <w:sz w:val="24"/>
                <w:szCs w:val="24"/>
              </w:rPr>
              <w:tab/>
            </w:r>
            <w:r w:rsidRPr="005F030F">
              <w:rPr>
                <w:rStyle w:val="Hyperlink"/>
                <w:rFonts w:asciiTheme="minorBidi" w:hAnsiTheme="minorBidi"/>
                <w:noProof/>
              </w:rPr>
              <w:t>Conclusions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_Toc196824675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12</w:t>
            </w:r>
            <w:r w:rsidRPr="005F030F">
              <w:rPr>
                <w:rFonts w:asciiTheme="minorBidi" w:hAnsiTheme="minorBidi"/>
                <w:noProof/>
                <w:webHidden/>
              </w:rPr>
              <w:fldChar w:fldCharType="end"/>
            </w:r>
          </w:hyperlink>
        </w:p>
        <w:p w14:paraId="28A7FB73" w14:textId="77F3E1D4" w:rsidR="005F030F" w:rsidRPr="005F030F" w:rsidRDefault="005F030F">
          <w:pPr>
            <w:pStyle w:val="TOC1"/>
            <w:tabs>
              <w:tab w:val="left" w:pos="480"/>
              <w:tab w:val="right" w:leader="dot" w:pos="9016"/>
            </w:tabs>
            <w:rPr>
              <w:rFonts w:asciiTheme="minorBidi" w:hAnsiTheme="minorBidi"/>
              <w:noProof/>
              <w:sz w:val="24"/>
              <w:szCs w:val="24"/>
            </w:rPr>
          </w:pPr>
          <w:hyperlink w:anchor="_Toc196824676" w:history="1">
            <w:r w:rsidRPr="005F030F">
              <w:rPr>
                <w:rStyle w:val="Hyperlink"/>
                <w:rFonts w:asciiTheme="minorBidi" w:hAnsiTheme="minorBidi"/>
                <w:noProof/>
              </w:rPr>
              <w:t>6</w:t>
            </w:r>
            <w:r w:rsidRPr="005F030F">
              <w:rPr>
                <w:rFonts w:asciiTheme="minorBidi" w:hAnsiTheme="minorBidi"/>
                <w:noProof/>
                <w:sz w:val="24"/>
                <w:szCs w:val="24"/>
              </w:rPr>
              <w:tab/>
            </w:r>
            <w:r w:rsidRPr="005F030F">
              <w:rPr>
                <w:rStyle w:val="Hyperlink"/>
                <w:rFonts w:asciiTheme="minorBidi" w:hAnsiTheme="minorBidi"/>
                <w:noProof/>
              </w:rPr>
              <w:t>References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_Toc196824676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13</w:t>
            </w:r>
            <w:r w:rsidRPr="005F030F">
              <w:rPr>
                <w:rFonts w:asciiTheme="minorBidi" w:hAnsiTheme="minorBidi"/>
                <w:noProof/>
                <w:webHidden/>
              </w:rPr>
              <w:fldChar w:fldCharType="end"/>
            </w:r>
          </w:hyperlink>
        </w:p>
        <w:p w14:paraId="4F662A51" w14:textId="689166CD" w:rsidR="005F030F" w:rsidRPr="005F030F" w:rsidRDefault="005F030F">
          <w:pPr>
            <w:pStyle w:val="TOC1"/>
            <w:tabs>
              <w:tab w:val="left" w:pos="480"/>
              <w:tab w:val="right" w:leader="dot" w:pos="9016"/>
            </w:tabs>
            <w:rPr>
              <w:rFonts w:asciiTheme="minorBidi" w:hAnsiTheme="minorBidi"/>
              <w:noProof/>
              <w:sz w:val="24"/>
              <w:szCs w:val="24"/>
            </w:rPr>
          </w:pPr>
          <w:hyperlink w:anchor="_Toc196824677" w:history="1">
            <w:r w:rsidRPr="005F030F">
              <w:rPr>
                <w:rStyle w:val="Hyperlink"/>
                <w:rFonts w:asciiTheme="minorBidi" w:hAnsiTheme="minorBidi"/>
                <w:noProof/>
              </w:rPr>
              <w:t>7</w:t>
            </w:r>
            <w:r w:rsidRPr="005F030F">
              <w:rPr>
                <w:rFonts w:asciiTheme="minorBidi" w:hAnsiTheme="minorBidi"/>
                <w:noProof/>
                <w:sz w:val="24"/>
                <w:szCs w:val="24"/>
              </w:rPr>
              <w:tab/>
            </w:r>
            <w:r w:rsidRPr="005F030F">
              <w:rPr>
                <w:rStyle w:val="Hyperlink"/>
                <w:rFonts w:asciiTheme="minorBidi" w:hAnsiTheme="minorBidi"/>
                <w:noProof/>
              </w:rPr>
              <w:t>Appendices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_Toc196824677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17</w:t>
            </w:r>
            <w:r w:rsidRPr="005F030F">
              <w:rPr>
                <w:rFonts w:asciiTheme="minorBidi" w:hAnsiTheme="minorBidi"/>
                <w:noProof/>
                <w:webHidden/>
              </w:rPr>
              <w:fldChar w:fldCharType="end"/>
            </w:r>
          </w:hyperlink>
        </w:p>
        <w:p w14:paraId="1D724077" w14:textId="06662325" w:rsidR="005F030F" w:rsidRPr="005F030F" w:rsidRDefault="005F030F">
          <w:pPr>
            <w:pStyle w:val="TOC2"/>
            <w:tabs>
              <w:tab w:val="left" w:pos="960"/>
              <w:tab w:val="right" w:leader="dot" w:pos="9016"/>
            </w:tabs>
            <w:rPr>
              <w:rFonts w:asciiTheme="minorBidi" w:hAnsiTheme="minorBidi"/>
              <w:noProof/>
              <w:sz w:val="24"/>
              <w:szCs w:val="24"/>
            </w:rPr>
          </w:pPr>
          <w:hyperlink w:anchor="_Toc196824678" w:history="1">
            <w:r w:rsidRPr="005F030F">
              <w:rPr>
                <w:rStyle w:val="Hyperlink"/>
                <w:rFonts w:asciiTheme="minorBidi" w:hAnsiTheme="minorBidi"/>
                <w:noProof/>
              </w:rPr>
              <w:t>7.1</w:t>
            </w:r>
            <w:r w:rsidRPr="005F030F">
              <w:rPr>
                <w:rFonts w:asciiTheme="minorBidi" w:hAnsiTheme="minorBidi"/>
                <w:noProof/>
                <w:sz w:val="24"/>
                <w:szCs w:val="24"/>
              </w:rPr>
              <w:tab/>
            </w:r>
            <w:r w:rsidRPr="005F030F">
              <w:rPr>
                <w:rStyle w:val="Hyperlink"/>
                <w:rFonts w:asciiTheme="minorBidi" w:hAnsiTheme="minorBidi"/>
                <w:noProof/>
              </w:rPr>
              <w:t>Appendix I - Prompts and checks</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_Toc196824678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17</w:t>
            </w:r>
            <w:r w:rsidRPr="005F030F">
              <w:rPr>
                <w:rFonts w:asciiTheme="minorBidi" w:hAnsiTheme="minorBidi"/>
                <w:noProof/>
                <w:webHidden/>
              </w:rPr>
              <w:fldChar w:fldCharType="end"/>
            </w:r>
          </w:hyperlink>
        </w:p>
        <w:p w14:paraId="431FE34E" w14:textId="326645DA" w:rsidR="005F030F" w:rsidRPr="005F030F" w:rsidRDefault="005F030F">
          <w:pPr>
            <w:pStyle w:val="TOC2"/>
            <w:tabs>
              <w:tab w:val="left" w:pos="960"/>
              <w:tab w:val="right" w:leader="dot" w:pos="9016"/>
            </w:tabs>
            <w:rPr>
              <w:rFonts w:asciiTheme="minorBidi" w:hAnsiTheme="minorBidi"/>
              <w:noProof/>
              <w:sz w:val="24"/>
              <w:szCs w:val="24"/>
            </w:rPr>
          </w:pPr>
          <w:hyperlink w:anchor="_Toc196824679" w:history="1">
            <w:r w:rsidRPr="005F030F">
              <w:rPr>
                <w:rStyle w:val="Hyperlink"/>
                <w:rFonts w:asciiTheme="minorBidi" w:hAnsiTheme="minorBidi"/>
                <w:noProof/>
              </w:rPr>
              <w:t>7.2</w:t>
            </w:r>
            <w:r w:rsidRPr="005F030F">
              <w:rPr>
                <w:rFonts w:asciiTheme="minorBidi" w:hAnsiTheme="minorBidi"/>
                <w:noProof/>
                <w:sz w:val="24"/>
                <w:szCs w:val="24"/>
              </w:rPr>
              <w:tab/>
            </w:r>
            <w:r w:rsidRPr="005F030F">
              <w:rPr>
                <w:rStyle w:val="Hyperlink"/>
                <w:rFonts w:asciiTheme="minorBidi" w:hAnsiTheme="minorBidi"/>
                <w:noProof/>
              </w:rPr>
              <w:t>Appendix II - Semi-structured interview questions (RQ1)</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_Toc196824679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17</w:t>
            </w:r>
            <w:r w:rsidRPr="005F030F">
              <w:rPr>
                <w:rFonts w:asciiTheme="minorBidi" w:hAnsiTheme="minorBidi"/>
                <w:noProof/>
                <w:webHidden/>
              </w:rPr>
              <w:fldChar w:fldCharType="end"/>
            </w:r>
          </w:hyperlink>
        </w:p>
        <w:p w14:paraId="39600B84" w14:textId="3EDA5A5C" w:rsidR="005F030F" w:rsidRPr="005F030F" w:rsidRDefault="005F030F">
          <w:pPr>
            <w:pStyle w:val="TOC2"/>
            <w:tabs>
              <w:tab w:val="left" w:pos="960"/>
              <w:tab w:val="right" w:leader="dot" w:pos="9016"/>
            </w:tabs>
            <w:rPr>
              <w:rFonts w:asciiTheme="minorBidi" w:hAnsiTheme="minorBidi"/>
              <w:noProof/>
              <w:sz w:val="24"/>
              <w:szCs w:val="24"/>
            </w:rPr>
          </w:pPr>
          <w:hyperlink w:anchor="_Toc196824680" w:history="1">
            <w:r w:rsidRPr="005F030F">
              <w:rPr>
                <w:rStyle w:val="Hyperlink"/>
                <w:rFonts w:asciiTheme="minorBidi" w:hAnsiTheme="minorBidi"/>
                <w:noProof/>
              </w:rPr>
              <w:t>7.3</w:t>
            </w:r>
            <w:r w:rsidRPr="005F030F">
              <w:rPr>
                <w:rFonts w:asciiTheme="minorBidi" w:hAnsiTheme="minorBidi"/>
                <w:noProof/>
                <w:sz w:val="24"/>
                <w:szCs w:val="24"/>
              </w:rPr>
              <w:tab/>
            </w:r>
            <w:r w:rsidRPr="005F030F">
              <w:rPr>
                <w:rStyle w:val="Hyperlink"/>
                <w:rFonts w:asciiTheme="minorBidi" w:hAnsiTheme="minorBidi"/>
                <w:noProof/>
              </w:rPr>
              <w:t>Semi-structured interview questions (RQ2)</w:t>
            </w:r>
            <w:r w:rsidRPr="005F030F">
              <w:rPr>
                <w:rFonts w:asciiTheme="minorBidi" w:hAnsiTheme="minorBidi"/>
                <w:noProof/>
                <w:webHidden/>
              </w:rPr>
              <w:tab/>
            </w:r>
            <w:r w:rsidRPr="005F030F">
              <w:rPr>
                <w:rFonts w:asciiTheme="minorBidi" w:hAnsiTheme="minorBidi"/>
                <w:noProof/>
                <w:webHidden/>
              </w:rPr>
              <w:fldChar w:fldCharType="begin"/>
            </w:r>
            <w:r w:rsidRPr="005F030F">
              <w:rPr>
                <w:rFonts w:asciiTheme="minorBidi" w:hAnsiTheme="minorBidi"/>
                <w:noProof/>
                <w:webHidden/>
              </w:rPr>
              <w:instrText xml:space="preserve"> PAGEREF _Toc196824680 \h </w:instrText>
            </w:r>
            <w:r w:rsidRPr="005F030F">
              <w:rPr>
                <w:rFonts w:asciiTheme="minorBidi" w:hAnsiTheme="minorBidi"/>
                <w:noProof/>
                <w:webHidden/>
              </w:rPr>
            </w:r>
            <w:r w:rsidRPr="005F030F">
              <w:rPr>
                <w:rFonts w:asciiTheme="minorBidi" w:hAnsiTheme="minorBidi"/>
                <w:noProof/>
                <w:webHidden/>
              </w:rPr>
              <w:fldChar w:fldCharType="separate"/>
            </w:r>
            <w:r w:rsidRPr="005F030F">
              <w:rPr>
                <w:rFonts w:asciiTheme="minorBidi" w:hAnsiTheme="minorBidi"/>
                <w:noProof/>
                <w:webHidden/>
              </w:rPr>
              <w:t>17</w:t>
            </w:r>
            <w:r w:rsidRPr="005F030F">
              <w:rPr>
                <w:rFonts w:asciiTheme="minorBidi" w:hAnsiTheme="minorBidi"/>
                <w:noProof/>
                <w:webHidden/>
              </w:rPr>
              <w:fldChar w:fldCharType="end"/>
            </w:r>
          </w:hyperlink>
        </w:p>
        <w:p w14:paraId="675B6766" w14:textId="34A69B2C" w:rsidR="00D92F21" w:rsidRPr="005F030F" w:rsidRDefault="00D92F21">
          <w:pPr>
            <w:rPr>
              <w:rFonts w:asciiTheme="minorBidi" w:hAnsiTheme="minorBidi"/>
            </w:rPr>
          </w:pPr>
          <w:r w:rsidRPr="005F030F">
            <w:rPr>
              <w:rFonts w:asciiTheme="minorBidi" w:hAnsiTheme="minorBidi"/>
              <w:b/>
              <w:bCs/>
              <w:noProof/>
            </w:rPr>
            <w:fldChar w:fldCharType="end"/>
          </w:r>
        </w:p>
      </w:sdtContent>
    </w:sdt>
    <w:p w14:paraId="28FDE014" w14:textId="77777777" w:rsidR="000714D7" w:rsidRPr="005F030F" w:rsidRDefault="000714D7" w:rsidP="00CF0C74">
      <w:pPr>
        <w:spacing w:after="0" w:line="360" w:lineRule="auto"/>
        <w:rPr>
          <w:rFonts w:asciiTheme="minorBidi" w:hAnsiTheme="minorBidi"/>
          <w:b/>
          <w:bCs/>
        </w:rPr>
      </w:pPr>
    </w:p>
    <w:p w14:paraId="6FE0A229" w14:textId="77777777" w:rsidR="00D92F21" w:rsidRPr="005F030F" w:rsidRDefault="00D92F21" w:rsidP="00CF0C74">
      <w:pPr>
        <w:spacing w:after="0" w:line="360" w:lineRule="auto"/>
        <w:rPr>
          <w:rFonts w:asciiTheme="minorBidi" w:hAnsiTheme="minorBidi"/>
          <w:b/>
          <w:bCs/>
        </w:rPr>
      </w:pPr>
    </w:p>
    <w:p w14:paraId="6123C445" w14:textId="77777777" w:rsidR="00D92F21" w:rsidRPr="005F030F" w:rsidRDefault="00D92F21" w:rsidP="00CF0C74">
      <w:pPr>
        <w:spacing w:after="0" w:line="360" w:lineRule="auto"/>
        <w:rPr>
          <w:rFonts w:asciiTheme="minorBidi" w:hAnsiTheme="minorBidi"/>
          <w:b/>
          <w:bCs/>
        </w:rPr>
      </w:pPr>
    </w:p>
    <w:p w14:paraId="53592AC4" w14:textId="77777777" w:rsidR="000714D7" w:rsidRPr="005F030F" w:rsidRDefault="000714D7" w:rsidP="00CF0C74">
      <w:pPr>
        <w:spacing w:after="0" w:line="360" w:lineRule="auto"/>
        <w:rPr>
          <w:rFonts w:asciiTheme="minorBidi" w:hAnsiTheme="minorBidi"/>
          <w:b/>
          <w:bCs/>
        </w:rPr>
      </w:pPr>
    </w:p>
    <w:p w14:paraId="5A04597A" w14:textId="77777777" w:rsidR="000714D7" w:rsidRPr="005F030F" w:rsidRDefault="000714D7" w:rsidP="00CF0C74">
      <w:pPr>
        <w:spacing w:after="0" w:line="360" w:lineRule="auto"/>
        <w:rPr>
          <w:rFonts w:asciiTheme="minorBidi" w:hAnsiTheme="minorBidi"/>
          <w:b/>
          <w:bCs/>
        </w:rPr>
      </w:pPr>
    </w:p>
    <w:p w14:paraId="5EB0EDA1" w14:textId="77777777" w:rsidR="006F6313" w:rsidRPr="005F030F" w:rsidRDefault="006F6313">
      <w:pPr>
        <w:rPr>
          <w:rFonts w:asciiTheme="minorBidi" w:eastAsiaTheme="majorEastAsia" w:hAnsiTheme="minorBidi"/>
          <w:color w:val="2F5496" w:themeColor="accent1" w:themeShade="BF"/>
          <w:sz w:val="40"/>
          <w:szCs w:val="40"/>
        </w:rPr>
      </w:pPr>
      <w:r w:rsidRPr="005F030F">
        <w:rPr>
          <w:rFonts w:asciiTheme="minorBidi" w:hAnsiTheme="minorBidi"/>
        </w:rPr>
        <w:br w:type="page"/>
      </w:r>
    </w:p>
    <w:p w14:paraId="65282933" w14:textId="1E8EB92E" w:rsidR="003D0C38" w:rsidRPr="005F030F" w:rsidRDefault="00AD35F3" w:rsidP="00BD77CD">
      <w:pPr>
        <w:pStyle w:val="Heading1"/>
        <w:rPr>
          <w:rFonts w:asciiTheme="minorBidi" w:hAnsiTheme="minorBidi" w:cstheme="minorBidi"/>
        </w:rPr>
      </w:pPr>
      <w:bookmarkStart w:id="0" w:name="_Toc196824661"/>
      <w:r w:rsidRPr="005F030F">
        <w:rPr>
          <w:rFonts w:asciiTheme="minorBidi" w:hAnsiTheme="minorBidi" w:cstheme="minorBidi"/>
        </w:rPr>
        <w:lastRenderedPageBreak/>
        <w:t>Research Context</w:t>
      </w:r>
      <w:bookmarkEnd w:id="0"/>
      <w:r w:rsidRPr="005F030F">
        <w:rPr>
          <w:rFonts w:asciiTheme="minorBidi" w:hAnsiTheme="minorBidi" w:cstheme="minorBidi"/>
        </w:rPr>
        <w:t xml:space="preserve"> </w:t>
      </w:r>
    </w:p>
    <w:p w14:paraId="26DCD583" w14:textId="77777777" w:rsidR="003D0C38" w:rsidRPr="005F030F" w:rsidRDefault="003D0C38" w:rsidP="00CF0C74">
      <w:pPr>
        <w:spacing w:after="0" w:line="360" w:lineRule="auto"/>
        <w:rPr>
          <w:rFonts w:asciiTheme="minorBidi" w:hAnsiTheme="minorBidi"/>
          <w:b/>
          <w:bCs/>
        </w:rPr>
      </w:pPr>
    </w:p>
    <w:p w14:paraId="3B862B09" w14:textId="30D7E329" w:rsidR="003D0C38" w:rsidRPr="005F030F" w:rsidRDefault="00B058C8" w:rsidP="00927349">
      <w:pPr>
        <w:spacing w:after="0" w:line="360" w:lineRule="auto"/>
        <w:rPr>
          <w:rFonts w:asciiTheme="minorBidi" w:hAnsiTheme="minorBidi"/>
        </w:rPr>
      </w:pPr>
      <w:r w:rsidRPr="005F030F">
        <w:rPr>
          <w:rFonts w:asciiTheme="minorBidi" w:hAnsiTheme="minorBidi"/>
        </w:rPr>
        <w:t>This research proposal investigates how senior leaders and mentors in Lead Partner Schools in Wales perceive and interpret joint accountability within Initial Teacher Education (ITE) partnerships, with particular attention to the similarities and differences in their perspectives. Additionally, it examines whether comparable attitudes and behaviours are demonstrated during ITE inspections and traditional school inspections.</w:t>
      </w:r>
      <w:r w:rsidR="00927349" w:rsidRPr="005F030F">
        <w:rPr>
          <w:rFonts w:asciiTheme="minorBidi" w:hAnsiTheme="minorBidi"/>
        </w:rPr>
        <w:t xml:space="preserve"> </w:t>
      </w:r>
      <w:r w:rsidR="00927349" w:rsidRPr="005F030F">
        <w:rPr>
          <w:rFonts w:asciiTheme="minorBidi" w:hAnsiTheme="minorBidi"/>
        </w:rPr>
        <w:t>The intention is to explore whether Lead Partner Schools genuinely perceive and enact joint accountability for ITE, or whether such commitments are more symbolic than substantive.</w:t>
      </w:r>
      <w:r w:rsidR="006F6313" w:rsidRPr="005F030F">
        <w:rPr>
          <w:rFonts w:asciiTheme="minorBidi" w:hAnsiTheme="minorBidi"/>
        </w:rPr>
        <w:t xml:space="preserve"> With this in mind, the following research questions have been developed: </w:t>
      </w:r>
    </w:p>
    <w:p w14:paraId="5721556A" w14:textId="77777777" w:rsidR="006F6313" w:rsidRPr="005F030F" w:rsidRDefault="006F6313" w:rsidP="00927349">
      <w:pPr>
        <w:spacing w:after="0" w:line="360" w:lineRule="auto"/>
        <w:rPr>
          <w:rFonts w:asciiTheme="minorBidi" w:hAnsiTheme="minorBidi"/>
        </w:rPr>
      </w:pPr>
    </w:p>
    <w:p w14:paraId="437F10F4" w14:textId="77777777" w:rsidR="00D4263D" w:rsidRPr="00D4263D" w:rsidRDefault="006F6313" w:rsidP="006F6313">
      <w:pPr>
        <w:numPr>
          <w:ilvl w:val="1"/>
          <w:numId w:val="3"/>
        </w:numPr>
        <w:spacing w:after="0" w:line="360" w:lineRule="auto"/>
        <w:rPr>
          <w:rFonts w:asciiTheme="minorBidi" w:hAnsiTheme="minorBidi"/>
        </w:rPr>
      </w:pPr>
      <w:r w:rsidRPr="005F030F">
        <w:rPr>
          <w:rFonts w:asciiTheme="minorBidi" w:hAnsiTheme="minorBidi"/>
        </w:rPr>
        <w:t>What similarities/differences exist between senior leaders and mentors regarding their perceptions of joint accountability in Lead Partner Schools in an ITE partnership?</w:t>
      </w:r>
    </w:p>
    <w:p w14:paraId="7CBA3502" w14:textId="77777777" w:rsidR="00D4263D" w:rsidRPr="00D4263D" w:rsidRDefault="006F6313" w:rsidP="006F6313">
      <w:pPr>
        <w:numPr>
          <w:ilvl w:val="1"/>
          <w:numId w:val="3"/>
        </w:numPr>
        <w:spacing w:after="0" w:line="360" w:lineRule="auto"/>
        <w:rPr>
          <w:rFonts w:asciiTheme="minorBidi" w:hAnsiTheme="minorBidi"/>
        </w:rPr>
      </w:pPr>
      <w:r w:rsidRPr="005F030F">
        <w:rPr>
          <w:rFonts w:asciiTheme="minorBidi" w:hAnsiTheme="minorBidi"/>
        </w:rPr>
        <w:t>Do headteachers in Lead Partner Schools within an ITE partnership in Wales perceive school inspections and ITE inspections in the same way, and what factors influence any similarities or differences in their perceptions?</w:t>
      </w:r>
    </w:p>
    <w:p w14:paraId="304E3BD5" w14:textId="5FA9E347" w:rsidR="00AD35F3" w:rsidRPr="005F030F" w:rsidRDefault="00AD35F3" w:rsidP="006F6313">
      <w:pPr>
        <w:pStyle w:val="Heading1"/>
        <w:rPr>
          <w:rFonts w:asciiTheme="minorBidi" w:hAnsiTheme="minorBidi" w:cstheme="minorBidi"/>
        </w:rPr>
      </w:pPr>
      <w:bookmarkStart w:id="1" w:name="_Toc196824662"/>
      <w:r w:rsidRPr="005F030F">
        <w:rPr>
          <w:rFonts w:asciiTheme="minorBidi" w:hAnsiTheme="minorBidi" w:cstheme="minorBidi"/>
        </w:rPr>
        <w:t>Research Design</w:t>
      </w:r>
      <w:bookmarkEnd w:id="1"/>
      <w:r w:rsidRPr="005F030F">
        <w:rPr>
          <w:rFonts w:asciiTheme="minorBidi" w:hAnsiTheme="minorBidi" w:cstheme="minorBidi"/>
        </w:rPr>
        <w:t xml:space="preserve"> </w:t>
      </w:r>
    </w:p>
    <w:p w14:paraId="53082039" w14:textId="77777777" w:rsidR="00AD35F3" w:rsidRPr="005F030F" w:rsidRDefault="00AD35F3" w:rsidP="00CF0C74">
      <w:pPr>
        <w:spacing w:after="0" w:line="360" w:lineRule="auto"/>
        <w:rPr>
          <w:rFonts w:asciiTheme="minorBidi" w:hAnsiTheme="minorBidi"/>
          <w:b/>
          <w:bCs/>
          <w:u w:val="single"/>
        </w:rPr>
      </w:pPr>
    </w:p>
    <w:p w14:paraId="3094F6F6" w14:textId="5A7744BC" w:rsidR="00AD35F3" w:rsidRPr="005F030F" w:rsidRDefault="004043BC" w:rsidP="006F6313">
      <w:pPr>
        <w:pStyle w:val="Heading2"/>
        <w:rPr>
          <w:rFonts w:asciiTheme="minorBidi" w:hAnsiTheme="minorBidi" w:cstheme="minorBidi"/>
        </w:rPr>
      </w:pPr>
      <w:bookmarkStart w:id="2" w:name="_Toc196824663"/>
      <w:r w:rsidRPr="005F030F">
        <w:rPr>
          <w:rFonts w:asciiTheme="minorBidi" w:hAnsiTheme="minorBidi" w:cstheme="minorBidi"/>
        </w:rPr>
        <w:t>Philosophical underpinnings</w:t>
      </w:r>
      <w:bookmarkEnd w:id="2"/>
      <w:r w:rsidRPr="005F030F">
        <w:rPr>
          <w:rFonts w:asciiTheme="minorBidi" w:hAnsiTheme="minorBidi" w:cstheme="minorBidi"/>
        </w:rPr>
        <w:t xml:space="preserve"> </w:t>
      </w:r>
    </w:p>
    <w:p w14:paraId="10C256D8" w14:textId="77777777" w:rsidR="0029095E" w:rsidRPr="005F030F" w:rsidRDefault="0029095E" w:rsidP="00CF0C74">
      <w:pPr>
        <w:spacing w:after="0" w:line="360" w:lineRule="auto"/>
        <w:rPr>
          <w:rFonts w:asciiTheme="minorBidi" w:hAnsiTheme="minorBidi"/>
          <w:b/>
          <w:bCs/>
        </w:rPr>
      </w:pPr>
    </w:p>
    <w:p w14:paraId="382BCB69" w14:textId="49121BC0" w:rsidR="00B3686E" w:rsidRPr="005F030F" w:rsidRDefault="00816572" w:rsidP="004F26BC">
      <w:pPr>
        <w:spacing w:after="0" w:line="360" w:lineRule="auto"/>
        <w:rPr>
          <w:rFonts w:asciiTheme="minorBidi" w:hAnsiTheme="minorBidi"/>
        </w:rPr>
      </w:pPr>
      <w:r w:rsidRPr="005F030F">
        <w:rPr>
          <w:rFonts w:asciiTheme="minorBidi" w:hAnsiTheme="minorBidi"/>
        </w:rPr>
        <w:t xml:space="preserve">Research is often undertaken to "understand, describe, predict or control an educational or psychological phenomenon or to empower individuals in such contexts" (Mertens, 2005, p.2). Mackenzie and Knipe (2006) argue that the choice of paradigm forms the foundation of a study, guiding decisions regarding methodology, methods, literature, and research design. </w:t>
      </w:r>
      <w:r w:rsidR="004F26BC" w:rsidRPr="005F030F">
        <w:rPr>
          <w:rFonts w:asciiTheme="minorBidi" w:hAnsiTheme="minorBidi"/>
        </w:rPr>
        <w:t>Kivunja and Kuyini (2017, p.26) define a paradigm, or "worldview," as the framework through which researchers approach their study, guiding the choice of methods and data analysis.</w:t>
      </w:r>
    </w:p>
    <w:p w14:paraId="49BA664F" w14:textId="77777777" w:rsidR="00CB5684" w:rsidRPr="005F030F" w:rsidRDefault="00CB5684" w:rsidP="004F26BC">
      <w:pPr>
        <w:spacing w:after="0" w:line="360" w:lineRule="auto"/>
        <w:rPr>
          <w:rFonts w:asciiTheme="minorBidi" w:hAnsiTheme="minorBidi"/>
        </w:rPr>
      </w:pPr>
    </w:p>
    <w:p w14:paraId="1678F158" w14:textId="1D133B8A" w:rsidR="00A9321F" w:rsidRPr="005F030F" w:rsidRDefault="00A9321F" w:rsidP="0073349B">
      <w:pPr>
        <w:spacing w:after="0" w:line="360" w:lineRule="auto"/>
        <w:rPr>
          <w:rFonts w:asciiTheme="minorBidi" w:hAnsiTheme="minorBidi"/>
        </w:rPr>
      </w:pPr>
      <w:r w:rsidRPr="00A9321F">
        <w:rPr>
          <w:rFonts w:asciiTheme="minorBidi" w:hAnsiTheme="minorBidi"/>
        </w:rPr>
        <w:t xml:space="preserve">This research is situated within an interpretivist paradigm, which seeks “to understand the subjective world of human experience” (Cohen, Manion, and Morrison, 2018, p. 38). </w:t>
      </w:r>
      <w:r w:rsidR="002A5435" w:rsidRPr="005F030F">
        <w:rPr>
          <w:rFonts w:asciiTheme="minorBidi" w:hAnsiTheme="minorBidi"/>
        </w:rPr>
        <w:t xml:space="preserve">It rejects that there is a discoverable reality that </w:t>
      </w:r>
      <w:r w:rsidR="0073349B" w:rsidRPr="005F030F">
        <w:rPr>
          <w:rFonts w:asciiTheme="minorBidi" w:hAnsiTheme="minorBidi"/>
        </w:rPr>
        <w:t>exists (Pring, 2000). Instead, i</w:t>
      </w:r>
      <w:r w:rsidRPr="00A9321F">
        <w:rPr>
          <w:rFonts w:asciiTheme="minorBidi" w:hAnsiTheme="minorBidi"/>
        </w:rPr>
        <w:t xml:space="preserve">nterpretivism is </w:t>
      </w:r>
      <w:r w:rsidR="00CB5684" w:rsidRPr="005F030F">
        <w:rPr>
          <w:rFonts w:asciiTheme="minorBidi" w:hAnsiTheme="minorBidi"/>
        </w:rPr>
        <w:t>the</w:t>
      </w:r>
      <w:r w:rsidRPr="00A9321F">
        <w:rPr>
          <w:rFonts w:asciiTheme="minorBidi" w:hAnsiTheme="minorBidi"/>
        </w:rPr>
        <w:t xml:space="preserve"> view that individuals live within an intersubjective world, one that is continuously experienced through the senses and understood through language on a moment-to-moment and day-to-day basis (Angen, 2000).</w:t>
      </w:r>
      <w:r w:rsidR="00624A25" w:rsidRPr="005F030F">
        <w:rPr>
          <w:rFonts w:asciiTheme="minorBidi" w:hAnsiTheme="minorBidi"/>
        </w:rPr>
        <w:t xml:space="preserve"> </w:t>
      </w:r>
      <w:r w:rsidR="00624A25" w:rsidRPr="005F030F">
        <w:rPr>
          <w:rFonts w:asciiTheme="minorBidi" w:hAnsiTheme="minorBidi"/>
        </w:rPr>
        <w:t>It adopts a</w:t>
      </w:r>
      <w:r w:rsidR="0051797A" w:rsidRPr="005F030F">
        <w:rPr>
          <w:rFonts w:asciiTheme="minorBidi" w:hAnsiTheme="minorBidi"/>
        </w:rPr>
        <w:t xml:space="preserve"> </w:t>
      </w:r>
      <w:r w:rsidR="00624A25" w:rsidRPr="005F030F">
        <w:rPr>
          <w:rFonts w:asciiTheme="minorBidi" w:hAnsiTheme="minorBidi"/>
        </w:rPr>
        <w:t xml:space="preserve">methodology aimed at understanding </w:t>
      </w:r>
      <w:r w:rsidR="00624A25" w:rsidRPr="005F030F">
        <w:rPr>
          <w:rFonts w:asciiTheme="minorBidi" w:hAnsiTheme="minorBidi"/>
        </w:rPr>
        <w:lastRenderedPageBreak/>
        <w:t>phenomena from the perspective of individuals, examining their interactions with others, as well as the historical and cultural contexts in which they are situated</w:t>
      </w:r>
      <w:r w:rsidR="00624A25" w:rsidRPr="005F030F">
        <w:rPr>
          <w:rFonts w:asciiTheme="minorBidi" w:hAnsiTheme="minorBidi"/>
        </w:rPr>
        <w:t xml:space="preserve"> (</w:t>
      </w:r>
      <w:r w:rsidR="00624A25" w:rsidRPr="005F030F">
        <w:rPr>
          <w:rFonts w:asciiTheme="minorBidi" w:hAnsiTheme="minorBidi"/>
        </w:rPr>
        <w:t>Creswell, 2009).</w:t>
      </w:r>
    </w:p>
    <w:p w14:paraId="0AD375B5" w14:textId="77777777" w:rsidR="00624A25" w:rsidRPr="00A9321F" w:rsidRDefault="00624A25" w:rsidP="00624A25">
      <w:pPr>
        <w:spacing w:after="0" w:line="360" w:lineRule="auto"/>
        <w:rPr>
          <w:rFonts w:asciiTheme="minorBidi" w:hAnsiTheme="minorBidi"/>
        </w:rPr>
      </w:pPr>
    </w:p>
    <w:p w14:paraId="38CF7D68" w14:textId="12BE6B8E" w:rsidR="00A9321F" w:rsidRPr="005F030F" w:rsidRDefault="00A9321F" w:rsidP="00A9321F">
      <w:pPr>
        <w:spacing w:after="0" w:line="360" w:lineRule="auto"/>
        <w:rPr>
          <w:rFonts w:asciiTheme="minorBidi" w:hAnsiTheme="minorBidi"/>
        </w:rPr>
      </w:pPr>
      <w:r w:rsidRPr="00A9321F">
        <w:rPr>
          <w:rFonts w:asciiTheme="minorBidi" w:hAnsiTheme="minorBidi"/>
        </w:rPr>
        <w:t xml:space="preserve">This study recognises that senior leaders, mentors, and headteachers construct meaning through their lived experiences within the context of the partnership and inspection processes. It acknowledges that perceptions of joint accountability and inspection are shaped by ongoing social interactions and are interpreted both linguistically and sensorially over time. </w:t>
      </w:r>
      <w:r w:rsidR="00A5791C" w:rsidRPr="005F030F">
        <w:rPr>
          <w:rFonts w:asciiTheme="minorBidi" w:hAnsiTheme="minorBidi"/>
        </w:rPr>
        <w:t>Consequently, a</w:t>
      </w:r>
      <w:r w:rsidRPr="00A9321F">
        <w:rPr>
          <w:rFonts w:asciiTheme="minorBidi" w:hAnsiTheme="minorBidi"/>
        </w:rPr>
        <w:t>dopting an interpretivist paradigm is particularly suited to exploring the nuanced similarities and differences in participants' perspectives, and to attending to the complex, situated nature of their experiences.</w:t>
      </w:r>
      <w:r w:rsidR="00624A25" w:rsidRPr="005F030F">
        <w:rPr>
          <w:rFonts w:asciiTheme="minorBidi" w:hAnsiTheme="minorBidi"/>
        </w:rPr>
        <w:t xml:space="preserve"> </w:t>
      </w:r>
    </w:p>
    <w:p w14:paraId="4DD13C06" w14:textId="77777777" w:rsidR="00BA4E92" w:rsidRPr="005F030F" w:rsidRDefault="00BA4E92" w:rsidP="00BA4E92">
      <w:pPr>
        <w:spacing w:after="0" w:line="360" w:lineRule="auto"/>
        <w:rPr>
          <w:rFonts w:asciiTheme="minorBidi" w:eastAsia="Times New Roman" w:hAnsiTheme="minorBidi"/>
          <w:kern w:val="0"/>
          <w14:ligatures w14:val="none"/>
        </w:rPr>
      </w:pPr>
    </w:p>
    <w:p w14:paraId="3526F2D2" w14:textId="017887EE" w:rsidR="00B972A5" w:rsidRPr="005F030F" w:rsidRDefault="00737848" w:rsidP="00B972A5">
      <w:pPr>
        <w:spacing w:after="0" w:line="360" w:lineRule="auto"/>
        <w:rPr>
          <w:rFonts w:asciiTheme="minorBidi" w:hAnsiTheme="minorBidi"/>
        </w:rPr>
      </w:pPr>
      <w:r w:rsidRPr="005F030F">
        <w:rPr>
          <w:rFonts w:asciiTheme="minorBidi" w:hAnsiTheme="minorBidi"/>
        </w:rPr>
        <w:t>I</w:t>
      </w:r>
      <w:r w:rsidR="00384A72" w:rsidRPr="005F030F">
        <w:rPr>
          <w:rFonts w:asciiTheme="minorBidi" w:hAnsiTheme="minorBidi"/>
        </w:rPr>
        <w:t xml:space="preserve">t is important to acknowledge </w:t>
      </w:r>
      <w:r w:rsidR="00C345A3" w:rsidRPr="005F030F">
        <w:rPr>
          <w:rFonts w:asciiTheme="minorBidi" w:hAnsiTheme="minorBidi"/>
        </w:rPr>
        <w:t xml:space="preserve">that the emphasis on individual perceptions and experiences does limit </w:t>
      </w:r>
      <w:r w:rsidR="00940538" w:rsidRPr="005F030F">
        <w:rPr>
          <w:rFonts w:asciiTheme="minorBidi" w:hAnsiTheme="minorBidi"/>
        </w:rPr>
        <w:t>the potential for transferability</w:t>
      </w:r>
      <w:r w:rsidR="00F004C1" w:rsidRPr="005F030F">
        <w:rPr>
          <w:rFonts w:asciiTheme="minorBidi" w:hAnsiTheme="minorBidi"/>
        </w:rPr>
        <w:t xml:space="preserve"> and generalisations</w:t>
      </w:r>
      <w:r w:rsidR="00940538" w:rsidRPr="005F030F">
        <w:rPr>
          <w:rFonts w:asciiTheme="minorBidi" w:hAnsiTheme="minorBidi"/>
        </w:rPr>
        <w:t xml:space="preserve">, as </w:t>
      </w:r>
      <w:r w:rsidR="005E7517" w:rsidRPr="005F030F">
        <w:rPr>
          <w:rFonts w:asciiTheme="minorBidi" w:hAnsiTheme="minorBidi"/>
        </w:rPr>
        <w:t xml:space="preserve">it </w:t>
      </w:r>
      <w:r w:rsidR="00782F9D" w:rsidRPr="005F030F">
        <w:rPr>
          <w:rFonts w:asciiTheme="minorBidi" w:hAnsiTheme="minorBidi"/>
        </w:rPr>
        <w:t xml:space="preserve">provides </w:t>
      </w:r>
      <w:r w:rsidR="005E7517" w:rsidRPr="005F030F">
        <w:rPr>
          <w:rFonts w:asciiTheme="minorBidi" w:hAnsiTheme="minorBidi"/>
        </w:rPr>
        <w:t>“</w:t>
      </w:r>
      <w:r w:rsidR="00F004C1" w:rsidRPr="005F030F">
        <w:rPr>
          <w:rFonts w:asciiTheme="minorBidi" w:hAnsiTheme="minorBidi"/>
        </w:rPr>
        <w:t>highly contextualized qualitative data</w:t>
      </w:r>
      <w:r w:rsidR="005E7517" w:rsidRPr="005F030F">
        <w:rPr>
          <w:rFonts w:asciiTheme="minorBidi" w:hAnsiTheme="minorBidi"/>
        </w:rPr>
        <w:t>” (Scotland, 2012, p. 12).</w:t>
      </w:r>
      <w:r w:rsidR="00782F9D" w:rsidRPr="005F030F">
        <w:rPr>
          <w:rFonts w:asciiTheme="minorBidi" w:hAnsiTheme="minorBidi"/>
        </w:rPr>
        <w:t xml:space="preserve"> </w:t>
      </w:r>
      <w:r w:rsidR="00B972A5" w:rsidRPr="005F030F">
        <w:rPr>
          <w:rFonts w:asciiTheme="minorBidi" w:hAnsiTheme="minorBidi"/>
        </w:rPr>
        <w:t xml:space="preserve">Therefore, it is necessary to </w:t>
      </w:r>
      <w:r w:rsidR="009B1103" w:rsidRPr="005F030F">
        <w:rPr>
          <w:rFonts w:asciiTheme="minorBidi" w:hAnsiTheme="minorBidi"/>
        </w:rPr>
        <w:t>reiterate</w:t>
      </w:r>
      <w:r w:rsidR="00B972A5" w:rsidRPr="005F030F">
        <w:rPr>
          <w:rFonts w:asciiTheme="minorBidi" w:hAnsiTheme="minorBidi"/>
        </w:rPr>
        <w:t xml:space="preserve"> the aims of this research – whilst the findings of this study might not</w:t>
      </w:r>
      <w:r w:rsidR="00B972A5" w:rsidRPr="005F030F">
        <w:rPr>
          <w:rFonts w:asciiTheme="minorBidi" w:hAnsiTheme="minorBidi"/>
        </w:rPr>
        <w:t xml:space="preserve"> be appropriate to</w:t>
      </w:r>
      <w:r w:rsidR="00B972A5" w:rsidRPr="005F030F">
        <w:rPr>
          <w:rFonts w:asciiTheme="minorBidi" w:hAnsiTheme="minorBidi"/>
        </w:rPr>
        <w:t xml:space="preserve"> inform policy at a national level, despite the </w:t>
      </w:r>
      <w:r w:rsidR="0033273A" w:rsidRPr="005F030F">
        <w:rPr>
          <w:rFonts w:asciiTheme="minorBidi" w:hAnsiTheme="minorBidi"/>
        </w:rPr>
        <w:t xml:space="preserve">country’s </w:t>
      </w:r>
      <w:r w:rsidR="00B972A5" w:rsidRPr="005F030F">
        <w:rPr>
          <w:rFonts w:asciiTheme="minorBidi" w:hAnsiTheme="minorBidi"/>
        </w:rPr>
        <w:t xml:space="preserve">dependence on this model of partnership, it will provide valuable insights into the lived experiences and perceptions of senior leaders, mentors, and headteachers. These insights </w:t>
      </w:r>
      <w:r w:rsidR="003C0DA7" w:rsidRPr="005F030F">
        <w:rPr>
          <w:rFonts w:asciiTheme="minorBidi" w:hAnsiTheme="minorBidi"/>
        </w:rPr>
        <w:t>may</w:t>
      </w:r>
      <w:r w:rsidR="00B972A5" w:rsidRPr="005F030F">
        <w:rPr>
          <w:rFonts w:asciiTheme="minorBidi" w:hAnsiTheme="minorBidi"/>
        </w:rPr>
        <w:t xml:space="preserve"> inform practice within Lead Partner Schools, contribute to the ongoing development of partnership models in ITE, and offer a deeper understanding of how joint accountability and inspection processes are interpreted and enacted on the ground.</w:t>
      </w:r>
    </w:p>
    <w:p w14:paraId="37D8C69C" w14:textId="77777777" w:rsidR="00A2197C" w:rsidRPr="005F030F" w:rsidRDefault="00A2197C" w:rsidP="00A2197C">
      <w:pPr>
        <w:spacing w:after="0" w:line="360" w:lineRule="auto"/>
        <w:rPr>
          <w:rFonts w:asciiTheme="minorBidi" w:hAnsiTheme="minorBidi"/>
        </w:rPr>
      </w:pPr>
    </w:p>
    <w:p w14:paraId="689D38DD" w14:textId="77777777" w:rsidR="0029095E" w:rsidRPr="005F030F" w:rsidRDefault="0029095E" w:rsidP="0029095E">
      <w:pPr>
        <w:pStyle w:val="Heading2"/>
        <w:rPr>
          <w:rFonts w:asciiTheme="minorBidi" w:hAnsiTheme="minorBidi" w:cstheme="minorBidi"/>
        </w:rPr>
      </w:pPr>
      <w:bookmarkStart w:id="3" w:name="_Toc196824664"/>
      <w:r w:rsidRPr="005F030F">
        <w:rPr>
          <w:rFonts w:asciiTheme="minorBidi" w:hAnsiTheme="minorBidi" w:cstheme="minorBidi"/>
        </w:rPr>
        <w:t>Theoretical Framework</w:t>
      </w:r>
      <w:bookmarkEnd w:id="3"/>
      <w:r w:rsidRPr="005F030F">
        <w:rPr>
          <w:rFonts w:asciiTheme="minorBidi" w:hAnsiTheme="minorBidi" w:cstheme="minorBidi"/>
        </w:rPr>
        <w:t xml:space="preserve"> </w:t>
      </w:r>
    </w:p>
    <w:p w14:paraId="4C1E5305" w14:textId="77777777" w:rsidR="0029095E" w:rsidRPr="005F030F" w:rsidRDefault="0029095E" w:rsidP="00C02268">
      <w:pPr>
        <w:spacing w:after="0" w:line="360" w:lineRule="auto"/>
        <w:rPr>
          <w:rFonts w:asciiTheme="minorBidi" w:hAnsiTheme="minorBidi"/>
        </w:rPr>
      </w:pPr>
    </w:p>
    <w:p w14:paraId="2A9519A1" w14:textId="3612630D" w:rsidR="00C02268" w:rsidRPr="005F030F" w:rsidRDefault="003B2AAA" w:rsidP="008C3E5E">
      <w:pPr>
        <w:spacing w:after="0" w:line="360" w:lineRule="auto"/>
        <w:rPr>
          <w:rFonts w:asciiTheme="minorBidi" w:hAnsiTheme="minorBidi"/>
        </w:rPr>
      </w:pPr>
      <w:r w:rsidRPr="005F030F">
        <w:rPr>
          <w:rFonts w:asciiTheme="minorBidi" w:hAnsiTheme="minorBidi"/>
        </w:rPr>
        <w:t xml:space="preserve">This study is situated </w:t>
      </w:r>
      <w:r w:rsidR="00010A11" w:rsidRPr="005F030F">
        <w:rPr>
          <w:rFonts w:asciiTheme="minorBidi" w:hAnsiTheme="minorBidi"/>
        </w:rPr>
        <w:t>uses</w:t>
      </w:r>
      <w:r w:rsidRPr="005F030F">
        <w:rPr>
          <w:rFonts w:asciiTheme="minorBidi" w:hAnsiTheme="minorBidi"/>
        </w:rPr>
        <w:t xml:space="preserve"> a poststructuralist</w:t>
      </w:r>
      <w:r w:rsidR="00010A11" w:rsidRPr="005F030F">
        <w:rPr>
          <w:rFonts w:asciiTheme="minorBidi" w:hAnsiTheme="minorBidi"/>
        </w:rPr>
        <w:t xml:space="preserve"> theoretical framework</w:t>
      </w:r>
      <w:r w:rsidRPr="005F030F">
        <w:rPr>
          <w:rFonts w:asciiTheme="minorBidi" w:hAnsiTheme="minorBidi"/>
        </w:rPr>
        <w:t>, where reality is not fixed or universal but is shaped by individual perspectives and socially constructed meanings, rather than being grounded in a single, objective truth</w:t>
      </w:r>
      <w:r w:rsidR="005338F5" w:rsidRPr="005F030F">
        <w:rPr>
          <w:rFonts w:asciiTheme="minorBidi" w:hAnsiTheme="minorBidi"/>
        </w:rPr>
        <w:t xml:space="preserve"> (Kahn and </w:t>
      </w:r>
      <w:r w:rsidR="005338F5" w:rsidRPr="005F030F">
        <w:rPr>
          <w:rFonts w:asciiTheme="minorBidi" w:hAnsiTheme="minorBidi"/>
        </w:rPr>
        <w:t>MacEachen</w:t>
      </w:r>
      <w:r w:rsidR="005338F5" w:rsidRPr="005F030F">
        <w:rPr>
          <w:rFonts w:asciiTheme="minorBidi" w:hAnsiTheme="minorBidi"/>
        </w:rPr>
        <w:t xml:space="preserve">, </w:t>
      </w:r>
      <w:r w:rsidR="005338F5" w:rsidRPr="005F030F">
        <w:rPr>
          <w:rFonts w:asciiTheme="minorBidi" w:hAnsiTheme="minorBidi"/>
        </w:rPr>
        <w:t>2021)</w:t>
      </w:r>
      <w:r w:rsidRPr="005F030F">
        <w:rPr>
          <w:rFonts w:asciiTheme="minorBidi" w:hAnsiTheme="minorBidi"/>
        </w:rPr>
        <w:t>.</w:t>
      </w:r>
      <w:r w:rsidR="009452C3" w:rsidRPr="005F030F">
        <w:rPr>
          <w:rFonts w:asciiTheme="minorBidi" w:hAnsiTheme="minorBidi"/>
        </w:rPr>
        <w:t xml:space="preserve"> </w:t>
      </w:r>
      <w:r w:rsidR="00F477B5" w:rsidRPr="005F030F">
        <w:rPr>
          <w:rFonts w:asciiTheme="minorBidi" w:hAnsiTheme="minorBidi"/>
        </w:rPr>
        <w:t xml:space="preserve">Poststructuralism </w:t>
      </w:r>
      <w:r w:rsidR="009452C3" w:rsidRPr="005F030F">
        <w:rPr>
          <w:rFonts w:asciiTheme="minorBidi" w:hAnsiTheme="minorBidi"/>
        </w:rPr>
        <w:t>asserts</w:t>
      </w:r>
      <w:r w:rsidR="00F477B5" w:rsidRPr="005F030F">
        <w:rPr>
          <w:rFonts w:asciiTheme="minorBidi" w:hAnsiTheme="minorBidi"/>
        </w:rPr>
        <w:t xml:space="preserve"> that individuals and their identities are shaped by shifting discourses rather than by any innate qualit</w:t>
      </w:r>
      <w:r w:rsidR="009452C3" w:rsidRPr="005F030F">
        <w:rPr>
          <w:rFonts w:asciiTheme="minorBidi" w:hAnsiTheme="minorBidi"/>
        </w:rPr>
        <w:t>y</w:t>
      </w:r>
      <w:r w:rsidR="00C36FC0" w:rsidRPr="005F030F">
        <w:rPr>
          <w:rFonts w:asciiTheme="minorBidi" w:hAnsiTheme="minorBidi"/>
        </w:rPr>
        <w:t xml:space="preserve"> (Maclure, 2023). </w:t>
      </w:r>
      <w:r w:rsidR="00166E6F" w:rsidRPr="005F030F">
        <w:rPr>
          <w:rFonts w:asciiTheme="minorBidi" w:hAnsiTheme="minorBidi"/>
        </w:rPr>
        <w:t xml:space="preserve">Poststructuralism is often </w:t>
      </w:r>
      <w:r w:rsidR="00E07766" w:rsidRPr="005F030F">
        <w:rPr>
          <w:rFonts w:asciiTheme="minorBidi" w:hAnsiTheme="minorBidi"/>
        </w:rPr>
        <w:t>linked to the work of Michel Foucault (</w:t>
      </w:r>
      <w:r w:rsidR="00345E65" w:rsidRPr="005F030F">
        <w:rPr>
          <w:rFonts w:asciiTheme="minorBidi" w:hAnsiTheme="minorBidi"/>
        </w:rPr>
        <w:t xml:space="preserve">1982; 2007) whose work on power went beyond </w:t>
      </w:r>
      <w:r w:rsidR="004066B1" w:rsidRPr="005F030F">
        <w:rPr>
          <w:rFonts w:asciiTheme="minorBidi" w:hAnsiTheme="minorBidi"/>
        </w:rPr>
        <w:t xml:space="preserve">examining </w:t>
      </w:r>
      <w:r w:rsidR="00345E65" w:rsidRPr="005F030F">
        <w:rPr>
          <w:rFonts w:asciiTheme="minorBidi" w:hAnsiTheme="minorBidi"/>
        </w:rPr>
        <w:t>formal roles and regulations, to reveal the complex, and often invisible ways in which power is exercised, negotiated, and internalised</w:t>
      </w:r>
      <w:r w:rsidR="004066B1" w:rsidRPr="005F030F">
        <w:rPr>
          <w:rFonts w:asciiTheme="minorBidi" w:hAnsiTheme="minorBidi"/>
        </w:rPr>
        <w:t>. My</w:t>
      </w:r>
      <w:r w:rsidR="004066B1" w:rsidRPr="005F030F">
        <w:rPr>
          <w:rFonts w:asciiTheme="minorBidi" w:hAnsiTheme="minorBidi"/>
        </w:rPr>
        <w:t xml:space="preserve"> interest in analysing </w:t>
      </w:r>
      <w:r w:rsidR="009112B7" w:rsidRPr="005F030F">
        <w:rPr>
          <w:rFonts w:asciiTheme="minorBidi" w:hAnsiTheme="minorBidi"/>
        </w:rPr>
        <w:t>any</w:t>
      </w:r>
      <w:r w:rsidR="004066B1" w:rsidRPr="005F030F">
        <w:rPr>
          <w:rFonts w:asciiTheme="minorBidi" w:hAnsiTheme="minorBidi"/>
        </w:rPr>
        <w:t xml:space="preserve"> tensions in the relationship between these partners is rooted in Foucault’s assertion that “one must analyse institutions from the standpoint of power relations, rather than vice versa” (Foucault, 2020, p.343).</w:t>
      </w:r>
    </w:p>
    <w:p w14:paraId="3A6FDE4D" w14:textId="77777777" w:rsidR="00345E65" w:rsidRPr="005F030F" w:rsidRDefault="00345E65" w:rsidP="008C3E5E">
      <w:pPr>
        <w:spacing w:after="0" w:line="360" w:lineRule="auto"/>
        <w:rPr>
          <w:rFonts w:asciiTheme="minorBidi" w:hAnsiTheme="minorBidi"/>
        </w:rPr>
      </w:pPr>
    </w:p>
    <w:p w14:paraId="60061AD2" w14:textId="736EC375" w:rsidR="004954C6" w:rsidRPr="00814A91" w:rsidRDefault="004954C6" w:rsidP="004954C6">
      <w:pPr>
        <w:spacing w:after="0" w:line="360" w:lineRule="auto"/>
        <w:rPr>
          <w:rFonts w:asciiTheme="minorBidi" w:hAnsiTheme="minorBidi"/>
        </w:rPr>
      </w:pPr>
      <w:r w:rsidRPr="00814A91">
        <w:rPr>
          <w:rFonts w:asciiTheme="minorBidi" w:hAnsiTheme="minorBidi"/>
        </w:rPr>
        <w:lastRenderedPageBreak/>
        <w:t xml:space="preserve">In contexts such as partnerships, which Derkzen, Franklin, and Bock (2008, p.459) characterize as “arenas of power,” the involvement of multiple actors with distinct roles and responsibilities gives rise to ongoing negotiations over influence, legitimacy and authority. These spaces are not necessarily neutral, they are shaped by the actions, discourses and behaviours of partners who are required to be jointly accountable for the outcomes of programmes. Therefore, in considering how the relationships in ITE partnerships exercise power, or ‘bring about’ power in the joint accountability space, </w:t>
      </w:r>
      <w:r w:rsidR="009112B7" w:rsidRPr="005F030F">
        <w:rPr>
          <w:rFonts w:asciiTheme="minorBidi" w:hAnsiTheme="minorBidi"/>
        </w:rPr>
        <w:t>I</w:t>
      </w:r>
      <w:r w:rsidRPr="00814A91">
        <w:rPr>
          <w:rFonts w:asciiTheme="minorBidi" w:hAnsiTheme="minorBidi"/>
        </w:rPr>
        <w:t xml:space="preserve"> adopt a “governmentality” lens as it provides a fitting framework for thinking about how ITE partnerships in Wales are governed. Significantly, this is not through coercion, but through subtle mechanisms of influence embedded in accreditation criteria, professional norms, and policy discourse, aligning institutional behaviours with national reform agendas. </w:t>
      </w:r>
    </w:p>
    <w:p w14:paraId="3DE046BA" w14:textId="77777777" w:rsidR="004954C6" w:rsidRPr="005F030F" w:rsidRDefault="004954C6" w:rsidP="008C3E5E">
      <w:pPr>
        <w:spacing w:after="0" w:line="360" w:lineRule="auto"/>
        <w:rPr>
          <w:rFonts w:asciiTheme="minorBidi" w:hAnsiTheme="minorBidi"/>
        </w:rPr>
      </w:pPr>
    </w:p>
    <w:p w14:paraId="2BD72959" w14:textId="2F8A555F" w:rsidR="00345E65" w:rsidRPr="005F030F" w:rsidRDefault="00345E65" w:rsidP="00345E65">
      <w:pPr>
        <w:spacing w:after="0" w:line="360" w:lineRule="auto"/>
        <w:rPr>
          <w:rFonts w:asciiTheme="minorBidi" w:hAnsiTheme="minorBidi"/>
        </w:rPr>
      </w:pPr>
      <w:r w:rsidRPr="005F030F">
        <w:rPr>
          <w:rFonts w:asciiTheme="minorBidi" w:hAnsiTheme="minorBidi"/>
        </w:rPr>
        <w:t>Michel Foucault defined “</w:t>
      </w:r>
      <w:r w:rsidRPr="005F030F">
        <w:rPr>
          <w:rFonts w:asciiTheme="minorBidi" w:hAnsiTheme="minorBidi"/>
          <w:i/>
          <w:iCs/>
        </w:rPr>
        <w:t>governmentality</w:t>
      </w:r>
      <w:r w:rsidRPr="005F030F">
        <w:rPr>
          <w:rFonts w:asciiTheme="minorBidi" w:hAnsiTheme="minorBidi"/>
        </w:rPr>
        <w:t xml:space="preserve">”, as </w:t>
      </w:r>
      <w:r w:rsidRPr="005F030F">
        <w:rPr>
          <w:rFonts w:asciiTheme="minorBidi" w:hAnsiTheme="minorBidi"/>
          <w:lang w:val="en-US"/>
        </w:rPr>
        <w:t>the art of governing and the mentalities that inform it (Foucault, 2007)</w:t>
      </w:r>
      <w:r w:rsidRPr="005F030F">
        <w:rPr>
          <w:rFonts w:asciiTheme="minorBidi" w:hAnsiTheme="minorBidi"/>
        </w:rPr>
        <w:t>.  He explained that it was an “…</w:t>
      </w:r>
      <w:r w:rsidRPr="005F030F">
        <w:rPr>
          <w:rFonts w:asciiTheme="minorBidi" w:hAnsiTheme="minorBidi"/>
          <w:lang w:val="en-US"/>
        </w:rPr>
        <w:t xml:space="preserve">ensemble formed by the institutions, procedures, analyses and reflections, the calculations and tactics” that allow the exercise of a very specific and yet complex </w:t>
      </w:r>
      <w:r w:rsidRPr="005F030F">
        <w:rPr>
          <w:rFonts w:asciiTheme="minorBidi" w:hAnsiTheme="minorBidi"/>
        </w:rPr>
        <w:t xml:space="preserve">form of power (Foucault, 2007, p.144). </w:t>
      </w:r>
      <w:r w:rsidR="00182A89" w:rsidRPr="005F030F">
        <w:rPr>
          <w:rFonts w:asciiTheme="minorBidi" w:hAnsiTheme="minorBidi"/>
        </w:rPr>
        <w:t>G</w:t>
      </w:r>
      <w:r w:rsidRPr="005F030F">
        <w:rPr>
          <w:rFonts w:asciiTheme="minorBidi" w:hAnsiTheme="minorBidi"/>
          <w:i/>
          <w:iCs/>
        </w:rPr>
        <w:t>overnmentality</w:t>
      </w:r>
      <w:r w:rsidRPr="005F030F">
        <w:rPr>
          <w:rFonts w:asciiTheme="minorBidi" w:hAnsiTheme="minorBidi"/>
        </w:rPr>
        <w:t xml:space="preserve"> refers to voluntary self-regulation – “the conduct of conduct” – that </w:t>
      </w:r>
      <w:r w:rsidR="007E571E" w:rsidRPr="005F030F">
        <w:rPr>
          <w:rFonts w:asciiTheme="minorBidi" w:hAnsiTheme="minorBidi"/>
        </w:rPr>
        <w:t>manipulates institutions and populations in how to think, act and regulate themselves as opposed to exerting control through force</w:t>
      </w:r>
      <w:r w:rsidR="007E571E" w:rsidRPr="005F030F">
        <w:rPr>
          <w:rFonts w:asciiTheme="minorBidi" w:hAnsiTheme="minorBidi"/>
        </w:rPr>
        <w:t xml:space="preserve"> </w:t>
      </w:r>
      <w:r w:rsidRPr="005F030F">
        <w:rPr>
          <w:rFonts w:asciiTheme="minorBidi" w:hAnsiTheme="minorBidi"/>
        </w:rPr>
        <w:t xml:space="preserve">(Foucault, 1982, p.790). </w:t>
      </w:r>
    </w:p>
    <w:p w14:paraId="1446DCFF" w14:textId="77777777" w:rsidR="00840E53" w:rsidRPr="005F030F" w:rsidRDefault="00840E53" w:rsidP="00345E65">
      <w:pPr>
        <w:spacing w:after="0" w:line="360" w:lineRule="auto"/>
        <w:rPr>
          <w:rFonts w:asciiTheme="minorBidi" w:hAnsiTheme="minorBidi"/>
        </w:rPr>
      </w:pPr>
    </w:p>
    <w:p w14:paraId="18044902" w14:textId="64F7EC11" w:rsidR="00344899" w:rsidRPr="005F030F" w:rsidRDefault="00840E53" w:rsidP="00840E53">
      <w:pPr>
        <w:spacing w:after="0" w:line="360" w:lineRule="auto"/>
        <w:rPr>
          <w:rFonts w:asciiTheme="minorBidi" w:hAnsiTheme="minorBidi"/>
        </w:rPr>
      </w:pPr>
      <w:r w:rsidRPr="005F030F">
        <w:rPr>
          <w:rFonts w:asciiTheme="minorBidi" w:hAnsiTheme="minorBidi"/>
        </w:rPr>
        <w:t xml:space="preserve">In the context </w:t>
      </w:r>
      <w:r w:rsidRPr="005F030F">
        <w:rPr>
          <w:rFonts w:asciiTheme="minorBidi" w:hAnsiTheme="minorBidi"/>
        </w:rPr>
        <w:t xml:space="preserve">of </w:t>
      </w:r>
      <w:r w:rsidRPr="005F030F">
        <w:rPr>
          <w:rFonts w:asciiTheme="minorBidi" w:hAnsiTheme="minorBidi"/>
        </w:rPr>
        <w:t>ITE</w:t>
      </w:r>
      <w:r w:rsidRPr="005F030F">
        <w:rPr>
          <w:rFonts w:asciiTheme="minorBidi" w:hAnsiTheme="minorBidi"/>
        </w:rPr>
        <w:t xml:space="preserve"> </w:t>
      </w:r>
      <w:r w:rsidRPr="005F030F">
        <w:rPr>
          <w:rFonts w:asciiTheme="minorBidi" w:hAnsiTheme="minorBidi"/>
        </w:rPr>
        <w:t xml:space="preserve">in Wales, </w:t>
      </w:r>
      <w:r w:rsidRPr="005F030F">
        <w:rPr>
          <w:rFonts w:asciiTheme="minorBidi" w:hAnsiTheme="minorBidi"/>
          <w:i/>
          <w:iCs/>
        </w:rPr>
        <w:t>governmentality</w:t>
      </w:r>
      <w:r w:rsidRPr="005F030F">
        <w:rPr>
          <w:rFonts w:asciiTheme="minorBidi" w:hAnsiTheme="minorBidi"/>
        </w:rPr>
        <w:t xml:space="preserve"> can be seen in the regulatory practices of </w:t>
      </w:r>
      <w:r w:rsidRPr="005F030F">
        <w:rPr>
          <w:rFonts w:asciiTheme="minorBidi" w:hAnsiTheme="minorBidi"/>
        </w:rPr>
        <w:t>the E</w:t>
      </w:r>
      <w:r w:rsidR="004133EB" w:rsidRPr="005F030F">
        <w:rPr>
          <w:rFonts w:asciiTheme="minorBidi" w:hAnsiTheme="minorBidi"/>
        </w:rPr>
        <w:t xml:space="preserve">ducation </w:t>
      </w:r>
      <w:r w:rsidRPr="005F030F">
        <w:rPr>
          <w:rFonts w:asciiTheme="minorBidi" w:hAnsiTheme="minorBidi"/>
        </w:rPr>
        <w:t>W</w:t>
      </w:r>
      <w:r w:rsidR="004133EB" w:rsidRPr="005F030F">
        <w:rPr>
          <w:rFonts w:asciiTheme="minorBidi" w:hAnsiTheme="minorBidi"/>
        </w:rPr>
        <w:t xml:space="preserve">orkforce </w:t>
      </w:r>
      <w:r w:rsidRPr="005F030F">
        <w:rPr>
          <w:rFonts w:asciiTheme="minorBidi" w:hAnsiTheme="minorBidi"/>
        </w:rPr>
        <w:t>C</w:t>
      </w:r>
      <w:r w:rsidR="004133EB" w:rsidRPr="005F030F">
        <w:rPr>
          <w:rFonts w:asciiTheme="minorBidi" w:hAnsiTheme="minorBidi"/>
        </w:rPr>
        <w:t>ouncil (EWC)</w:t>
      </w:r>
      <w:r w:rsidRPr="005F030F">
        <w:rPr>
          <w:rFonts w:asciiTheme="minorBidi" w:hAnsiTheme="minorBidi"/>
        </w:rPr>
        <w:t xml:space="preserve"> </w:t>
      </w:r>
      <w:r w:rsidRPr="005F030F">
        <w:rPr>
          <w:rFonts w:asciiTheme="minorBidi" w:hAnsiTheme="minorBidi"/>
        </w:rPr>
        <w:t xml:space="preserve">accreditation </w:t>
      </w:r>
      <w:r w:rsidRPr="005F030F">
        <w:rPr>
          <w:rFonts w:asciiTheme="minorBidi" w:hAnsiTheme="minorBidi"/>
        </w:rPr>
        <w:t>body</w:t>
      </w:r>
      <w:r w:rsidR="0008385A" w:rsidRPr="005F030F">
        <w:rPr>
          <w:rFonts w:asciiTheme="minorBidi" w:hAnsiTheme="minorBidi"/>
        </w:rPr>
        <w:t xml:space="preserve">, the processes associated with </w:t>
      </w:r>
      <w:r w:rsidRPr="005F030F">
        <w:rPr>
          <w:rFonts w:asciiTheme="minorBidi" w:hAnsiTheme="minorBidi"/>
        </w:rPr>
        <w:t>inspections by Estyn</w:t>
      </w:r>
      <w:r w:rsidR="0008385A" w:rsidRPr="005F030F">
        <w:rPr>
          <w:rFonts w:asciiTheme="minorBidi" w:hAnsiTheme="minorBidi"/>
        </w:rPr>
        <w:t xml:space="preserve">, </w:t>
      </w:r>
      <w:r w:rsidR="003748C1" w:rsidRPr="005F030F">
        <w:rPr>
          <w:rFonts w:asciiTheme="minorBidi" w:hAnsiTheme="minorBidi"/>
        </w:rPr>
        <w:t>institutional norms, and others</w:t>
      </w:r>
      <w:r w:rsidRPr="005F030F">
        <w:rPr>
          <w:rFonts w:asciiTheme="minorBidi" w:hAnsiTheme="minorBidi"/>
        </w:rPr>
        <w:t>. These mechanisms do not merely evaluate performance; they produce particular norms and expectations for schools and partnerships, shaping how senior leaders, mentors, and headteachers think about quality, accountability, and improvement. Accreditation and inspection criteria act as</w:t>
      </w:r>
      <w:r w:rsidR="00DD00D2" w:rsidRPr="005F030F">
        <w:rPr>
          <w:rFonts w:asciiTheme="minorBidi" w:hAnsiTheme="minorBidi"/>
        </w:rPr>
        <w:t xml:space="preserve"> </w:t>
      </w:r>
      <w:r w:rsidR="003E0806" w:rsidRPr="005F030F">
        <w:rPr>
          <w:rFonts w:asciiTheme="minorBidi" w:hAnsiTheme="minorBidi"/>
        </w:rPr>
        <w:t>discourses</w:t>
      </w:r>
      <w:r w:rsidRPr="005F030F">
        <w:rPr>
          <w:rFonts w:asciiTheme="minorBidi" w:hAnsiTheme="minorBidi"/>
        </w:rPr>
        <w:t xml:space="preserve"> (Foucault, 2007) that subtly govern institutional behaviours and professional identities, encouraging self-monitoring and alignment with externally defined standards without overt coercion</w:t>
      </w:r>
      <w:r w:rsidR="001752A7" w:rsidRPr="005F030F">
        <w:rPr>
          <w:rFonts w:asciiTheme="minorBidi" w:hAnsiTheme="minorBidi"/>
        </w:rPr>
        <w:t xml:space="preserve"> (see figure I, below)</w:t>
      </w:r>
      <w:r w:rsidRPr="005F030F">
        <w:rPr>
          <w:rFonts w:asciiTheme="minorBidi" w:hAnsiTheme="minorBidi"/>
        </w:rPr>
        <w:t>.</w:t>
      </w:r>
    </w:p>
    <w:p w14:paraId="767306A3" w14:textId="77777777" w:rsidR="007F6333" w:rsidRPr="005F030F" w:rsidRDefault="007F6333" w:rsidP="00840E53">
      <w:pPr>
        <w:spacing w:after="0" w:line="360" w:lineRule="auto"/>
        <w:rPr>
          <w:rFonts w:asciiTheme="minorBidi" w:hAnsiTheme="minorBidi"/>
        </w:rPr>
      </w:pPr>
    </w:p>
    <w:p w14:paraId="685CAF2D" w14:textId="77777777" w:rsidR="007F6333" w:rsidRPr="005F030F" w:rsidRDefault="007F6333" w:rsidP="00840E53">
      <w:pPr>
        <w:spacing w:after="0" w:line="360" w:lineRule="auto"/>
        <w:rPr>
          <w:rFonts w:asciiTheme="minorBidi" w:hAnsiTheme="minorBidi"/>
        </w:rPr>
      </w:pPr>
    </w:p>
    <w:p w14:paraId="4A27B1AF" w14:textId="77777777" w:rsidR="007F6333" w:rsidRPr="005F030F" w:rsidRDefault="007F6333" w:rsidP="00840E53">
      <w:pPr>
        <w:spacing w:after="0" w:line="360" w:lineRule="auto"/>
        <w:rPr>
          <w:rFonts w:asciiTheme="minorBidi" w:hAnsiTheme="minorBidi"/>
        </w:rPr>
      </w:pPr>
    </w:p>
    <w:p w14:paraId="5CF45D4A" w14:textId="77777777" w:rsidR="007F6333" w:rsidRPr="005F030F" w:rsidRDefault="007F6333" w:rsidP="00840E53">
      <w:pPr>
        <w:spacing w:after="0" w:line="360" w:lineRule="auto"/>
        <w:rPr>
          <w:rFonts w:asciiTheme="minorBidi" w:hAnsiTheme="minorBidi"/>
        </w:rPr>
      </w:pPr>
    </w:p>
    <w:p w14:paraId="47DE416E" w14:textId="77777777" w:rsidR="007F6333" w:rsidRPr="005F030F" w:rsidRDefault="007F6333" w:rsidP="00840E53">
      <w:pPr>
        <w:spacing w:after="0" w:line="360" w:lineRule="auto"/>
        <w:rPr>
          <w:rFonts w:asciiTheme="minorBidi" w:hAnsiTheme="minorBidi"/>
        </w:rPr>
      </w:pPr>
    </w:p>
    <w:p w14:paraId="5387A1C8" w14:textId="77777777" w:rsidR="007F6333" w:rsidRPr="005F030F" w:rsidRDefault="007F6333" w:rsidP="00840E53">
      <w:pPr>
        <w:spacing w:after="0" w:line="360" w:lineRule="auto"/>
        <w:rPr>
          <w:rFonts w:asciiTheme="minorBidi" w:hAnsiTheme="minorBidi"/>
        </w:rPr>
      </w:pPr>
    </w:p>
    <w:p w14:paraId="29AD9E66" w14:textId="77777777" w:rsidR="007F6333" w:rsidRPr="005F030F" w:rsidRDefault="007F6333" w:rsidP="00840E53">
      <w:pPr>
        <w:spacing w:after="0" w:line="360" w:lineRule="auto"/>
        <w:rPr>
          <w:rFonts w:asciiTheme="minorBidi" w:hAnsiTheme="minorBidi"/>
        </w:rPr>
      </w:pPr>
    </w:p>
    <w:p w14:paraId="66BABAB7" w14:textId="77777777" w:rsidR="00010A11" w:rsidRPr="005F030F" w:rsidRDefault="00010A11" w:rsidP="00CF0C74">
      <w:pPr>
        <w:spacing w:after="0" w:line="360" w:lineRule="auto"/>
        <w:rPr>
          <w:rFonts w:asciiTheme="minorBidi" w:hAnsiTheme="minorBidi"/>
          <w:b/>
          <w:bCs/>
        </w:rPr>
      </w:pPr>
    </w:p>
    <w:p w14:paraId="1B383DC4" w14:textId="79DF1F25" w:rsidR="0011009D" w:rsidRPr="005F030F" w:rsidRDefault="008E5FEE" w:rsidP="00CF0C74">
      <w:pPr>
        <w:spacing w:after="0" w:line="360" w:lineRule="auto"/>
        <w:rPr>
          <w:rFonts w:asciiTheme="minorBidi" w:hAnsiTheme="minorBidi"/>
          <w:b/>
          <w:bCs/>
        </w:rPr>
      </w:pPr>
      <w:r w:rsidRPr="005F030F">
        <w:rPr>
          <w:rFonts w:asciiTheme="minorBidi" w:hAnsiTheme="minorBidi"/>
          <w:b/>
          <w:bCs/>
          <w:noProof/>
        </w:rPr>
        <w:lastRenderedPageBreak/>
        <w:pict w14:anchorId="7FBAD9E1">
          <v:rect id="_x0000_s2052" style="position:absolute;margin-left:7.5pt;margin-top:11.1pt;width:441.2pt;height:45.5pt;z-index:251661312" filled="f"/>
        </w:pict>
      </w:r>
    </w:p>
    <w:p w14:paraId="260C2B80" w14:textId="15A65FE2" w:rsidR="0015447E" w:rsidRPr="005F030F" w:rsidRDefault="00743B2E" w:rsidP="0090489A">
      <w:pPr>
        <w:spacing w:after="0" w:line="360" w:lineRule="auto"/>
        <w:jc w:val="center"/>
        <w:rPr>
          <w:rFonts w:asciiTheme="minorBidi" w:hAnsiTheme="minorBidi"/>
          <w:b/>
          <w:bCs/>
          <w:sz w:val="20"/>
          <w:szCs w:val="20"/>
        </w:rPr>
      </w:pPr>
      <w:r w:rsidRPr="005F030F">
        <w:rPr>
          <w:rFonts w:asciiTheme="minorBidi" w:hAnsiTheme="minorBidi"/>
          <w:b/>
          <w:bCs/>
          <w:sz w:val="20"/>
          <w:szCs w:val="20"/>
        </w:rPr>
        <w:t>National Policy (</w:t>
      </w:r>
      <w:r w:rsidR="004133EB" w:rsidRPr="005F030F">
        <w:rPr>
          <w:rFonts w:asciiTheme="minorBidi" w:hAnsiTheme="minorBidi"/>
          <w:b/>
          <w:bCs/>
          <w:sz w:val="20"/>
          <w:szCs w:val="20"/>
        </w:rPr>
        <w:t>EWC</w:t>
      </w:r>
      <w:r w:rsidRPr="005F030F">
        <w:rPr>
          <w:rFonts w:asciiTheme="minorBidi" w:hAnsiTheme="minorBidi"/>
          <w:b/>
          <w:bCs/>
          <w:sz w:val="20"/>
          <w:szCs w:val="20"/>
        </w:rPr>
        <w:t>)</w:t>
      </w:r>
      <w:r w:rsidR="004133EB" w:rsidRPr="005F030F">
        <w:rPr>
          <w:rFonts w:asciiTheme="minorBidi" w:hAnsiTheme="minorBidi"/>
          <w:b/>
          <w:bCs/>
          <w:sz w:val="20"/>
          <w:szCs w:val="20"/>
        </w:rPr>
        <w:t xml:space="preserve"> + Estyn + </w:t>
      </w:r>
      <w:r w:rsidR="000912B2" w:rsidRPr="005F030F">
        <w:rPr>
          <w:rFonts w:asciiTheme="minorBidi" w:hAnsiTheme="minorBidi"/>
          <w:b/>
          <w:bCs/>
          <w:sz w:val="20"/>
          <w:szCs w:val="20"/>
        </w:rPr>
        <w:t>Histor</w:t>
      </w:r>
      <w:r w:rsidR="008B2E7C" w:rsidRPr="005F030F">
        <w:rPr>
          <w:rFonts w:asciiTheme="minorBidi" w:hAnsiTheme="minorBidi"/>
          <w:b/>
          <w:bCs/>
          <w:sz w:val="20"/>
          <w:szCs w:val="20"/>
        </w:rPr>
        <w:t xml:space="preserve">ical events </w:t>
      </w:r>
      <w:r w:rsidR="000912B2" w:rsidRPr="005F030F">
        <w:rPr>
          <w:rFonts w:asciiTheme="minorBidi" w:hAnsiTheme="minorBidi"/>
          <w:b/>
          <w:bCs/>
          <w:sz w:val="20"/>
          <w:szCs w:val="20"/>
        </w:rPr>
        <w:t xml:space="preserve">+ </w:t>
      </w:r>
      <w:r w:rsidR="002A1467" w:rsidRPr="005F030F">
        <w:rPr>
          <w:rFonts w:asciiTheme="minorBidi" w:hAnsiTheme="minorBidi"/>
          <w:b/>
          <w:bCs/>
          <w:sz w:val="20"/>
          <w:szCs w:val="20"/>
        </w:rPr>
        <w:t>Institutional Norms +</w:t>
      </w:r>
      <w:r w:rsidRPr="005F030F">
        <w:rPr>
          <w:rFonts w:asciiTheme="minorBidi" w:hAnsiTheme="minorBidi"/>
          <w:b/>
          <w:bCs/>
          <w:sz w:val="20"/>
          <w:szCs w:val="20"/>
        </w:rPr>
        <w:t xml:space="preserve"> Individual Perspectives</w:t>
      </w:r>
      <w:r w:rsidR="003E0806" w:rsidRPr="005F030F">
        <w:rPr>
          <w:rFonts w:asciiTheme="minorBidi" w:hAnsiTheme="minorBidi"/>
          <w:b/>
          <w:bCs/>
          <w:sz w:val="20"/>
          <w:szCs w:val="20"/>
        </w:rPr>
        <w:t xml:space="preserve"> (and others)</w:t>
      </w:r>
    </w:p>
    <w:p w14:paraId="765E571E" w14:textId="72209220" w:rsidR="008E5FEE" w:rsidRPr="005F030F" w:rsidRDefault="00952EC6" w:rsidP="0090489A">
      <w:pPr>
        <w:spacing w:after="0" w:line="360" w:lineRule="auto"/>
        <w:jc w:val="center"/>
        <w:rPr>
          <w:rFonts w:asciiTheme="minorBidi" w:hAnsiTheme="minorBidi"/>
          <w:b/>
          <w:bCs/>
        </w:rPr>
      </w:pPr>
      <w:r w:rsidRPr="005F030F">
        <w:rPr>
          <w:rFonts w:asciiTheme="minorBidi" w:hAnsiTheme="minorBidi"/>
          <w:b/>
          <w:bCs/>
          <w:noProof/>
        </w:rPr>
        <w:pict w14:anchorId="71B7E539">
          <v:shapetype id="_x0000_t32" coordsize="21600,21600" o:spt="32" o:oned="t" path="m,l21600,21600e" filled="f">
            <v:path arrowok="t" fillok="f" o:connecttype="none"/>
            <o:lock v:ext="edit" shapetype="t"/>
          </v:shapetype>
          <v:shape id="_x0000_s2055" type="#_x0000_t32" style="position:absolute;left:0;text-align:left;margin-left:225.8pt;margin-top:6.05pt;width:.55pt;height:21.3pt;z-index:251664384" o:connectortype="straight">
            <v:stroke endarrow="block"/>
          </v:shape>
        </w:pict>
      </w:r>
    </w:p>
    <w:p w14:paraId="1E7C5B22" w14:textId="421203EB" w:rsidR="0090489A" w:rsidRPr="005F030F" w:rsidRDefault="0090489A" w:rsidP="0090489A">
      <w:pPr>
        <w:spacing w:after="0" w:line="360" w:lineRule="auto"/>
        <w:jc w:val="center"/>
        <w:rPr>
          <w:rFonts w:asciiTheme="minorBidi" w:hAnsiTheme="minorBidi"/>
          <w:b/>
          <w:bCs/>
        </w:rPr>
      </w:pPr>
    </w:p>
    <w:p w14:paraId="3763682F" w14:textId="77777777" w:rsidR="008E5FEE" w:rsidRPr="005F030F" w:rsidRDefault="008E5FEE" w:rsidP="0090489A">
      <w:pPr>
        <w:spacing w:after="0" w:line="360" w:lineRule="auto"/>
        <w:jc w:val="center"/>
        <w:rPr>
          <w:rFonts w:asciiTheme="minorBidi" w:hAnsiTheme="minorBidi"/>
          <w:b/>
          <w:bCs/>
        </w:rPr>
      </w:pPr>
    </w:p>
    <w:p w14:paraId="39A03CCA" w14:textId="482D16D4" w:rsidR="0090489A" w:rsidRPr="005F030F" w:rsidRDefault="007F6333" w:rsidP="0090489A">
      <w:pPr>
        <w:spacing w:after="0" w:line="360" w:lineRule="auto"/>
        <w:jc w:val="center"/>
        <w:rPr>
          <w:rFonts w:asciiTheme="minorBidi" w:hAnsiTheme="minorBidi"/>
          <w:b/>
          <w:bCs/>
          <w:i/>
          <w:iCs/>
          <w:sz w:val="20"/>
          <w:szCs w:val="20"/>
        </w:rPr>
      </w:pPr>
      <w:r w:rsidRPr="005F030F">
        <w:rPr>
          <w:rFonts w:asciiTheme="minorBidi" w:hAnsiTheme="minorBidi"/>
          <w:b/>
          <w:bCs/>
          <w:noProof/>
        </w:rPr>
        <w:pict w14:anchorId="7FBAD9E1">
          <v:rect id="_x0000_s2053" style="position:absolute;left:0;text-align:left;margin-left:11.45pt;margin-top:-20.55pt;width:441.2pt;height:45.5pt;z-index:251662336" filled="f"/>
        </w:pict>
      </w:r>
      <w:r w:rsidR="001752A7" w:rsidRPr="005F030F">
        <w:rPr>
          <w:rFonts w:asciiTheme="minorBidi" w:hAnsiTheme="minorBidi"/>
          <w:b/>
          <w:bCs/>
          <w:i/>
          <w:iCs/>
          <w:sz w:val="20"/>
          <w:szCs w:val="20"/>
        </w:rPr>
        <w:t>Governmentality</w:t>
      </w:r>
    </w:p>
    <w:p w14:paraId="2F6BEDCF" w14:textId="6692D0A8" w:rsidR="008E5FEE" w:rsidRPr="005F030F" w:rsidRDefault="00952EC6" w:rsidP="0090489A">
      <w:pPr>
        <w:spacing w:after="0" w:line="360" w:lineRule="auto"/>
        <w:jc w:val="center"/>
        <w:rPr>
          <w:rFonts w:asciiTheme="minorBidi" w:hAnsiTheme="minorBidi"/>
          <w:b/>
          <w:bCs/>
        </w:rPr>
      </w:pPr>
      <w:r w:rsidRPr="005F030F">
        <w:rPr>
          <w:rFonts w:asciiTheme="minorBidi" w:hAnsiTheme="minorBidi"/>
          <w:b/>
          <w:bCs/>
          <w:noProof/>
        </w:rPr>
        <w:pict w14:anchorId="71B7E539">
          <v:shape id="_x0000_s2056" type="#_x0000_t32" style="position:absolute;left:0;text-align:left;margin-left:225.8pt;margin-top:17pt;width:.55pt;height:21.3pt;z-index:251665408" o:connectortype="straight">
            <v:stroke endarrow="block"/>
          </v:shape>
        </w:pict>
      </w:r>
    </w:p>
    <w:p w14:paraId="3A866107" w14:textId="2BF37673" w:rsidR="008E5FEE" w:rsidRPr="005F030F" w:rsidRDefault="008E5FEE" w:rsidP="0090489A">
      <w:pPr>
        <w:spacing w:after="0" w:line="360" w:lineRule="auto"/>
        <w:jc w:val="center"/>
        <w:rPr>
          <w:rFonts w:asciiTheme="minorBidi" w:hAnsiTheme="minorBidi"/>
          <w:b/>
          <w:bCs/>
        </w:rPr>
      </w:pPr>
    </w:p>
    <w:p w14:paraId="0811F0C7" w14:textId="79798ABB" w:rsidR="008E5FEE" w:rsidRPr="005F030F" w:rsidRDefault="008E5FEE" w:rsidP="0090489A">
      <w:pPr>
        <w:spacing w:after="0" w:line="360" w:lineRule="auto"/>
        <w:jc w:val="center"/>
        <w:rPr>
          <w:rFonts w:asciiTheme="minorBidi" w:hAnsiTheme="minorBidi"/>
          <w:b/>
          <w:bCs/>
        </w:rPr>
      </w:pPr>
      <w:r w:rsidRPr="005F030F">
        <w:rPr>
          <w:rFonts w:asciiTheme="minorBidi" w:hAnsiTheme="minorBidi"/>
          <w:b/>
          <w:bCs/>
          <w:noProof/>
        </w:rPr>
        <w:pict w14:anchorId="7FBAD9E1">
          <v:rect id="_x0000_s2054" style="position:absolute;left:0;text-align:left;margin-left:9.6pt;margin-top:11.9pt;width:441.2pt;height:45.5pt;z-index:251663360" filled="f"/>
        </w:pict>
      </w:r>
    </w:p>
    <w:p w14:paraId="4920D761" w14:textId="617F449E" w:rsidR="008E5FEE" w:rsidRPr="005F030F" w:rsidRDefault="008E5FEE" w:rsidP="0090489A">
      <w:pPr>
        <w:spacing w:after="0" w:line="360" w:lineRule="auto"/>
        <w:jc w:val="center"/>
        <w:rPr>
          <w:rFonts w:asciiTheme="minorBidi" w:hAnsiTheme="minorBidi"/>
          <w:b/>
          <w:bCs/>
        </w:rPr>
      </w:pPr>
      <w:r w:rsidRPr="005F030F">
        <w:rPr>
          <w:rFonts w:asciiTheme="minorBidi" w:hAnsiTheme="minorBidi"/>
          <w:b/>
          <w:bCs/>
          <w:sz w:val="20"/>
          <w:szCs w:val="20"/>
        </w:rPr>
        <w:t>Shapes what partners think is "true" or "normal"</w:t>
      </w:r>
      <w:r w:rsidR="00BF2476" w:rsidRPr="005F030F">
        <w:rPr>
          <w:rFonts w:asciiTheme="minorBidi" w:hAnsiTheme="minorBidi"/>
          <w:b/>
          <w:bCs/>
          <w:sz w:val="20"/>
          <w:szCs w:val="20"/>
        </w:rPr>
        <w:t xml:space="preserve"> and informs behaviours</w:t>
      </w:r>
    </w:p>
    <w:p w14:paraId="3057657E" w14:textId="77777777" w:rsidR="004B5C0E" w:rsidRPr="005F030F" w:rsidRDefault="000912B2" w:rsidP="00CF0C74">
      <w:pPr>
        <w:spacing w:after="0" w:line="360" w:lineRule="auto"/>
        <w:rPr>
          <w:rFonts w:asciiTheme="minorBidi" w:hAnsiTheme="minorBidi"/>
          <w:b/>
          <w:bCs/>
        </w:rPr>
      </w:pPr>
      <w:r w:rsidRPr="005F030F">
        <w:rPr>
          <w:rFonts w:asciiTheme="minorBidi" w:hAnsiTheme="minorBidi"/>
          <w:b/>
          <w:bCs/>
        </w:rPr>
        <w:br/>
      </w:r>
    </w:p>
    <w:p w14:paraId="23DD60A0" w14:textId="3D237E05" w:rsidR="004B5C0E" w:rsidRPr="005F030F" w:rsidRDefault="004B5C0E" w:rsidP="004B5C0E">
      <w:pPr>
        <w:spacing w:after="0" w:line="360" w:lineRule="auto"/>
        <w:rPr>
          <w:rFonts w:asciiTheme="minorBidi" w:hAnsiTheme="minorBidi"/>
          <w:i/>
          <w:iCs/>
        </w:rPr>
      </w:pPr>
      <w:r w:rsidRPr="005F030F">
        <w:rPr>
          <w:rFonts w:asciiTheme="minorBidi" w:hAnsiTheme="minorBidi"/>
          <w:i/>
          <w:iCs/>
        </w:rPr>
        <w:t>Figure I</w:t>
      </w:r>
    </w:p>
    <w:p w14:paraId="0A98B774" w14:textId="1C04AC68" w:rsidR="00010A11" w:rsidRPr="005F030F" w:rsidRDefault="00010A11" w:rsidP="00CF0C74">
      <w:pPr>
        <w:spacing w:after="0" w:line="360" w:lineRule="auto"/>
        <w:rPr>
          <w:rFonts w:asciiTheme="minorBidi" w:hAnsiTheme="minorBidi"/>
          <w:b/>
          <w:bCs/>
        </w:rPr>
      </w:pPr>
    </w:p>
    <w:p w14:paraId="4C8351B1" w14:textId="6CD1A1C0" w:rsidR="00AD35F3" w:rsidRPr="005F030F" w:rsidRDefault="00B972E5" w:rsidP="00B972E5">
      <w:pPr>
        <w:pStyle w:val="Heading2"/>
        <w:rPr>
          <w:rFonts w:asciiTheme="minorBidi" w:hAnsiTheme="minorBidi" w:cstheme="minorBidi"/>
        </w:rPr>
      </w:pPr>
      <w:bookmarkStart w:id="4" w:name="_Toc196824665"/>
      <w:r w:rsidRPr="005F030F">
        <w:rPr>
          <w:rFonts w:asciiTheme="minorBidi" w:hAnsiTheme="minorBidi" w:cstheme="minorBidi"/>
        </w:rPr>
        <w:t>Positionality</w:t>
      </w:r>
      <w:bookmarkEnd w:id="4"/>
      <w:r w:rsidRPr="005F030F">
        <w:rPr>
          <w:rFonts w:asciiTheme="minorBidi" w:hAnsiTheme="minorBidi" w:cstheme="minorBidi"/>
        </w:rPr>
        <w:t xml:space="preserve"> </w:t>
      </w:r>
    </w:p>
    <w:p w14:paraId="7F6C83D5" w14:textId="77777777" w:rsidR="00B972E5" w:rsidRPr="005F030F" w:rsidRDefault="00B972E5" w:rsidP="008A1F92">
      <w:pPr>
        <w:pStyle w:val="NoSpacing"/>
        <w:spacing w:line="360" w:lineRule="auto"/>
        <w:rPr>
          <w:rFonts w:asciiTheme="minorBidi" w:hAnsiTheme="minorBidi"/>
        </w:rPr>
      </w:pPr>
    </w:p>
    <w:p w14:paraId="718AFA28" w14:textId="04465CD5" w:rsidR="00ED70BD" w:rsidRPr="005F030F" w:rsidRDefault="00EF34A0" w:rsidP="00EF34A0">
      <w:pPr>
        <w:pStyle w:val="NoSpacing"/>
        <w:spacing w:line="360" w:lineRule="auto"/>
        <w:rPr>
          <w:rFonts w:asciiTheme="minorBidi" w:hAnsiTheme="minorBidi"/>
          <w:lang w:val="en-GB"/>
        </w:rPr>
      </w:pPr>
      <w:r w:rsidRPr="005F030F">
        <w:rPr>
          <w:rFonts w:asciiTheme="minorBidi" w:hAnsiTheme="minorBidi"/>
          <w:lang w:val="en-GB"/>
        </w:rPr>
        <w:t>Goundar (2025) argues that declaring researcher positionality promotes transparency and helps safeguard against biases that may be questioned at the conclusion of a study.</w:t>
      </w:r>
      <w:r w:rsidRPr="005F030F">
        <w:rPr>
          <w:rFonts w:asciiTheme="minorBidi" w:hAnsiTheme="minorBidi"/>
          <w:lang w:val="en-GB"/>
        </w:rPr>
        <w:t xml:space="preserve"> </w:t>
      </w:r>
      <w:r w:rsidR="008628DB" w:rsidRPr="005F030F">
        <w:rPr>
          <w:rFonts w:asciiTheme="minorBidi" w:hAnsiTheme="minorBidi"/>
          <w:lang w:val="en-GB"/>
        </w:rPr>
        <w:t xml:space="preserve">Positionality refers to our relationship with others and the broader world (Denzin </w:t>
      </w:r>
      <w:r w:rsidR="008628DB" w:rsidRPr="005F030F">
        <w:rPr>
          <w:rFonts w:asciiTheme="minorBidi" w:hAnsiTheme="minorBidi"/>
          <w:i/>
          <w:iCs/>
          <w:lang w:val="en-GB"/>
        </w:rPr>
        <w:t>et al.,</w:t>
      </w:r>
      <w:r w:rsidR="008628DB" w:rsidRPr="005F030F">
        <w:rPr>
          <w:rFonts w:asciiTheme="minorBidi" w:hAnsiTheme="minorBidi"/>
          <w:lang w:val="en-GB"/>
        </w:rPr>
        <w:t xml:space="preserve"> 2023). Clarke (2005) compares </w:t>
      </w:r>
      <w:r w:rsidR="00B10A39" w:rsidRPr="005F030F">
        <w:rPr>
          <w:rFonts w:asciiTheme="minorBidi" w:hAnsiTheme="minorBidi"/>
          <w:lang w:val="en-GB"/>
        </w:rPr>
        <w:t xml:space="preserve">the concept of </w:t>
      </w:r>
      <w:r w:rsidR="008628DB" w:rsidRPr="005F030F">
        <w:rPr>
          <w:rFonts w:asciiTheme="minorBidi" w:hAnsiTheme="minorBidi"/>
          <w:lang w:val="en-GB"/>
        </w:rPr>
        <w:t>positionality to an infection, suggesting that researchers cannot engage in research without already “knowing” (p. 12).</w:t>
      </w:r>
      <w:r w:rsidR="008628DB" w:rsidRPr="005F030F">
        <w:rPr>
          <w:rFonts w:asciiTheme="minorBidi" w:hAnsiTheme="minorBidi"/>
          <w:lang w:val="en-GB"/>
        </w:rPr>
        <w:t xml:space="preserve"> However, </w:t>
      </w:r>
      <w:r w:rsidR="00AD5BAE" w:rsidRPr="005F030F">
        <w:rPr>
          <w:rFonts w:asciiTheme="minorBidi" w:hAnsiTheme="minorBidi"/>
          <w:lang w:val="en-GB"/>
        </w:rPr>
        <w:t>Bickman and Rog (2009)</w:t>
      </w:r>
      <w:r w:rsidR="003B3A35" w:rsidRPr="005F030F">
        <w:rPr>
          <w:rFonts w:asciiTheme="minorBidi" w:hAnsiTheme="minorBidi"/>
          <w:lang w:val="en-GB"/>
        </w:rPr>
        <w:t xml:space="preserve"> </w:t>
      </w:r>
      <w:r w:rsidR="00AD5BAE" w:rsidRPr="005F030F">
        <w:rPr>
          <w:rFonts w:asciiTheme="minorBidi" w:hAnsiTheme="minorBidi"/>
          <w:lang w:val="en-GB"/>
        </w:rPr>
        <w:t>argue that it can be a valuable component of research</w:t>
      </w:r>
      <w:r w:rsidR="00C06BD6" w:rsidRPr="005F030F">
        <w:rPr>
          <w:rFonts w:asciiTheme="minorBidi" w:hAnsiTheme="minorBidi"/>
          <w:lang w:val="en-GB"/>
        </w:rPr>
        <w:t xml:space="preserve">, with researchers’ experiences providing an opportunity for </w:t>
      </w:r>
      <w:r w:rsidR="003B3A35" w:rsidRPr="005F030F">
        <w:rPr>
          <w:rFonts w:asciiTheme="minorBidi" w:hAnsiTheme="minorBidi"/>
          <w:lang w:val="en-GB"/>
        </w:rPr>
        <w:t xml:space="preserve">insights into </w:t>
      </w:r>
      <w:r w:rsidR="00C06BD6" w:rsidRPr="005F030F">
        <w:rPr>
          <w:rFonts w:asciiTheme="minorBidi" w:hAnsiTheme="minorBidi"/>
          <w:lang w:val="en-GB"/>
        </w:rPr>
        <w:t xml:space="preserve">complex </w:t>
      </w:r>
      <w:r w:rsidR="00792BDB" w:rsidRPr="005F030F">
        <w:rPr>
          <w:rFonts w:asciiTheme="minorBidi" w:hAnsiTheme="minorBidi"/>
          <w:lang w:val="en-GB"/>
        </w:rPr>
        <w:t xml:space="preserve">topics. </w:t>
      </w:r>
    </w:p>
    <w:p w14:paraId="10C2929F" w14:textId="77777777" w:rsidR="008628DB" w:rsidRPr="005F030F" w:rsidRDefault="008628DB" w:rsidP="008628DB">
      <w:pPr>
        <w:pStyle w:val="NoSpacing"/>
        <w:spacing w:line="360" w:lineRule="auto"/>
        <w:rPr>
          <w:rFonts w:asciiTheme="minorBidi" w:hAnsiTheme="minorBidi"/>
          <w:lang w:val="en-GB"/>
        </w:rPr>
      </w:pPr>
    </w:p>
    <w:p w14:paraId="6021ACB5" w14:textId="15620096" w:rsidR="001D4A30" w:rsidRPr="005F030F" w:rsidRDefault="00EF34A0" w:rsidP="000371CC">
      <w:pPr>
        <w:pStyle w:val="NoSpacing"/>
        <w:spacing w:line="360" w:lineRule="auto"/>
        <w:rPr>
          <w:rFonts w:asciiTheme="minorBidi" w:hAnsiTheme="minorBidi"/>
        </w:rPr>
      </w:pPr>
      <w:r w:rsidRPr="005F030F">
        <w:rPr>
          <w:rFonts w:asciiTheme="minorBidi" w:hAnsiTheme="minorBidi"/>
        </w:rPr>
        <w:t>My own role, as Strategic Lead for Partnership</w:t>
      </w:r>
      <w:r w:rsidR="00412994" w:rsidRPr="005F030F">
        <w:rPr>
          <w:rFonts w:asciiTheme="minorBidi" w:hAnsiTheme="minorBidi"/>
        </w:rPr>
        <w:t xml:space="preserve"> obviously </w:t>
      </w:r>
      <w:r w:rsidR="002F6454" w:rsidRPr="005F030F">
        <w:rPr>
          <w:rFonts w:asciiTheme="minorBidi" w:hAnsiTheme="minorBidi"/>
        </w:rPr>
        <w:t>provides a unique insight into the ways in which joint accountability has been enacted in an ITE partnership in Wales. In addition, I currently work as a peer inspector for Estyn, inspecting other ITE partnerships in Wales.</w:t>
      </w:r>
      <w:r w:rsidR="00C87A85" w:rsidRPr="005F030F">
        <w:rPr>
          <w:rFonts w:asciiTheme="minorBidi" w:hAnsiTheme="minorBidi"/>
        </w:rPr>
        <w:t xml:space="preserve"> T</w:t>
      </w:r>
      <w:r w:rsidR="002F6454" w:rsidRPr="005F030F">
        <w:rPr>
          <w:rFonts w:asciiTheme="minorBidi" w:hAnsiTheme="minorBidi"/>
        </w:rPr>
        <w:t xml:space="preserve">herefore, </w:t>
      </w:r>
      <w:r w:rsidR="00C87A85" w:rsidRPr="005F030F">
        <w:rPr>
          <w:rFonts w:asciiTheme="minorBidi" w:hAnsiTheme="minorBidi"/>
        </w:rPr>
        <w:t>it is possible t</w:t>
      </w:r>
      <w:r w:rsidR="002F6454" w:rsidRPr="005F030F">
        <w:rPr>
          <w:rFonts w:asciiTheme="minorBidi" w:hAnsiTheme="minorBidi"/>
        </w:rPr>
        <w:t xml:space="preserve">hat my own experiences </w:t>
      </w:r>
      <w:r w:rsidR="0064789D" w:rsidRPr="005F030F">
        <w:rPr>
          <w:rFonts w:asciiTheme="minorBidi" w:hAnsiTheme="minorBidi"/>
        </w:rPr>
        <w:t>could shape the research outcome (</w:t>
      </w:r>
      <w:r w:rsidR="00775CFE" w:rsidRPr="005F030F">
        <w:rPr>
          <w:rFonts w:asciiTheme="minorBidi" w:hAnsiTheme="minorBidi"/>
        </w:rPr>
        <w:t xml:space="preserve">Pezalla </w:t>
      </w:r>
      <w:r w:rsidR="00775CFE" w:rsidRPr="005F030F">
        <w:rPr>
          <w:rFonts w:asciiTheme="minorBidi" w:hAnsiTheme="minorBidi"/>
          <w:i/>
          <w:iCs/>
        </w:rPr>
        <w:t>et al.</w:t>
      </w:r>
      <w:r w:rsidR="00775CFE" w:rsidRPr="005F030F">
        <w:rPr>
          <w:rFonts w:asciiTheme="minorBidi" w:hAnsiTheme="minorBidi"/>
          <w:i/>
          <w:iCs/>
        </w:rPr>
        <w:t>,</w:t>
      </w:r>
      <w:r w:rsidR="00775CFE" w:rsidRPr="005F030F">
        <w:rPr>
          <w:rFonts w:asciiTheme="minorBidi" w:hAnsiTheme="minorBidi"/>
        </w:rPr>
        <w:t xml:space="preserve"> 2012</w:t>
      </w:r>
      <w:r w:rsidR="00775CFE" w:rsidRPr="005F030F">
        <w:rPr>
          <w:rFonts w:asciiTheme="minorBidi" w:hAnsiTheme="minorBidi"/>
        </w:rPr>
        <w:t xml:space="preserve">). </w:t>
      </w:r>
      <w:r w:rsidR="000371CC" w:rsidRPr="005F030F">
        <w:rPr>
          <w:rFonts w:asciiTheme="minorBidi" w:hAnsiTheme="minorBidi"/>
          <w:lang w:val="en-GB"/>
        </w:rPr>
        <w:t>However, safeguards can be implemented to mitigate this, particularly through the use of reflexi</w:t>
      </w:r>
      <w:r w:rsidR="004D6A71" w:rsidRPr="005F030F">
        <w:rPr>
          <w:rFonts w:asciiTheme="minorBidi" w:hAnsiTheme="minorBidi"/>
          <w:lang w:val="en-GB"/>
        </w:rPr>
        <w:t>ve practice</w:t>
      </w:r>
      <w:r w:rsidR="000371CC" w:rsidRPr="005F030F">
        <w:rPr>
          <w:rFonts w:asciiTheme="minorBidi" w:hAnsiTheme="minorBidi"/>
          <w:lang w:val="en-GB"/>
        </w:rPr>
        <w:t xml:space="preserve"> (Warin, 2011). Reflexivity encourages researchers to reflect on their role and biases throughout the research process</w:t>
      </w:r>
      <w:r w:rsidR="008527F0" w:rsidRPr="005F030F">
        <w:rPr>
          <w:rFonts w:asciiTheme="minorBidi" w:hAnsiTheme="minorBidi"/>
          <w:lang w:val="en-GB"/>
        </w:rPr>
        <w:t>, often through diaries or logs</w:t>
      </w:r>
      <w:r w:rsidR="000371CC" w:rsidRPr="005F030F">
        <w:rPr>
          <w:rFonts w:asciiTheme="minorBidi" w:hAnsiTheme="minorBidi"/>
          <w:lang w:val="en-GB"/>
        </w:rPr>
        <w:t xml:space="preserve"> </w:t>
      </w:r>
      <w:r w:rsidR="008527F0" w:rsidRPr="005F030F">
        <w:rPr>
          <w:rFonts w:asciiTheme="minorBidi" w:hAnsiTheme="minorBidi"/>
          <w:lang w:val="en-GB"/>
        </w:rPr>
        <w:t>(</w:t>
      </w:r>
      <w:r w:rsidR="00186374" w:rsidRPr="005F030F">
        <w:rPr>
          <w:rFonts w:asciiTheme="minorBidi" w:hAnsiTheme="minorBidi"/>
          <w:lang w:val="en-GB"/>
        </w:rPr>
        <w:t>Thomas</w:t>
      </w:r>
      <w:r w:rsidR="008527F0" w:rsidRPr="005F030F">
        <w:rPr>
          <w:rFonts w:asciiTheme="minorBidi" w:hAnsiTheme="minorBidi"/>
          <w:lang w:val="en-GB"/>
        </w:rPr>
        <w:t xml:space="preserve">, </w:t>
      </w:r>
      <w:r w:rsidR="000371CC" w:rsidRPr="005F030F">
        <w:rPr>
          <w:rFonts w:asciiTheme="minorBidi" w:hAnsiTheme="minorBidi"/>
          <w:lang w:val="en-GB"/>
        </w:rPr>
        <w:t>201</w:t>
      </w:r>
      <w:r w:rsidR="00897411" w:rsidRPr="005F030F">
        <w:rPr>
          <w:rFonts w:asciiTheme="minorBidi" w:hAnsiTheme="minorBidi"/>
          <w:lang w:val="en-GB"/>
        </w:rPr>
        <w:t>8</w:t>
      </w:r>
      <w:r w:rsidR="000371CC" w:rsidRPr="005F030F">
        <w:rPr>
          <w:rFonts w:asciiTheme="minorBidi" w:hAnsiTheme="minorBidi"/>
          <w:lang w:val="en-GB"/>
        </w:rPr>
        <w:t xml:space="preserve">) </w:t>
      </w:r>
      <w:r w:rsidR="008527F0" w:rsidRPr="005F030F">
        <w:rPr>
          <w:rFonts w:asciiTheme="minorBidi" w:hAnsiTheme="minorBidi"/>
          <w:lang w:val="en-GB"/>
        </w:rPr>
        <w:t xml:space="preserve">This </w:t>
      </w:r>
      <w:r w:rsidR="000371CC" w:rsidRPr="005F030F">
        <w:rPr>
          <w:rFonts w:asciiTheme="minorBidi" w:hAnsiTheme="minorBidi"/>
          <w:lang w:val="en-GB"/>
        </w:rPr>
        <w:t>capture</w:t>
      </w:r>
      <w:r w:rsidR="008527F0" w:rsidRPr="005F030F">
        <w:rPr>
          <w:rFonts w:asciiTheme="minorBidi" w:hAnsiTheme="minorBidi"/>
          <w:lang w:val="en-GB"/>
        </w:rPr>
        <w:t>s</w:t>
      </w:r>
      <w:r w:rsidR="000371CC" w:rsidRPr="005F030F">
        <w:rPr>
          <w:rFonts w:asciiTheme="minorBidi" w:hAnsiTheme="minorBidi"/>
          <w:lang w:val="en-GB"/>
        </w:rPr>
        <w:t xml:space="preserve"> </w:t>
      </w:r>
      <w:r w:rsidR="008527F0" w:rsidRPr="005F030F">
        <w:rPr>
          <w:rFonts w:asciiTheme="minorBidi" w:hAnsiTheme="minorBidi"/>
          <w:lang w:val="en-GB"/>
        </w:rPr>
        <w:t>researchers’</w:t>
      </w:r>
      <w:r w:rsidR="000371CC" w:rsidRPr="005F030F">
        <w:rPr>
          <w:rFonts w:asciiTheme="minorBidi" w:hAnsiTheme="minorBidi"/>
          <w:lang w:val="en-GB"/>
        </w:rPr>
        <w:t xml:space="preserve"> observations and document</w:t>
      </w:r>
      <w:r w:rsidR="004D6A71" w:rsidRPr="005F030F">
        <w:rPr>
          <w:rFonts w:asciiTheme="minorBidi" w:hAnsiTheme="minorBidi"/>
          <w:lang w:val="en-GB"/>
        </w:rPr>
        <w:t>s</w:t>
      </w:r>
      <w:r w:rsidR="000371CC" w:rsidRPr="005F030F">
        <w:rPr>
          <w:rFonts w:asciiTheme="minorBidi" w:hAnsiTheme="minorBidi"/>
          <w:lang w:val="en-GB"/>
        </w:rPr>
        <w:t xml:space="preserve"> the reasoning behind their decisions during data analysi</w:t>
      </w:r>
      <w:r w:rsidR="004D6A71" w:rsidRPr="005F030F">
        <w:rPr>
          <w:rFonts w:asciiTheme="minorBidi" w:hAnsiTheme="minorBidi"/>
          <w:lang w:val="en-GB"/>
        </w:rPr>
        <w:t>s</w:t>
      </w:r>
      <w:r w:rsidR="000371CC" w:rsidRPr="005F030F">
        <w:rPr>
          <w:rFonts w:asciiTheme="minorBidi" w:hAnsiTheme="minorBidi"/>
          <w:lang w:val="en-GB"/>
        </w:rPr>
        <w:t>. To minimize the impact of any potential bias, I will also address other ethical considerations, as outlined in component three.</w:t>
      </w:r>
    </w:p>
    <w:p w14:paraId="1391C941" w14:textId="77777777" w:rsidR="00B972E5" w:rsidRPr="005F030F" w:rsidRDefault="00B972E5" w:rsidP="00B972E5">
      <w:pPr>
        <w:rPr>
          <w:rFonts w:asciiTheme="minorBidi" w:hAnsiTheme="minorBidi"/>
        </w:rPr>
      </w:pPr>
    </w:p>
    <w:p w14:paraId="445CBD33" w14:textId="2855ADBE" w:rsidR="00AD35F3" w:rsidRPr="005F030F" w:rsidRDefault="0031560F" w:rsidP="001C0AC2">
      <w:pPr>
        <w:pStyle w:val="Heading1"/>
        <w:rPr>
          <w:rFonts w:asciiTheme="minorBidi" w:hAnsiTheme="minorBidi" w:cstheme="minorBidi"/>
        </w:rPr>
      </w:pPr>
      <w:bookmarkStart w:id="5" w:name="_Toc196824666"/>
      <w:r w:rsidRPr="005F030F">
        <w:rPr>
          <w:rFonts w:asciiTheme="minorBidi" w:hAnsiTheme="minorBidi" w:cstheme="minorBidi"/>
        </w:rPr>
        <w:lastRenderedPageBreak/>
        <w:t>Research Methods</w:t>
      </w:r>
      <w:bookmarkEnd w:id="5"/>
    </w:p>
    <w:p w14:paraId="2485C838" w14:textId="77777777" w:rsidR="00AD35F3" w:rsidRPr="005F030F" w:rsidRDefault="00AD35F3" w:rsidP="00CF0C74">
      <w:pPr>
        <w:spacing w:after="0" w:line="360" w:lineRule="auto"/>
        <w:rPr>
          <w:rFonts w:asciiTheme="minorBidi" w:hAnsiTheme="minorBidi"/>
          <w:b/>
          <w:bCs/>
        </w:rPr>
      </w:pPr>
    </w:p>
    <w:p w14:paraId="78AB7A72" w14:textId="258D1FC2" w:rsidR="008E2740" w:rsidRPr="005F030F" w:rsidRDefault="008E2740" w:rsidP="008E2740">
      <w:pPr>
        <w:pStyle w:val="Heading2"/>
        <w:rPr>
          <w:rFonts w:asciiTheme="minorBidi" w:hAnsiTheme="minorBidi" w:cstheme="minorBidi"/>
        </w:rPr>
      </w:pPr>
      <w:bookmarkStart w:id="6" w:name="_Toc196824667"/>
      <w:r w:rsidRPr="005F030F">
        <w:rPr>
          <w:rFonts w:asciiTheme="minorBidi" w:hAnsiTheme="minorBidi" w:cstheme="minorBidi"/>
        </w:rPr>
        <w:t>Qualitative methods</w:t>
      </w:r>
      <w:bookmarkEnd w:id="6"/>
    </w:p>
    <w:p w14:paraId="4A1B87C3" w14:textId="77777777" w:rsidR="008E2740" w:rsidRPr="005F030F" w:rsidRDefault="008E2740" w:rsidP="005231DC">
      <w:pPr>
        <w:spacing w:after="0" w:line="360" w:lineRule="auto"/>
        <w:rPr>
          <w:rFonts w:asciiTheme="minorBidi" w:hAnsiTheme="minorBidi"/>
        </w:rPr>
      </w:pPr>
    </w:p>
    <w:p w14:paraId="53553A4C" w14:textId="421E810D" w:rsidR="00F4106F" w:rsidRPr="005F030F" w:rsidRDefault="003B09F9" w:rsidP="003B09F9">
      <w:pPr>
        <w:spacing w:after="0" w:line="360" w:lineRule="auto"/>
        <w:rPr>
          <w:rFonts w:asciiTheme="minorBidi" w:hAnsiTheme="minorBidi"/>
        </w:rPr>
      </w:pPr>
      <w:r w:rsidRPr="005F030F">
        <w:rPr>
          <w:rFonts w:asciiTheme="minorBidi" w:hAnsiTheme="minorBidi"/>
        </w:rPr>
        <w:t>A</w:t>
      </w:r>
      <w:r w:rsidRPr="005F030F">
        <w:rPr>
          <w:rFonts w:asciiTheme="minorBidi" w:hAnsiTheme="minorBidi"/>
        </w:rPr>
        <w:t xml:space="preserve">n interpretivist paradigm draws on qualitative research methods (Flick, 2018), positioning the researcher within the context in order to understand phenomena through the meanings that individuals assign to them (Denzin </w:t>
      </w:r>
      <w:r w:rsidRPr="005F030F">
        <w:rPr>
          <w:rFonts w:asciiTheme="minorBidi" w:hAnsiTheme="minorBidi"/>
          <w:i/>
          <w:iCs/>
        </w:rPr>
        <w:t>et al.,</w:t>
      </w:r>
      <w:r w:rsidRPr="005F030F">
        <w:rPr>
          <w:rFonts w:asciiTheme="minorBidi" w:hAnsiTheme="minorBidi"/>
        </w:rPr>
        <w:t xml:space="preserve"> 2023). </w:t>
      </w:r>
      <w:r w:rsidR="00184031" w:rsidRPr="005F030F">
        <w:rPr>
          <w:rFonts w:asciiTheme="minorBidi" w:hAnsiTheme="minorBidi"/>
        </w:rPr>
        <w:t xml:space="preserve">A </w:t>
      </w:r>
      <w:r w:rsidRPr="005F030F">
        <w:rPr>
          <w:rFonts w:asciiTheme="minorBidi" w:hAnsiTheme="minorBidi"/>
        </w:rPr>
        <w:t xml:space="preserve">qualitative approach provides an opportunity to “understand, describe and sometimes explain social phenomena ‘from the inside’” (Flick, 2018, p. x). </w:t>
      </w:r>
    </w:p>
    <w:p w14:paraId="2C381AA2" w14:textId="77777777" w:rsidR="00F4106F" w:rsidRPr="005F030F" w:rsidRDefault="00F4106F" w:rsidP="003B09F9">
      <w:pPr>
        <w:spacing w:after="0" w:line="360" w:lineRule="auto"/>
        <w:rPr>
          <w:rFonts w:asciiTheme="minorBidi" w:hAnsiTheme="minorBidi"/>
        </w:rPr>
      </w:pPr>
    </w:p>
    <w:p w14:paraId="31860C60" w14:textId="2F530F76" w:rsidR="002A1466" w:rsidRPr="005F030F" w:rsidRDefault="003B09F9" w:rsidP="003B09F9">
      <w:pPr>
        <w:spacing w:after="0" w:line="360" w:lineRule="auto"/>
        <w:rPr>
          <w:rFonts w:asciiTheme="minorBidi" w:hAnsiTheme="minorBidi"/>
        </w:rPr>
      </w:pPr>
      <w:r w:rsidRPr="005F030F">
        <w:rPr>
          <w:rFonts w:asciiTheme="minorBidi" w:hAnsiTheme="minorBidi"/>
        </w:rPr>
        <w:t>Nevertheless, some scholars have raised concerns about the difficulty of applying consistent quality criteria to qualitative research, resulting in questions about its reliability (Hammersley, 2007). Moreover, qualitative approaches are sometimes viewed as less rigorous and relevant than quantitative methods, contributing to scepticism among policymakers (Cooley, 2013). Bryman (1988) further critiques the transparency of qualitative research, noting that extended transcripts are rarely shared with readers, limiting their ability to evaluate evidence independently and draw their own conclusions. This issue is compounded by the inherently interpretive nature of qualitative analysis, whereby findings are shaped through the researcher's perspective and may be vulnerable to bias and subjectivity (</w:t>
      </w:r>
      <w:r w:rsidR="00672ADB" w:rsidRPr="005F030F">
        <w:rPr>
          <w:rFonts w:asciiTheme="minorBidi" w:hAnsiTheme="minorBidi"/>
        </w:rPr>
        <w:t>Cohen, Manion and Morrison, 2018</w:t>
      </w:r>
      <w:r w:rsidR="00672ADB" w:rsidRPr="005F030F">
        <w:rPr>
          <w:rFonts w:asciiTheme="minorBidi" w:hAnsiTheme="minorBidi"/>
        </w:rPr>
        <w:t>).</w:t>
      </w:r>
      <w:r w:rsidR="008D438C" w:rsidRPr="005F030F">
        <w:rPr>
          <w:rFonts w:asciiTheme="minorBidi" w:hAnsiTheme="minorBidi"/>
        </w:rPr>
        <w:t xml:space="preserve"> Nevertheless, as</w:t>
      </w:r>
      <w:r w:rsidRPr="005F030F">
        <w:rPr>
          <w:rFonts w:asciiTheme="minorBidi" w:hAnsiTheme="minorBidi"/>
        </w:rPr>
        <w:t xml:space="preserve"> this study is concerned with exploring the lived experiences of those involved in ITE partnerships</w:t>
      </w:r>
      <w:r w:rsidR="008D438C" w:rsidRPr="005F030F">
        <w:rPr>
          <w:rFonts w:asciiTheme="minorBidi" w:hAnsiTheme="minorBidi"/>
        </w:rPr>
        <w:t xml:space="preserve">, </w:t>
      </w:r>
      <w:r w:rsidRPr="005F030F">
        <w:rPr>
          <w:rFonts w:asciiTheme="minorBidi" w:hAnsiTheme="minorBidi"/>
        </w:rPr>
        <w:t>the use of interviews as a primary research tool is appropriate for accessing the rich, contextual data needed.</w:t>
      </w:r>
    </w:p>
    <w:p w14:paraId="3C9FA3D1" w14:textId="77777777" w:rsidR="004F3272" w:rsidRPr="005F030F" w:rsidRDefault="004F3272" w:rsidP="003B09F9">
      <w:pPr>
        <w:spacing w:after="0" w:line="360" w:lineRule="auto"/>
        <w:rPr>
          <w:rFonts w:asciiTheme="minorBidi" w:hAnsiTheme="minorBidi"/>
        </w:rPr>
      </w:pPr>
    </w:p>
    <w:p w14:paraId="1904E2B7" w14:textId="3B4CD357" w:rsidR="00ED2828" w:rsidRPr="005F030F" w:rsidRDefault="002A1466" w:rsidP="002A1466">
      <w:pPr>
        <w:pStyle w:val="Heading2"/>
        <w:rPr>
          <w:rFonts w:asciiTheme="minorBidi" w:hAnsiTheme="minorBidi" w:cstheme="minorBidi"/>
        </w:rPr>
      </w:pPr>
      <w:bookmarkStart w:id="7" w:name="_Toc196824668"/>
      <w:r w:rsidRPr="005F030F">
        <w:rPr>
          <w:rFonts w:asciiTheme="minorBidi" w:hAnsiTheme="minorBidi" w:cstheme="minorBidi"/>
        </w:rPr>
        <w:t>Semi-structured interviews</w:t>
      </w:r>
      <w:bookmarkEnd w:id="7"/>
      <w:r w:rsidR="00B91A85" w:rsidRPr="005F030F">
        <w:rPr>
          <w:rFonts w:asciiTheme="minorBidi" w:hAnsiTheme="minorBidi" w:cstheme="minorBidi"/>
        </w:rPr>
        <w:t xml:space="preserve"> </w:t>
      </w:r>
    </w:p>
    <w:p w14:paraId="09133E5B" w14:textId="77777777" w:rsidR="006C1911" w:rsidRPr="005F030F" w:rsidRDefault="006C1911" w:rsidP="006C1911">
      <w:pPr>
        <w:spacing w:after="0" w:line="360" w:lineRule="auto"/>
        <w:rPr>
          <w:rFonts w:asciiTheme="minorBidi" w:eastAsia="Times New Roman" w:hAnsiTheme="minorBidi"/>
          <w:kern w:val="0"/>
          <w14:ligatures w14:val="none"/>
        </w:rPr>
      </w:pPr>
    </w:p>
    <w:p w14:paraId="374E38D2" w14:textId="736F9C78" w:rsidR="00F3641A" w:rsidRPr="005F030F" w:rsidRDefault="006C1911" w:rsidP="00F3641A">
      <w:pPr>
        <w:spacing w:after="0" w:line="360" w:lineRule="auto"/>
        <w:rPr>
          <w:rFonts w:asciiTheme="minorBidi" w:eastAsia="Times New Roman" w:hAnsiTheme="minorBidi"/>
          <w:kern w:val="0"/>
          <w14:ligatures w14:val="none"/>
        </w:rPr>
      </w:pPr>
      <w:r w:rsidRPr="006C1911">
        <w:rPr>
          <w:rFonts w:asciiTheme="minorBidi" w:eastAsia="Times New Roman" w:hAnsiTheme="minorBidi"/>
          <w:kern w:val="0"/>
          <w14:ligatures w14:val="none"/>
        </w:rPr>
        <w:t xml:space="preserve">Kvale (1996, p. 30) describes the essential qualities of qualitative research interviews as engaging with participants, seeking to understand them, and interpreting key aspects of their lived experiences. Similarly, Denscombe (2021) argues that </w:t>
      </w:r>
      <w:r w:rsidR="00AC36C4" w:rsidRPr="005F030F">
        <w:rPr>
          <w:rFonts w:asciiTheme="minorBidi" w:eastAsia="Times New Roman" w:hAnsiTheme="minorBidi"/>
          <w:kern w:val="0"/>
          <w14:ligatures w14:val="none"/>
        </w:rPr>
        <w:t xml:space="preserve">when </w:t>
      </w:r>
      <w:r w:rsidRPr="006C1911">
        <w:rPr>
          <w:rFonts w:asciiTheme="minorBidi" w:eastAsia="Times New Roman" w:hAnsiTheme="minorBidi"/>
          <w:kern w:val="0"/>
          <w14:ligatures w14:val="none"/>
        </w:rPr>
        <w:t>aim</w:t>
      </w:r>
      <w:r w:rsidR="00AC36C4" w:rsidRPr="005F030F">
        <w:rPr>
          <w:rFonts w:asciiTheme="minorBidi" w:eastAsia="Times New Roman" w:hAnsiTheme="minorBidi"/>
          <w:kern w:val="0"/>
          <w14:ligatures w14:val="none"/>
        </w:rPr>
        <w:t xml:space="preserve">ing </w:t>
      </w:r>
      <w:r w:rsidRPr="006C1911">
        <w:rPr>
          <w:rFonts w:asciiTheme="minorBidi" w:eastAsia="Times New Roman" w:hAnsiTheme="minorBidi"/>
          <w:kern w:val="0"/>
          <w14:ligatures w14:val="none"/>
        </w:rPr>
        <w:t xml:space="preserve">to gain insight into people's perspectives, emotions, and experiences, interviews </w:t>
      </w:r>
      <w:r w:rsidR="00AC36C4" w:rsidRPr="005F030F">
        <w:rPr>
          <w:rFonts w:asciiTheme="minorBidi" w:eastAsia="Times New Roman" w:hAnsiTheme="minorBidi"/>
          <w:kern w:val="0"/>
          <w14:ligatures w14:val="none"/>
        </w:rPr>
        <w:t xml:space="preserve">are </w:t>
      </w:r>
      <w:r w:rsidR="00FE1697" w:rsidRPr="005F030F">
        <w:rPr>
          <w:rFonts w:asciiTheme="minorBidi" w:eastAsia="Times New Roman" w:hAnsiTheme="minorBidi"/>
          <w:kern w:val="0"/>
          <w14:ligatures w14:val="none"/>
        </w:rPr>
        <w:t>most appropriate</w:t>
      </w:r>
      <w:r w:rsidRPr="006C1911">
        <w:rPr>
          <w:rFonts w:asciiTheme="minorBidi" w:eastAsia="Times New Roman" w:hAnsiTheme="minorBidi"/>
          <w:kern w:val="0"/>
          <w14:ligatures w14:val="none"/>
        </w:rPr>
        <w:t xml:space="preserve">. However, </w:t>
      </w:r>
      <w:r w:rsidR="00FE1697" w:rsidRPr="005F030F">
        <w:rPr>
          <w:rFonts w:asciiTheme="minorBidi" w:eastAsia="Times New Roman" w:hAnsiTheme="minorBidi"/>
          <w:kern w:val="0"/>
          <w14:ligatures w14:val="none"/>
        </w:rPr>
        <w:t>“u</w:t>
      </w:r>
      <w:r w:rsidRPr="006C1911">
        <w:rPr>
          <w:rFonts w:asciiTheme="minorBidi" w:eastAsia="Times New Roman" w:hAnsiTheme="minorBidi"/>
          <w:kern w:val="0"/>
          <w14:ligatures w14:val="none"/>
        </w:rPr>
        <w:t>nstructured interviews</w:t>
      </w:r>
      <w:r w:rsidR="00FE1697" w:rsidRPr="005F030F">
        <w:rPr>
          <w:rFonts w:asciiTheme="minorBidi" w:eastAsia="Times New Roman" w:hAnsiTheme="minorBidi"/>
          <w:kern w:val="0"/>
          <w14:ligatures w14:val="none"/>
        </w:rPr>
        <w:t>”</w:t>
      </w:r>
      <w:r w:rsidRPr="006C1911">
        <w:rPr>
          <w:rFonts w:asciiTheme="minorBidi" w:eastAsia="Times New Roman" w:hAnsiTheme="minorBidi"/>
          <w:kern w:val="0"/>
          <w14:ligatures w14:val="none"/>
        </w:rPr>
        <w:t>, which resemble “guided conversations” (DiCicco-Bloom and Crabtree, 2006, p. 315), would not be suitable for addressing the research questions outlined here</w:t>
      </w:r>
      <w:r w:rsidR="00FE1697" w:rsidRPr="005F030F">
        <w:rPr>
          <w:rFonts w:asciiTheme="minorBidi" w:eastAsia="Times New Roman" w:hAnsiTheme="minorBidi"/>
          <w:kern w:val="0"/>
          <w14:ligatures w14:val="none"/>
        </w:rPr>
        <w:t>. This is due to the fact that</w:t>
      </w:r>
      <w:r w:rsidRPr="006C1911">
        <w:rPr>
          <w:rFonts w:asciiTheme="minorBidi" w:eastAsia="Times New Roman" w:hAnsiTheme="minorBidi"/>
          <w:kern w:val="0"/>
          <w14:ligatures w14:val="none"/>
        </w:rPr>
        <w:t xml:space="preserve"> there is no intention to </w:t>
      </w:r>
      <w:r w:rsidR="00C57397" w:rsidRPr="005F030F">
        <w:rPr>
          <w:rFonts w:asciiTheme="minorBidi" w:eastAsia="Times New Roman" w:hAnsiTheme="minorBidi"/>
          <w:kern w:val="0"/>
          <w14:ligatures w14:val="none"/>
        </w:rPr>
        <w:t>observe</w:t>
      </w:r>
      <w:r w:rsidRPr="006C1911">
        <w:rPr>
          <w:rFonts w:asciiTheme="minorBidi" w:eastAsia="Times New Roman" w:hAnsiTheme="minorBidi"/>
          <w:kern w:val="0"/>
          <w14:ligatures w14:val="none"/>
        </w:rPr>
        <w:t xml:space="preserve"> participant</w:t>
      </w:r>
      <w:r w:rsidR="00C57397" w:rsidRPr="005F030F">
        <w:rPr>
          <w:rFonts w:asciiTheme="minorBidi" w:eastAsia="Times New Roman" w:hAnsiTheme="minorBidi"/>
          <w:kern w:val="0"/>
          <w14:ligatures w14:val="none"/>
        </w:rPr>
        <w:t>s</w:t>
      </w:r>
      <w:r w:rsidRPr="006C1911">
        <w:rPr>
          <w:rFonts w:asciiTheme="minorBidi" w:eastAsia="Times New Roman" w:hAnsiTheme="minorBidi"/>
          <w:kern w:val="0"/>
          <w14:ligatures w14:val="none"/>
        </w:rPr>
        <w:t>, a method often used alongside unstructured interviewing. Similarly, structured interviews lack the necessary flexibility to deviate from a standardised set of questions (Cohen, Manion, and Morrison, 2018).</w:t>
      </w:r>
      <w:r w:rsidRPr="005F030F">
        <w:rPr>
          <w:rFonts w:asciiTheme="minorBidi" w:eastAsia="Times New Roman" w:hAnsiTheme="minorBidi"/>
          <w:kern w:val="0"/>
          <w14:ligatures w14:val="none"/>
        </w:rPr>
        <w:t xml:space="preserve"> </w:t>
      </w:r>
      <w:r w:rsidRPr="006C1911">
        <w:rPr>
          <w:rFonts w:asciiTheme="minorBidi" w:eastAsia="Times New Roman" w:hAnsiTheme="minorBidi"/>
          <w:kern w:val="0"/>
          <w14:ligatures w14:val="none"/>
        </w:rPr>
        <w:t xml:space="preserve">Consequently, semi-structured interviews (SSIs) </w:t>
      </w:r>
      <w:r w:rsidR="00C57397" w:rsidRPr="005F030F">
        <w:rPr>
          <w:rFonts w:asciiTheme="minorBidi" w:eastAsia="Times New Roman" w:hAnsiTheme="minorBidi"/>
          <w:kern w:val="0"/>
          <w14:ligatures w14:val="none"/>
        </w:rPr>
        <w:t>have been</w:t>
      </w:r>
      <w:r w:rsidRPr="006C1911">
        <w:rPr>
          <w:rFonts w:asciiTheme="minorBidi" w:eastAsia="Times New Roman" w:hAnsiTheme="minorBidi"/>
          <w:kern w:val="0"/>
          <w14:ligatures w14:val="none"/>
        </w:rPr>
        <w:t xml:space="preserve"> selected, </w:t>
      </w:r>
      <w:r w:rsidRPr="006C1911">
        <w:rPr>
          <w:rFonts w:asciiTheme="minorBidi" w:eastAsia="Times New Roman" w:hAnsiTheme="minorBidi"/>
          <w:kern w:val="0"/>
          <w14:ligatures w14:val="none"/>
        </w:rPr>
        <w:lastRenderedPageBreak/>
        <w:t>offering what Thomas (2018, p. 206) describes as “the best of both worlds</w:t>
      </w:r>
      <w:r w:rsidR="00EA70D1" w:rsidRPr="005F030F">
        <w:rPr>
          <w:rFonts w:asciiTheme="minorBidi" w:eastAsia="Times New Roman" w:hAnsiTheme="minorBidi"/>
          <w:kern w:val="0"/>
          <w14:ligatures w14:val="none"/>
        </w:rPr>
        <w:t>”,</w:t>
      </w:r>
      <w:r w:rsidRPr="006C1911">
        <w:rPr>
          <w:rFonts w:asciiTheme="minorBidi" w:eastAsia="Times New Roman" w:hAnsiTheme="minorBidi"/>
          <w:kern w:val="0"/>
          <w14:ligatures w14:val="none"/>
        </w:rPr>
        <w:t xml:space="preserve"> combining a structured agenda of topics with the flexibility to pursue emerging points. SSIs are “conducted conversationally with one respondent at a time” and typically blend closed- and open-ended questions, often supplemented with follow-up "why" or "how" questions (Adams, 2015, p. 493). Although a flexible approach is desirable to accommodate the varying circumstances of each interview, Cohen, Manion, and Morrison (2018) caution that excessive flexibility in sequencing and wording questions can result in different responses, reducing the comparability of data. To address this, a carefully developed interview guide will be used to ensure consistency across interviews while still allowing space to explore emergent themes</w:t>
      </w:r>
      <w:r w:rsidR="00B51B0B" w:rsidRPr="005F030F">
        <w:rPr>
          <w:rFonts w:asciiTheme="minorBidi" w:eastAsia="Times New Roman" w:hAnsiTheme="minorBidi"/>
          <w:kern w:val="0"/>
          <w14:ligatures w14:val="none"/>
        </w:rPr>
        <w:t xml:space="preserve"> (please also see appendices 7.2 and 7.3 for indicative interview questions)</w:t>
      </w:r>
      <w:r w:rsidRPr="006C1911">
        <w:rPr>
          <w:rFonts w:asciiTheme="minorBidi" w:eastAsia="Times New Roman" w:hAnsiTheme="minorBidi"/>
          <w:kern w:val="0"/>
          <w14:ligatures w14:val="none"/>
        </w:rPr>
        <w:t>.</w:t>
      </w:r>
      <w:r w:rsidR="00B51B0B" w:rsidRPr="005F030F">
        <w:rPr>
          <w:rFonts w:asciiTheme="minorBidi" w:eastAsia="Times New Roman" w:hAnsiTheme="minorBidi"/>
          <w:kern w:val="0"/>
          <w14:ligatures w14:val="none"/>
        </w:rPr>
        <w:t xml:space="preserve"> </w:t>
      </w:r>
      <w:r w:rsidR="00F3641A" w:rsidRPr="005F030F">
        <w:rPr>
          <w:rFonts w:asciiTheme="minorBidi" w:eastAsia="Times New Roman" w:hAnsiTheme="minorBidi"/>
          <w:kern w:val="0"/>
          <w14:ligatures w14:val="none"/>
        </w:rPr>
        <w:t xml:space="preserve"> </w:t>
      </w:r>
    </w:p>
    <w:p w14:paraId="23E391B7" w14:textId="77777777" w:rsidR="00F3641A" w:rsidRPr="005F030F" w:rsidRDefault="00F3641A" w:rsidP="00F3641A">
      <w:pPr>
        <w:spacing w:after="0" w:line="360" w:lineRule="auto"/>
        <w:rPr>
          <w:rFonts w:asciiTheme="minorBidi" w:eastAsia="Times New Roman" w:hAnsiTheme="minorBidi"/>
          <w:kern w:val="0"/>
          <w14:ligatures w14:val="none"/>
        </w:rPr>
      </w:pPr>
    </w:p>
    <w:p w14:paraId="7E05C4C9" w14:textId="6BC3A0C2" w:rsidR="007D044B" w:rsidRPr="005F030F" w:rsidRDefault="00A77D1A" w:rsidP="000C39E7">
      <w:pPr>
        <w:spacing w:after="0" w:line="360" w:lineRule="auto"/>
        <w:rPr>
          <w:rFonts w:asciiTheme="minorBidi" w:eastAsia="Times New Roman" w:hAnsiTheme="minorBidi"/>
          <w:kern w:val="0"/>
          <w14:ligatures w14:val="none"/>
        </w:rPr>
      </w:pPr>
      <w:r w:rsidRPr="005F030F">
        <w:rPr>
          <w:rFonts w:asciiTheme="minorBidi" w:eastAsia="Times New Roman" w:hAnsiTheme="minorBidi"/>
          <w:kern w:val="0"/>
          <w14:ligatures w14:val="none"/>
        </w:rPr>
        <w:t>Additionally, an important strategy will be the thoughtful use of prompts and clarification checks to encourage participants to elaborate on their responses and to deepen understanding of the topics discussed (</w:t>
      </w:r>
      <w:r w:rsidR="00E75675" w:rsidRPr="005F030F">
        <w:rPr>
          <w:rFonts w:asciiTheme="minorBidi" w:eastAsia="Times New Roman" w:hAnsiTheme="minorBidi"/>
          <w:kern w:val="0"/>
          <w14:ligatures w14:val="none"/>
        </w:rPr>
        <w:t>Flick, 2018</w:t>
      </w:r>
      <w:r w:rsidRPr="005F030F">
        <w:rPr>
          <w:rFonts w:asciiTheme="minorBidi" w:eastAsia="Times New Roman" w:hAnsiTheme="minorBidi"/>
          <w:kern w:val="0"/>
          <w14:ligatures w14:val="none"/>
        </w:rPr>
        <w:t xml:space="preserve">). Although Cohen, Manion, and Morrison (2018) outline a range of prompts, the specific ones used in this study are drawn from Denscombe (2021) and </w:t>
      </w:r>
      <w:r w:rsidR="00323A03" w:rsidRPr="005F030F">
        <w:rPr>
          <w:rFonts w:asciiTheme="minorBidi" w:eastAsia="Times New Roman" w:hAnsiTheme="minorBidi"/>
          <w:kern w:val="0"/>
          <w14:ligatures w14:val="none"/>
        </w:rPr>
        <w:t>have been</w:t>
      </w:r>
      <w:r w:rsidRPr="005F030F">
        <w:rPr>
          <w:rFonts w:asciiTheme="minorBidi" w:eastAsia="Times New Roman" w:hAnsiTheme="minorBidi"/>
          <w:kern w:val="0"/>
          <w14:ligatures w14:val="none"/>
        </w:rPr>
        <w:t xml:space="preserve"> </w:t>
      </w:r>
      <w:r w:rsidR="00E0246F" w:rsidRPr="005F030F">
        <w:rPr>
          <w:rFonts w:asciiTheme="minorBidi" w:eastAsia="Times New Roman" w:hAnsiTheme="minorBidi"/>
          <w:kern w:val="0"/>
          <w14:ligatures w14:val="none"/>
        </w:rPr>
        <w:t>included</w:t>
      </w:r>
      <w:r w:rsidRPr="005F030F">
        <w:rPr>
          <w:rFonts w:asciiTheme="minorBidi" w:eastAsia="Times New Roman" w:hAnsiTheme="minorBidi"/>
          <w:kern w:val="0"/>
          <w14:ligatures w14:val="none"/>
        </w:rPr>
        <w:t xml:space="preserve"> in Appendix I. </w:t>
      </w:r>
      <w:r w:rsidR="000C39E7" w:rsidRPr="005F030F">
        <w:rPr>
          <w:rFonts w:asciiTheme="minorBidi" w:eastAsia="Times New Roman" w:hAnsiTheme="minorBidi"/>
          <w:kern w:val="0"/>
          <w14:ligatures w14:val="none"/>
        </w:rPr>
        <w:t>These prompts are more suited to the study's needs, as they are specifically crafted to encourage a deeper exploration of participants' experiences and perspectives, while maintaining clarity and minimizing the risk of excessive leading in the questioning process.</w:t>
      </w:r>
      <w:r w:rsidR="00C05457" w:rsidRPr="005F030F">
        <w:rPr>
          <w:rFonts w:asciiTheme="minorBidi" w:eastAsia="Times New Roman" w:hAnsiTheme="minorBidi"/>
          <w:kern w:val="0"/>
          <w14:ligatures w14:val="none"/>
        </w:rPr>
        <w:t xml:space="preserve"> </w:t>
      </w:r>
      <w:r w:rsidRPr="005F030F">
        <w:rPr>
          <w:rFonts w:asciiTheme="minorBidi" w:eastAsia="Times New Roman" w:hAnsiTheme="minorBidi"/>
          <w:kern w:val="0"/>
          <w14:ligatures w14:val="none"/>
        </w:rPr>
        <w:t>To further support neutrality, a non-directive interviewing style will also be employed to minimise the risk of inadvertently influencing participants through leading questions or gestures (Denscombe, 2021).</w:t>
      </w:r>
    </w:p>
    <w:p w14:paraId="77D621D4" w14:textId="77777777" w:rsidR="00A77D1A" w:rsidRPr="005F030F" w:rsidRDefault="00A77D1A" w:rsidP="00A77D1A">
      <w:pPr>
        <w:spacing w:after="0" w:line="360" w:lineRule="auto"/>
        <w:rPr>
          <w:rFonts w:asciiTheme="minorBidi" w:eastAsia="Times New Roman" w:hAnsiTheme="minorBidi"/>
          <w:kern w:val="0"/>
          <w14:ligatures w14:val="none"/>
        </w:rPr>
      </w:pPr>
    </w:p>
    <w:p w14:paraId="776F2E11" w14:textId="0F56EF35" w:rsidR="006C1911" w:rsidRPr="005F030F" w:rsidRDefault="00892FE7" w:rsidP="00F3641A">
      <w:pPr>
        <w:spacing w:after="0" w:line="360" w:lineRule="auto"/>
        <w:rPr>
          <w:rFonts w:asciiTheme="minorBidi" w:eastAsia="Times New Roman" w:hAnsiTheme="minorBidi"/>
          <w:kern w:val="0"/>
          <w14:ligatures w14:val="none"/>
        </w:rPr>
      </w:pPr>
      <w:r w:rsidRPr="005F030F">
        <w:rPr>
          <w:rFonts w:asciiTheme="minorBidi" w:eastAsia="Times New Roman" w:hAnsiTheme="minorBidi"/>
          <w:kern w:val="0"/>
          <w14:ligatures w14:val="none"/>
        </w:rPr>
        <w:t>It is</w:t>
      </w:r>
      <w:r w:rsidR="006C1911" w:rsidRPr="006C1911">
        <w:rPr>
          <w:rFonts w:asciiTheme="minorBidi" w:eastAsia="Times New Roman" w:hAnsiTheme="minorBidi"/>
          <w:kern w:val="0"/>
          <w14:ligatures w14:val="none"/>
        </w:rPr>
        <w:t xml:space="preserve"> recogni</w:t>
      </w:r>
      <w:r w:rsidRPr="005F030F">
        <w:rPr>
          <w:rFonts w:asciiTheme="minorBidi" w:eastAsia="Times New Roman" w:hAnsiTheme="minorBidi"/>
          <w:kern w:val="0"/>
          <w14:ligatures w14:val="none"/>
        </w:rPr>
        <w:t>sed</w:t>
      </w:r>
      <w:r w:rsidR="006C1911" w:rsidRPr="006C1911">
        <w:rPr>
          <w:rFonts w:asciiTheme="minorBidi" w:eastAsia="Times New Roman" w:hAnsiTheme="minorBidi"/>
          <w:kern w:val="0"/>
          <w14:ligatures w14:val="none"/>
        </w:rPr>
        <w:t xml:space="preserve"> that SSIs often generate substantial volumes of data, which can be challenging to manage (Willig, 2008). In condensing and analysing this data, the researcher must exercise careful judgement when selecting material relevant to the research questions, a process that carries the risk of inadvertently omitting valuable insights. To mitigate this and promote reflexivity, an "audit trail" will be maintained throughout the research process to document significant decisions (Bryman, 2021).</w:t>
      </w:r>
    </w:p>
    <w:p w14:paraId="6B98E7F8" w14:textId="33A73DF5" w:rsidR="000354BF" w:rsidRPr="005F030F" w:rsidRDefault="007941D2" w:rsidP="00E7335D">
      <w:pPr>
        <w:pStyle w:val="Heading2"/>
        <w:rPr>
          <w:rFonts w:asciiTheme="minorBidi" w:hAnsiTheme="minorBidi" w:cstheme="minorBidi"/>
        </w:rPr>
      </w:pPr>
      <w:bookmarkStart w:id="8" w:name="_Toc196824669"/>
      <w:r w:rsidRPr="005F030F">
        <w:rPr>
          <w:rFonts w:asciiTheme="minorBidi" w:hAnsiTheme="minorBidi" w:cstheme="minorBidi"/>
        </w:rPr>
        <w:t>V</w:t>
      </w:r>
      <w:r w:rsidR="00B81633" w:rsidRPr="005F030F">
        <w:rPr>
          <w:rFonts w:asciiTheme="minorBidi" w:hAnsiTheme="minorBidi" w:cstheme="minorBidi"/>
        </w:rPr>
        <w:t>alidity</w:t>
      </w:r>
      <w:bookmarkEnd w:id="8"/>
      <w:r w:rsidR="00B81633" w:rsidRPr="005F030F">
        <w:rPr>
          <w:rFonts w:asciiTheme="minorBidi" w:hAnsiTheme="minorBidi" w:cstheme="minorBidi"/>
        </w:rPr>
        <w:t xml:space="preserve"> </w:t>
      </w:r>
    </w:p>
    <w:p w14:paraId="66EC2FC9" w14:textId="77777777" w:rsidR="00802B88" w:rsidRPr="005F030F" w:rsidRDefault="00802B88" w:rsidP="007941D2">
      <w:pPr>
        <w:spacing w:line="360" w:lineRule="auto"/>
        <w:rPr>
          <w:rFonts w:asciiTheme="minorBidi" w:hAnsiTheme="minorBidi"/>
        </w:rPr>
      </w:pPr>
    </w:p>
    <w:p w14:paraId="6C532127" w14:textId="75478320" w:rsidR="00802B88" w:rsidRPr="005F030F" w:rsidRDefault="00BC5688" w:rsidP="003D6290">
      <w:pPr>
        <w:spacing w:after="0" w:line="360" w:lineRule="auto"/>
        <w:rPr>
          <w:rFonts w:asciiTheme="minorBidi" w:hAnsiTheme="minorBidi"/>
        </w:rPr>
      </w:pPr>
      <w:r w:rsidRPr="00BC5688">
        <w:rPr>
          <w:rFonts w:asciiTheme="minorBidi" w:hAnsiTheme="minorBidi"/>
        </w:rPr>
        <w:t xml:space="preserve">Given the sensitive nature of the subject matter the research design must carefully address issues of credibility and trustworthiness. A key consideration in this context is the potential influence of the Hawthorne Effect </w:t>
      </w:r>
      <w:r w:rsidR="00A77B64" w:rsidRPr="005F030F">
        <w:rPr>
          <w:rFonts w:asciiTheme="minorBidi" w:hAnsiTheme="minorBidi"/>
        </w:rPr>
        <w:t>-</w:t>
      </w:r>
      <w:r w:rsidRPr="00BC5688">
        <w:rPr>
          <w:rFonts w:asciiTheme="minorBidi" w:hAnsiTheme="minorBidi"/>
        </w:rPr>
        <w:t xml:space="preserve"> a phenomenon in which participants modify their behaviour because they are aware of being observed or studied (Thomas, 2018). </w:t>
      </w:r>
      <w:r w:rsidR="00636961" w:rsidRPr="005F030F">
        <w:rPr>
          <w:rFonts w:asciiTheme="minorBidi" w:hAnsiTheme="minorBidi"/>
        </w:rPr>
        <w:t xml:space="preserve">Similarly, the potential for </w:t>
      </w:r>
      <w:r w:rsidR="00636961" w:rsidRPr="005F030F">
        <w:rPr>
          <w:rFonts w:asciiTheme="minorBidi" w:hAnsiTheme="minorBidi"/>
        </w:rPr>
        <w:t xml:space="preserve">limited disclosures from participants if they feel judged </w:t>
      </w:r>
      <w:r w:rsidR="003D6290" w:rsidRPr="005F030F">
        <w:rPr>
          <w:rFonts w:asciiTheme="minorBidi" w:hAnsiTheme="minorBidi"/>
        </w:rPr>
        <w:t>will have to be considered (</w:t>
      </w:r>
      <w:r w:rsidR="003D6290" w:rsidRPr="005F030F">
        <w:rPr>
          <w:rFonts w:asciiTheme="minorBidi" w:hAnsiTheme="minorBidi"/>
        </w:rPr>
        <w:t>Creswell and Miller</w:t>
      </w:r>
      <w:r w:rsidR="003D6290" w:rsidRPr="005F030F">
        <w:rPr>
          <w:rFonts w:asciiTheme="minorBidi" w:hAnsiTheme="minorBidi"/>
        </w:rPr>
        <w:t xml:space="preserve">, </w:t>
      </w:r>
      <w:r w:rsidR="003D6290" w:rsidRPr="005F030F">
        <w:rPr>
          <w:rFonts w:asciiTheme="minorBidi" w:hAnsiTheme="minorBidi"/>
        </w:rPr>
        <w:t>2000)</w:t>
      </w:r>
      <w:r w:rsidR="003D6290" w:rsidRPr="005F030F">
        <w:rPr>
          <w:rFonts w:asciiTheme="minorBidi" w:hAnsiTheme="minorBidi"/>
        </w:rPr>
        <w:t xml:space="preserve">. </w:t>
      </w:r>
      <w:r w:rsidRPr="00BC5688">
        <w:rPr>
          <w:rFonts w:asciiTheme="minorBidi" w:hAnsiTheme="minorBidi"/>
        </w:rPr>
        <w:t xml:space="preserve">To mitigate this, a number of strategies will be </w:t>
      </w:r>
      <w:r w:rsidRPr="00BC5688">
        <w:rPr>
          <w:rFonts w:asciiTheme="minorBidi" w:hAnsiTheme="minorBidi"/>
        </w:rPr>
        <w:lastRenderedPageBreak/>
        <w:t>employed: participants will be reassured that the semi-structured interviews are confidential and non-judgemental, efforts will be made to create a relaxed and open interview setting, and a reflexive journal will be maintained to critically reflect on the research process and address any emerging biases (Bryman, 1992).</w:t>
      </w:r>
      <w:r w:rsidR="00E7335D" w:rsidRPr="005F030F">
        <w:rPr>
          <w:rFonts w:asciiTheme="minorBidi" w:hAnsiTheme="minorBidi"/>
        </w:rPr>
        <w:t xml:space="preserve"> Additional steps </w:t>
      </w:r>
      <w:r w:rsidR="00C7116E" w:rsidRPr="005F030F">
        <w:rPr>
          <w:rFonts w:asciiTheme="minorBidi" w:hAnsiTheme="minorBidi"/>
        </w:rPr>
        <w:t xml:space="preserve">and considerations have been included in component three of this assessment. </w:t>
      </w:r>
    </w:p>
    <w:p w14:paraId="21ED52C3" w14:textId="77777777" w:rsidR="00802B88" w:rsidRPr="005F030F" w:rsidRDefault="00802B88" w:rsidP="00802B88">
      <w:pPr>
        <w:rPr>
          <w:rFonts w:asciiTheme="minorBidi" w:hAnsiTheme="minorBidi"/>
        </w:rPr>
      </w:pPr>
    </w:p>
    <w:p w14:paraId="1BF7AA9F" w14:textId="1AB15422" w:rsidR="00B2715A" w:rsidRPr="005F030F" w:rsidRDefault="00C45D9E" w:rsidP="00D0331E">
      <w:pPr>
        <w:pStyle w:val="Heading2"/>
        <w:rPr>
          <w:rFonts w:asciiTheme="minorBidi" w:hAnsiTheme="minorBidi" w:cstheme="minorBidi"/>
        </w:rPr>
      </w:pPr>
      <w:bookmarkStart w:id="9" w:name="_Toc196824670"/>
      <w:r w:rsidRPr="005F030F">
        <w:rPr>
          <w:rFonts w:asciiTheme="minorBidi" w:hAnsiTheme="minorBidi" w:cstheme="minorBidi"/>
        </w:rPr>
        <w:t xml:space="preserve">Purposive </w:t>
      </w:r>
      <w:r w:rsidR="006174B0" w:rsidRPr="005F030F">
        <w:rPr>
          <w:rFonts w:asciiTheme="minorBidi" w:hAnsiTheme="minorBidi" w:cstheme="minorBidi"/>
        </w:rPr>
        <w:t>s</w:t>
      </w:r>
      <w:r w:rsidR="00D0331E" w:rsidRPr="005F030F">
        <w:rPr>
          <w:rFonts w:asciiTheme="minorBidi" w:hAnsiTheme="minorBidi" w:cstheme="minorBidi"/>
        </w:rPr>
        <w:t>ampling</w:t>
      </w:r>
      <w:bookmarkEnd w:id="9"/>
    </w:p>
    <w:p w14:paraId="6525D749" w14:textId="77777777" w:rsidR="00D0331E" w:rsidRPr="005F030F" w:rsidRDefault="00D0331E" w:rsidP="00581496">
      <w:pPr>
        <w:spacing w:line="360" w:lineRule="auto"/>
        <w:rPr>
          <w:rFonts w:asciiTheme="minorBidi" w:hAnsiTheme="minorBidi"/>
        </w:rPr>
      </w:pPr>
    </w:p>
    <w:p w14:paraId="6EA5EAAC" w14:textId="79F76E6F" w:rsidR="00A872B5" w:rsidRPr="00A872B5" w:rsidRDefault="003C6B11" w:rsidP="000D1795">
      <w:pPr>
        <w:spacing w:after="0" w:line="360" w:lineRule="auto"/>
        <w:rPr>
          <w:rFonts w:asciiTheme="minorBidi" w:hAnsiTheme="minorBidi"/>
        </w:rPr>
      </w:pPr>
      <w:r w:rsidRPr="005F030F">
        <w:rPr>
          <w:rFonts w:asciiTheme="minorBidi" w:hAnsiTheme="minorBidi"/>
        </w:rPr>
        <w:t>A sample is a subset of a population that accurately represents the larger group, making it more practical and feasible for conducting a research study (Thomas, 2018).</w:t>
      </w:r>
      <w:r w:rsidR="008813AD" w:rsidRPr="005F030F">
        <w:rPr>
          <w:rFonts w:asciiTheme="minorBidi" w:hAnsiTheme="minorBidi"/>
        </w:rPr>
        <w:t xml:space="preserve"> </w:t>
      </w:r>
      <w:r w:rsidR="00034DD8" w:rsidRPr="005F030F">
        <w:rPr>
          <w:rFonts w:asciiTheme="minorBidi" w:hAnsiTheme="minorBidi"/>
        </w:rPr>
        <w:t>It is notable that t</w:t>
      </w:r>
      <w:r w:rsidR="008813AD" w:rsidRPr="005F030F">
        <w:rPr>
          <w:rFonts w:asciiTheme="minorBidi" w:hAnsiTheme="minorBidi"/>
        </w:rPr>
        <w:t>here are various methods for selecting a sample</w:t>
      </w:r>
      <w:r w:rsidR="00D156C3" w:rsidRPr="005F030F">
        <w:rPr>
          <w:rFonts w:asciiTheme="minorBidi" w:hAnsiTheme="minorBidi"/>
        </w:rPr>
        <w:t xml:space="preserve"> </w:t>
      </w:r>
      <w:r w:rsidR="008813AD" w:rsidRPr="005F030F">
        <w:rPr>
          <w:rFonts w:asciiTheme="minorBidi" w:hAnsiTheme="minorBidi"/>
        </w:rPr>
        <w:t xml:space="preserve">(see Bryman, </w:t>
      </w:r>
      <w:r w:rsidR="003B5AF0" w:rsidRPr="005F030F">
        <w:rPr>
          <w:rFonts w:asciiTheme="minorBidi" w:hAnsiTheme="minorBidi"/>
        </w:rPr>
        <w:t>2016)</w:t>
      </w:r>
      <w:r w:rsidR="008813AD" w:rsidRPr="005F030F">
        <w:rPr>
          <w:rFonts w:asciiTheme="minorBidi" w:hAnsiTheme="minorBidi"/>
        </w:rPr>
        <w:t xml:space="preserve">, </w:t>
      </w:r>
      <w:r w:rsidR="00034DD8" w:rsidRPr="005F030F">
        <w:rPr>
          <w:rFonts w:asciiTheme="minorBidi" w:hAnsiTheme="minorBidi"/>
        </w:rPr>
        <w:t xml:space="preserve">and whilst they will not be explored in great depth here, this </w:t>
      </w:r>
      <w:r w:rsidR="008813AD" w:rsidRPr="005F030F">
        <w:rPr>
          <w:rFonts w:asciiTheme="minorBidi" w:hAnsiTheme="minorBidi"/>
        </w:rPr>
        <w:t>research aims to gather the perspectives of individuals who are most suited to addressing the research question</w:t>
      </w:r>
      <w:r w:rsidR="009E256F" w:rsidRPr="005F030F">
        <w:rPr>
          <w:rFonts w:asciiTheme="minorBidi" w:hAnsiTheme="minorBidi"/>
        </w:rPr>
        <w:t xml:space="preserve"> – headteachers and class mentors from Lead Partner Schools</w:t>
      </w:r>
      <w:r w:rsidR="00214C18" w:rsidRPr="005F030F">
        <w:rPr>
          <w:rFonts w:asciiTheme="minorBidi" w:hAnsiTheme="minorBidi"/>
        </w:rPr>
        <w:t xml:space="preserve"> (Silverman, 2020)</w:t>
      </w:r>
      <w:r w:rsidR="008813AD" w:rsidRPr="005F030F">
        <w:rPr>
          <w:rFonts w:asciiTheme="minorBidi" w:hAnsiTheme="minorBidi"/>
        </w:rPr>
        <w:t>.</w:t>
      </w:r>
      <w:r w:rsidR="00D9718A" w:rsidRPr="005F030F">
        <w:rPr>
          <w:rFonts w:asciiTheme="minorBidi" w:hAnsiTheme="minorBidi"/>
        </w:rPr>
        <w:t xml:space="preserve"> </w:t>
      </w:r>
      <w:r w:rsidR="00A872B5" w:rsidRPr="005F030F">
        <w:rPr>
          <w:rFonts w:asciiTheme="minorBidi" w:hAnsiTheme="minorBidi"/>
        </w:rPr>
        <w:t>This intentional and deliberate selection of participants is referred to as "purposive" or "judgement" sampling</w:t>
      </w:r>
      <w:r w:rsidR="008B2C9E" w:rsidRPr="005F030F">
        <w:rPr>
          <w:rFonts w:asciiTheme="minorBidi" w:hAnsiTheme="minorBidi"/>
        </w:rPr>
        <w:t xml:space="preserve">. </w:t>
      </w:r>
      <w:r w:rsidR="008B2C9E" w:rsidRPr="005F030F">
        <w:rPr>
          <w:rFonts w:asciiTheme="minorBidi" w:hAnsiTheme="minorBidi"/>
        </w:rPr>
        <w:t xml:space="preserve">As Denscombe (2010) explains, this "hand-picking" of participants is based on participants’ alignment with the issue and their privileged knowledge. </w:t>
      </w:r>
      <w:r w:rsidR="008B2C9E" w:rsidRPr="005F030F">
        <w:rPr>
          <w:rFonts w:asciiTheme="minorBidi" w:hAnsiTheme="minorBidi"/>
        </w:rPr>
        <w:t xml:space="preserve">This </w:t>
      </w:r>
      <w:r w:rsidR="00A872B5" w:rsidRPr="005F030F">
        <w:rPr>
          <w:rFonts w:asciiTheme="minorBidi" w:hAnsiTheme="minorBidi"/>
        </w:rPr>
        <w:t>stands in contrast to random sampling methods</w:t>
      </w:r>
      <w:r w:rsidR="008B2C9E" w:rsidRPr="005F030F">
        <w:rPr>
          <w:rFonts w:asciiTheme="minorBidi" w:hAnsiTheme="minorBidi"/>
        </w:rPr>
        <w:t xml:space="preserve">, where </w:t>
      </w:r>
      <w:r w:rsidR="00A872B5" w:rsidRPr="005F030F">
        <w:rPr>
          <w:rFonts w:asciiTheme="minorBidi" w:hAnsiTheme="minorBidi"/>
        </w:rPr>
        <w:t xml:space="preserve">there </w:t>
      </w:r>
      <w:r w:rsidR="008B2C9E" w:rsidRPr="005F030F">
        <w:rPr>
          <w:rFonts w:asciiTheme="minorBidi" w:hAnsiTheme="minorBidi"/>
        </w:rPr>
        <w:t>would be</w:t>
      </w:r>
      <w:r w:rsidR="00A872B5" w:rsidRPr="005F030F">
        <w:rPr>
          <w:rFonts w:asciiTheme="minorBidi" w:hAnsiTheme="minorBidi"/>
        </w:rPr>
        <w:t xml:space="preserve"> no guarantee that participants would be drawn from schools without Lead Partner School responsibilities. </w:t>
      </w:r>
    </w:p>
    <w:p w14:paraId="33A6856F" w14:textId="77777777" w:rsidR="00A872B5" w:rsidRPr="005F030F" w:rsidRDefault="00A872B5" w:rsidP="00A872B5">
      <w:pPr>
        <w:spacing w:after="0" w:line="360" w:lineRule="auto"/>
        <w:rPr>
          <w:rFonts w:asciiTheme="minorBidi" w:hAnsiTheme="minorBidi"/>
        </w:rPr>
      </w:pPr>
    </w:p>
    <w:p w14:paraId="6E28C670" w14:textId="354567C9" w:rsidR="00A872B5" w:rsidRPr="005F030F" w:rsidRDefault="00A872B5" w:rsidP="00A872B5">
      <w:pPr>
        <w:spacing w:after="0" w:line="360" w:lineRule="auto"/>
        <w:rPr>
          <w:rFonts w:asciiTheme="minorBidi" w:hAnsiTheme="minorBidi"/>
        </w:rPr>
      </w:pPr>
      <w:r w:rsidRPr="00A872B5">
        <w:rPr>
          <w:rFonts w:asciiTheme="minorBidi" w:hAnsiTheme="minorBidi"/>
        </w:rPr>
        <w:t>Within purposive sampling, several strategies can be employed. This study adopts Maximum Variation Sampling (MVS), which aims to explore a topic from a variety of perspectives (Etikan, Musa, and Alkassim, 2016). Consequently, the sample for this study will be drawn from a diverse range of participants, including:</w:t>
      </w:r>
    </w:p>
    <w:p w14:paraId="40208EC3" w14:textId="77777777" w:rsidR="002E02DF" w:rsidRPr="00A872B5" w:rsidRDefault="002E02DF" w:rsidP="00A872B5">
      <w:pPr>
        <w:spacing w:after="0" w:line="360" w:lineRule="auto"/>
        <w:rPr>
          <w:rFonts w:asciiTheme="minorBidi" w:hAnsiTheme="minorBidi"/>
        </w:rPr>
      </w:pPr>
    </w:p>
    <w:p w14:paraId="4DB55AA8" w14:textId="62935113" w:rsidR="001D42EF" w:rsidRPr="005F030F" w:rsidRDefault="001D42EF" w:rsidP="001D42EF">
      <w:pPr>
        <w:pStyle w:val="ListParagraph"/>
        <w:numPr>
          <w:ilvl w:val="0"/>
          <w:numId w:val="30"/>
        </w:numPr>
        <w:spacing w:line="360" w:lineRule="auto"/>
        <w:rPr>
          <w:rFonts w:asciiTheme="minorBidi" w:hAnsiTheme="minorBidi"/>
        </w:rPr>
      </w:pPr>
      <w:r w:rsidRPr="005F030F">
        <w:rPr>
          <w:rFonts w:asciiTheme="minorBidi" w:hAnsiTheme="minorBidi"/>
        </w:rPr>
        <w:t>Headteachers from English-medium Lead Partner Schools (primary and secondary), including those involved in both undergraduate and postgraduate programmes, and those who have participated in ITE and school inspections in the past five years</w:t>
      </w:r>
    </w:p>
    <w:p w14:paraId="1D19D034" w14:textId="77777777" w:rsidR="004255B9" w:rsidRPr="005F030F" w:rsidRDefault="004255B9" w:rsidP="004255B9">
      <w:pPr>
        <w:pStyle w:val="ListParagraph"/>
        <w:spacing w:line="360" w:lineRule="auto"/>
        <w:rPr>
          <w:rFonts w:asciiTheme="minorBidi" w:hAnsiTheme="minorBidi"/>
        </w:rPr>
      </w:pPr>
    </w:p>
    <w:p w14:paraId="4163C9A8" w14:textId="2EBFD9F9" w:rsidR="001D42EF" w:rsidRPr="005F030F" w:rsidRDefault="001D42EF" w:rsidP="001D42EF">
      <w:pPr>
        <w:pStyle w:val="ListParagraph"/>
        <w:numPr>
          <w:ilvl w:val="0"/>
          <w:numId w:val="30"/>
        </w:numPr>
        <w:spacing w:line="360" w:lineRule="auto"/>
        <w:rPr>
          <w:rFonts w:asciiTheme="minorBidi" w:hAnsiTheme="minorBidi"/>
        </w:rPr>
      </w:pPr>
      <w:r w:rsidRPr="005F030F">
        <w:rPr>
          <w:rFonts w:asciiTheme="minorBidi" w:hAnsiTheme="minorBidi"/>
        </w:rPr>
        <w:t>Class mentors from the same schools, with varying lengths of experience in their roles</w:t>
      </w:r>
    </w:p>
    <w:p w14:paraId="34740812" w14:textId="77777777" w:rsidR="00776FEA" w:rsidRPr="005F030F" w:rsidRDefault="00776FEA" w:rsidP="00776FEA">
      <w:pPr>
        <w:spacing w:line="360" w:lineRule="auto"/>
        <w:rPr>
          <w:rFonts w:asciiTheme="minorBidi" w:hAnsiTheme="minorBidi"/>
        </w:rPr>
      </w:pPr>
    </w:p>
    <w:p w14:paraId="4D2E5636" w14:textId="161F140D" w:rsidR="00D0331E" w:rsidRPr="005F030F" w:rsidRDefault="00D0331E" w:rsidP="00D0331E">
      <w:pPr>
        <w:pStyle w:val="Heading2"/>
        <w:rPr>
          <w:rFonts w:asciiTheme="minorBidi" w:hAnsiTheme="minorBidi" w:cstheme="minorBidi"/>
        </w:rPr>
      </w:pPr>
      <w:bookmarkStart w:id="10" w:name="_Toc196824671"/>
      <w:r w:rsidRPr="005F030F">
        <w:rPr>
          <w:rFonts w:asciiTheme="minorBidi" w:hAnsiTheme="minorBidi" w:cstheme="minorBidi"/>
        </w:rPr>
        <w:t>Ethical considerations</w:t>
      </w:r>
      <w:bookmarkEnd w:id="10"/>
    </w:p>
    <w:p w14:paraId="0392598E" w14:textId="0C2A0BAD" w:rsidR="00ED2828" w:rsidRPr="005F030F" w:rsidRDefault="00ED2828" w:rsidP="00ED2828">
      <w:pPr>
        <w:spacing w:after="0" w:line="360" w:lineRule="auto"/>
        <w:rPr>
          <w:rFonts w:asciiTheme="minorBidi" w:hAnsiTheme="minorBidi"/>
        </w:rPr>
      </w:pPr>
    </w:p>
    <w:p w14:paraId="5F688826" w14:textId="10A5F285" w:rsidR="00050F7F" w:rsidRPr="005F030F" w:rsidRDefault="00050F7F" w:rsidP="00050F7F">
      <w:pPr>
        <w:pStyle w:val="NoSpacing"/>
        <w:spacing w:line="360" w:lineRule="auto"/>
        <w:rPr>
          <w:rFonts w:asciiTheme="minorBidi" w:hAnsiTheme="minorBidi"/>
          <w:lang w:val="en-GB"/>
        </w:rPr>
      </w:pPr>
      <w:r w:rsidRPr="00050F7F">
        <w:rPr>
          <w:rFonts w:asciiTheme="minorBidi" w:hAnsiTheme="minorBidi"/>
          <w:lang w:val="en-GB"/>
        </w:rPr>
        <w:lastRenderedPageBreak/>
        <w:t xml:space="preserve">In </w:t>
      </w:r>
      <w:r w:rsidR="004255B9" w:rsidRPr="005F030F">
        <w:rPr>
          <w:rFonts w:asciiTheme="minorBidi" w:hAnsiTheme="minorBidi"/>
          <w:lang w:val="en-GB"/>
        </w:rPr>
        <w:t>any research,</w:t>
      </w:r>
      <w:r w:rsidRPr="00050F7F">
        <w:rPr>
          <w:rFonts w:asciiTheme="minorBidi" w:hAnsiTheme="minorBidi"/>
          <w:lang w:val="en-GB"/>
        </w:rPr>
        <w:t xml:space="preserve"> it is essential to prioritise the welfare of participants and mitigate any potential risks (Cavan, 1977). Central to this is ensuring that participants are fully informed about the study and able to provide informed consent, that they are free to withdraw at any point without penalty, and that their privacy, confidentiality, and anonymity are safeguarded throughout the research process (Cohen, Manion, and Morrison, 2018).</w:t>
      </w:r>
    </w:p>
    <w:p w14:paraId="64A2BA46" w14:textId="77777777" w:rsidR="00715BA3" w:rsidRPr="00050F7F" w:rsidRDefault="00715BA3" w:rsidP="00050F7F">
      <w:pPr>
        <w:pStyle w:val="NoSpacing"/>
        <w:spacing w:line="360" w:lineRule="auto"/>
        <w:rPr>
          <w:rFonts w:asciiTheme="minorBidi" w:hAnsiTheme="minorBidi"/>
          <w:lang w:val="en-GB"/>
        </w:rPr>
      </w:pPr>
    </w:p>
    <w:p w14:paraId="31F823AC" w14:textId="07368799" w:rsidR="00F0389B" w:rsidRPr="005F030F" w:rsidRDefault="00050F7F" w:rsidP="005E69CD">
      <w:pPr>
        <w:pStyle w:val="NoSpacing"/>
        <w:spacing w:line="360" w:lineRule="auto"/>
        <w:rPr>
          <w:rFonts w:asciiTheme="minorBidi" w:hAnsiTheme="minorBidi"/>
          <w:lang w:val="en-GB"/>
        </w:rPr>
      </w:pPr>
      <w:r w:rsidRPr="00050F7F">
        <w:rPr>
          <w:rFonts w:asciiTheme="minorBidi" w:hAnsiTheme="minorBidi"/>
          <w:lang w:val="en-GB"/>
        </w:rPr>
        <w:t>This study will adhere to the ethical guidelines set out by the British Educational Research Association (BERA, 2024). A core principle of these guidelines is the expectation that researchers act with respect for all individuals involved in the research (BERA, 2024). This is especially important given that this research seeks to understand the perspectives of participants through</w:t>
      </w:r>
      <w:r w:rsidR="00715BA3" w:rsidRPr="005F030F">
        <w:rPr>
          <w:rFonts w:asciiTheme="minorBidi" w:hAnsiTheme="minorBidi"/>
          <w:lang w:val="en-GB"/>
        </w:rPr>
        <w:t xml:space="preserve"> </w:t>
      </w:r>
      <w:r w:rsidRPr="00050F7F">
        <w:rPr>
          <w:rFonts w:asciiTheme="minorBidi" w:hAnsiTheme="minorBidi"/>
          <w:lang w:val="en-GB"/>
        </w:rPr>
        <w:t xml:space="preserve">SSIs, a method that can </w:t>
      </w:r>
      <w:r w:rsidR="006B6303" w:rsidRPr="005F030F">
        <w:rPr>
          <w:rFonts w:asciiTheme="minorBidi" w:hAnsiTheme="minorBidi"/>
          <w:lang w:val="en-GB"/>
        </w:rPr>
        <w:t>explore potentially</w:t>
      </w:r>
      <w:r w:rsidRPr="00050F7F">
        <w:rPr>
          <w:rFonts w:asciiTheme="minorBidi" w:hAnsiTheme="minorBidi"/>
          <w:lang w:val="en-GB"/>
        </w:rPr>
        <w:t xml:space="preserve"> sensitive topics. As Kvale (1996) explains, conducting qualitative interviews is a moral enterprise that requires careful attention to the ethical implications of every stage of the research process. Therefore, </w:t>
      </w:r>
      <w:r w:rsidR="00715BA3" w:rsidRPr="005F030F">
        <w:rPr>
          <w:rFonts w:asciiTheme="minorBidi" w:hAnsiTheme="minorBidi"/>
          <w:lang w:val="en-GB"/>
        </w:rPr>
        <w:t>I</w:t>
      </w:r>
      <w:r w:rsidRPr="00050F7F">
        <w:rPr>
          <w:rFonts w:asciiTheme="minorBidi" w:hAnsiTheme="minorBidi"/>
          <w:lang w:val="en-GB"/>
        </w:rPr>
        <w:t xml:space="preserve"> will continually reflect on actions and interactions, ensuring that participants are respected and protected throughout</w:t>
      </w:r>
      <w:r w:rsidR="004255B9" w:rsidRPr="005F030F">
        <w:rPr>
          <w:rFonts w:asciiTheme="minorBidi" w:hAnsiTheme="minorBidi"/>
          <w:lang w:val="en-GB"/>
        </w:rPr>
        <w:t>.</w:t>
      </w:r>
    </w:p>
    <w:p w14:paraId="3DFA2110" w14:textId="21162630" w:rsidR="00AD35F3" w:rsidRPr="005F030F" w:rsidRDefault="0031560F" w:rsidP="005C3939">
      <w:pPr>
        <w:pStyle w:val="Heading1"/>
        <w:rPr>
          <w:rFonts w:asciiTheme="minorBidi" w:hAnsiTheme="minorBidi" w:cstheme="minorBidi"/>
        </w:rPr>
      </w:pPr>
      <w:bookmarkStart w:id="11" w:name="_Toc196824672"/>
      <w:r w:rsidRPr="005F030F">
        <w:rPr>
          <w:rFonts w:asciiTheme="minorBidi" w:hAnsiTheme="minorBidi" w:cstheme="minorBidi"/>
        </w:rPr>
        <w:t>Analysis Method</w:t>
      </w:r>
      <w:r w:rsidR="009409B9" w:rsidRPr="005F030F">
        <w:rPr>
          <w:rFonts w:asciiTheme="minorBidi" w:hAnsiTheme="minorBidi" w:cstheme="minorBidi"/>
        </w:rPr>
        <w:t>s</w:t>
      </w:r>
      <w:bookmarkEnd w:id="11"/>
      <w:r w:rsidRPr="005F030F">
        <w:rPr>
          <w:rFonts w:asciiTheme="minorBidi" w:hAnsiTheme="minorBidi" w:cstheme="minorBidi"/>
        </w:rPr>
        <w:t xml:space="preserve"> </w:t>
      </w:r>
    </w:p>
    <w:p w14:paraId="59DB7DC3" w14:textId="77777777" w:rsidR="0031560F" w:rsidRPr="005F030F" w:rsidRDefault="0031560F" w:rsidP="00D43EF8">
      <w:pPr>
        <w:spacing w:after="0" w:line="360" w:lineRule="auto"/>
        <w:rPr>
          <w:rFonts w:asciiTheme="minorBidi" w:hAnsiTheme="minorBidi"/>
          <w:b/>
          <w:bCs/>
        </w:rPr>
      </w:pPr>
    </w:p>
    <w:p w14:paraId="13E34CA4" w14:textId="1C5CDA65" w:rsidR="00AA7DD5" w:rsidRPr="005F030F" w:rsidRDefault="00AA7DD5" w:rsidP="008047BA">
      <w:pPr>
        <w:pStyle w:val="Heading2"/>
        <w:rPr>
          <w:rFonts w:asciiTheme="minorBidi" w:hAnsiTheme="minorBidi" w:cstheme="minorBidi"/>
        </w:rPr>
      </w:pPr>
      <w:bookmarkStart w:id="12" w:name="_Toc196824673"/>
      <w:r w:rsidRPr="005F030F">
        <w:rPr>
          <w:rFonts w:asciiTheme="minorBidi" w:hAnsiTheme="minorBidi" w:cstheme="minorBidi"/>
        </w:rPr>
        <w:t>Foucauldian Discourse Analysis</w:t>
      </w:r>
      <w:bookmarkEnd w:id="12"/>
      <w:r w:rsidRPr="005F030F">
        <w:rPr>
          <w:rFonts w:asciiTheme="minorBidi" w:hAnsiTheme="minorBidi" w:cstheme="minorBidi"/>
        </w:rPr>
        <w:t xml:space="preserve"> </w:t>
      </w:r>
    </w:p>
    <w:p w14:paraId="0EBEA06F" w14:textId="77777777" w:rsidR="008047BA" w:rsidRPr="005F030F" w:rsidRDefault="008047BA" w:rsidP="008047BA">
      <w:pPr>
        <w:rPr>
          <w:rFonts w:asciiTheme="minorBidi" w:hAnsiTheme="minorBidi"/>
        </w:rPr>
      </w:pPr>
    </w:p>
    <w:p w14:paraId="30907AEA" w14:textId="08D38E63" w:rsidR="00EF2E28" w:rsidRPr="005F030F" w:rsidRDefault="00EF2E28" w:rsidP="00A0529A">
      <w:pPr>
        <w:spacing w:after="0" w:line="360" w:lineRule="auto"/>
        <w:rPr>
          <w:rFonts w:asciiTheme="minorBidi" w:hAnsiTheme="minorBidi"/>
        </w:rPr>
      </w:pPr>
      <w:r w:rsidRPr="00EF2E28">
        <w:rPr>
          <w:rFonts w:asciiTheme="minorBidi" w:hAnsiTheme="minorBidi"/>
        </w:rPr>
        <w:t xml:space="preserve">Discourse analysis aims to explore the contemporary practices through which individuals are constituted as subjects of knowledge (Arribas-Ayllon </w:t>
      </w:r>
      <w:r w:rsidR="00BC6B55" w:rsidRPr="005F030F">
        <w:rPr>
          <w:rFonts w:asciiTheme="minorBidi" w:hAnsiTheme="minorBidi"/>
        </w:rPr>
        <w:t>and</w:t>
      </w:r>
      <w:r w:rsidRPr="00EF2E28">
        <w:rPr>
          <w:rFonts w:asciiTheme="minorBidi" w:hAnsiTheme="minorBidi"/>
        </w:rPr>
        <w:t xml:space="preserve"> Walkerdine, 2017, p. 111). While multiple forms of discourse analysis exist, each grounded in distinct theoretical traditions, this study adopts Foucauldian Discourse Analysis (FDA) due to its emphasis on how discourse constructs power relations and social norms (Khan </w:t>
      </w:r>
      <w:r w:rsidRPr="005F030F">
        <w:rPr>
          <w:rFonts w:asciiTheme="minorBidi" w:hAnsiTheme="minorBidi"/>
        </w:rPr>
        <w:t>and</w:t>
      </w:r>
      <w:r w:rsidRPr="00EF2E28">
        <w:rPr>
          <w:rFonts w:asciiTheme="minorBidi" w:hAnsiTheme="minorBidi"/>
        </w:rPr>
        <w:t xml:space="preserve"> MacEachen, 2021). As Willig (2008) explains, from a Foucauldian perspective, discourse both enables and restricts what can be said, by whom, in what context, and under what conditions. FDA seeks to map these discursive structures and examine the subject positions they offer, thereby revealing how individuals are shaped by</w:t>
      </w:r>
      <w:r w:rsidR="00A0529A" w:rsidRPr="005F030F">
        <w:rPr>
          <w:rFonts w:asciiTheme="minorBidi" w:hAnsiTheme="minorBidi"/>
        </w:rPr>
        <w:t>,</w:t>
      </w:r>
      <w:r w:rsidR="001B1640" w:rsidRPr="005F030F">
        <w:rPr>
          <w:rFonts w:asciiTheme="minorBidi" w:hAnsiTheme="minorBidi"/>
        </w:rPr>
        <w:t xml:space="preserve"> </w:t>
      </w:r>
      <w:r w:rsidRPr="00EF2E28">
        <w:rPr>
          <w:rFonts w:asciiTheme="minorBidi" w:hAnsiTheme="minorBidi"/>
        </w:rPr>
        <w:t>and operate within</w:t>
      </w:r>
      <w:r w:rsidR="00A0529A" w:rsidRPr="005F030F">
        <w:rPr>
          <w:rFonts w:asciiTheme="minorBidi" w:hAnsiTheme="minorBidi"/>
        </w:rPr>
        <w:t>,</w:t>
      </w:r>
      <w:r w:rsidR="001B1640" w:rsidRPr="005F030F">
        <w:rPr>
          <w:rFonts w:asciiTheme="minorBidi" w:hAnsiTheme="minorBidi"/>
        </w:rPr>
        <w:t xml:space="preserve"> </w:t>
      </w:r>
      <w:r w:rsidRPr="00EF2E28">
        <w:rPr>
          <w:rFonts w:asciiTheme="minorBidi" w:hAnsiTheme="minorBidi"/>
        </w:rPr>
        <w:t>particular discursive worlds.</w:t>
      </w:r>
    </w:p>
    <w:p w14:paraId="2B953A4E" w14:textId="77777777" w:rsidR="00A0529A" w:rsidRPr="00EF2E28" w:rsidRDefault="00A0529A" w:rsidP="00A0529A">
      <w:pPr>
        <w:spacing w:after="0" w:line="360" w:lineRule="auto"/>
        <w:rPr>
          <w:rFonts w:asciiTheme="minorBidi" w:hAnsiTheme="minorBidi"/>
        </w:rPr>
      </w:pPr>
    </w:p>
    <w:p w14:paraId="31C84265" w14:textId="30BED461" w:rsidR="00EF2E28" w:rsidRPr="005F030F" w:rsidRDefault="00EF2E28" w:rsidP="00A0529A">
      <w:pPr>
        <w:spacing w:after="0" w:line="360" w:lineRule="auto"/>
        <w:rPr>
          <w:rFonts w:asciiTheme="minorBidi" w:hAnsiTheme="minorBidi"/>
        </w:rPr>
      </w:pPr>
      <w:r w:rsidRPr="00EF2E28">
        <w:rPr>
          <w:rFonts w:asciiTheme="minorBidi" w:hAnsiTheme="minorBidi"/>
        </w:rPr>
        <w:t>Foucault’s evolving focus</w:t>
      </w:r>
      <w:r w:rsidR="001B1640" w:rsidRPr="005F030F">
        <w:rPr>
          <w:rFonts w:asciiTheme="minorBidi" w:hAnsiTheme="minorBidi"/>
        </w:rPr>
        <w:t xml:space="preserve"> - </w:t>
      </w:r>
      <w:r w:rsidRPr="00EF2E28">
        <w:rPr>
          <w:rFonts w:asciiTheme="minorBidi" w:hAnsiTheme="minorBidi"/>
        </w:rPr>
        <w:t>from madness and medicine to prisons, sexuality, governance, and subjectivity (Foucault, 1982; 1991; 2020)</w:t>
      </w:r>
      <w:r w:rsidR="001B1640" w:rsidRPr="005F030F">
        <w:rPr>
          <w:rFonts w:asciiTheme="minorBidi" w:hAnsiTheme="minorBidi"/>
        </w:rPr>
        <w:t xml:space="preserve"> - </w:t>
      </w:r>
      <w:r w:rsidRPr="00EF2E28">
        <w:rPr>
          <w:rFonts w:asciiTheme="minorBidi" w:hAnsiTheme="minorBidi"/>
        </w:rPr>
        <w:t xml:space="preserve">has led to critiques that his work lacks a unified methodological framework. His complex writing style, combined with a broad and shifting conception of discourse, makes his ideas difficult to interpret and apply (Arribas-Ayllon </w:t>
      </w:r>
      <w:r w:rsidR="00A0529A" w:rsidRPr="005F030F">
        <w:rPr>
          <w:rFonts w:asciiTheme="minorBidi" w:hAnsiTheme="minorBidi"/>
        </w:rPr>
        <w:t>and</w:t>
      </w:r>
      <w:r w:rsidRPr="00EF2E28">
        <w:rPr>
          <w:rFonts w:asciiTheme="minorBidi" w:hAnsiTheme="minorBidi"/>
        </w:rPr>
        <w:t xml:space="preserve"> Walkerdine, 2017). In response to these challenges, several frameworks of FDA </w:t>
      </w:r>
      <w:r w:rsidRPr="00EF2E28">
        <w:rPr>
          <w:rFonts w:asciiTheme="minorBidi" w:hAnsiTheme="minorBidi"/>
        </w:rPr>
        <w:lastRenderedPageBreak/>
        <w:t xml:space="preserve">have been developed to help researchers operationalise his concepts (Parker, 1992; Arribas-Ayllon </w:t>
      </w:r>
      <w:r w:rsidR="001B1640" w:rsidRPr="005F030F">
        <w:rPr>
          <w:rFonts w:asciiTheme="minorBidi" w:hAnsiTheme="minorBidi"/>
        </w:rPr>
        <w:t>and</w:t>
      </w:r>
      <w:r w:rsidRPr="00EF2E28">
        <w:rPr>
          <w:rFonts w:asciiTheme="minorBidi" w:hAnsiTheme="minorBidi"/>
        </w:rPr>
        <w:t xml:space="preserve"> Walkerdine, 2017; Kendall </w:t>
      </w:r>
      <w:r w:rsidR="001B1640" w:rsidRPr="005F030F">
        <w:rPr>
          <w:rFonts w:asciiTheme="minorBidi" w:hAnsiTheme="minorBidi"/>
        </w:rPr>
        <w:t>and</w:t>
      </w:r>
      <w:r w:rsidRPr="00EF2E28">
        <w:rPr>
          <w:rFonts w:asciiTheme="minorBidi" w:hAnsiTheme="minorBidi"/>
        </w:rPr>
        <w:t xml:space="preserve"> Wickham, 1999).</w:t>
      </w:r>
    </w:p>
    <w:p w14:paraId="1E334E55" w14:textId="77777777" w:rsidR="00A0529A" w:rsidRPr="00EF2E28" w:rsidRDefault="00A0529A" w:rsidP="00A0529A">
      <w:pPr>
        <w:spacing w:after="0" w:line="360" w:lineRule="auto"/>
        <w:rPr>
          <w:rFonts w:asciiTheme="minorBidi" w:hAnsiTheme="minorBidi"/>
        </w:rPr>
      </w:pPr>
    </w:p>
    <w:p w14:paraId="6AA7D8EE" w14:textId="341897EF" w:rsidR="00EF2E28" w:rsidRPr="005F030F" w:rsidRDefault="00EF2E28" w:rsidP="00A0529A">
      <w:pPr>
        <w:spacing w:after="0" w:line="360" w:lineRule="auto"/>
        <w:rPr>
          <w:rFonts w:asciiTheme="minorBidi" w:hAnsiTheme="minorBidi"/>
        </w:rPr>
      </w:pPr>
      <w:r w:rsidRPr="00EF2E28">
        <w:rPr>
          <w:rFonts w:asciiTheme="minorBidi" w:hAnsiTheme="minorBidi"/>
        </w:rPr>
        <w:t>In selecting an appropriate framework for this study, it became clear that Parker’s (1992) twenty-step model is overly complex and primarily oriented toward therapeutic or clinical contexts, rather than sociological or institutional discourse. Similarly, the model proposed by Arribas-Ayllon and Walkerdine (2017) focuses on identity and emotional subjectivity within clinical settings. Their approach emphasises the construction of individual subjectivity within a single discourse field, rather than comparing discursive constructions such as schools navigating EWC and Estyn requirements within ITE partnerships.</w:t>
      </w:r>
    </w:p>
    <w:p w14:paraId="0288C63A" w14:textId="77777777" w:rsidR="00A0529A" w:rsidRPr="00EF2E28" w:rsidRDefault="00A0529A" w:rsidP="00A0529A">
      <w:pPr>
        <w:spacing w:after="0" w:line="360" w:lineRule="auto"/>
        <w:rPr>
          <w:rFonts w:asciiTheme="minorBidi" w:hAnsiTheme="minorBidi"/>
        </w:rPr>
      </w:pPr>
    </w:p>
    <w:p w14:paraId="443A2429" w14:textId="78D3C338" w:rsidR="00EF2E28" w:rsidRPr="00EF2E28" w:rsidRDefault="00EF2E28" w:rsidP="00A0529A">
      <w:pPr>
        <w:spacing w:after="0" w:line="360" w:lineRule="auto"/>
        <w:rPr>
          <w:rFonts w:asciiTheme="minorBidi" w:hAnsiTheme="minorBidi"/>
        </w:rPr>
      </w:pPr>
      <w:r w:rsidRPr="00EF2E28">
        <w:rPr>
          <w:rFonts w:asciiTheme="minorBidi" w:hAnsiTheme="minorBidi"/>
        </w:rPr>
        <w:t>Given this study’s focus on how headteachers and mentors discuss accountability, inspection, and their roles in ITE partnerships, the most suitable FDA framework is that of Kendall and Wickham (1999). Their approach supports a close examination of institutional talk and the implicit rules, pressures, and expectations that shape professional practice. It also provides the tools to move beyond surface-level statements, helping to uncover the power relations, assumptions, and discursive norms that structure what individuals say</w:t>
      </w:r>
      <w:r w:rsidRPr="005F030F">
        <w:rPr>
          <w:rFonts w:asciiTheme="minorBidi" w:hAnsiTheme="minorBidi"/>
        </w:rPr>
        <w:t xml:space="preserve"> </w:t>
      </w:r>
      <w:r w:rsidRPr="00EF2E28">
        <w:rPr>
          <w:rFonts w:asciiTheme="minorBidi" w:hAnsiTheme="minorBidi"/>
        </w:rPr>
        <w:t>and think</w:t>
      </w:r>
      <w:r w:rsidRPr="005F030F">
        <w:rPr>
          <w:rFonts w:asciiTheme="minorBidi" w:hAnsiTheme="minorBidi"/>
        </w:rPr>
        <w:t xml:space="preserve"> </w:t>
      </w:r>
      <w:r w:rsidRPr="00EF2E28">
        <w:rPr>
          <w:rFonts w:asciiTheme="minorBidi" w:hAnsiTheme="minorBidi"/>
        </w:rPr>
        <w:t>about their roles and responsibilities within institutions.</w:t>
      </w:r>
      <w:r w:rsidR="00632AE4" w:rsidRPr="005F030F">
        <w:rPr>
          <w:rFonts w:asciiTheme="minorBidi" w:hAnsiTheme="minorBidi"/>
        </w:rPr>
        <w:t xml:space="preserve"> </w:t>
      </w:r>
    </w:p>
    <w:p w14:paraId="7EB9B04F" w14:textId="77777777" w:rsidR="00FC5433" w:rsidRPr="005F030F" w:rsidRDefault="00FC5433" w:rsidP="006D58C2">
      <w:pPr>
        <w:spacing w:line="360" w:lineRule="auto"/>
        <w:rPr>
          <w:rFonts w:asciiTheme="minorBidi" w:hAnsiTheme="minorBidi"/>
        </w:rPr>
      </w:pPr>
    </w:p>
    <w:p w14:paraId="10A42575" w14:textId="4DC7B6D5" w:rsidR="00BB7D6B" w:rsidRPr="005F030F" w:rsidRDefault="00A0529A" w:rsidP="00A0529A">
      <w:pPr>
        <w:pStyle w:val="Heading2"/>
        <w:rPr>
          <w:rFonts w:asciiTheme="minorBidi" w:hAnsiTheme="minorBidi" w:cstheme="minorBidi"/>
        </w:rPr>
      </w:pPr>
      <w:bookmarkStart w:id="13" w:name="_Toc196824674"/>
      <w:r w:rsidRPr="005F030F">
        <w:rPr>
          <w:rFonts w:asciiTheme="minorBidi" w:hAnsiTheme="minorBidi" w:cstheme="minorBidi"/>
        </w:rPr>
        <w:t>Kendall and Wickham’s (1999) Five Step FDA Approach</w:t>
      </w:r>
      <w:bookmarkEnd w:id="13"/>
    </w:p>
    <w:p w14:paraId="412768D6" w14:textId="77777777" w:rsidR="00D870F0" w:rsidRPr="005F030F" w:rsidRDefault="00D870F0" w:rsidP="00D870F0">
      <w:pPr>
        <w:spacing w:after="0" w:line="360" w:lineRule="auto"/>
        <w:rPr>
          <w:rFonts w:asciiTheme="minorBidi" w:hAnsiTheme="minorBidi"/>
        </w:rPr>
      </w:pPr>
    </w:p>
    <w:p w14:paraId="785ACF5A" w14:textId="52D03529" w:rsidR="002951B6" w:rsidRPr="005F030F" w:rsidRDefault="00BD4F77" w:rsidP="00BD4F77">
      <w:pPr>
        <w:spacing w:after="0" w:line="360" w:lineRule="auto"/>
        <w:rPr>
          <w:rFonts w:asciiTheme="minorBidi" w:hAnsiTheme="minorBidi"/>
        </w:rPr>
      </w:pPr>
      <w:r w:rsidRPr="005F030F">
        <w:rPr>
          <w:rFonts w:asciiTheme="minorBidi" w:hAnsiTheme="minorBidi"/>
        </w:rPr>
        <w:t>An adaptation of Kendall and Wickham’s (1999) five-step FDA model is presented below. Notably, it builds on Evans’ (2023) adaptation of Willig’s six-stage FDA model by categorizing the steps, descriptions, and their relevance to the research questions.</w:t>
      </w:r>
      <w:r w:rsidR="005E69CD" w:rsidRPr="005F030F">
        <w:rPr>
          <w:rFonts w:asciiTheme="minorBidi" w:hAnsiTheme="minorBidi"/>
        </w:rPr>
        <w:t xml:space="preserve"> </w:t>
      </w:r>
    </w:p>
    <w:p w14:paraId="083FD9C4" w14:textId="77777777" w:rsidR="00BD4F77" w:rsidRPr="005F030F" w:rsidRDefault="00BD4F77" w:rsidP="00BD4F77">
      <w:pPr>
        <w:spacing w:after="0" w:line="360" w:lineRule="auto"/>
        <w:rPr>
          <w:rFonts w:asciiTheme="minorBidi" w:hAnsiTheme="minorBidi"/>
        </w:rPr>
      </w:pPr>
    </w:p>
    <w:tbl>
      <w:tblPr>
        <w:tblStyle w:val="TableGrid"/>
        <w:tblW w:w="0" w:type="auto"/>
        <w:tblLook w:val="04A0" w:firstRow="1" w:lastRow="0" w:firstColumn="1" w:lastColumn="0" w:noHBand="0" w:noVBand="1"/>
      </w:tblPr>
      <w:tblGrid>
        <w:gridCol w:w="3080"/>
        <w:gridCol w:w="3081"/>
        <w:gridCol w:w="3081"/>
      </w:tblGrid>
      <w:tr w:rsidR="009D0AE0" w:rsidRPr="005F030F" w14:paraId="037019D2" w14:textId="77777777" w:rsidTr="00A37262">
        <w:tc>
          <w:tcPr>
            <w:tcW w:w="3080" w:type="dxa"/>
          </w:tcPr>
          <w:p w14:paraId="10D7CF90" w14:textId="2139C72D" w:rsidR="009D0AE0" w:rsidRPr="005F030F" w:rsidRDefault="009D0AE0" w:rsidP="009D0AE0">
            <w:pPr>
              <w:spacing w:line="360" w:lineRule="auto"/>
              <w:rPr>
                <w:rFonts w:asciiTheme="minorBidi" w:hAnsiTheme="minorBidi"/>
                <w:b/>
                <w:bCs/>
              </w:rPr>
            </w:pPr>
            <w:r w:rsidRPr="005F030F">
              <w:rPr>
                <w:rFonts w:asciiTheme="minorBidi" w:hAnsiTheme="minorBidi"/>
                <w:b/>
                <w:bCs/>
              </w:rPr>
              <w:t>Steps</w:t>
            </w:r>
          </w:p>
        </w:tc>
        <w:tc>
          <w:tcPr>
            <w:tcW w:w="3081" w:type="dxa"/>
          </w:tcPr>
          <w:p w14:paraId="42427671" w14:textId="7A77F0E7" w:rsidR="009D0AE0" w:rsidRPr="005F030F" w:rsidRDefault="005417D9" w:rsidP="00D870F0">
            <w:pPr>
              <w:spacing w:line="360" w:lineRule="auto"/>
              <w:rPr>
                <w:rFonts w:asciiTheme="minorBidi" w:hAnsiTheme="minorBidi"/>
                <w:b/>
                <w:bCs/>
              </w:rPr>
            </w:pPr>
            <w:r w:rsidRPr="005F030F">
              <w:rPr>
                <w:rFonts w:asciiTheme="minorBidi" w:hAnsiTheme="minorBidi"/>
                <w:b/>
                <w:bCs/>
              </w:rPr>
              <w:t>Description</w:t>
            </w:r>
          </w:p>
        </w:tc>
        <w:tc>
          <w:tcPr>
            <w:tcW w:w="3081" w:type="dxa"/>
          </w:tcPr>
          <w:p w14:paraId="0AC6B08F" w14:textId="29C8D282" w:rsidR="009D0AE0" w:rsidRPr="005F030F" w:rsidRDefault="005417D9" w:rsidP="00D870F0">
            <w:pPr>
              <w:spacing w:line="360" w:lineRule="auto"/>
              <w:rPr>
                <w:rFonts w:asciiTheme="minorBidi" w:hAnsiTheme="minorBidi"/>
                <w:b/>
                <w:bCs/>
              </w:rPr>
            </w:pPr>
            <w:r w:rsidRPr="005F030F">
              <w:rPr>
                <w:rFonts w:asciiTheme="minorBidi" w:hAnsiTheme="minorBidi"/>
                <w:b/>
                <w:bCs/>
              </w:rPr>
              <w:t>Adaption to research questions</w:t>
            </w:r>
          </w:p>
        </w:tc>
      </w:tr>
      <w:tr w:rsidR="00A37262" w:rsidRPr="005F030F" w14:paraId="79EE934E" w14:textId="77777777" w:rsidTr="00A37262">
        <w:tc>
          <w:tcPr>
            <w:tcW w:w="3080" w:type="dxa"/>
          </w:tcPr>
          <w:p w14:paraId="30B610D5" w14:textId="77777777" w:rsidR="009D0AE0" w:rsidRPr="005F030F" w:rsidRDefault="009D0AE0" w:rsidP="005E69CD">
            <w:pPr>
              <w:pStyle w:val="ListParagraph"/>
              <w:numPr>
                <w:ilvl w:val="0"/>
                <w:numId w:val="29"/>
              </w:numPr>
              <w:rPr>
                <w:rFonts w:asciiTheme="minorBidi" w:hAnsiTheme="minorBidi"/>
              </w:rPr>
            </w:pPr>
            <w:r w:rsidRPr="005F030F">
              <w:rPr>
                <w:rFonts w:asciiTheme="minorBidi" w:hAnsiTheme="minorBidi"/>
              </w:rPr>
              <w:t>The recognition of a discourse as a corpus of statements whose organisation is regular and systematic</w:t>
            </w:r>
          </w:p>
          <w:p w14:paraId="39C4CB5B" w14:textId="694A89E7" w:rsidR="00A37262" w:rsidRPr="005F030F" w:rsidRDefault="00A37262" w:rsidP="005E69CD">
            <w:pPr>
              <w:rPr>
                <w:rFonts w:asciiTheme="minorBidi" w:hAnsiTheme="minorBidi"/>
              </w:rPr>
            </w:pPr>
          </w:p>
        </w:tc>
        <w:tc>
          <w:tcPr>
            <w:tcW w:w="3081" w:type="dxa"/>
          </w:tcPr>
          <w:p w14:paraId="4DBA438A" w14:textId="4C340A9B" w:rsidR="00A37262" w:rsidRPr="005F030F" w:rsidRDefault="007E3CBB" w:rsidP="005E69CD">
            <w:pPr>
              <w:rPr>
                <w:rFonts w:asciiTheme="minorBidi" w:hAnsiTheme="minorBidi"/>
              </w:rPr>
            </w:pPr>
            <w:r w:rsidRPr="005F030F">
              <w:rPr>
                <w:rFonts w:asciiTheme="minorBidi" w:hAnsiTheme="minorBidi"/>
              </w:rPr>
              <w:t>The</w:t>
            </w:r>
            <w:r w:rsidR="000E6492" w:rsidRPr="00654797">
              <w:rPr>
                <w:rFonts w:asciiTheme="minorBidi" w:hAnsiTheme="minorBidi"/>
              </w:rPr>
              <w:t xml:space="preserve"> dominant ways of speaking and thinking about a topic.</w:t>
            </w:r>
          </w:p>
        </w:tc>
        <w:tc>
          <w:tcPr>
            <w:tcW w:w="3081" w:type="dxa"/>
          </w:tcPr>
          <w:p w14:paraId="799955CF" w14:textId="77777777" w:rsidR="00530490" w:rsidRPr="005F030F" w:rsidRDefault="007E3CBB" w:rsidP="005E69CD">
            <w:pPr>
              <w:rPr>
                <w:rFonts w:asciiTheme="minorBidi" w:hAnsiTheme="minorBidi"/>
              </w:rPr>
            </w:pPr>
            <w:r w:rsidRPr="005F030F">
              <w:rPr>
                <w:rFonts w:asciiTheme="minorBidi" w:hAnsiTheme="minorBidi"/>
              </w:rPr>
              <w:t xml:space="preserve">How </w:t>
            </w:r>
            <w:r w:rsidR="00200EC2" w:rsidRPr="005F030F">
              <w:rPr>
                <w:rFonts w:asciiTheme="minorBidi" w:hAnsiTheme="minorBidi"/>
              </w:rPr>
              <w:t>are the matters of</w:t>
            </w:r>
            <w:r w:rsidRPr="005F030F">
              <w:rPr>
                <w:rFonts w:asciiTheme="minorBidi" w:hAnsiTheme="minorBidi"/>
              </w:rPr>
              <w:t xml:space="preserve"> joint accountability, inspection</w:t>
            </w:r>
            <w:r w:rsidR="00200EC2" w:rsidRPr="005F030F">
              <w:rPr>
                <w:rFonts w:asciiTheme="minorBidi" w:hAnsiTheme="minorBidi"/>
              </w:rPr>
              <w:t xml:space="preserve"> and partnership discussed in interviews with Senior Leaders and Class Mentors?</w:t>
            </w:r>
            <w:r w:rsidR="00530490" w:rsidRPr="005F030F">
              <w:rPr>
                <w:rFonts w:asciiTheme="minorBidi" w:hAnsiTheme="minorBidi"/>
              </w:rPr>
              <w:t xml:space="preserve"> </w:t>
            </w:r>
          </w:p>
          <w:p w14:paraId="1BE5A49E" w14:textId="77777777" w:rsidR="00530490" w:rsidRPr="005F030F" w:rsidRDefault="00530490" w:rsidP="005E69CD">
            <w:pPr>
              <w:rPr>
                <w:rFonts w:asciiTheme="minorBidi" w:hAnsiTheme="minorBidi"/>
              </w:rPr>
            </w:pPr>
          </w:p>
          <w:p w14:paraId="7DBDEB08" w14:textId="1F224EB3" w:rsidR="00A37262" w:rsidRPr="005F030F" w:rsidRDefault="00530490" w:rsidP="005E69CD">
            <w:pPr>
              <w:rPr>
                <w:rFonts w:asciiTheme="minorBidi" w:hAnsiTheme="minorBidi"/>
              </w:rPr>
            </w:pPr>
            <w:r w:rsidRPr="005F030F">
              <w:rPr>
                <w:rFonts w:asciiTheme="minorBidi" w:hAnsiTheme="minorBidi"/>
              </w:rPr>
              <w:t xml:space="preserve">What key terms / phrases are used? </w:t>
            </w:r>
            <w:r w:rsidR="00200EC2" w:rsidRPr="005F030F">
              <w:rPr>
                <w:rFonts w:asciiTheme="minorBidi" w:hAnsiTheme="minorBidi"/>
              </w:rPr>
              <w:t xml:space="preserve"> </w:t>
            </w:r>
          </w:p>
        </w:tc>
      </w:tr>
      <w:tr w:rsidR="00A37262" w:rsidRPr="005F030F" w14:paraId="76030B8D" w14:textId="77777777" w:rsidTr="00A37262">
        <w:tc>
          <w:tcPr>
            <w:tcW w:w="3080" w:type="dxa"/>
          </w:tcPr>
          <w:p w14:paraId="5AC29D34" w14:textId="77777777" w:rsidR="009D0AE0" w:rsidRPr="005F030F" w:rsidRDefault="009D0AE0" w:rsidP="005E69CD">
            <w:pPr>
              <w:pStyle w:val="ListParagraph"/>
              <w:numPr>
                <w:ilvl w:val="0"/>
                <w:numId w:val="29"/>
              </w:numPr>
              <w:rPr>
                <w:rFonts w:asciiTheme="minorBidi" w:hAnsiTheme="minorBidi"/>
              </w:rPr>
            </w:pPr>
            <w:r w:rsidRPr="005F030F">
              <w:rPr>
                <w:rFonts w:asciiTheme="minorBidi" w:hAnsiTheme="minorBidi"/>
              </w:rPr>
              <w:t>Identification of rules of the production of statements</w:t>
            </w:r>
          </w:p>
          <w:p w14:paraId="50960BD9" w14:textId="77777777" w:rsidR="00A37262" w:rsidRPr="005F030F" w:rsidRDefault="00A37262" w:rsidP="005E69CD">
            <w:pPr>
              <w:rPr>
                <w:rFonts w:asciiTheme="minorBidi" w:hAnsiTheme="minorBidi"/>
              </w:rPr>
            </w:pPr>
          </w:p>
        </w:tc>
        <w:tc>
          <w:tcPr>
            <w:tcW w:w="3081" w:type="dxa"/>
          </w:tcPr>
          <w:p w14:paraId="27516F0E" w14:textId="2CC58DE7" w:rsidR="00A37262" w:rsidRPr="005F030F" w:rsidRDefault="00200EC2" w:rsidP="005E69CD">
            <w:pPr>
              <w:rPr>
                <w:rFonts w:asciiTheme="minorBidi" w:hAnsiTheme="minorBidi"/>
              </w:rPr>
            </w:pPr>
            <w:r w:rsidRPr="005F030F">
              <w:rPr>
                <w:rFonts w:asciiTheme="minorBidi" w:hAnsiTheme="minorBidi"/>
              </w:rPr>
              <w:t>T</w:t>
            </w:r>
            <w:r w:rsidR="000E6492" w:rsidRPr="00654797">
              <w:rPr>
                <w:rFonts w:asciiTheme="minorBidi" w:hAnsiTheme="minorBidi"/>
              </w:rPr>
              <w:t>he rules that govern what can be said and thought.</w:t>
            </w:r>
          </w:p>
        </w:tc>
        <w:tc>
          <w:tcPr>
            <w:tcW w:w="3081" w:type="dxa"/>
          </w:tcPr>
          <w:p w14:paraId="3388F3E6" w14:textId="77777777" w:rsidR="00C460CA" w:rsidRPr="005F030F" w:rsidRDefault="00200EC2" w:rsidP="005E69CD">
            <w:pPr>
              <w:rPr>
                <w:rFonts w:asciiTheme="minorBidi" w:hAnsiTheme="minorBidi"/>
              </w:rPr>
            </w:pPr>
            <w:r w:rsidRPr="005F030F">
              <w:rPr>
                <w:rFonts w:asciiTheme="minorBidi" w:hAnsiTheme="minorBidi"/>
              </w:rPr>
              <w:t xml:space="preserve">Are there expectations about what can be said about these </w:t>
            </w:r>
            <w:r w:rsidR="00E94393" w:rsidRPr="005F030F">
              <w:rPr>
                <w:rFonts w:asciiTheme="minorBidi" w:hAnsiTheme="minorBidi"/>
              </w:rPr>
              <w:t xml:space="preserve">topics in the SSIs? </w:t>
            </w:r>
          </w:p>
          <w:p w14:paraId="5CAE157D" w14:textId="77777777" w:rsidR="00C460CA" w:rsidRPr="005F030F" w:rsidRDefault="00C460CA" w:rsidP="005E69CD">
            <w:pPr>
              <w:rPr>
                <w:rFonts w:asciiTheme="minorBidi" w:hAnsiTheme="minorBidi"/>
              </w:rPr>
            </w:pPr>
          </w:p>
          <w:p w14:paraId="6E3D59FB" w14:textId="77777777" w:rsidR="00127D42" w:rsidRPr="005F030F" w:rsidRDefault="00ED42B6" w:rsidP="001A2D08">
            <w:pPr>
              <w:rPr>
                <w:rFonts w:asciiTheme="minorBidi" w:hAnsiTheme="minorBidi"/>
              </w:rPr>
            </w:pPr>
            <w:r w:rsidRPr="005F030F">
              <w:rPr>
                <w:rFonts w:asciiTheme="minorBidi" w:hAnsiTheme="minorBidi"/>
              </w:rPr>
              <w:t xml:space="preserve">Are </w:t>
            </w:r>
            <w:r w:rsidR="00C460CA" w:rsidRPr="005F030F">
              <w:rPr>
                <w:rFonts w:asciiTheme="minorBidi" w:hAnsiTheme="minorBidi"/>
              </w:rPr>
              <w:t>metaphors,</w:t>
            </w:r>
            <w:r w:rsidR="001A2D08" w:rsidRPr="005F030F">
              <w:rPr>
                <w:rFonts w:asciiTheme="minorBidi" w:hAnsiTheme="minorBidi"/>
              </w:rPr>
              <w:t xml:space="preserve"> </w:t>
            </w:r>
            <w:r w:rsidR="00C460CA" w:rsidRPr="005F030F">
              <w:rPr>
                <w:rFonts w:asciiTheme="minorBidi" w:hAnsiTheme="minorBidi"/>
              </w:rPr>
              <w:lastRenderedPageBreak/>
              <w:t>generalizations used (and in what way?)</w:t>
            </w:r>
          </w:p>
          <w:p w14:paraId="7A1E4326" w14:textId="2C21D145" w:rsidR="001A2D08" w:rsidRPr="005F030F" w:rsidRDefault="001A2D08" w:rsidP="001A2D08">
            <w:pPr>
              <w:rPr>
                <w:rFonts w:asciiTheme="minorBidi" w:hAnsiTheme="minorBidi"/>
              </w:rPr>
            </w:pPr>
          </w:p>
        </w:tc>
      </w:tr>
      <w:tr w:rsidR="00A37262" w:rsidRPr="005F030F" w14:paraId="55A0ABD7" w14:textId="77777777" w:rsidTr="00A37262">
        <w:tc>
          <w:tcPr>
            <w:tcW w:w="3080" w:type="dxa"/>
          </w:tcPr>
          <w:p w14:paraId="5ED27DAF" w14:textId="77777777" w:rsidR="009D0AE0" w:rsidRPr="005F030F" w:rsidRDefault="009D0AE0" w:rsidP="005E69CD">
            <w:pPr>
              <w:pStyle w:val="ListParagraph"/>
              <w:numPr>
                <w:ilvl w:val="0"/>
                <w:numId w:val="29"/>
              </w:numPr>
              <w:rPr>
                <w:rFonts w:asciiTheme="minorBidi" w:hAnsiTheme="minorBidi"/>
              </w:rPr>
            </w:pPr>
            <w:r w:rsidRPr="005F030F">
              <w:rPr>
                <w:rFonts w:asciiTheme="minorBidi" w:hAnsiTheme="minorBidi"/>
              </w:rPr>
              <w:lastRenderedPageBreak/>
              <w:t>The identification of rules that delimit the sayable (which of course are never rules of closure)</w:t>
            </w:r>
          </w:p>
          <w:p w14:paraId="6DDF1F13" w14:textId="77777777" w:rsidR="00A37262" w:rsidRPr="005F030F" w:rsidRDefault="00A37262" w:rsidP="005E69CD">
            <w:pPr>
              <w:rPr>
                <w:rFonts w:asciiTheme="minorBidi" w:hAnsiTheme="minorBidi"/>
              </w:rPr>
            </w:pPr>
          </w:p>
        </w:tc>
        <w:tc>
          <w:tcPr>
            <w:tcW w:w="3081" w:type="dxa"/>
          </w:tcPr>
          <w:p w14:paraId="23B809AD" w14:textId="3E015C78" w:rsidR="00A37262" w:rsidRPr="005F030F" w:rsidRDefault="00AE2ADE" w:rsidP="005E69CD">
            <w:pPr>
              <w:rPr>
                <w:rFonts w:asciiTheme="minorBidi" w:hAnsiTheme="minorBidi"/>
              </w:rPr>
            </w:pPr>
            <w:r w:rsidRPr="005F030F">
              <w:rPr>
                <w:rFonts w:asciiTheme="minorBidi" w:hAnsiTheme="minorBidi"/>
              </w:rPr>
              <w:t>I</w:t>
            </w:r>
            <w:r w:rsidR="00223D89" w:rsidRPr="005F030F">
              <w:rPr>
                <w:rFonts w:asciiTheme="minorBidi" w:hAnsiTheme="minorBidi"/>
              </w:rPr>
              <w:t>dentif</w:t>
            </w:r>
            <w:r w:rsidRPr="005F030F">
              <w:rPr>
                <w:rFonts w:asciiTheme="minorBidi" w:hAnsiTheme="minorBidi"/>
              </w:rPr>
              <w:t>ies</w:t>
            </w:r>
            <w:r w:rsidR="00223D89" w:rsidRPr="005F030F">
              <w:rPr>
                <w:rFonts w:asciiTheme="minorBidi" w:hAnsiTheme="minorBidi"/>
              </w:rPr>
              <w:t xml:space="preserve"> the limits of discourse—what is acceptable to say, what is left unsaid, and what is silenced in the interviews</w:t>
            </w:r>
          </w:p>
        </w:tc>
        <w:tc>
          <w:tcPr>
            <w:tcW w:w="3081" w:type="dxa"/>
          </w:tcPr>
          <w:p w14:paraId="5C1D1A4E" w14:textId="77777777" w:rsidR="00AE2ADE" w:rsidRPr="005F030F" w:rsidRDefault="00644F13" w:rsidP="005E69CD">
            <w:pPr>
              <w:rPr>
                <w:rFonts w:asciiTheme="minorBidi" w:hAnsiTheme="minorBidi"/>
              </w:rPr>
            </w:pPr>
            <w:r w:rsidRPr="005F030F">
              <w:rPr>
                <w:rFonts w:asciiTheme="minorBidi" w:hAnsiTheme="minorBidi"/>
              </w:rPr>
              <w:t>A</w:t>
            </w:r>
            <w:r w:rsidR="00223D89" w:rsidRPr="005F030F">
              <w:rPr>
                <w:rFonts w:asciiTheme="minorBidi" w:hAnsiTheme="minorBidi"/>
              </w:rPr>
              <w:t>re there certain topics or perspectives that participants avoid discussing?</w:t>
            </w:r>
          </w:p>
          <w:p w14:paraId="5447D1A9" w14:textId="77777777" w:rsidR="00AE2ADE" w:rsidRPr="005F030F" w:rsidRDefault="00AE2ADE" w:rsidP="005E69CD">
            <w:pPr>
              <w:rPr>
                <w:rFonts w:asciiTheme="minorBidi" w:hAnsiTheme="minorBidi"/>
              </w:rPr>
            </w:pPr>
          </w:p>
          <w:p w14:paraId="26B45779" w14:textId="121DC7B1" w:rsidR="00AE2ADE" w:rsidRPr="005F030F" w:rsidRDefault="00223D89" w:rsidP="005E69CD">
            <w:pPr>
              <w:rPr>
                <w:rFonts w:asciiTheme="minorBidi" w:hAnsiTheme="minorBidi"/>
              </w:rPr>
            </w:pPr>
            <w:r w:rsidRPr="005F030F">
              <w:rPr>
                <w:rFonts w:asciiTheme="minorBidi" w:hAnsiTheme="minorBidi"/>
              </w:rPr>
              <w:t>Do they hesitate or use more guarded language when speaking about external pressures (like inspections)</w:t>
            </w:r>
            <w:r w:rsidR="00AE2ADE" w:rsidRPr="005F030F">
              <w:rPr>
                <w:rFonts w:asciiTheme="minorBidi" w:hAnsiTheme="minorBidi"/>
              </w:rPr>
              <w:t>?</w:t>
            </w:r>
          </w:p>
          <w:p w14:paraId="6657E95E" w14:textId="6231DAA2" w:rsidR="00A37262" w:rsidRPr="005F030F" w:rsidRDefault="00696F45" w:rsidP="005E69CD">
            <w:pPr>
              <w:rPr>
                <w:rFonts w:asciiTheme="minorBidi" w:hAnsiTheme="minorBidi"/>
              </w:rPr>
            </w:pPr>
            <w:r w:rsidRPr="005F030F">
              <w:rPr>
                <w:rFonts w:asciiTheme="minorBidi" w:hAnsiTheme="minorBidi"/>
              </w:rPr>
              <w:t xml:space="preserve"> </w:t>
            </w:r>
          </w:p>
        </w:tc>
      </w:tr>
      <w:tr w:rsidR="00A37262" w:rsidRPr="005F030F" w14:paraId="602053CA" w14:textId="77777777" w:rsidTr="00A37262">
        <w:tc>
          <w:tcPr>
            <w:tcW w:w="3080" w:type="dxa"/>
          </w:tcPr>
          <w:p w14:paraId="5BD6CD84" w14:textId="77777777" w:rsidR="009D0AE0" w:rsidRPr="005F030F" w:rsidRDefault="009D0AE0" w:rsidP="005E69CD">
            <w:pPr>
              <w:pStyle w:val="ListParagraph"/>
              <w:numPr>
                <w:ilvl w:val="0"/>
                <w:numId w:val="29"/>
              </w:numPr>
              <w:rPr>
                <w:rFonts w:asciiTheme="minorBidi" w:hAnsiTheme="minorBidi"/>
              </w:rPr>
            </w:pPr>
            <w:r w:rsidRPr="005F030F">
              <w:rPr>
                <w:rFonts w:asciiTheme="minorBidi" w:hAnsiTheme="minorBidi"/>
              </w:rPr>
              <w:t>The identification of rules that create spaces in which new statements can be made</w:t>
            </w:r>
          </w:p>
          <w:p w14:paraId="0FED3824" w14:textId="77777777" w:rsidR="00A37262" w:rsidRPr="005F030F" w:rsidRDefault="00A37262" w:rsidP="005E69CD">
            <w:pPr>
              <w:rPr>
                <w:rFonts w:asciiTheme="minorBidi" w:hAnsiTheme="minorBidi"/>
              </w:rPr>
            </w:pPr>
          </w:p>
        </w:tc>
        <w:tc>
          <w:tcPr>
            <w:tcW w:w="3081" w:type="dxa"/>
          </w:tcPr>
          <w:p w14:paraId="1A8F792C" w14:textId="0BCE4F81" w:rsidR="00A37262" w:rsidRPr="005F030F" w:rsidRDefault="000A62FD" w:rsidP="005E69CD">
            <w:pPr>
              <w:rPr>
                <w:rFonts w:asciiTheme="minorBidi" w:hAnsiTheme="minorBidi"/>
              </w:rPr>
            </w:pPr>
            <w:r w:rsidRPr="005F030F">
              <w:rPr>
                <w:rFonts w:asciiTheme="minorBidi" w:hAnsiTheme="minorBidi"/>
              </w:rPr>
              <w:t>R</w:t>
            </w:r>
            <w:r w:rsidR="00363CA1" w:rsidRPr="005F030F">
              <w:rPr>
                <w:rFonts w:asciiTheme="minorBidi" w:hAnsiTheme="minorBidi"/>
              </w:rPr>
              <w:t xml:space="preserve">ecognizing moments when new ideas, perspectives, or alternatives </w:t>
            </w:r>
            <w:r w:rsidR="008C304D" w:rsidRPr="005F030F">
              <w:rPr>
                <w:rFonts w:asciiTheme="minorBidi" w:hAnsiTheme="minorBidi"/>
              </w:rPr>
              <w:t>are</w:t>
            </w:r>
            <w:r w:rsidR="00363CA1" w:rsidRPr="005F030F">
              <w:rPr>
                <w:rFonts w:asciiTheme="minorBidi" w:hAnsiTheme="minorBidi"/>
              </w:rPr>
              <w:t xml:space="preserve"> voiced, especially those that challenge the dominant discourse</w:t>
            </w:r>
            <w:r w:rsidR="008C304D" w:rsidRPr="005F030F">
              <w:rPr>
                <w:rFonts w:asciiTheme="minorBidi" w:hAnsiTheme="minorBidi"/>
              </w:rPr>
              <w:t>.</w:t>
            </w:r>
          </w:p>
        </w:tc>
        <w:tc>
          <w:tcPr>
            <w:tcW w:w="3081" w:type="dxa"/>
          </w:tcPr>
          <w:p w14:paraId="2FFE9794" w14:textId="77777777" w:rsidR="00A37262" w:rsidRPr="005F030F" w:rsidRDefault="008C304D" w:rsidP="005E69CD">
            <w:pPr>
              <w:rPr>
                <w:rFonts w:asciiTheme="minorBidi" w:hAnsiTheme="minorBidi"/>
              </w:rPr>
            </w:pPr>
            <w:r w:rsidRPr="005F030F">
              <w:rPr>
                <w:rFonts w:asciiTheme="minorBidi" w:hAnsiTheme="minorBidi"/>
              </w:rPr>
              <w:t>H</w:t>
            </w:r>
            <w:r w:rsidR="00363CA1" w:rsidRPr="005F030F">
              <w:rPr>
                <w:rFonts w:asciiTheme="minorBidi" w:hAnsiTheme="minorBidi"/>
              </w:rPr>
              <w:t xml:space="preserve">ow </w:t>
            </w:r>
            <w:r w:rsidRPr="005F030F">
              <w:rPr>
                <w:rFonts w:asciiTheme="minorBidi" w:hAnsiTheme="minorBidi"/>
              </w:rPr>
              <w:t xml:space="preserve">do </w:t>
            </w:r>
            <w:r w:rsidR="00363CA1" w:rsidRPr="005F030F">
              <w:rPr>
                <w:rFonts w:asciiTheme="minorBidi" w:hAnsiTheme="minorBidi"/>
              </w:rPr>
              <w:t xml:space="preserve">certain </w:t>
            </w:r>
            <w:r w:rsidRPr="005F030F">
              <w:rPr>
                <w:rFonts w:asciiTheme="minorBidi" w:hAnsiTheme="minorBidi"/>
              </w:rPr>
              <w:t>perspectives</w:t>
            </w:r>
            <w:r w:rsidR="00363CA1" w:rsidRPr="005F030F">
              <w:rPr>
                <w:rFonts w:asciiTheme="minorBidi" w:hAnsiTheme="minorBidi"/>
              </w:rPr>
              <w:t xml:space="preserve"> </w:t>
            </w:r>
            <w:r w:rsidRPr="005F030F">
              <w:rPr>
                <w:rFonts w:asciiTheme="minorBidi" w:hAnsiTheme="minorBidi"/>
              </w:rPr>
              <w:t>and</w:t>
            </w:r>
            <w:r w:rsidR="00363CA1" w:rsidRPr="005F030F">
              <w:rPr>
                <w:rFonts w:asciiTheme="minorBidi" w:hAnsiTheme="minorBidi"/>
              </w:rPr>
              <w:t xml:space="preserve"> new discourses emerge in the </w:t>
            </w:r>
            <w:r w:rsidRPr="005F030F">
              <w:rPr>
                <w:rFonts w:asciiTheme="minorBidi" w:hAnsiTheme="minorBidi"/>
              </w:rPr>
              <w:t>SSI</w:t>
            </w:r>
            <w:r w:rsidR="00D934E3" w:rsidRPr="005F030F">
              <w:rPr>
                <w:rFonts w:asciiTheme="minorBidi" w:hAnsiTheme="minorBidi"/>
              </w:rPr>
              <w:t>s</w:t>
            </w:r>
            <w:r w:rsidRPr="005F030F">
              <w:rPr>
                <w:rFonts w:asciiTheme="minorBidi" w:hAnsiTheme="minorBidi"/>
              </w:rPr>
              <w:t>?</w:t>
            </w:r>
            <w:r w:rsidR="00D934E3" w:rsidRPr="005F030F">
              <w:rPr>
                <w:rFonts w:asciiTheme="minorBidi" w:hAnsiTheme="minorBidi"/>
              </w:rPr>
              <w:t xml:space="preserve"> </w:t>
            </w:r>
          </w:p>
          <w:p w14:paraId="7835BB3E" w14:textId="77777777" w:rsidR="00D934E3" w:rsidRPr="005F030F" w:rsidRDefault="00D934E3" w:rsidP="005E69CD">
            <w:pPr>
              <w:rPr>
                <w:rFonts w:asciiTheme="minorBidi" w:hAnsiTheme="minorBidi"/>
              </w:rPr>
            </w:pPr>
          </w:p>
          <w:p w14:paraId="0D285A64" w14:textId="7ED041FF" w:rsidR="00D934E3" w:rsidRPr="005F030F" w:rsidRDefault="00B939D1" w:rsidP="005E69CD">
            <w:pPr>
              <w:rPr>
                <w:rFonts w:asciiTheme="minorBidi" w:hAnsiTheme="minorBidi"/>
              </w:rPr>
            </w:pPr>
            <w:r w:rsidRPr="005F030F">
              <w:rPr>
                <w:rFonts w:asciiTheme="minorBidi" w:hAnsiTheme="minorBidi"/>
              </w:rPr>
              <w:t>Do certain topics encourage participants to challenge the established discourse?</w:t>
            </w:r>
          </w:p>
        </w:tc>
      </w:tr>
      <w:tr w:rsidR="00A37262" w:rsidRPr="005F030F" w14:paraId="3B60B7E0" w14:textId="77777777" w:rsidTr="00A37262">
        <w:tc>
          <w:tcPr>
            <w:tcW w:w="3080" w:type="dxa"/>
          </w:tcPr>
          <w:p w14:paraId="0C5D1A42" w14:textId="77777777" w:rsidR="009D0AE0" w:rsidRPr="005F030F" w:rsidRDefault="009D0AE0" w:rsidP="005E69CD">
            <w:pPr>
              <w:pStyle w:val="ListParagraph"/>
              <w:numPr>
                <w:ilvl w:val="0"/>
                <w:numId w:val="29"/>
              </w:numPr>
              <w:rPr>
                <w:rFonts w:asciiTheme="minorBidi" w:hAnsiTheme="minorBidi"/>
              </w:rPr>
            </w:pPr>
            <w:r w:rsidRPr="005F030F">
              <w:rPr>
                <w:rFonts w:asciiTheme="minorBidi" w:hAnsiTheme="minorBidi"/>
              </w:rPr>
              <w:t>The identification of rules that ensure that practice is material and discursive at the same time</w:t>
            </w:r>
          </w:p>
          <w:p w14:paraId="533B65B1" w14:textId="77777777" w:rsidR="00A37262" w:rsidRPr="005F030F" w:rsidRDefault="00A37262" w:rsidP="005E69CD">
            <w:pPr>
              <w:rPr>
                <w:rFonts w:asciiTheme="minorBidi" w:hAnsiTheme="minorBidi"/>
              </w:rPr>
            </w:pPr>
          </w:p>
        </w:tc>
        <w:tc>
          <w:tcPr>
            <w:tcW w:w="3081" w:type="dxa"/>
          </w:tcPr>
          <w:p w14:paraId="6E63021E" w14:textId="21631E0D" w:rsidR="00A37262" w:rsidRPr="005F030F" w:rsidRDefault="006711B0" w:rsidP="005E69CD">
            <w:pPr>
              <w:rPr>
                <w:rFonts w:asciiTheme="minorBidi" w:hAnsiTheme="minorBidi"/>
              </w:rPr>
            </w:pPr>
            <w:r w:rsidRPr="005F030F">
              <w:rPr>
                <w:rFonts w:asciiTheme="minorBidi" w:hAnsiTheme="minorBidi"/>
              </w:rPr>
              <w:t>Identif</w:t>
            </w:r>
            <w:r w:rsidR="007E1972" w:rsidRPr="005F030F">
              <w:rPr>
                <w:rFonts w:asciiTheme="minorBidi" w:hAnsiTheme="minorBidi"/>
              </w:rPr>
              <w:t>ies</w:t>
            </w:r>
            <w:r w:rsidRPr="005F030F">
              <w:rPr>
                <w:rFonts w:asciiTheme="minorBidi" w:hAnsiTheme="minorBidi"/>
              </w:rPr>
              <w:t xml:space="preserve"> how</w:t>
            </w:r>
            <w:r w:rsidR="00875D7B" w:rsidRPr="005F030F">
              <w:rPr>
                <w:rFonts w:asciiTheme="minorBidi" w:hAnsiTheme="minorBidi"/>
              </w:rPr>
              <w:t xml:space="preserve"> discursive practices</w:t>
            </w:r>
            <w:r w:rsidRPr="005F030F">
              <w:rPr>
                <w:rFonts w:asciiTheme="minorBidi" w:hAnsiTheme="minorBidi"/>
              </w:rPr>
              <w:t xml:space="preserve"> </w:t>
            </w:r>
            <w:r w:rsidR="00875D7B" w:rsidRPr="005F030F">
              <w:rPr>
                <w:rFonts w:asciiTheme="minorBidi" w:hAnsiTheme="minorBidi"/>
              </w:rPr>
              <w:t>are linked to material practices</w:t>
            </w:r>
          </w:p>
          <w:p w14:paraId="47D91618" w14:textId="77777777" w:rsidR="00503718" w:rsidRPr="005F030F" w:rsidRDefault="00503718" w:rsidP="005E69CD">
            <w:pPr>
              <w:rPr>
                <w:rFonts w:asciiTheme="minorBidi" w:hAnsiTheme="minorBidi"/>
              </w:rPr>
            </w:pPr>
          </w:p>
          <w:p w14:paraId="28B91410" w14:textId="796EC63C" w:rsidR="00503718" w:rsidRPr="005F030F" w:rsidRDefault="00503718" w:rsidP="005E69CD">
            <w:pPr>
              <w:rPr>
                <w:rFonts w:asciiTheme="minorBidi" w:hAnsiTheme="minorBidi"/>
              </w:rPr>
            </w:pPr>
          </w:p>
        </w:tc>
        <w:tc>
          <w:tcPr>
            <w:tcW w:w="3081" w:type="dxa"/>
          </w:tcPr>
          <w:p w14:paraId="11A3B4A0" w14:textId="75714712" w:rsidR="00FC6F85" w:rsidRPr="005F030F" w:rsidRDefault="00FC6F85" w:rsidP="005E69CD">
            <w:pPr>
              <w:rPr>
                <w:rFonts w:asciiTheme="minorBidi" w:hAnsiTheme="minorBidi"/>
              </w:rPr>
            </w:pPr>
            <w:r w:rsidRPr="005F030F">
              <w:rPr>
                <w:rFonts w:asciiTheme="minorBidi" w:hAnsiTheme="minorBidi"/>
              </w:rPr>
              <w:t>H</w:t>
            </w:r>
            <w:r w:rsidRPr="005F030F">
              <w:rPr>
                <w:rFonts w:asciiTheme="minorBidi" w:hAnsiTheme="minorBidi"/>
              </w:rPr>
              <w:t xml:space="preserve">ow </w:t>
            </w:r>
            <w:r w:rsidRPr="005F030F">
              <w:rPr>
                <w:rFonts w:asciiTheme="minorBidi" w:hAnsiTheme="minorBidi"/>
              </w:rPr>
              <w:t xml:space="preserve">do </w:t>
            </w:r>
            <w:r w:rsidRPr="005F030F">
              <w:rPr>
                <w:rFonts w:asciiTheme="minorBidi" w:hAnsiTheme="minorBidi"/>
              </w:rPr>
              <w:t xml:space="preserve">the institutional discourse shape what headteachers and mentors </w:t>
            </w:r>
            <w:r w:rsidR="007E1972" w:rsidRPr="005F030F">
              <w:rPr>
                <w:rFonts w:asciiTheme="minorBidi" w:hAnsiTheme="minorBidi"/>
              </w:rPr>
              <w:t>enact</w:t>
            </w:r>
            <w:r w:rsidRPr="005F030F">
              <w:rPr>
                <w:rFonts w:asciiTheme="minorBidi" w:hAnsiTheme="minorBidi"/>
              </w:rPr>
              <w:t xml:space="preserve"> in their daily roles</w:t>
            </w:r>
            <w:r w:rsidRPr="005F030F">
              <w:rPr>
                <w:rFonts w:asciiTheme="minorBidi" w:hAnsiTheme="minorBidi"/>
              </w:rPr>
              <w:t xml:space="preserve">? </w:t>
            </w:r>
          </w:p>
          <w:p w14:paraId="6E1D69BF" w14:textId="77777777" w:rsidR="00FC6F85" w:rsidRPr="005F030F" w:rsidRDefault="00FC6F85" w:rsidP="005E69CD">
            <w:pPr>
              <w:rPr>
                <w:rFonts w:asciiTheme="minorBidi" w:hAnsiTheme="minorBidi"/>
              </w:rPr>
            </w:pPr>
          </w:p>
          <w:p w14:paraId="245976F0" w14:textId="7671F246" w:rsidR="005E69CD" w:rsidRPr="005F030F" w:rsidRDefault="006711B0" w:rsidP="005E69CD">
            <w:pPr>
              <w:rPr>
                <w:rFonts w:asciiTheme="minorBidi" w:hAnsiTheme="minorBidi"/>
              </w:rPr>
            </w:pPr>
            <w:r w:rsidRPr="005F030F">
              <w:rPr>
                <w:rFonts w:asciiTheme="minorBidi" w:hAnsiTheme="minorBidi"/>
              </w:rPr>
              <w:t xml:space="preserve">How do </w:t>
            </w:r>
            <w:r w:rsidRPr="005F030F">
              <w:rPr>
                <w:rFonts w:asciiTheme="minorBidi" w:hAnsiTheme="minorBidi"/>
              </w:rPr>
              <w:t xml:space="preserve">headteachers and mentors speak about making changes </w:t>
            </w:r>
            <w:r w:rsidR="001A2D08" w:rsidRPr="005F030F">
              <w:rPr>
                <w:rFonts w:asciiTheme="minorBidi" w:hAnsiTheme="minorBidi"/>
              </w:rPr>
              <w:t>to</w:t>
            </w:r>
            <w:r w:rsidRPr="005F030F">
              <w:rPr>
                <w:rFonts w:asciiTheme="minorBidi" w:hAnsiTheme="minorBidi"/>
              </w:rPr>
              <w:t xml:space="preserve"> their practices</w:t>
            </w:r>
            <w:r w:rsidR="005E69CD" w:rsidRPr="005F030F">
              <w:rPr>
                <w:rFonts w:asciiTheme="minorBidi" w:hAnsiTheme="minorBidi"/>
              </w:rPr>
              <w:t>?</w:t>
            </w:r>
          </w:p>
          <w:p w14:paraId="5F437EB4" w14:textId="0C686A7C" w:rsidR="00A37262" w:rsidRPr="005F030F" w:rsidRDefault="00A37262" w:rsidP="005E69CD">
            <w:pPr>
              <w:rPr>
                <w:rFonts w:asciiTheme="minorBidi" w:hAnsiTheme="minorBidi"/>
              </w:rPr>
            </w:pPr>
          </w:p>
        </w:tc>
      </w:tr>
    </w:tbl>
    <w:p w14:paraId="013061B9" w14:textId="77777777" w:rsidR="00A37262" w:rsidRPr="005F030F" w:rsidRDefault="00A37262" w:rsidP="00D870F0">
      <w:pPr>
        <w:spacing w:after="0" w:line="360" w:lineRule="auto"/>
        <w:rPr>
          <w:rFonts w:asciiTheme="minorBidi" w:hAnsiTheme="minorBidi"/>
        </w:rPr>
      </w:pPr>
    </w:p>
    <w:p w14:paraId="6DBED2C1" w14:textId="2DC2EBB1" w:rsidR="002951B6" w:rsidRPr="005F030F" w:rsidRDefault="002951B6" w:rsidP="002951B6">
      <w:pPr>
        <w:spacing w:after="0" w:line="360" w:lineRule="auto"/>
        <w:rPr>
          <w:rFonts w:asciiTheme="minorBidi" w:hAnsiTheme="minorBidi"/>
          <w:i/>
          <w:iCs/>
          <w:sz w:val="20"/>
          <w:szCs w:val="20"/>
        </w:rPr>
      </w:pPr>
      <w:r w:rsidRPr="005F030F">
        <w:rPr>
          <w:rFonts w:asciiTheme="minorBidi" w:hAnsiTheme="minorBidi"/>
          <w:i/>
          <w:iCs/>
          <w:sz w:val="20"/>
          <w:szCs w:val="20"/>
        </w:rPr>
        <w:t>Table 1: A</w:t>
      </w:r>
      <w:r w:rsidRPr="005F030F">
        <w:rPr>
          <w:rFonts w:asciiTheme="minorBidi" w:hAnsiTheme="minorBidi"/>
          <w:i/>
          <w:iCs/>
          <w:sz w:val="20"/>
          <w:szCs w:val="20"/>
        </w:rPr>
        <w:t>dapt</w:t>
      </w:r>
      <w:r w:rsidRPr="005F030F">
        <w:rPr>
          <w:rFonts w:asciiTheme="minorBidi" w:hAnsiTheme="minorBidi"/>
          <w:i/>
          <w:iCs/>
          <w:sz w:val="20"/>
          <w:szCs w:val="20"/>
        </w:rPr>
        <w:t>ion</w:t>
      </w:r>
      <w:r w:rsidRPr="005F030F">
        <w:rPr>
          <w:rFonts w:asciiTheme="minorBidi" w:hAnsiTheme="minorBidi"/>
          <w:i/>
          <w:iCs/>
          <w:sz w:val="20"/>
          <w:szCs w:val="20"/>
        </w:rPr>
        <w:t xml:space="preserve"> from Kendall and Wickham</w:t>
      </w:r>
      <w:r w:rsidR="005417D9" w:rsidRPr="005F030F">
        <w:rPr>
          <w:rFonts w:asciiTheme="minorBidi" w:hAnsiTheme="minorBidi"/>
          <w:i/>
          <w:iCs/>
          <w:sz w:val="20"/>
          <w:szCs w:val="20"/>
        </w:rPr>
        <w:t>’s Five Stage FDA</w:t>
      </w:r>
      <w:r w:rsidRPr="005F030F">
        <w:rPr>
          <w:rFonts w:asciiTheme="minorBidi" w:hAnsiTheme="minorBidi"/>
          <w:i/>
          <w:iCs/>
          <w:sz w:val="20"/>
          <w:szCs w:val="20"/>
        </w:rPr>
        <w:t xml:space="preserve"> (1999, p.42)</w:t>
      </w:r>
      <w:r w:rsidR="005417D9" w:rsidRPr="005F030F">
        <w:rPr>
          <w:rFonts w:asciiTheme="minorBidi" w:hAnsiTheme="minorBidi"/>
          <w:i/>
          <w:iCs/>
          <w:sz w:val="20"/>
          <w:szCs w:val="20"/>
        </w:rPr>
        <w:t xml:space="preserve"> and Evans (2023)</w:t>
      </w:r>
      <w:r w:rsidR="00843C8C" w:rsidRPr="005F030F">
        <w:rPr>
          <w:rFonts w:asciiTheme="minorBidi" w:hAnsiTheme="minorBidi"/>
          <w:i/>
          <w:iCs/>
          <w:sz w:val="20"/>
          <w:szCs w:val="20"/>
        </w:rPr>
        <w:t xml:space="preserve"> table of Willig’s (2008), Six-Stage FDA</w:t>
      </w:r>
    </w:p>
    <w:p w14:paraId="3F2EFC9E" w14:textId="77777777" w:rsidR="004E5D3B" w:rsidRPr="005F030F" w:rsidRDefault="004E5D3B" w:rsidP="00CF0C74">
      <w:pPr>
        <w:spacing w:after="0" w:line="360" w:lineRule="auto"/>
        <w:rPr>
          <w:rFonts w:asciiTheme="minorBidi" w:hAnsiTheme="minorBidi"/>
        </w:rPr>
      </w:pPr>
    </w:p>
    <w:p w14:paraId="7B5C0985" w14:textId="65425338" w:rsidR="00EE2021" w:rsidRPr="005F030F" w:rsidRDefault="00EE2021" w:rsidP="00CF0C74">
      <w:pPr>
        <w:spacing w:after="0" w:line="360" w:lineRule="auto"/>
        <w:rPr>
          <w:rFonts w:asciiTheme="minorBidi" w:hAnsiTheme="minorBidi"/>
        </w:rPr>
      </w:pPr>
      <w:r w:rsidRPr="005F030F">
        <w:rPr>
          <w:rFonts w:asciiTheme="minorBidi" w:hAnsiTheme="minorBidi"/>
        </w:rPr>
        <w:t xml:space="preserve">Kendall and Wickham’s (1999) FDA model would be </w:t>
      </w:r>
      <w:r w:rsidRPr="005F030F">
        <w:rPr>
          <w:rFonts w:asciiTheme="minorBidi" w:hAnsiTheme="minorBidi"/>
        </w:rPr>
        <w:t xml:space="preserve">used as a scaffold to interrogate the data obtained from </w:t>
      </w:r>
      <w:r w:rsidRPr="005F030F">
        <w:rPr>
          <w:rFonts w:asciiTheme="minorBidi" w:hAnsiTheme="minorBidi"/>
        </w:rPr>
        <w:t xml:space="preserve">the previously discussed </w:t>
      </w:r>
      <w:r w:rsidRPr="005F030F">
        <w:rPr>
          <w:rFonts w:asciiTheme="minorBidi" w:hAnsiTheme="minorBidi"/>
        </w:rPr>
        <w:t>SSIs</w:t>
      </w:r>
      <w:r w:rsidRPr="005F030F">
        <w:rPr>
          <w:rFonts w:asciiTheme="minorBidi" w:hAnsiTheme="minorBidi"/>
        </w:rPr>
        <w:t xml:space="preserve">. It is important to point out that this model allows for flexibility </w:t>
      </w:r>
      <w:r w:rsidR="00731BC8" w:rsidRPr="005F030F">
        <w:rPr>
          <w:rFonts w:asciiTheme="minorBidi" w:hAnsiTheme="minorBidi"/>
        </w:rPr>
        <w:t>and</w:t>
      </w:r>
      <w:r w:rsidR="003201CC" w:rsidRPr="005F030F">
        <w:rPr>
          <w:rFonts w:asciiTheme="minorBidi" w:hAnsiTheme="minorBidi"/>
        </w:rPr>
        <w:t xml:space="preserve">, aside from stage 1, </w:t>
      </w:r>
      <w:r w:rsidR="00731BC8" w:rsidRPr="005F030F">
        <w:rPr>
          <w:rFonts w:asciiTheme="minorBidi" w:hAnsiTheme="minorBidi"/>
        </w:rPr>
        <w:t xml:space="preserve">there is </w:t>
      </w:r>
      <w:r w:rsidR="003201CC" w:rsidRPr="005F030F">
        <w:rPr>
          <w:rFonts w:asciiTheme="minorBidi" w:hAnsiTheme="minorBidi"/>
        </w:rPr>
        <w:t xml:space="preserve">no </w:t>
      </w:r>
      <w:r w:rsidR="00731BC8" w:rsidRPr="005F030F">
        <w:rPr>
          <w:rFonts w:asciiTheme="minorBidi" w:hAnsiTheme="minorBidi"/>
        </w:rPr>
        <w:t>expectation that themes should be identified in sequence</w:t>
      </w:r>
      <w:r w:rsidR="003201CC" w:rsidRPr="005F030F">
        <w:rPr>
          <w:rFonts w:asciiTheme="minorBidi" w:hAnsiTheme="minorBidi"/>
        </w:rPr>
        <w:t xml:space="preserve"> (1999, p.42)</w:t>
      </w:r>
      <w:r w:rsidR="00731BC8" w:rsidRPr="005F030F">
        <w:rPr>
          <w:rFonts w:asciiTheme="minorBidi" w:hAnsiTheme="minorBidi"/>
        </w:rPr>
        <w:t xml:space="preserve">. </w:t>
      </w:r>
    </w:p>
    <w:p w14:paraId="5B50E9B9" w14:textId="77777777" w:rsidR="00EE2021" w:rsidRPr="005F030F" w:rsidRDefault="00EE2021" w:rsidP="00CF0C74">
      <w:pPr>
        <w:spacing w:after="0" w:line="360" w:lineRule="auto"/>
        <w:rPr>
          <w:rFonts w:asciiTheme="minorBidi" w:hAnsiTheme="minorBidi"/>
        </w:rPr>
      </w:pPr>
    </w:p>
    <w:p w14:paraId="6C6DDCF6" w14:textId="571C83F8" w:rsidR="007E43B0" w:rsidRPr="005F030F" w:rsidRDefault="00C91206" w:rsidP="00976435">
      <w:pPr>
        <w:spacing w:after="0" w:line="360" w:lineRule="auto"/>
        <w:rPr>
          <w:rFonts w:asciiTheme="minorBidi" w:hAnsiTheme="minorBidi"/>
        </w:rPr>
      </w:pPr>
      <w:r w:rsidRPr="005F030F">
        <w:rPr>
          <w:rFonts w:asciiTheme="minorBidi" w:hAnsiTheme="minorBidi"/>
        </w:rPr>
        <w:t xml:space="preserve">To effectively </w:t>
      </w:r>
      <w:r w:rsidR="005A1011" w:rsidRPr="005F030F">
        <w:rPr>
          <w:rFonts w:asciiTheme="minorBidi" w:hAnsiTheme="minorBidi"/>
        </w:rPr>
        <w:t>analyse</w:t>
      </w:r>
      <w:r w:rsidRPr="005F030F">
        <w:rPr>
          <w:rFonts w:asciiTheme="minorBidi" w:hAnsiTheme="minorBidi"/>
        </w:rPr>
        <w:t xml:space="preserve"> the interview data within this flexible framework, </w:t>
      </w:r>
      <w:r w:rsidR="00B512D4" w:rsidRPr="005F030F">
        <w:rPr>
          <w:rFonts w:asciiTheme="minorBidi" w:hAnsiTheme="minorBidi"/>
        </w:rPr>
        <w:t>a</w:t>
      </w:r>
      <w:r w:rsidRPr="005F030F">
        <w:rPr>
          <w:rFonts w:asciiTheme="minorBidi" w:hAnsiTheme="minorBidi"/>
        </w:rPr>
        <w:t xml:space="preserve"> key methodological tool is coding</w:t>
      </w:r>
      <w:r w:rsidR="005A1011" w:rsidRPr="005F030F">
        <w:rPr>
          <w:rFonts w:asciiTheme="minorBidi" w:hAnsiTheme="minorBidi"/>
        </w:rPr>
        <w:t xml:space="preserve">. </w:t>
      </w:r>
      <w:r w:rsidR="005A1011" w:rsidRPr="005F030F">
        <w:rPr>
          <w:rFonts w:asciiTheme="minorBidi" w:hAnsiTheme="minorBidi"/>
        </w:rPr>
        <w:t xml:space="preserve">This process of </w:t>
      </w:r>
      <w:r w:rsidR="005A1011" w:rsidRPr="005F030F">
        <w:rPr>
          <w:rFonts w:asciiTheme="minorBidi" w:hAnsiTheme="minorBidi"/>
        </w:rPr>
        <w:t>labelling</w:t>
      </w:r>
      <w:r w:rsidR="005A1011" w:rsidRPr="005F030F">
        <w:rPr>
          <w:rFonts w:asciiTheme="minorBidi" w:hAnsiTheme="minorBidi"/>
        </w:rPr>
        <w:t xml:space="preserve"> qualitative data with words or phrases enables researchers to organize and interpret the data systematically, turning raw information into a coherent and trustworthy narrative</w:t>
      </w:r>
      <w:r w:rsidR="0084367A" w:rsidRPr="005F030F">
        <w:rPr>
          <w:rFonts w:asciiTheme="minorBidi" w:hAnsiTheme="minorBidi"/>
        </w:rPr>
        <w:t xml:space="preserve"> (</w:t>
      </w:r>
      <w:r w:rsidR="00D96AA4" w:rsidRPr="00AF5052">
        <w:rPr>
          <w:rFonts w:asciiTheme="minorBidi" w:eastAsia="Times New Roman" w:hAnsiTheme="minorBidi"/>
          <w:kern w:val="0"/>
          <w14:ligatures w14:val="none"/>
        </w:rPr>
        <w:t>Skjott Linneber</w:t>
      </w:r>
      <w:r w:rsidR="00AF3F16" w:rsidRPr="005F030F">
        <w:rPr>
          <w:rFonts w:asciiTheme="minorBidi" w:eastAsia="Times New Roman" w:hAnsiTheme="minorBidi"/>
          <w:kern w:val="0"/>
          <w14:ligatures w14:val="none"/>
        </w:rPr>
        <w:t>g</w:t>
      </w:r>
      <w:r w:rsidR="00D96AA4" w:rsidRPr="00AF5052">
        <w:rPr>
          <w:rFonts w:asciiTheme="minorBidi" w:eastAsia="Times New Roman" w:hAnsiTheme="minorBidi"/>
          <w:kern w:val="0"/>
          <w14:ligatures w14:val="none"/>
        </w:rPr>
        <w:t xml:space="preserve"> </w:t>
      </w:r>
      <w:r w:rsidR="00D96AA4" w:rsidRPr="005F030F">
        <w:rPr>
          <w:rFonts w:asciiTheme="minorBidi" w:eastAsia="Times New Roman" w:hAnsiTheme="minorBidi"/>
          <w:kern w:val="0"/>
          <w14:ligatures w14:val="none"/>
        </w:rPr>
        <w:t>and</w:t>
      </w:r>
      <w:r w:rsidR="00D96AA4" w:rsidRPr="00AF5052">
        <w:rPr>
          <w:rFonts w:asciiTheme="minorBidi" w:eastAsia="Times New Roman" w:hAnsiTheme="minorBidi"/>
          <w:kern w:val="0"/>
          <w14:ligatures w14:val="none"/>
        </w:rPr>
        <w:t xml:space="preserve"> Korsgaard</w:t>
      </w:r>
      <w:r w:rsidR="00D96AA4" w:rsidRPr="005F030F">
        <w:rPr>
          <w:rFonts w:asciiTheme="minorBidi" w:eastAsia="Times New Roman" w:hAnsiTheme="minorBidi"/>
          <w:kern w:val="0"/>
          <w14:ligatures w14:val="none"/>
        </w:rPr>
        <w:t xml:space="preserve">, </w:t>
      </w:r>
      <w:r w:rsidR="00D96AA4" w:rsidRPr="00AF5052">
        <w:rPr>
          <w:rFonts w:asciiTheme="minorBidi" w:eastAsia="Times New Roman" w:hAnsiTheme="minorBidi"/>
          <w:kern w:val="0"/>
          <w14:ligatures w14:val="none"/>
        </w:rPr>
        <w:t>2019</w:t>
      </w:r>
      <w:r w:rsidR="00AF3F16" w:rsidRPr="005F030F">
        <w:rPr>
          <w:rFonts w:asciiTheme="minorBidi" w:eastAsia="Times New Roman" w:hAnsiTheme="minorBidi"/>
          <w:kern w:val="0"/>
          <w14:ligatures w14:val="none"/>
        </w:rPr>
        <w:t>, p.259</w:t>
      </w:r>
      <w:r w:rsidR="00D96AA4" w:rsidRPr="00AF5052">
        <w:rPr>
          <w:rFonts w:asciiTheme="minorBidi" w:eastAsia="Times New Roman" w:hAnsiTheme="minorBidi"/>
          <w:kern w:val="0"/>
          <w14:ligatures w14:val="none"/>
        </w:rPr>
        <w:t>).</w:t>
      </w:r>
      <w:r w:rsidR="00AF3F16" w:rsidRPr="005F030F">
        <w:rPr>
          <w:rFonts w:asciiTheme="minorBidi" w:eastAsia="Times New Roman" w:hAnsiTheme="minorBidi"/>
          <w:kern w:val="0"/>
          <w14:ligatures w14:val="none"/>
        </w:rPr>
        <w:t xml:space="preserve"> </w:t>
      </w:r>
      <w:r w:rsidR="00976435" w:rsidRPr="005F030F">
        <w:rPr>
          <w:rFonts w:asciiTheme="minorBidi" w:eastAsia="Times New Roman" w:hAnsiTheme="minorBidi"/>
          <w:kern w:val="0"/>
          <w14:ligatures w14:val="none"/>
        </w:rPr>
        <w:t xml:space="preserve">By </w:t>
      </w:r>
      <w:r w:rsidR="00976435" w:rsidRPr="005F030F">
        <w:rPr>
          <w:rFonts w:asciiTheme="minorBidi" w:eastAsia="Times New Roman" w:hAnsiTheme="minorBidi"/>
          <w:kern w:val="0"/>
          <w14:ligatures w14:val="none"/>
        </w:rPr>
        <w:t>utilising</w:t>
      </w:r>
      <w:r w:rsidR="00976435" w:rsidRPr="005F030F">
        <w:rPr>
          <w:rFonts w:asciiTheme="minorBidi" w:eastAsia="Times New Roman" w:hAnsiTheme="minorBidi"/>
          <w:kern w:val="0"/>
          <w14:ligatures w14:val="none"/>
        </w:rPr>
        <w:t xml:space="preserve"> coding, researchers can draw out and verify insights from the data, ensuring that the analysis aligns with the theoretical framework provided by Kendall and Wickham’s FDA model</w:t>
      </w:r>
      <w:r w:rsidR="00976435" w:rsidRPr="005F030F">
        <w:rPr>
          <w:rFonts w:asciiTheme="minorBidi" w:eastAsia="Times New Roman" w:hAnsiTheme="minorBidi"/>
          <w:kern w:val="0"/>
          <w14:ligatures w14:val="none"/>
        </w:rPr>
        <w:t xml:space="preserve"> </w:t>
      </w:r>
      <w:r w:rsidR="00F65B7C" w:rsidRPr="005F030F">
        <w:rPr>
          <w:rFonts w:asciiTheme="minorBidi" w:eastAsia="Times New Roman" w:hAnsiTheme="minorBidi"/>
          <w:kern w:val="0"/>
          <w14:ligatures w14:val="none"/>
        </w:rPr>
        <w:t xml:space="preserve">(Miles and Huberman, 1994). </w:t>
      </w:r>
    </w:p>
    <w:p w14:paraId="5F3EF837" w14:textId="77777777" w:rsidR="007E43B0" w:rsidRPr="005F030F" w:rsidRDefault="007E43B0" w:rsidP="00CF0C74">
      <w:pPr>
        <w:spacing w:after="0" w:line="360" w:lineRule="auto"/>
        <w:rPr>
          <w:rFonts w:asciiTheme="minorBidi" w:hAnsiTheme="minorBidi"/>
        </w:rPr>
      </w:pPr>
    </w:p>
    <w:p w14:paraId="0044A7C0" w14:textId="1EAD8D10" w:rsidR="00A55F70" w:rsidRPr="005F030F" w:rsidRDefault="00943C2E" w:rsidP="00A55F70">
      <w:pPr>
        <w:pStyle w:val="Heading1"/>
        <w:rPr>
          <w:rFonts w:asciiTheme="minorBidi" w:hAnsiTheme="minorBidi" w:cstheme="minorBidi"/>
        </w:rPr>
      </w:pPr>
      <w:bookmarkStart w:id="14" w:name="_Toc196824675"/>
      <w:r w:rsidRPr="005F030F">
        <w:rPr>
          <w:rFonts w:asciiTheme="minorBidi" w:hAnsiTheme="minorBidi" w:cstheme="minorBidi"/>
        </w:rPr>
        <w:lastRenderedPageBreak/>
        <w:t>Conclusion</w:t>
      </w:r>
      <w:r w:rsidR="00A55F70" w:rsidRPr="005F030F">
        <w:rPr>
          <w:rFonts w:asciiTheme="minorBidi" w:hAnsiTheme="minorBidi" w:cstheme="minorBidi"/>
        </w:rPr>
        <w:t>s</w:t>
      </w:r>
      <w:bookmarkEnd w:id="14"/>
    </w:p>
    <w:p w14:paraId="49D50149" w14:textId="77777777" w:rsidR="005F030F" w:rsidRDefault="005F030F" w:rsidP="005F030F">
      <w:pPr>
        <w:pStyle w:val="NoSpacing"/>
        <w:rPr>
          <w:rFonts w:asciiTheme="minorBidi" w:hAnsiTheme="minorBidi"/>
        </w:rPr>
      </w:pPr>
    </w:p>
    <w:p w14:paraId="6381D5BD" w14:textId="02F4BBAC" w:rsidR="0031381F" w:rsidRDefault="0031381F" w:rsidP="00D37587">
      <w:pPr>
        <w:pStyle w:val="NoSpacing"/>
        <w:spacing w:line="360" w:lineRule="auto"/>
        <w:rPr>
          <w:rFonts w:asciiTheme="minorBidi" w:hAnsiTheme="minorBidi"/>
        </w:rPr>
      </w:pPr>
      <w:r w:rsidRPr="0031381F">
        <w:rPr>
          <w:rFonts w:asciiTheme="minorBidi" w:hAnsiTheme="minorBidi"/>
          <w:lang w:val="en-GB"/>
        </w:rPr>
        <w:t>In conclusion, this study aims to critically examine how discourses of joint accountability are constructed, maintained, and potentially contested by senior leaders and mentors within Lead Partner Schools in Wales. Through the lens of Foucauldian Discourse Analysis (FDA), the research will explore the power relations, institutional norms, and discursive practices that shape perceptions of responsibility within ITE partnerships. By comparing responses across both ITE and traditional school inspection contexts, the study seeks to reveal whether joint accountability is genuinely enacted or</w:t>
      </w:r>
      <w:r w:rsidR="000F4182">
        <w:rPr>
          <w:rFonts w:asciiTheme="minorBidi" w:hAnsiTheme="minorBidi"/>
          <w:lang w:val="en-GB"/>
        </w:rPr>
        <w:t xml:space="preserve"> is</w:t>
      </w:r>
      <w:r w:rsidRPr="0031381F">
        <w:rPr>
          <w:rFonts w:asciiTheme="minorBidi" w:hAnsiTheme="minorBidi"/>
          <w:lang w:val="en-GB"/>
        </w:rPr>
        <w:t xml:space="preserve"> primarily rhetorical. In doing so, it will provide insights into how policy expectations are internalised or resisted within </w:t>
      </w:r>
      <w:r w:rsidR="000F4182">
        <w:rPr>
          <w:rFonts w:asciiTheme="minorBidi" w:hAnsiTheme="minorBidi"/>
          <w:lang w:val="en-GB"/>
        </w:rPr>
        <w:t>Lead Partner S</w:t>
      </w:r>
      <w:r w:rsidRPr="0031381F">
        <w:rPr>
          <w:rFonts w:asciiTheme="minorBidi" w:hAnsiTheme="minorBidi"/>
          <w:lang w:val="en-GB"/>
        </w:rPr>
        <w:t>chools, contributing to a deeper understanding of how power and accountability operate within contemporary ITE frameworks.</w:t>
      </w:r>
      <w:r w:rsidR="00D37587">
        <w:rPr>
          <w:rFonts w:asciiTheme="minorBidi" w:hAnsiTheme="minorBidi"/>
          <w:lang w:val="en-GB"/>
        </w:rPr>
        <w:t xml:space="preserve"> </w:t>
      </w:r>
      <w:r w:rsidR="00D37587" w:rsidRPr="00D37587">
        <w:rPr>
          <w:rFonts w:asciiTheme="minorBidi" w:hAnsiTheme="minorBidi"/>
          <w:lang w:val="en-GB"/>
        </w:rPr>
        <w:t xml:space="preserve">While the findings from this small-scale study may not be broadly generalisable, they will offer valuable context-specific insights that can inform future research and </w:t>
      </w:r>
      <w:r w:rsidR="00D37587">
        <w:rPr>
          <w:rFonts w:asciiTheme="minorBidi" w:hAnsiTheme="minorBidi"/>
          <w:lang w:val="en-GB"/>
        </w:rPr>
        <w:t xml:space="preserve">practice in </w:t>
      </w:r>
      <w:r w:rsidR="00D37587" w:rsidRPr="00D37587">
        <w:rPr>
          <w:rFonts w:asciiTheme="minorBidi" w:hAnsiTheme="minorBidi"/>
          <w:lang w:val="en-GB"/>
        </w:rPr>
        <w:t>ITE.</w:t>
      </w:r>
    </w:p>
    <w:p w14:paraId="7245D6A5" w14:textId="77777777" w:rsidR="005F030F" w:rsidRDefault="005F030F" w:rsidP="005F030F">
      <w:pPr>
        <w:pStyle w:val="NoSpacing"/>
        <w:rPr>
          <w:rFonts w:asciiTheme="minorBidi" w:hAnsiTheme="minorBidi"/>
        </w:rPr>
      </w:pPr>
    </w:p>
    <w:p w14:paraId="58751860" w14:textId="77777777" w:rsidR="0031560F" w:rsidRPr="005F030F" w:rsidRDefault="0031560F" w:rsidP="00CF0C74">
      <w:pPr>
        <w:spacing w:after="0" w:line="360" w:lineRule="auto"/>
        <w:rPr>
          <w:rFonts w:asciiTheme="minorBidi" w:hAnsiTheme="minorBidi"/>
          <w:b/>
          <w:bCs/>
        </w:rPr>
      </w:pPr>
    </w:p>
    <w:p w14:paraId="4EC7D4B4" w14:textId="77777777" w:rsidR="0031560F" w:rsidRPr="005F030F" w:rsidRDefault="0031560F" w:rsidP="00CF0C74">
      <w:pPr>
        <w:spacing w:after="0" w:line="360" w:lineRule="auto"/>
        <w:rPr>
          <w:rFonts w:asciiTheme="minorBidi" w:hAnsiTheme="minorBidi"/>
          <w:b/>
          <w:bCs/>
        </w:rPr>
      </w:pPr>
    </w:p>
    <w:p w14:paraId="6F3A9042" w14:textId="77777777" w:rsidR="0031560F" w:rsidRPr="005F030F" w:rsidRDefault="0031560F" w:rsidP="00CF0C74">
      <w:pPr>
        <w:spacing w:after="0" w:line="360" w:lineRule="auto"/>
        <w:rPr>
          <w:rFonts w:asciiTheme="minorBidi" w:hAnsiTheme="minorBidi"/>
        </w:rPr>
      </w:pPr>
    </w:p>
    <w:p w14:paraId="5A0614C4" w14:textId="77777777" w:rsidR="0031560F" w:rsidRPr="005F030F" w:rsidRDefault="0031560F" w:rsidP="00CF0C74">
      <w:pPr>
        <w:spacing w:after="0" w:line="360" w:lineRule="auto"/>
        <w:rPr>
          <w:rFonts w:asciiTheme="minorBidi" w:hAnsiTheme="minorBidi"/>
          <w:b/>
          <w:bCs/>
        </w:rPr>
      </w:pPr>
    </w:p>
    <w:p w14:paraId="57F1634F" w14:textId="77777777" w:rsidR="0031560F" w:rsidRPr="005F030F" w:rsidRDefault="0031560F" w:rsidP="00CF0C74">
      <w:pPr>
        <w:spacing w:after="0" w:line="360" w:lineRule="auto"/>
        <w:rPr>
          <w:rFonts w:asciiTheme="minorBidi" w:hAnsiTheme="minorBidi"/>
          <w:b/>
          <w:bCs/>
        </w:rPr>
      </w:pPr>
    </w:p>
    <w:p w14:paraId="404F62D8" w14:textId="77C3325F" w:rsidR="0031560F" w:rsidRPr="005F030F" w:rsidRDefault="0031560F" w:rsidP="00CF0C74">
      <w:pPr>
        <w:spacing w:after="0" w:line="360" w:lineRule="auto"/>
        <w:rPr>
          <w:rFonts w:asciiTheme="minorBidi" w:hAnsiTheme="minorBidi"/>
          <w:b/>
          <w:bCs/>
        </w:rPr>
      </w:pPr>
    </w:p>
    <w:p w14:paraId="6A3AB255" w14:textId="4443823C" w:rsidR="003A33A6" w:rsidRPr="005F030F" w:rsidRDefault="003A33A6" w:rsidP="00CF0C74">
      <w:pPr>
        <w:spacing w:after="0" w:line="360" w:lineRule="auto"/>
        <w:rPr>
          <w:rFonts w:asciiTheme="minorBidi" w:hAnsiTheme="minorBidi"/>
        </w:rPr>
      </w:pPr>
    </w:p>
    <w:p w14:paraId="6CE8050C" w14:textId="77777777" w:rsidR="003A33A6" w:rsidRPr="005F030F" w:rsidRDefault="003A33A6">
      <w:pPr>
        <w:rPr>
          <w:rFonts w:asciiTheme="minorBidi" w:hAnsiTheme="minorBidi"/>
        </w:rPr>
      </w:pPr>
      <w:r w:rsidRPr="005F030F">
        <w:rPr>
          <w:rFonts w:asciiTheme="minorBidi" w:hAnsiTheme="minorBidi"/>
        </w:rPr>
        <w:br w:type="page"/>
      </w:r>
    </w:p>
    <w:p w14:paraId="45C8D295" w14:textId="7E36B6DC" w:rsidR="003A33A6" w:rsidRPr="005F030F" w:rsidRDefault="003A33A6" w:rsidP="003A33A6">
      <w:pPr>
        <w:pStyle w:val="Heading1"/>
        <w:rPr>
          <w:rFonts w:asciiTheme="minorBidi" w:hAnsiTheme="minorBidi" w:cstheme="minorBidi"/>
        </w:rPr>
      </w:pPr>
      <w:bookmarkStart w:id="15" w:name="_Toc196824676"/>
      <w:r w:rsidRPr="005F030F">
        <w:rPr>
          <w:rFonts w:asciiTheme="minorBidi" w:hAnsiTheme="minorBidi" w:cstheme="minorBidi"/>
        </w:rPr>
        <w:lastRenderedPageBreak/>
        <w:t>References</w:t>
      </w:r>
      <w:bookmarkEnd w:id="15"/>
    </w:p>
    <w:p w14:paraId="40C32621" w14:textId="202420A3" w:rsidR="00A82889" w:rsidRPr="005F030F" w:rsidRDefault="00A82889" w:rsidP="00A82889">
      <w:pPr>
        <w:spacing w:after="0" w:line="360" w:lineRule="auto"/>
        <w:rPr>
          <w:rFonts w:asciiTheme="minorBidi" w:hAnsiTheme="minorBidi"/>
        </w:rPr>
      </w:pPr>
      <w:r w:rsidRPr="005F030F">
        <w:rPr>
          <w:rFonts w:asciiTheme="minorBidi" w:hAnsiTheme="minorBidi"/>
        </w:rPr>
        <w:t xml:space="preserve"> </w:t>
      </w:r>
    </w:p>
    <w:p w14:paraId="199A964F" w14:textId="77777777" w:rsidR="00A82889" w:rsidRPr="005F030F" w:rsidRDefault="00A82889" w:rsidP="00A82889">
      <w:pPr>
        <w:spacing w:after="0" w:line="360" w:lineRule="auto"/>
        <w:rPr>
          <w:rFonts w:asciiTheme="minorBidi" w:hAnsiTheme="minorBidi"/>
        </w:rPr>
      </w:pPr>
    </w:p>
    <w:p w14:paraId="5A8511C4" w14:textId="2504C124" w:rsidR="00A82889" w:rsidRPr="002355A5" w:rsidRDefault="00A82889" w:rsidP="00A82889">
      <w:pPr>
        <w:spacing w:after="0" w:line="360" w:lineRule="auto"/>
        <w:rPr>
          <w:rFonts w:asciiTheme="minorBidi" w:hAnsiTheme="minorBidi"/>
        </w:rPr>
      </w:pPr>
      <w:r w:rsidRPr="005F030F">
        <w:rPr>
          <w:rFonts w:asciiTheme="minorBidi" w:hAnsiTheme="minorBidi"/>
        </w:rPr>
        <w:t>Arribas-Ayllon, Michael and Walkerdine, Valerie. (2017</w:t>
      </w:r>
      <w:r w:rsidRPr="005F030F">
        <w:rPr>
          <w:rFonts w:asciiTheme="minorBidi" w:hAnsiTheme="minorBidi"/>
          <w:i/>
          <w:iCs/>
        </w:rPr>
        <w:t xml:space="preserve">). </w:t>
      </w:r>
      <w:r w:rsidRPr="005F030F">
        <w:rPr>
          <w:rFonts w:asciiTheme="minorBidi" w:hAnsiTheme="minorBidi"/>
        </w:rPr>
        <w:t xml:space="preserve">“Foucauldian Discourse Analysis” (Second Edition) in In book: </w:t>
      </w:r>
      <w:r w:rsidRPr="005F030F">
        <w:rPr>
          <w:rFonts w:asciiTheme="minorBidi" w:hAnsiTheme="minorBidi"/>
          <w:i/>
          <w:iCs/>
        </w:rPr>
        <w:t>The Sage Handbook of Qualitative Research in Psychology</w:t>
      </w:r>
      <w:r w:rsidRPr="005F030F">
        <w:rPr>
          <w:rFonts w:asciiTheme="minorBidi" w:hAnsiTheme="minorBidi"/>
        </w:rPr>
        <w:t xml:space="preserve"> (pp.110-123)</w:t>
      </w:r>
      <w:r w:rsidRPr="002355A5">
        <w:rPr>
          <w:rFonts w:asciiTheme="minorBidi" w:hAnsiTheme="minorBidi"/>
        </w:rPr>
        <w:t xml:space="preserve"> Sage</w:t>
      </w:r>
    </w:p>
    <w:p w14:paraId="3E076777" w14:textId="77777777" w:rsidR="00A82889" w:rsidRPr="005F030F" w:rsidRDefault="00A82889" w:rsidP="00A82889">
      <w:pPr>
        <w:spacing w:after="0" w:line="360" w:lineRule="auto"/>
        <w:rPr>
          <w:rFonts w:asciiTheme="minorBidi" w:hAnsiTheme="minorBidi"/>
        </w:rPr>
      </w:pPr>
    </w:p>
    <w:p w14:paraId="3D192336" w14:textId="304E0A68" w:rsidR="00A82889" w:rsidRPr="005F030F" w:rsidRDefault="00A82889" w:rsidP="00A82889">
      <w:pPr>
        <w:spacing w:after="0" w:line="360" w:lineRule="auto"/>
        <w:rPr>
          <w:rFonts w:asciiTheme="minorBidi" w:hAnsiTheme="minorBidi"/>
        </w:rPr>
      </w:pPr>
      <w:r w:rsidRPr="005F030F">
        <w:rPr>
          <w:rFonts w:asciiTheme="minorBidi" w:hAnsiTheme="minorBidi"/>
        </w:rPr>
        <w:t>Adams, W. C. (2015)</w:t>
      </w:r>
      <w:r w:rsidRPr="005F030F">
        <w:rPr>
          <w:rFonts w:asciiTheme="minorBidi" w:hAnsiTheme="minorBidi"/>
        </w:rPr>
        <w:t xml:space="preserve"> “</w:t>
      </w:r>
      <w:r w:rsidRPr="005F030F">
        <w:rPr>
          <w:rFonts w:asciiTheme="minorBidi" w:hAnsiTheme="minorBidi"/>
          <w:i/>
          <w:iCs/>
        </w:rPr>
        <w:t>Conducting Semi-Structured Interviews."</w:t>
      </w:r>
      <w:r w:rsidRPr="005F030F">
        <w:rPr>
          <w:rFonts w:asciiTheme="minorBidi" w:hAnsiTheme="minorBidi"/>
        </w:rPr>
        <w:t xml:space="preserve"> In K. E. Newcomer, H. P. Hatry, and J. S. Wholey (Eds.), </w:t>
      </w:r>
      <w:r w:rsidRPr="005F030F">
        <w:rPr>
          <w:rFonts w:asciiTheme="minorBidi" w:hAnsiTheme="minorBidi"/>
          <w:i/>
          <w:iCs/>
        </w:rPr>
        <w:t>Handbook of Practical Program Evaluation</w:t>
      </w:r>
      <w:r w:rsidRPr="005F030F">
        <w:rPr>
          <w:rFonts w:asciiTheme="minorBidi" w:hAnsiTheme="minorBidi"/>
        </w:rPr>
        <w:t xml:space="preserve"> (4th ed.), pp. 492–505. Jossey-Bass.</w:t>
      </w:r>
    </w:p>
    <w:p w14:paraId="0868A670" w14:textId="77777777" w:rsidR="00A82889" w:rsidRPr="005F030F" w:rsidRDefault="00A82889" w:rsidP="00A82889">
      <w:pPr>
        <w:pStyle w:val="NoSpacing"/>
        <w:spacing w:line="360" w:lineRule="auto"/>
        <w:rPr>
          <w:rFonts w:asciiTheme="minorBidi" w:eastAsia="Times New Roman" w:hAnsiTheme="minorBidi"/>
          <w14:ligatures w14:val="none"/>
        </w:rPr>
      </w:pPr>
    </w:p>
    <w:p w14:paraId="31C5C5AB"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 xml:space="preserve">Angen M.J, (2000) “Evaluating Interpretive Inquiry: Reviewing the Validity Debate and Opening the Dialogue”. </w:t>
      </w:r>
      <w:r w:rsidRPr="005F030F">
        <w:rPr>
          <w:rFonts w:asciiTheme="minorBidi" w:eastAsia="Times New Roman" w:hAnsiTheme="minorBidi"/>
          <w:i/>
          <w:iCs/>
          <w14:ligatures w14:val="none"/>
        </w:rPr>
        <w:t>Qualitative Health Research</w:t>
      </w:r>
      <w:r w:rsidRPr="005F030F">
        <w:rPr>
          <w:rFonts w:asciiTheme="minorBidi" w:eastAsia="Times New Roman" w:hAnsiTheme="minorBidi"/>
          <w14:ligatures w14:val="none"/>
        </w:rPr>
        <w:t xml:space="preserve">. 10(3): pp. 378-395. Available at: </w:t>
      </w:r>
      <w:hyperlink r:id="rId9" w:history="1">
        <w:r w:rsidRPr="005F030F">
          <w:rPr>
            <w:rStyle w:val="Hyperlink"/>
            <w:rFonts w:asciiTheme="minorBidi" w:eastAsia="Times New Roman" w:hAnsiTheme="minorBidi"/>
            <w14:ligatures w14:val="none"/>
          </w:rPr>
          <w:t>https://doi:10.1177/104973230001000308</w:t>
        </w:r>
      </w:hyperlink>
      <w:r w:rsidRPr="005F030F">
        <w:rPr>
          <w:rFonts w:asciiTheme="minorBidi" w:eastAsia="Times New Roman" w:hAnsiTheme="minorBidi"/>
          <w14:ligatures w14:val="none"/>
        </w:rPr>
        <w:t xml:space="preserve">  </w:t>
      </w:r>
    </w:p>
    <w:p w14:paraId="0B3D06B1" w14:textId="77777777" w:rsidR="00A82889" w:rsidRPr="005F030F" w:rsidRDefault="00A82889" w:rsidP="00A82889">
      <w:pPr>
        <w:pStyle w:val="NoSpacing"/>
        <w:spacing w:line="360" w:lineRule="auto"/>
        <w:rPr>
          <w:rFonts w:asciiTheme="minorBidi" w:eastAsia="Times New Roman" w:hAnsiTheme="minorBidi"/>
          <w14:ligatures w14:val="none"/>
        </w:rPr>
      </w:pPr>
    </w:p>
    <w:p w14:paraId="3F367869" w14:textId="77777777" w:rsidR="00A82889" w:rsidRPr="005F030F" w:rsidRDefault="00A82889" w:rsidP="00A82889">
      <w:pPr>
        <w:pStyle w:val="NoSpacing"/>
        <w:spacing w:line="360" w:lineRule="auto"/>
        <w:rPr>
          <w:rFonts w:asciiTheme="minorBidi" w:hAnsiTheme="minorBidi"/>
          <w:color w:val="333333"/>
          <w:shd w:val="clear" w:color="auto" w:fill="FFFFFF"/>
        </w:rPr>
      </w:pPr>
      <w:r w:rsidRPr="005F030F">
        <w:rPr>
          <w:rFonts w:asciiTheme="minorBidi" w:hAnsiTheme="minorBidi"/>
          <w:color w:val="333333"/>
          <w:shd w:val="clear" w:color="auto" w:fill="FFFFFF"/>
        </w:rPr>
        <w:t>British Educational Research Association (2024) </w:t>
      </w:r>
      <w:r w:rsidRPr="005F030F">
        <w:rPr>
          <w:rStyle w:val="Emphasis"/>
          <w:rFonts w:asciiTheme="minorBidi" w:hAnsiTheme="minorBidi"/>
          <w:color w:val="333333"/>
          <w:shd w:val="clear" w:color="auto" w:fill="FFFFFF"/>
        </w:rPr>
        <w:t>Ethical guidelines for educational research</w:t>
      </w:r>
      <w:r w:rsidRPr="005F030F">
        <w:rPr>
          <w:rFonts w:asciiTheme="minorBidi" w:hAnsiTheme="minorBidi"/>
          <w:color w:val="333333"/>
          <w:shd w:val="clear" w:color="auto" w:fill="FFFFFF"/>
        </w:rPr>
        <w:t>. 5th edn. Available at: </w:t>
      </w:r>
      <w:hyperlink r:id="rId10" w:history="1">
        <w:r w:rsidRPr="005F030F">
          <w:rPr>
            <w:rStyle w:val="Hyperlink"/>
            <w:rFonts w:asciiTheme="minorBidi" w:hAnsiTheme="minorBidi"/>
            <w:shd w:val="clear" w:color="auto" w:fill="FFFFFF"/>
          </w:rPr>
          <w:t>https://www.bera.ac.uk/publication/ethical-guidelines-for-educational-research-fifth-edition-2024</w:t>
        </w:r>
      </w:hyperlink>
      <w:r w:rsidRPr="005F030F">
        <w:rPr>
          <w:rFonts w:asciiTheme="minorBidi" w:hAnsiTheme="minorBidi"/>
          <w:color w:val="333333"/>
          <w:shd w:val="clear" w:color="auto" w:fill="FFFFFF"/>
        </w:rPr>
        <w:t xml:space="preserve"> (Accessed: 6 April 2024).</w:t>
      </w:r>
    </w:p>
    <w:p w14:paraId="27B63242" w14:textId="77777777" w:rsidR="00A82889" w:rsidRPr="005F030F" w:rsidRDefault="00A82889" w:rsidP="00A82889">
      <w:pPr>
        <w:pStyle w:val="NoSpacing"/>
        <w:spacing w:line="360" w:lineRule="auto"/>
        <w:rPr>
          <w:rFonts w:asciiTheme="minorBidi" w:eastAsia="Times New Roman" w:hAnsiTheme="minorBidi"/>
          <w14:ligatures w14:val="none"/>
        </w:rPr>
      </w:pPr>
    </w:p>
    <w:p w14:paraId="13B2C6DA" w14:textId="77777777" w:rsidR="00A82889" w:rsidRPr="007C1DB8" w:rsidRDefault="00A82889" w:rsidP="00A82889">
      <w:pPr>
        <w:pStyle w:val="NoSpacing"/>
        <w:spacing w:line="360" w:lineRule="auto"/>
        <w:rPr>
          <w:rFonts w:asciiTheme="minorBidi" w:eastAsia="Times New Roman" w:hAnsiTheme="minorBidi"/>
          <w14:ligatures w14:val="none"/>
        </w:rPr>
      </w:pPr>
      <w:r w:rsidRPr="007C1DB8">
        <w:rPr>
          <w:rFonts w:asciiTheme="minorBidi" w:eastAsia="Times New Roman" w:hAnsiTheme="minorBidi"/>
          <w:lang w:val="sv-SE"/>
          <w14:ligatures w14:val="none"/>
        </w:rPr>
        <w:t>Bickman, L., Rog, D. J.</w:t>
      </w:r>
      <w:r w:rsidRPr="005F030F">
        <w:rPr>
          <w:rFonts w:asciiTheme="minorBidi" w:eastAsia="Times New Roman" w:hAnsiTheme="minorBidi"/>
          <w:lang w:val="sv-SE"/>
          <w14:ligatures w14:val="none"/>
        </w:rPr>
        <w:t xml:space="preserve"> </w:t>
      </w:r>
      <w:r w:rsidRPr="007C1DB8">
        <w:rPr>
          <w:rFonts w:asciiTheme="minorBidi" w:eastAsia="Times New Roman" w:hAnsiTheme="minorBidi"/>
          <w:lang w:val="sv-SE"/>
          <w14:ligatures w14:val="none"/>
        </w:rPr>
        <w:t xml:space="preserve">(2009). </w:t>
      </w:r>
      <w:r w:rsidRPr="007C1DB8">
        <w:rPr>
          <w:rFonts w:asciiTheme="minorBidi" w:eastAsia="Times New Roman" w:hAnsiTheme="minorBidi"/>
          <w:i/>
          <w:iCs/>
          <w14:ligatures w14:val="none"/>
        </w:rPr>
        <w:t>The SAGE Handbook of Applied Social Research Methods</w:t>
      </w:r>
      <w:r w:rsidRPr="007C1DB8">
        <w:rPr>
          <w:rFonts w:asciiTheme="minorBidi" w:eastAsia="Times New Roman" w:hAnsiTheme="minorBidi"/>
          <w14:ligatures w14:val="none"/>
        </w:rPr>
        <w:t xml:space="preserve"> (2nd ed.). SAGE Publications, Incorporated. </w:t>
      </w:r>
      <w:r w:rsidRPr="005F030F">
        <w:rPr>
          <w:rFonts w:asciiTheme="minorBidi" w:eastAsia="Times New Roman" w:hAnsiTheme="minorBidi"/>
          <w14:ligatures w14:val="none"/>
        </w:rPr>
        <w:t xml:space="preserve">Available at: </w:t>
      </w:r>
      <w:hyperlink r:id="rId11" w:history="1">
        <w:r w:rsidRPr="007C1DB8">
          <w:rPr>
            <w:rStyle w:val="Hyperlink"/>
            <w:rFonts w:asciiTheme="minorBidi" w:eastAsia="Times New Roman" w:hAnsiTheme="minorBidi"/>
            <w14:ligatures w14:val="none"/>
          </w:rPr>
          <w:t>https://doi.org/10.4135/9781483348858</w:t>
        </w:r>
      </w:hyperlink>
      <w:r w:rsidRPr="005F030F">
        <w:rPr>
          <w:rFonts w:asciiTheme="minorBidi" w:eastAsia="Times New Roman" w:hAnsiTheme="minorBidi"/>
          <w14:ligatures w14:val="none"/>
        </w:rPr>
        <w:t xml:space="preserve"> </w:t>
      </w:r>
    </w:p>
    <w:p w14:paraId="4C834780" w14:textId="77777777" w:rsidR="00A82889" w:rsidRPr="005F030F" w:rsidRDefault="00A82889" w:rsidP="00A82889">
      <w:pPr>
        <w:pStyle w:val="NoSpacing"/>
        <w:spacing w:line="360" w:lineRule="auto"/>
        <w:rPr>
          <w:rFonts w:asciiTheme="minorBidi" w:eastAsia="Times New Roman" w:hAnsiTheme="minorBidi"/>
          <w14:ligatures w14:val="none"/>
        </w:rPr>
      </w:pPr>
    </w:p>
    <w:p w14:paraId="635ADD14"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 xml:space="preserve">Bryman, A. (2016). Social Research Methods (5th ed.). London: Oxford University Press. </w:t>
      </w:r>
    </w:p>
    <w:p w14:paraId="2FE03177" w14:textId="77777777" w:rsidR="00A82889" w:rsidRPr="005F030F" w:rsidRDefault="00A82889" w:rsidP="00A82889">
      <w:pPr>
        <w:pStyle w:val="NoSpacing"/>
        <w:spacing w:line="360" w:lineRule="auto"/>
        <w:rPr>
          <w:rFonts w:asciiTheme="minorBidi" w:eastAsia="Times New Roman" w:hAnsiTheme="minorBidi"/>
          <w14:ligatures w14:val="none"/>
        </w:rPr>
      </w:pPr>
    </w:p>
    <w:p w14:paraId="46D67CF8"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 xml:space="preserve">Cavan, S. (1977). “Investigative social research: Individual and team field research. A review.” </w:t>
      </w:r>
      <w:r w:rsidRPr="005F030F">
        <w:rPr>
          <w:rFonts w:asciiTheme="minorBidi" w:eastAsia="Times New Roman" w:hAnsiTheme="minorBidi"/>
          <w:i/>
          <w:iCs/>
          <w14:ligatures w14:val="none"/>
        </w:rPr>
        <w:t>The American Journal of Sociology</w:t>
      </w:r>
      <w:r w:rsidRPr="005F030F">
        <w:rPr>
          <w:rFonts w:asciiTheme="minorBidi" w:eastAsia="Times New Roman" w:hAnsiTheme="minorBidi"/>
          <w14:ligatures w14:val="none"/>
        </w:rPr>
        <w:t>, 83(3), pp. 809–811.</w:t>
      </w:r>
    </w:p>
    <w:p w14:paraId="2D850EA9" w14:textId="77777777" w:rsidR="00A82889" w:rsidRPr="005F030F" w:rsidRDefault="00A82889" w:rsidP="00A82889">
      <w:pPr>
        <w:pStyle w:val="NoSpacing"/>
        <w:spacing w:line="360" w:lineRule="auto"/>
        <w:rPr>
          <w:rFonts w:asciiTheme="minorBidi" w:eastAsia="Times New Roman" w:hAnsiTheme="minorBidi"/>
          <w14:ligatures w14:val="none"/>
        </w:rPr>
      </w:pPr>
    </w:p>
    <w:p w14:paraId="649037B1"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Cooley, A. (2013). “Qualitative Research in Education: The Origins, Debates, and Politics of Creating Knowledge”. </w:t>
      </w:r>
      <w:r w:rsidRPr="005F030F">
        <w:rPr>
          <w:rFonts w:asciiTheme="minorBidi" w:eastAsia="Times New Roman" w:hAnsiTheme="minorBidi"/>
          <w:i/>
          <w:iCs/>
          <w14:ligatures w14:val="none"/>
        </w:rPr>
        <w:t>Educational Studies</w:t>
      </w:r>
      <w:r w:rsidRPr="005F030F">
        <w:rPr>
          <w:rFonts w:asciiTheme="minorBidi" w:eastAsia="Times New Roman" w:hAnsiTheme="minorBidi"/>
          <w14:ligatures w14:val="none"/>
        </w:rPr>
        <w:t>, </w:t>
      </w:r>
      <w:r w:rsidRPr="005F030F">
        <w:rPr>
          <w:rFonts w:asciiTheme="minorBidi" w:eastAsia="Times New Roman" w:hAnsiTheme="minorBidi"/>
          <w:i/>
          <w:iCs/>
          <w14:ligatures w14:val="none"/>
        </w:rPr>
        <w:t>49</w:t>
      </w:r>
      <w:r w:rsidRPr="005F030F">
        <w:rPr>
          <w:rFonts w:asciiTheme="minorBidi" w:eastAsia="Times New Roman" w:hAnsiTheme="minorBidi"/>
          <w14:ligatures w14:val="none"/>
        </w:rPr>
        <w:t xml:space="preserve">(3), pp.247–262. Available at: </w:t>
      </w:r>
      <w:hyperlink r:id="rId12" w:history="1">
        <w:r w:rsidRPr="005F030F">
          <w:rPr>
            <w:rStyle w:val="Hyperlink"/>
            <w:rFonts w:asciiTheme="minorBidi" w:eastAsia="Times New Roman" w:hAnsiTheme="minorBidi"/>
            <w14:ligatures w14:val="none"/>
          </w:rPr>
          <w:t>https://doi-org.ezproxy.uwtsd.ac.uk/10.1080/00131946.2013.783834</w:t>
        </w:r>
      </w:hyperlink>
    </w:p>
    <w:p w14:paraId="0BB57A63" w14:textId="77777777" w:rsidR="00A82889" w:rsidRPr="005F030F" w:rsidRDefault="00A82889" w:rsidP="00A82889">
      <w:pPr>
        <w:pStyle w:val="NoSpacing"/>
        <w:spacing w:line="360" w:lineRule="auto"/>
        <w:rPr>
          <w:rFonts w:asciiTheme="minorBidi" w:eastAsia="Times New Roman" w:hAnsiTheme="minorBidi"/>
          <w14:ligatures w14:val="none"/>
        </w:rPr>
      </w:pPr>
    </w:p>
    <w:p w14:paraId="4C24EFD2"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 xml:space="preserve">Cohen, L., Manion, L., and Morrison, K. (Keith R. B.). (2018). </w:t>
      </w:r>
      <w:r w:rsidRPr="005F030F">
        <w:rPr>
          <w:rFonts w:asciiTheme="minorBidi" w:eastAsia="Times New Roman" w:hAnsiTheme="minorBidi"/>
          <w:i/>
          <w:iCs/>
          <w14:ligatures w14:val="none"/>
        </w:rPr>
        <w:t>Research methods in education</w:t>
      </w:r>
      <w:r w:rsidRPr="005F030F">
        <w:rPr>
          <w:rFonts w:asciiTheme="minorBidi" w:eastAsia="Times New Roman" w:hAnsiTheme="minorBidi"/>
          <w14:ligatures w14:val="none"/>
        </w:rPr>
        <w:t xml:space="preserve"> (Eighth edition.). Routledge.</w:t>
      </w:r>
    </w:p>
    <w:p w14:paraId="40112C8C" w14:textId="77777777" w:rsidR="00A82889" w:rsidRPr="005F030F" w:rsidRDefault="00A82889" w:rsidP="00A82889">
      <w:pPr>
        <w:spacing w:after="0" w:line="360" w:lineRule="auto"/>
        <w:rPr>
          <w:rFonts w:asciiTheme="minorBidi" w:hAnsiTheme="minorBidi"/>
        </w:rPr>
      </w:pPr>
    </w:p>
    <w:p w14:paraId="6DE6C7DB" w14:textId="77777777" w:rsidR="00A82889" w:rsidRPr="00804772" w:rsidRDefault="00A82889" w:rsidP="00A82889">
      <w:pPr>
        <w:spacing w:after="0" w:line="360" w:lineRule="auto"/>
        <w:rPr>
          <w:rFonts w:asciiTheme="minorBidi" w:hAnsiTheme="minorBidi"/>
        </w:rPr>
      </w:pPr>
      <w:r w:rsidRPr="00804772">
        <w:rPr>
          <w:rFonts w:asciiTheme="minorBidi" w:hAnsiTheme="minorBidi"/>
        </w:rPr>
        <w:lastRenderedPageBreak/>
        <w:t xml:space="preserve">Creswell, J. W., </w:t>
      </w:r>
      <w:r w:rsidRPr="005F030F">
        <w:rPr>
          <w:rFonts w:asciiTheme="minorBidi" w:hAnsiTheme="minorBidi"/>
        </w:rPr>
        <w:t>and</w:t>
      </w:r>
      <w:r w:rsidRPr="00804772">
        <w:rPr>
          <w:rFonts w:asciiTheme="minorBidi" w:hAnsiTheme="minorBidi"/>
        </w:rPr>
        <w:t xml:space="preserve"> Creswell, J. D. (2023). </w:t>
      </w:r>
      <w:r w:rsidRPr="00804772">
        <w:rPr>
          <w:rFonts w:asciiTheme="minorBidi" w:hAnsiTheme="minorBidi"/>
          <w:i/>
          <w:iCs/>
        </w:rPr>
        <w:t>Research design: qualitative, quantitative, and mixed methods approaches</w:t>
      </w:r>
      <w:r w:rsidRPr="00804772">
        <w:rPr>
          <w:rFonts w:asciiTheme="minorBidi" w:hAnsiTheme="minorBidi"/>
        </w:rPr>
        <w:t xml:space="preserve"> (Sixth edition.). SAGE Publications, Inc.</w:t>
      </w:r>
    </w:p>
    <w:p w14:paraId="498E03F6" w14:textId="77777777" w:rsidR="00A82889" w:rsidRPr="005F030F" w:rsidRDefault="00A82889" w:rsidP="00A82889">
      <w:pPr>
        <w:spacing w:after="0" w:line="360" w:lineRule="auto"/>
        <w:rPr>
          <w:rFonts w:asciiTheme="minorBidi" w:hAnsiTheme="minorBidi"/>
        </w:rPr>
      </w:pPr>
    </w:p>
    <w:p w14:paraId="683AC151"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 xml:space="preserve">Denscombe, M. (2021). </w:t>
      </w:r>
      <w:r w:rsidRPr="005F030F">
        <w:rPr>
          <w:rFonts w:asciiTheme="minorBidi" w:eastAsia="Times New Roman" w:hAnsiTheme="minorBidi"/>
          <w:i/>
          <w:iCs/>
          <w14:ligatures w14:val="none"/>
        </w:rPr>
        <w:t>The good research guide : research methods for small-scale social research projects</w:t>
      </w:r>
      <w:r w:rsidRPr="005F030F">
        <w:rPr>
          <w:rFonts w:asciiTheme="minorBidi" w:eastAsia="Times New Roman" w:hAnsiTheme="minorBidi"/>
          <w14:ligatures w14:val="none"/>
        </w:rPr>
        <w:t xml:space="preserve"> (Seventh edition.). Open University Press.</w:t>
      </w:r>
    </w:p>
    <w:p w14:paraId="31172F2C" w14:textId="77777777" w:rsidR="00A82889" w:rsidRPr="005F030F" w:rsidRDefault="00A82889" w:rsidP="00A82889">
      <w:pPr>
        <w:spacing w:after="0" w:line="360" w:lineRule="auto"/>
        <w:rPr>
          <w:rFonts w:asciiTheme="minorBidi" w:hAnsiTheme="minorBidi"/>
        </w:rPr>
      </w:pPr>
    </w:p>
    <w:p w14:paraId="6179704B" w14:textId="77777777" w:rsidR="00A82889" w:rsidRPr="00171319" w:rsidRDefault="00A82889" w:rsidP="00A82889">
      <w:pPr>
        <w:spacing w:after="0" w:line="360" w:lineRule="auto"/>
        <w:rPr>
          <w:rFonts w:asciiTheme="minorBidi" w:hAnsiTheme="minorBidi"/>
          <w:lang w:val="de-DE"/>
        </w:rPr>
      </w:pPr>
      <w:r w:rsidRPr="00171319">
        <w:rPr>
          <w:rFonts w:asciiTheme="minorBidi" w:hAnsiTheme="minorBidi"/>
        </w:rPr>
        <w:t xml:space="preserve">Denzin, N. K., Lincoln, Y. S., Giardina, M. D., </w:t>
      </w:r>
      <w:r w:rsidRPr="005F030F">
        <w:rPr>
          <w:rFonts w:asciiTheme="minorBidi" w:hAnsiTheme="minorBidi"/>
        </w:rPr>
        <w:t>and</w:t>
      </w:r>
      <w:r w:rsidRPr="00171319">
        <w:rPr>
          <w:rFonts w:asciiTheme="minorBidi" w:hAnsiTheme="minorBidi"/>
        </w:rPr>
        <w:t xml:space="preserve"> Cannella, G. S. (Eds.). (2023). </w:t>
      </w:r>
      <w:r w:rsidRPr="00171319">
        <w:rPr>
          <w:rFonts w:asciiTheme="minorBidi" w:hAnsiTheme="minorBidi"/>
          <w:i/>
          <w:iCs/>
        </w:rPr>
        <w:t>The SAGE handbook of qualitative research</w:t>
      </w:r>
      <w:r w:rsidRPr="00171319">
        <w:rPr>
          <w:rFonts w:asciiTheme="minorBidi" w:hAnsiTheme="minorBidi"/>
        </w:rPr>
        <w:t xml:space="preserve"> (Sixth edition.). </w:t>
      </w:r>
      <w:r w:rsidRPr="00171319">
        <w:rPr>
          <w:rFonts w:asciiTheme="minorBidi" w:hAnsiTheme="minorBidi"/>
          <w:lang w:val="de-DE"/>
        </w:rPr>
        <w:t>SAGE.</w:t>
      </w:r>
    </w:p>
    <w:p w14:paraId="0AD5C7C3" w14:textId="77777777" w:rsidR="00A82889" w:rsidRPr="005F030F" w:rsidRDefault="00A82889" w:rsidP="00A82889">
      <w:pPr>
        <w:spacing w:after="0" w:line="360" w:lineRule="auto"/>
        <w:rPr>
          <w:rFonts w:asciiTheme="minorBidi" w:hAnsiTheme="minorBidi"/>
          <w:lang w:val="de-DE"/>
        </w:rPr>
      </w:pPr>
    </w:p>
    <w:p w14:paraId="465D4780" w14:textId="77777777" w:rsidR="00A82889" w:rsidRPr="005F030F" w:rsidRDefault="00A82889" w:rsidP="00A82889">
      <w:pPr>
        <w:spacing w:after="0" w:line="360" w:lineRule="auto"/>
        <w:rPr>
          <w:rFonts w:asciiTheme="minorBidi" w:hAnsiTheme="minorBidi"/>
        </w:rPr>
      </w:pPr>
      <w:r w:rsidRPr="005F030F">
        <w:rPr>
          <w:rFonts w:asciiTheme="minorBidi" w:hAnsiTheme="minorBidi"/>
          <w:lang w:val="de-DE"/>
        </w:rPr>
        <w:t xml:space="preserve">Derkzen, P.H.M., Franklin, A. and Bock, B.B., (2008). </w:t>
      </w:r>
      <w:r w:rsidRPr="005F030F">
        <w:rPr>
          <w:rFonts w:asciiTheme="minorBidi" w:hAnsiTheme="minorBidi"/>
        </w:rPr>
        <w:t xml:space="preserve">“Examining power struggles as a signifier of successful partnership working: A case study of partnership dynamics”. </w:t>
      </w:r>
      <w:r w:rsidRPr="005F030F">
        <w:rPr>
          <w:rFonts w:asciiTheme="minorBidi" w:hAnsiTheme="minorBidi"/>
          <w:i/>
          <w:iCs/>
        </w:rPr>
        <w:t>Journal of Rural Studies</w:t>
      </w:r>
      <w:r w:rsidRPr="005F030F">
        <w:rPr>
          <w:rFonts w:asciiTheme="minorBidi" w:hAnsiTheme="minorBidi"/>
        </w:rPr>
        <w:t xml:space="preserve">, 24(4), pp.458–466. Available at: </w:t>
      </w:r>
      <w:hyperlink r:id="rId13" w:history="1">
        <w:r w:rsidRPr="005F030F">
          <w:rPr>
            <w:rStyle w:val="Hyperlink"/>
            <w:rFonts w:asciiTheme="minorBidi" w:hAnsiTheme="minorBidi"/>
          </w:rPr>
          <w:t>https://doi.org/10.1016/j.jrurstud.2008.03.010</w:t>
        </w:r>
      </w:hyperlink>
      <w:r w:rsidRPr="005F030F">
        <w:rPr>
          <w:rFonts w:asciiTheme="minorBidi" w:hAnsiTheme="minorBidi"/>
        </w:rPr>
        <w:t>. </w:t>
      </w:r>
    </w:p>
    <w:p w14:paraId="038CD42B" w14:textId="77777777" w:rsidR="00A82889" w:rsidRPr="005F030F" w:rsidRDefault="00A82889" w:rsidP="00A82889">
      <w:pPr>
        <w:spacing w:after="0" w:line="360" w:lineRule="auto"/>
        <w:rPr>
          <w:rFonts w:asciiTheme="minorBidi" w:hAnsiTheme="minorBidi"/>
        </w:rPr>
      </w:pPr>
    </w:p>
    <w:p w14:paraId="4CB420DB"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DiCicco</w:t>
      </w:r>
      <w:r w:rsidRPr="005F030F">
        <w:rPr>
          <w:rFonts w:ascii="Cambria Math" w:hAnsi="Cambria Math" w:cs="Cambria Math"/>
        </w:rPr>
        <w:t>‐</w:t>
      </w:r>
      <w:r w:rsidRPr="005F030F">
        <w:rPr>
          <w:rFonts w:asciiTheme="minorBidi" w:hAnsiTheme="minorBidi"/>
        </w:rPr>
        <w:t xml:space="preserve">Bloom, B., &amp; Crabtree, B. F. (2006). </w:t>
      </w:r>
      <w:r w:rsidRPr="005F030F">
        <w:rPr>
          <w:rFonts w:asciiTheme="minorBidi" w:hAnsiTheme="minorBidi"/>
          <w:i/>
          <w:iCs/>
        </w:rPr>
        <w:t>"</w:t>
      </w:r>
      <w:r w:rsidRPr="005F030F">
        <w:rPr>
          <w:rFonts w:asciiTheme="minorBidi" w:hAnsiTheme="minorBidi"/>
        </w:rPr>
        <w:t xml:space="preserve">The qualitative research interview." </w:t>
      </w:r>
      <w:r w:rsidRPr="005F030F">
        <w:rPr>
          <w:rFonts w:asciiTheme="minorBidi" w:hAnsiTheme="minorBidi"/>
          <w:i/>
          <w:iCs/>
        </w:rPr>
        <w:t>Medical Education</w:t>
      </w:r>
      <w:r w:rsidRPr="005F030F">
        <w:rPr>
          <w:rFonts w:asciiTheme="minorBidi" w:hAnsiTheme="minorBidi"/>
        </w:rPr>
        <w:t xml:space="preserve">, 40(4), pp. 314–321. Available at: </w:t>
      </w:r>
      <w:hyperlink r:id="rId14" w:history="1">
        <w:r w:rsidRPr="005F030F">
          <w:rPr>
            <w:rStyle w:val="Hyperlink"/>
            <w:rFonts w:asciiTheme="minorBidi" w:hAnsiTheme="minorBidi"/>
          </w:rPr>
          <w:t>https://doi.org/10.1111/j.1365-2929.2006.02418.x</w:t>
        </w:r>
      </w:hyperlink>
    </w:p>
    <w:p w14:paraId="355D43FB" w14:textId="77777777" w:rsidR="00A82889" w:rsidRPr="005F030F" w:rsidRDefault="00A82889" w:rsidP="00A82889">
      <w:pPr>
        <w:spacing w:after="0" w:line="360" w:lineRule="auto"/>
        <w:rPr>
          <w:rFonts w:asciiTheme="minorBidi" w:hAnsiTheme="minorBidi"/>
        </w:rPr>
      </w:pPr>
    </w:p>
    <w:p w14:paraId="5605C687"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Etikan, I., Musa, S.A. and Alkassim, R.S., (2016). ”Comparison of Convenience Sampling and Purposive Sampling.” </w:t>
      </w:r>
      <w:r w:rsidRPr="005F030F">
        <w:rPr>
          <w:rFonts w:asciiTheme="minorBidi" w:hAnsiTheme="minorBidi"/>
          <w:i/>
          <w:iCs/>
        </w:rPr>
        <w:t>American Journal of Theoretical and Applied Statistics</w:t>
      </w:r>
      <w:r w:rsidRPr="005F030F">
        <w:rPr>
          <w:rFonts w:asciiTheme="minorBidi" w:hAnsiTheme="minorBidi"/>
        </w:rPr>
        <w:t xml:space="preserve">, 5(1), pp.1–4. Available at: </w:t>
      </w:r>
      <w:hyperlink r:id="rId15" w:history="1">
        <w:r w:rsidRPr="005F030F">
          <w:rPr>
            <w:rStyle w:val="Hyperlink"/>
            <w:rFonts w:asciiTheme="minorBidi" w:hAnsiTheme="minorBidi"/>
          </w:rPr>
          <w:t>https://doi.org/10.11648/j.ajtas.20160501.11</w:t>
        </w:r>
      </w:hyperlink>
      <w:r w:rsidRPr="005F030F">
        <w:rPr>
          <w:rFonts w:asciiTheme="minorBidi" w:hAnsiTheme="minorBidi"/>
        </w:rPr>
        <w:t>.</w:t>
      </w:r>
    </w:p>
    <w:p w14:paraId="369E1AC9" w14:textId="77777777" w:rsidR="00A82889" w:rsidRPr="005F030F" w:rsidRDefault="00A82889" w:rsidP="00A82889">
      <w:pPr>
        <w:spacing w:after="0" w:line="360" w:lineRule="auto"/>
        <w:rPr>
          <w:rFonts w:asciiTheme="minorBidi" w:hAnsiTheme="minorBidi"/>
        </w:rPr>
      </w:pPr>
    </w:p>
    <w:p w14:paraId="6A766084" w14:textId="77777777" w:rsidR="00A82889" w:rsidRPr="009B2B6B" w:rsidRDefault="00A82889" w:rsidP="00A82889">
      <w:pPr>
        <w:spacing w:after="0" w:line="360" w:lineRule="auto"/>
        <w:rPr>
          <w:rFonts w:asciiTheme="minorBidi" w:hAnsiTheme="minorBidi"/>
        </w:rPr>
      </w:pPr>
      <w:r w:rsidRPr="009B2B6B">
        <w:rPr>
          <w:rFonts w:asciiTheme="minorBidi" w:hAnsiTheme="minorBidi"/>
        </w:rPr>
        <w:t xml:space="preserve">Flick, U. (2018). </w:t>
      </w:r>
      <w:r w:rsidRPr="009B2B6B">
        <w:rPr>
          <w:rFonts w:asciiTheme="minorBidi" w:hAnsiTheme="minorBidi"/>
          <w:i/>
          <w:iCs/>
        </w:rPr>
        <w:t>Designing qualitative research</w:t>
      </w:r>
      <w:r w:rsidRPr="009B2B6B">
        <w:rPr>
          <w:rFonts w:asciiTheme="minorBidi" w:hAnsiTheme="minorBidi"/>
        </w:rPr>
        <w:t xml:space="preserve"> (Second edition.). SAGE Publications Ltd.</w:t>
      </w:r>
    </w:p>
    <w:p w14:paraId="5A619D70" w14:textId="77777777" w:rsidR="00A82889" w:rsidRPr="005F030F" w:rsidRDefault="00A82889" w:rsidP="00A82889">
      <w:pPr>
        <w:spacing w:after="0" w:line="360" w:lineRule="auto"/>
        <w:rPr>
          <w:rFonts w:asciiTheme="minorBidi" w:hAnsiTheme="minorBidi"/>
        </w:rPr>
      </w:pPr>
    </w:p>
    <w:p w14:paraId="6DE1CAB2"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Foucault, M. (1982). </w:t>
      </w:r>
      <w:r w:rsidRPr="005F030F">
        <w:rPr>
          <w:rFonts w:asciiTheme="minorBidi" w:hAnsiTheme="minorBidi"/>
          <w:i/>
          <w:iCs/>
        </w:rPr>
        <w:t>The History of Sexuality, Volume 1: An Introduction</w:t>
      </w:r>
      <w:r w:rsidRPr="005F030F">
        <w:rPr>
          <w:rFonts w:asciiTheme="minorBidi" w:hAnsiTheme="minorBidi"/>
        </w:rPr>
        <w:t>. Translated by R. Hurley. Pantheon Books.</w:t>
      </w:r>
    </w:p>
    <w:p w14:paraId="0A29F5EB" w14:textId="77777777" w:rsidR="00A82889" w:rsidRPr="005F030F" w:rsidRDefault="00A82889" w:rsidP="00A82889">
      <w:pPr>
        <w:spacing w:after="0" w:line="360" w:lineRule="auto"/>
        <w:rPr>
          <w:rFonts w:asciiTheme="minorBidi" w:hAnsiTheme="minorBidi"/>
        </w:rPr>
      </w:pPr>
    </w:p>
    <w:p w14:paraId="06CBF78A"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Foucault, M. (1991), </w:t>
      </w:r>
      <w:r w:rsidRPr="005F030F">
        <w:rPr>
          <w:rFonts w:asciiTheme="minorBidi" w:hAnsiTheme="minorBidi"/>
          <w:i/>
          <w:iCs/>
        </w:rPr>
        <w:t>Discipline and Punish: The Birth of the Prison</w:t>
      </w:r>
      <w:r w:rsidRPr="005F030F">
        <w:rPr>
          <w:rFonts w:asciiTheme="minorBidi" w:hAnsiTheme="minorBidi"/>
        </w:rPr>
        <w:t xml:space="preserve"> (A Sheridan, trs), Penguin: London </w:t>
      </w:r>
    </w:p>
    <w:p w14:paraId="59E42154" w14:textId="77777777" w:rsidR="00A82889" w:rsidRPr="005F030F" w:rsidRDefault="00A82889" w:rsidP="00A82889">
      <w:pPr>
        <w:spacing w:after="0" w:line="360" w:lineRule="auto"/>
        <w:rPr>
          <w:rFonts w:asciiTheme="minorBidi" w:hAnsiTheme="minorBidi"/>
        </w:rPr>
      </w:pPr>
    </w:p>
    <w:p w14:paraId="1FDF7633"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Foucault, M. (2007)</w:t>
      </w:r>
      <w:r w:rsidRPr="005F030F">
        <w:rPr>
          <w:rFonts w:asciiTheme="minorBidi" w:hAnsiTheme="minorBidi"/>
          <w:i/>
          <w:iCs/>
        </w:rPr>
        <w:t xml:space="preserve"> Security, Territory, Population: Lectures at the Collège de France 1977-1978</w:t>
      </w:r>
      <w:r w:rsidRPr="005F030F">
        <w:rPr>
          <w:rFonts w:asciiTheme="minorBidi" w:hAnsiTheme="minorBidi"/>
        </w:rPr>
        <w:t xml:space="preserve"> (M Senellart, ed; G Burchell, trs) Palgrave Macmillan: Basingstoke </w:t>
      </w:r>
    </w:p>
    <w:p w14:paraId="5AC63E78" w14:textId="77777777" w:rsidR="00A82889" w:rsidRPr="005F030F" w:rsidRDefault="00A82889" w:rsidP="00A82889">
      <w:pPr>
        <w:spacing w:after="0" w:line="360" w:lineRule="auto"/>
        <w:rPr>
          <w:rFonts w:asciiTheme="minorBidi" w:hAnsiTheme="minorBidi"/>
        </w:rPr>
      </w:pPr>
    </w:p>
    <w:p w14:paraId="0257676D"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Foucault, M. (2020). </w:t>
      </w:r>
      <w:r w:rsidRPr="005F030F">
        <w:rPr>
          <w:rFonts w:asciiTheme="minorBidi" w:hAnsiTheme="minorBidi"/>
          <w:i/>
          <w:iCs/>
        </w:rPr>
        <w:t>Power: The Essential Works of Michel Foucault 1954–1984</w:t>
      </w:r>
      <w:r w:rsidRPr="005F030F">
        <w:rPr>
          <w:rFonts w:asciiTheme="minorBidi" w:hAnsiTheme="minorBidi"/>
        </w:rPr>
        <w:t>. Penguin Books.</w:t>
      </w:r>
    </w:p>
    <w:p w14:paraId="6E276E4D" w14:textId="77777777" w:rsidR="00A82889" w:rsidRPr="005F030F" w:rsidRDefault="00A82889" w:rsidP="00A82889">
      <w:pPr>
        <w:spacing w:after="0" w:line="360" w:lineRule="auto"/>
        <w:rPr>
          <w:rFonts w:asciiTheme="minorBidi" w:hAnsiTheme="minorBidi"/>
        </w:rPr>
      </w:pPr>
    </w:p>
    <w:p w14:paraId="79BF7888" w14:textId="77777777" w:rsidR="00A82889" w:rsidRPr="005F030F" w:rsidRDefault="00A82889" w:rsidP="00A82889">
      <w:pPr>
        <w:spacing w:after="0" w:line="360" w:lineRule="auto"/>
        <w:rPr>
          <w:rFonts w:asciiTheme="minorBidi" w:hAnsiTheme="minorBidi"/>
        </w:rPr>
      </w:pPr>
      <w:r w:rsidRPr="005F030F">
        <w:rPr>
          <w:rFonts w:asciiTheme="minorBidi" w:hAnsiTheme="minorBidi"/>
        </w:rPr>
        <w:lastRenderedPageBreak/>
        <w:t xml:space="preserve">Goundar, P. R. (2025). “Researcher Positionality: Ways to Include it in a Qualitative Research Design.” </w:t>
      </w:r>
      <w:r w:rsidRPr="005F030F">
        <w:rPr>
          <w:rFonts w:asciiTheme="minorBidi" w:hAnsiTheme="minorBidi"/>
          <w:i/>
          <w:iCs/>
        </w:rPr>
        <w:t>International Journal of Qualitative Methods,</w:t>
      </w:r>
      <w:r w:rsidRPr="005F030F">
        <w:rPr>
          <w:rFonts w:asciiTheme="minorBidi" w:hAnsiTheme="minorBidi"/>
        </w:rPr>
        <w:t xml:space="preserve"> 24. Available at: </w:t>
      </w:r>
      <w:hyperlink r:id="rId16" w:history="1">
        <w:r w:rsidRPr="005F030F">
          <w:rPr>
            <w:rStyle w:val="Hyperlink"/>
            <w:rFonts w:asciiTheme="minorBidi" w:hAnsiTheme="minorBidi"/>
          </w:rPr>
          <w:t>https://doi-org.ezproxy.uwtsd.ac.uk/10.1177/16094069251321251</w:t>
        </w:r>
      </w:hyperlink>
      <w:r w:rsidRPr="005F030F">
        <w:rPr>
          <w:rFonts w:asciiTheme="minorBidi" w:hAnsiTheme="minorBidi"/>
        </w:rPr>
        <w:t xml:space="preserve"> </w:t>
      </w:r>
    </w:p>
    <w:p w14:paraId="417FF437" w14:textId="77777777" w:rsidR="00A82889" w:rsidRPr="005F030F" w:rsidRDefault="00A82889" w:rsidP="00A82889">
      <w:pPr>
        <w:spacing w:after="0" w:line="360" w:lineRule="auto"/>
        <w:rPr>
          <w:rFonts w:asciiTheme="minorBidi" w:hAnsiTheme="minorBidi"/>
        </w:rPr>
      </w:pPr>
    </w:p>
    <w:p w14:paraId="64C8B0BA" w14:textId="77777777" w:rsidR="00A82889" w:rsidRPr="005F030F" w:rsidRDefault="00A82889" w:rsidP="00A82889">
      <w:pPr>
        <w:spacing w:after="0" w:line="360" w:lineRule="auto"/>
        <w:rPr>
          <w:rFonts w:asciiTheme="minorBidi" w:hAnsiTheme="minorBidi"/>
        </w:rPr>
      </w:pPr>
      <w:r w:rsidRPr="00171319">
        <w:rPr>
          <w:rFonts w:asciiTheme="minorBidi" w:hAnsiTheme="minorBidi"/>
        </w:rPr>
        <w:t xml:space="preserve">Gubrium, E., </w:t>
      </w:r>
      <w:r w:rsidRPr="005F030F">
        <w:rPr>
          <w:rFonts w:asciiTheme="minorBidi" w:hAnsiTheme="minorBidi"/>
        </w:rPr>
        <w:t>and</w:t>
      </w:r>
      <w:r w:rsidRPr="00171319">
        <w:rPr>
          <w:rFonts w:asciiTheme="minorBidi" w:hAnsiTheme="minorBidi"/>
        </w:rPr>
        <w:t xml:space="preserve"> Koro-Ljungberg, M. (2005). </w:t>
      </w:r>
      <w:r w:rsidRPr="005F030F">
        <w:rPr>
          <w:rFonts w:asciiTheme="minorBidi" w:hAnsiTheme="minorBidi"/>
        </w:rPr>
        <w:t>”</w:t>
      </w:r>
      <w:r w:rsidRPr="00171319">
        <w:rPr>
          <w:rFonts w:asciiTheme="minorBidi" w:hAnsiTheme="minorBidi"/>
        </w:rPr>
        <w:t>Contending With Border Making in the Social Constructionist Interview</w:t>
      </w:r>
      <w:r w:rsidRPr="005F030F">
        <w:rPr>
          <w:rFonts w:asciiTheme="minorBidi" w:hAnsiTheme="minorBidi"/>
        </w:rPr>
        <w:t>”</w:t>
      </w:r>
      <w:r w:rsidRPr="00171319">
        <w:rPr>
          <w:rFonts w:asciiTheme="minorBidi" w:hAnsiTheme="minorBidi"/>
        </w:rPr>
        <w:t xml:space="preserve">. </w:t>
      </w:r>
      <w:r w:rsidRPr="00171319">
        <w:rPr>
          <w:rFonts w:asciiTheme="minorBidi" w:hAnsiTheme="minorBidi"/>
          <w:i/>
          <w:iCs/>
        </w:rPr>
        <w:t>Qualitative Inquiry</w:t>
      </w:r>
      <w:r w:rsidRPr="00171319">
        <w:rPr>
          <w:rFonts w:asciiTheme="minorBidi" w:hAnsiTheme="minorBidi"/>
        </w:rPr>
        <w:t xml:space="preserve">, </w:t>
      </w:r>
      <w:r w:rsidRPr="00171319">
        <w:rPr>
          <w:rFonts w:asciiTheme="minorBidi" w:hAnsiTheme="minorBidi"/>
          <w:i/>
          <w:iCs/>
        </w:rPr>
        <w:t>11</w:t>
      </w:r>
      <w:r w:rsidRPr="00171319">
        <w:rPr>
          <w:rFonts w:asciiTheme="minorBidi" w:hAnsiTheme="minorBidi"/>
        </w:rPr>
        <w:t xml:space="preserve">(5), </w:t>
      </w:r>
      <w:r w:rsidRPr="005F030F">
        <w:rPr>
          <w:rFonts w:asciiTheme="minorBidi" w:hAnsiTheme="minorBidi"/>
        </w:rPr>
        <w:t xml:space="preserve">pp. </w:t>
      </w:r>
      <w:r w:rsidRPr="00171319">
        <w:rPr>
          <w:rFonts w:asciiTheme="minorBidi" w:hAnsiTheme="minorBidi"/>
        </w:rPr>
        <w:t xml:space="preserve">689–715. </w:t>
      </w:r>
      <w:r w:rsidRPr="005F030F">
        <w:rPr>
          <w:rFonts w:asciiTheme="minorBidi" w:hAnsiTheme="minorBidi"/>
        </w:rPr>
        <w:t xml:space="preserve">Available at: </w:t>
      </w:r>
      <w:hyperlink r:id="rId17" w:history="1">
        <w:r w:rsidRPr="00171319">
          <w:rPr>
            <w:rStyle w:val="Hyperlink"/>
            <w:rFonts w:asciiTheme="minorBidi" w:hAnsiTheme="minorBidi"/>
          </w:rPr>
          <w:t>https://doi.org/10.1177/1077800405278776</w:t>
        </w:r>
      </w:hyperlink>
      <w:r w:rsidRPr="005F030F">
        <w:rPr>
          <w:rFonts w:asciiTheme="minorBidi" w:hAnsiTheme="minorBidi"/>
        </w:rPr>
        <w:t xml:space="preserve"> </w:t>
      </w:r>
    </w:p>
    <w:p w14:paraId="0230CC1B" w14:textId="77777777" w:rsidR="00A82889" w:rsidRPr="005F030F" w:rsidRDefault="00A82889" w:rsidP="00A82889">
      <w:pPr>
        <w:spacing w:after="0" w:line="360" w:lineRule="auto"/>
        <w:rPr>
          <w:rFonts w:asciiTheme="minorBidi" w:hAnsiTheme="minorBidi"/>
        </w:rPr>
      </w:pPr>
    </w:p>
    <w:p w14:paraId="2512D6F1" w14:textId="77777777" w:rsidR="00A82889" w:rsidRPr="005F030F" w:rsidRDefault="00A82889" w:rsidP="00A82889">
      <w:pPr>
        <w:spacing w:after="0" w:line="360" w:lineRule="auto"/>
        <w:rPr>
          <w:rFonts w:asciiTheme="minorBidi" w:eastAsia="Times New Roman" w:hAnsiTheme="minorBidi"/>
          <w:color w:val="000000"/>
          <w:kern w:val="0"/>
          <w14:ligatures w14:val="none"/>
        </w:rPr>
      </w:pPr>
      <w:r w:rsidRPr="005F030F">
        <w:rPr>
          <w:rFonts w:asciiTheme="minorBidi" w:eastAsia="Times New Roman" w:hAnsiTheme="minorBidi"/>
          <w:color w:val="000000"/>
          <w:kern w:val="0"/>
          <w14:ligatures w14:val="none"/>
        </w:rPr>
        <w:t>Hammersley, M. (2007). The issue of quality in qualitative research. </w:t>
      </w:r>
      <w:r w:rsidRPr="005F030F">
        <w:rPr>
          <w:rFonts w:asciiTheme="minorBidi" w:eastAsia="Times New Roman" w:hAnsiTheme="minorBidi"/>
          <w:i/>
          <w:iCs/>
          <w:color w:val="000000"/>
          <w:kern w:val="0"/>
          <w14:ligatures w14:val="none"/>
        </w:rPr>
        <w:t>International Journal of Research &amp; Method in Education</w:t>
      </w:r>
      <w:r w:rsidRPr="005F030F">
        <w:rPr>
          <w:rFonts w:asciiTheme="minorBidi" w:eastAsia="Times New Roman" w:hAnsiTheme="minorBidi"/>
          <w:color w:val="000000"/>
          <w:kern w:val="0"/>
          <w14:ligatures w14:val="none"/>
        </w:rPr>
        <w:t>, </w:t>
      </w:r>
      <w:r w:rsidRPr="005F030F">
        <w:rPr>
          <w:rFonts w:asciiTheme="minorBidi" w:eastAsia="Times New Roman" w:hAnsiTheme="minorBidi"/>
          <w:i/>
          <w:iCs/>
          <w:color w:val="000000"/>
          <w:kern w:val="0"/>
          <w14:ligatures w14:val="none"/>
        </w:rPr>
        <w:t>30</w:t>
      </w:r>
      <w:r w:rsidRPr="005F030F">
        <w:rPr>
          <w:rFonts w:asciiTheme="minorBidi" w:eastAsia="Times New Roman" w:hAnsiTheme="minorBidi"/>
          <w:color w:val="000000"/>
          <w:kern w:val="0"/>
          <w14:ligatures w14:val="none"/>
        </w:rPr>
        <w:t xml:space="preserve">(3), pp. 287–305. Available at: </w:t>
      </w:r>
      <w:hyperlink r:id="rId18" w:history="1">
        <w:r w:rsidRPr="005F030F">
          <w:rPr>
            <w:rStyle w:val="Hyperlink"/>
            <w:rFonts w:asciiTheme="minorBidi" w:eastAsia="Times New Roman" w:hAnsiTheme="minorBidi"/>
            <w:kern w:val="0"/>
            <w14:ligatures w14:val="none"/>
          </w:rPr>
          <w:t>https://doi-org.ezproxy.uwtsd.ac.uk/10.1080/17437270701614782</w:t>
        </w:r>
      </w:hyperlink>
    </w:p>
    <w:p w14:paraId="5ECC98B1" w14:textId="77777777" w:rsidR="00A82889" w:rsidRPr="005F030F" w:rsidRDefault="00A82889" w:rsidP="00A82889">
      <w:pPr>
        <w:spacing w:after="0" w:line="360" w:lineRule="auto"/>
        <w:rPr>
          <w:rFonts w:asciiTheme="minorBidi" w:eastAsia="Times New Roman" w:hAnsiTheme="minorBidi"/>
          <w:color w:val="000000"/>
          <w:kern w:val="0"/>
          <w14:ligatures w14:val="none"/>
        </w:rPr>
      </w:pPr>
    </w:p>
    <w:p w14:paraId="6A0AB788" w14:textId="77777777" w:rsidR="00A82889" w:rsidRPr="005F030F" w:rsidRDefault="00A82889" w:rsidP="00A82889">
      <w:pPr>
        <w:spacing w:after="0" w:line="360" w:lineRule="auto"/>
        <w:rPr>
          <w:rFonts w:asciiTheme="minorBidi" w:eastAsia="Times New Roman" w:hAnsiTheme="minorBidi"/>
          <w:color w:val="000000"/>
          <w:kern w:val="0"/>
          <w14:ligatures w14:val="none"/>
        </w:rPr>
      </w:pPr>
      <w:r w:rsidRPr="005F030F">
        <w:rPr>
          <w:rFonts w:asciiTheme="minorBidi" w:eastAsia="Times New Roman" w:hAnsiTheme="minorBidi"/>
          <w:color w:val="000000"/>
          <w:kern w:val="0"/>
          <w14:ligatures w14:val="none"/>
        </w:rPr>
        <w:t xml:space="preserve">Johnson, R. B., and Onwuegbuzie, A. J. (2004). “Mixed Methods Research: A Research Paradigm Whose Time Has Come”. </w:t>
      </w:r>
      <w:r w:rsidRPr="005F030F">
        <w:rPr>
          <w:rFonts w:asciiTheme="minorBidi" w:eastAsia="Times New Roman" w:hAnsiTheme="minorBidi"/>
          <w:i/>
          <w:iCs/>
          <w:color w:val="000000"/>
          <w:kern w:val="0"/>
          <w14:ligatures w14:val="none"/>
        </w:rPr>
        <w:t>Educational Researcher</w:t>
      </w:r>
      <w:r w:rsidRPr="005F030F">
        <w:rPr>
          <w:rFonts w:asciiTheme="minorBidi" w:eastAsia="Times New Roman" w:hAnsiTheme="minorBidi"/>
          <w:color w:val="000000"/>
          <w:kern w:val="0"/>
          <w14:ligatures w14:val="none"/>
        </w:rPr>
        <w:t xml:space="preserve">, </w:t>
      </w:r>
      <w:r w:rsidRPr="005F030F">
        <w:rPr>
          <w:rFonts w:asciiTheme="minorBidi" w:eastAsia="Times New Roman" w:hAnsiTheme="minorBidi"/>
          <w:i/>
          <w:iCs/>
          <w:color w:val="000000"/>
          <w:kern w:val="0"/>
          <w14:ligatures w14:val="none"/>
        </w:rPr>
        <w:t>33</w:t>
      </w:r>
      <w:r w:rsidRPr="005F030F">
        <w:rPr>
          <w:rFonts w:asciiTheme="minorBidi" w:eastAsia="Times New Roman" w:hAnsiTheme="minorBidi"/>
          <w:color w:val="000000"/>
          <w:kern w:val="0"/>
          <w14:ligatures w14:val="none"/>
        </w:rPr>
        <w:t xml:space="preserve">(7), pp.14–26. Available at: </w:t>
      </w:r>
      <w:hyperlink r:id="rId19" w:history="1">
        <w:r w:rsidRPr="005F030F">
          <w:rPr>
            <w:rStyle w:val="Hyperlink"/>
            <w:rFonts w:asciiTheme="minorBidi" w:eastAsia="Times New Roman" w:hAnsiTheme="minorBidi"/>
            <w:kern w:val="0"/>
            <w14:ligatures w14:val="none"/>
          </w:rPr>
          <w:t>https://doi.org/10.3102/0013189X033007014</w:t>
        </w:r>
      </w:hyperlink>
      <w:r w:rsidRPr="005F030F">
        <w:rPr>
          <w:rFonts w:asciiTheme="minorBidi" w:eastAsia="Times New Roman" w:hAnsiTheme="minorBidi"/>
          <w:color w:val="000000"/>
          <w:kern w:val="0"/>
          <w14:ligatures w14:val="none"/>
        </w:rPr>
        <w:t xml:space="preserve"> </w:t>
      </w:r>
    </w:p>
    <w:p w14:paraId="382FD890" w14:textId="77777777" w:rsidR="00A82889" w:rsidRPr="005F030F" w:rsidRDefault="00A82889" w:rsidP="00A82889">
      <w:pPr>
        <w:spacing w:after="0" w:line="360" w:lineRule="auto"/>
        <w:rPr>
          <w:rFonts w:asciiTheme="minorBidi" w:eastAsia="Times New Roman" w:hAnsiTheme="minorBidi"/>
          <w:color w:val="000000"/>
          <w:kern w:val="0"/>
          <w14:ligatures w14:val="none"/>
        </w:rPr>
      </w:pPr>
    </w:p>
    <w:p w14:paraId="1E93E554" w14:textId="77777777" w:rsidR="00A82889" w:rsidRPr="005F030F" w:rsidRDefault="00A82889" w:rsidP="00A82889">
      <w:pPr>
        <w:spacing w:after="0" w:line="360" w:lineRule="auto"/>
        <w:rPr>
          <w:rFonts w:asciiTheme="minorBidi" w:eastAsia="Times New Roman" w:hAnsiTheme="minorBidi"/>
          <w:color w:val="000000"/>
          <w:kern w:val="0"/>
          <w14:ligatures w14:val="none"/>
        </w:rPr>
      </w:pPr>
      <w:r w:rsidRPr="00807F43">
        <w:rPr>
          <w:rFonts w:asciiTheme="minorBidi" w:eastAsia="Times New Roman" w:hAnsiTheme="minorBidi"/>
          <w:color w:val="000000"/>
          <w:kern w:val="0"/>
          <w14:ligatures w14:val="none"/>
        </w:rPr>
        <w:t xml:space="preserve">Khan, T. H., </w:t>
      </w:r>
      <w:r w:rsidRPr="005F030F">
        <w:rPr>
          <w:rFonts w:asciiTheme="minorBidi" w:eastAsia="Times New Roman" w:hAnsiTheme="minorBidi"/>
          <w:color w:val="000000"/>
          <w:kern w:val="0"/>
          <w14:ligatures w14:val="none"/>
        </w:rPr>
        <w:t>and</w:t>
      </w:r>
      <w:r w:rsidRPr="00807F43">
        <w:rPr>
          <w:rFonts w:asciiTheme="minorBidi" w:eastAsia="Times New Roman" w:hAnsiTheme="minorBidi"/>
          <w:color w:val="000000"/>
          <w:kern w:val="0"/>
          <w14:ligatures w14:val="none"/>
        </w:rPr>
        <w:t xml:space="preserve"> MacEachen, E. (2021). </w:t>
      </w:r>
      <w:r w:rsidRPr="005F030F">
        <w:rPr>
          <w:rFonts w:asciiTheme="minorBidi" w:eastAsia="Times New Roman" w:hAnsiTheme="minorBidi"/>
          <w:color w:val="000000"/>
          <w:kern w:val="0"/>
          <w14:ligatures w14:val="none"/>
        </w:rPr>
        <w:t>“</w:t>
      </w:r>
      <w:r w:rsidRPr="00807F43">
        <w:rPr>
          <w:rFonts w:asciiTheme="minorBidi" w:eastAsia="Times New Roman" w:hAnsiTheme="minorBidi"/>
          <w:color w:val="000000"/>
          <w:kern w:val="0"/>
          <w14:ligatures w14:val="none"/>
        </w:rPr>
        <w:t>Foucauldian Discourse Analysis: Moving Beyond a Social Constructionist Analytic</w:t>
      </w:r>
      <w:r w:rsidRPr="005F030F">
        <w:rPr>
          <w:rFonts w:asciiTheme="minorBidi" w:eastAsia="Times New Roman" w:hAnsiTheme="minorBidi"/>
          <w:color w:val="000000"/>
          <w:kern w:val="0"/>
          <w14:ligatures w14:val="none"/>
        </w:rPr>
        <w:t>”</w:t>
      </w:r>
      <w:r w:rsidRPr="00807F43">
        <w:rPr>
          <w:rFonts w:asciiTheme="minorBidi" w:eastAsia="Times New Roman" w:hAnsiTheme="minorBidi"/>
          <w:color w:val="000000"/>
          <w:kern w:val="0"/>
          <w14:ligatures w14:val="none"/>
        </w:rPr>
        <w:t xml:space="preserve">. </w:t>
      </w:r>
      <w:r w:rsidRPr="00807F43">
        <w:rPr>
          <w:rFonts w:asciiTheme="minorBidi" w:eastAsia="Times New Roman" w:hAnsiTheme="minorBidi"/>
          <w:i/>
          <w:iCs/>
          <w:color w:val="000000"/>
          <w:kern w:val="0"/>
          <w14:ligatures w14:val="none"/>
        </w:rPr>
        <w:t>International Journal of Qualitative Methods</w:t>
      </w:r>
      <w:r w:rsidRPr="00807F43">
        <w:rPr>
          <w:rFonts w:asciiTheme="minorBidi" w:eastAsia="Times New Roman" w:hAnsiTheme="minorBidi"/>
          <w:color w:val="000000"/>
          <w:kern w:val="0"/>
          <w14:ligatures w14:val="none"/>
        </w:rPr>
        <w:t xml:space="preserve">, 20. </w:t>
      </w:r>
      <w:r w:rsidRPr="005F030F">
        <w:rPr>
          <w:rFonts w:asciiTheme="minorBidi" w:eastAsia="Times New Roman" w:hAnsiTheme="minorBidi"/>
          <w:color w:val="000000"/>
          <w:kern w:val="0"/>
          <w14:ligatures w14:val="none"/>
        </w:rPr>
        <w:t xml:space="preserve">Available at: </w:t>
      </w:r>
      <w:hyperlink r:id="rId20" w:history="1">
        <w:r w:rsidRPr="00807F43">
          <w:rPr>
            <w:rStyle w:val="Hyperlink"/>
            <w:rFonts w:asciiTheme="minorBidi" w:eastAsia="Times New Roman" w:hAnsiTheme="minorBidi"/>
            <w:kern w:val="0"/>
            <w14:ligatures w14:val="none"/>
          </w:rPr>
          <w:t>https://doi-org.ezproxy.uwtsd.ac.uk/10.1177/16094069211018009</w:t>
        </w:r>
      </w:hyperlink>
      <w:r w:rsidRPr="005F030F">
        <w:rPr>
          <w:rFonts w:asciiTheme="minorBidi" w:eastAsia="Times New Roman" w:hAnsiTheme="minorBidi"/>
          <w:color w:val="000000"/>
          <w:kern w:val="0"/>
          <w14:ligatures w14:val="none"/>
        </w:rPr>
        <w:t xml:space="preserve"> </w:t>
      </w:r>
      <w:r w:rsidRPr="00807F43">
        <w:rPr>
          <w:rFonts w:asciiTheme="minorBidi" w:eastAsia="Times New Roman" w:hAnsiTheme="minorBidi"/>
          <w:color w:val="000000"/>
          <w:kern w:val="0"/>
          <w14:ligatures w14:val="none"/>
        </w:rPr>
        <w:t xml:space="preserve">  </w:t>
      </w:r>
      <w:r w:rsidRPr="005F030F">
        <w:rPr>
          <w:rFonts w:asciiTheme="minorBidi" w:eastAsia="Times New Roman" w:hAnsiTheme="minorBidi"/>
          <w:color w:val="000000"/>
          <w:kern w:val="0"/>
          <w14:ligatures w14:val="none"/>
        </w:rPr>
        <w:t xml:space="preserve"> </w:t>
      </w:r>
    </w:p>
    <w:p w14:paraId="2AD19944" w14:textId="77777777" w:rsidR="00A82889" w:rsidRPr="005F030F" w:rsidRDefault="00A82889" w:rsidP="00A82889">
      <w:pPr>
        <w:spacing w:after="0" w:line="360" w:lineRule="auto"/>
        <w:rPr>
          <w:rFonts w:asciiTheme="minorBidi" w:eastAsia="Times New Roman" w:hAnsiTheme="minorBidi"/>
          <w:color w:val="000000"/>
          <w:kern w:val="0"/>
          <w14:ligatures w14:val="none"/>
        </w:rPr>
      </w:pPr>
    </w:p>
    <w:p w14:paraId="45F17FB3"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Kivunja, C. and Kuyini, A.B., (2017). “</w:t>
      </w:r>
      <w:r w:rsidRPr="005F030F">
        <w:rPr>
          <w:rFonts w:asciiTheme="minorBidi" w:hAnsiTheme="minorBidi"/>
          <w:i/>
          <w:iCs/>
        </w:rPr>
        <w:t>Understanding and applying research paradigms in educational contexts”</w:t>
      </w:r>
      <w:r w:rsidRPr="005F030F">
        <w:rPr>
          <w:rFonts w:asciiTheme="minorBidi" w:hAnsiTheme="minorBidi"/>
        </w:rPr>
        <w:t>. International Journal of Higher Education, 6(5), pp.26–41.</w:t>
      </w:r>
    </w:p>
    <w:p w14:paraId="5CBCC021" w14:textId="77777777" w:rsidR="00A82889" w:rsidRPr="005F030F" w:rsidRDefault="00A82889" w:rsidP="00A82889">
      <w:pPr>
        <w:spacing w:after="0" w:line="360" w:lineRule="auto"/>
        <w:rPr>
          <w:rFonts w:asciiTheme="minorBidi" w:hAnsiTheme="minorBidi"/>
        </w:rPr>
      </w:pPr>
    </w:p>
    <w:p w14:paraId="5023A47A" w14:textId="77777777" w:rsidR="00A82889" w:rsidRPr="008A3F32" w:rsidRDefault="00A82889" w:rsidP="00A82889">
      <w:pPr>
        <w:spacing w:after="0" w:line="360" w:lineRule="auto"/>
        <w:rPr>
          <w:rFonts w:asciiTheme="minorBidi" w:hAnsiTheme="minorBidi"/>
        </w:rPr>
      </w:pPr>
      <w:r w:rsidRPr="008A3F32">
        <w:rPr>
          <w:rFonts w:asciiTheme="minorBidi" w:hAnsiTheme="minorBidi"/>
        </w:rPr>
        <w:t xml:space="preserve">Kvale, S. (1996). </w:t>
      </w:r>
      <w:r w:rsidRPr="008A3F32">
        <w:rPr>
          <w:rFonts w:asciiTheme="minorBidi" w:hAnsiTheme="minorBidi"/>
          <w:i/>
          <w:iCs/>
        </w:rPr>
        <w:t>Inter</w:t>
      </w:r>
      <w:r w:rsidRPr="005F030F">
        <w:rPr>
          <w:rFonts w:asciiTheme="minorBidi" w:hAnsiTheme="minorBidi"/>
          <w:i/>
          <w:iCs/>
        </w:rPr>
        <w:t>v</w:t>
      </w:r>
      <w:r w:rsidRPr="008A3F32">
        <w:rPr>
          <w:rFonts w:asciiTheme="minorBidi" w:hAnsiTheme="minorBidi"/>
          <w:i/>
          <w:iCs/>
        </w:rPr>
        <w:t>iews : an introduction to qualitative research interviewing</w:t>
      </w:r>
      <w:r w:rsidRPr="008A3F32">
        <w:rPr>
          <w:rFonts w:asciiTheme="minorBidi" w:hAnsiTheme="minorBidi"/>
        </w:rPr>
        <w:t>. Sage.</w:t>
      </w:r>
    </w:p>
    <w:p w14:paraId="0269CB25" w14:textId="77777777" w:rsidR="00A82889" w:rsidRPr="005F030F" w:rsidRDefault="00A82889" w:rsidP="00A82889">
      <w:pPr>
        <w:spacing w:after="0" w:line="360" w:lineRule="auto"/>
        <w:rPr>
          <w:rFonts w:asciiTheme="minorBidi" w:hAnsiTheme="minorBidi"/>
        </w:rPr>
      </w:pPr>
    </w:p>
    <w:p w14:paraId="2FA2F05B"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MacLure, M. (2003). </w:t>
      </w:r>
      <w:r w:rsidRPr="005F030F">
        <w:rPr>
          <w:rFonts w:asciiTheme="minorBidi" w:hAnsiTheme="minorBidi"/>
          <w:i/>
          <w:iCs/>
        </w:rPr>
        <w:t>Discourse in Educational and Social Research</w:t>
      </w:r>
      <w:r w:rsidRPr="005F030F">
        <w:rPr>
          <w:rFonts w:asciiTheme="minorBidi" w:hAnsiTheme="minorBidi"/>
        </w:rPr>
        <w:t>. Buckingham: Open University Press.</w:t>
      </w:r>
    </w:p>
    <w:p w14:paraId="18EBA975" w14:textId="77777777" w:rsidR="00A82889" w:rsidRPr="005F030F" w:rsidRDefault="00A82889" w:rsidP="00A82889">
      <w:pPr>
        <w:spacing w:after="0" w:line="360" w:lineRule="auto"/>
        <w:rPr>
          <w:rFonts w:asciiTheme="minorBidi" w:hAnsiTheme="minorBidi"/>
        </w:rPr>
      </w:pPr>
    </w:p>
    <w:p w14:paraId="23D0A22E"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Mertens, D.M. (2005). </w:t>
      </w:r>
      <w:r w:rsidRPr="005F030F">
        <w:rPr>
          <w:rFonts w:asciiTheme="minorBidi" w:hAnsiTheme="minorBidi"/>
          <w:i/>
          <w:iCs/>
        </w:rPr>
        <w:t>Research methods in education and psychology: Integrating diversity with quantitative and qualitative approaches.</w:t>
      </w:r>
      <w:r w:rsidRPr="005F030F">
        <w:rPr>
          <w:rFonts w:asciiTheme="minorBidi" w:hAnsiTheme="minorBidi"/>
        </w:rPr>
        <w:t> (2nd ed.) Thousand Oaks: Sage</w:t>
      </w:r>
    </w:p>
    <w:p w14:paraId="15EA8CCA" w14:textId="77777777" w:rsidR="00A82889" w:rsidRPr="005F030F" w:rsidRDefault="00A82889" w:rsidP="00A82889">
      <w:pPr>
        <w:spacing w:after="0" w:line="360" w:lineRule="auto"/>
        <w:rPr>
          <w:rFonts w:asciiTheme="minorBidi" w:hAnsiTheme="minorBidi"/>
        </w:rPr>
      </w:pPr>
    </w:p>
    <w:p w14:paraId="6227DF32"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Miles, M.B. and Huberman, M.A. (1994), </w:t>
      </w:r>
      <w:r w:rsidRPr="005F030F">
        <w:rPr>
          <w:rFonts w:asciiTheme="minorBidi" w:hAnsiTheme="minorBidi"/>
          <w:i/>
          <w:iCs/>
        </w:rPr>
        <w:t>Qualitative Data Analysis</w:t>
      </w:r>
      <w:r w:rsidRPr="005F030F">
        <w:rPr>
          <w:rFonts w:asciiTheme="minorBidi" w:hAnsiTheme="minorBidi"/>
        </w:rPr>
        <w:t>, 2nd ed., Sage, Thousand Oaks, CA.</w:t>
      </w:r>
    </w:p>
    <w:p w14:paraId="2EAA7BC0" w14:textId="77777777" w:rsidR="00A82889" w:rsidRPr="005F030F" w:rsidRDefault="00A82889" w:rsidP="00A82889">
      <w:pPr>
        <w:spacing w:after="0" w:line="360" w:lineRule="auto"/>
        <w:rPr>
          <w:rFonts w:asciiTheme="minorBidi" w:hAnsiTheme="minorBidi"/>
        </w:rPr>
      </w:pPr>
    </w:p>
    <w:p w14:paraId="5D5A2E85"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Pezalla AE, Pettigrew J, Miller-Day M (2012). “Researching the researcher-as-instrument: an exercise in interviewer self-reflexivity.” </w:t>
      </w:r>
      <w:r w:rsidRPr="005F030F">
        <w:rPr>
          <w:rFonts w:asciiTheme="minorBidi" w:hAnsiTheme="minorBidi"/>
          <w:i/>
          <w:iCs/>
        </w:rPr>
        <w:t>Qual Res</w:t>
      </w:r>
      <w:r w:rsidRPr="005F030F">
        <w:rPr>
          <w:rFonts w:asciiTheme="minorBidi" w:hAnsiTheme="minorBidi"/>
        </w:rPr>
        <w:t xml:space="preserve">. 12(2): pp.165-185. Available at: https://doi. 10.1177/1487941111422107  </w:t>
      </w:r>
    </w:p>
    <w:p w14:paraId="67B77FE0" w14:textId="77777777" w:rsidR="00A82889" w:rsidRPr="005F030F" w:rsidRDefault="00A82889" w:rsidP="00A82889">
      <w:pPr>
        <w:spacing w:after="0" w:line="360" w:lineRule="auto"/>
        <w:rPr>
          <w:rFonts w:asciiTheme="minorBidi" w:hAnsiTheme="minorBidi"/>
        </w:rPr>
      </w:pPr>
    </w:p>
    <w:p w14:paraId="05B1B33C"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Pring, R. (2000). </w:t>
      </w:r>
      <w:r w:rsidRPr="005F030F">
        <w:rPr>
          <w:rFonts w:asciiTheme="minorBidi" w:hAnsiTheme="minorBidi"/>
          <w:i/>
          <w:iCs/>
        </w:rPr>
        <w:t>Philosophy of educational research.</w:t>
      </w:r>
      <w:r w:rsidRPr="005F030F">
        <w:rPr>
          <w:rFonts w:asciiTheme="minorBidi" w:hAnsiTheme="minorBidi"/>
        </w:rPr>
        <w:t xml:space="preserve"> London: Continuum</w:t>
      </w:r>
    </w:p>
    <w:p w14:paraId="0D35A5C5" w14:textId="77777777" w:rsidR="00A82889" w:rsidRPr="005F030F" w:rsidRDefault="00A82889" w:rsidP="00A82889">
      <w:pPr>
        <w:spacing w:after="0" w:line="360" w:lineRule="auto"/>
        <w:rPr>
          <w:rFonts w:asciiTheme="minorBidi" w:hAnsiTheme="minorBidi"/>
        </w:rPr>
      </w:pPr>
    </w:p>
    <w:p w14:paraId="5E25270B" w14:textId="77777777" w:rsidR="00A82889" w:rsidRPr="005F030F" w:rsidRDefault="00A82889" w:rsidP="00A82889">
      <w:pPr>
        <w:pStyle w:val="NoSpacing"/>
        <w:spacing w:line="360" w:lineRule="auto"/>
        <w:rPr>
          <w:rStyle w:val="Hyperlink"/>
          <w:rFonts w:asciiTheme="minorBidi" w:hAnsiTheme="minorBidi"/>
          <w:bdr w:val="none" w:sz="0" w:space="0" w:color="auto" w:frame="1"/>
          <w:shd w:val="clear" w:color="auto" w:fill="FFFFFF"/>
        </w:rPr>
      </w:pPr>
      <w:r w:rsidRPr="005F030F">
        <w:rPr>
          <w:rFonts w:asciiTheme="minorBidi" w:hAnsiTheme="minorBidi"/>
          <w:color w:val="000000"/>
        </w:rPr>
        <w:t xml:space="preserve">Scotland, J. (2012) 'Exploring the philosophical underpinnings of research: relating ontology and epistemology to the methodology and methods of the scientific, interpretive and critical research paradigms.' </w:t>
      </w:r>
      <w:r w:rsidRPr="005F030F">
        <w:rPr>
          <w:rFonts w:asciiTheme="minorBidi" w:hAnsiTheme="minorBidi"/>
          <w:i/>
          <w:iCs/>
          <w:color w:val="000000"/>
        </w:rPr>
        <w:t>English Language Teaching;</w:t>
      </w:r>
      <w:r w:rsidRPr="005F030F">
        <w:rPr>
          <w:rFonts w:asciiTheme="minorBidi" w:hAnsiTheme="minorBidi"/>
          <w:color w:val="000000"/>
        </w:rPr>
        <w:t xml:space="preserve"> 5, (9) pp. 9 – 16. Available at: https://doi/</w:t>
      </w:r>
      <w:hyperlink r:id="rId21" w:tgtFrame="_blank" w:history="1">
        <w:r w:rsidRPr="005F030F">
          <w:rPr>
            <w:rStyle w:val="Hyperlink"/>
            <w:rFonts w:asciiTheme="minorBidi" w:hAnsiTheme="minorBidi"/>
            <w:bdr w:val="none" w:sz="0" w:space="0" w:color="auto" w:frame="1"/>
            <w:shd w:val="clear" w:color="auto" w:fill="FFFFFF"/>
          </w:rPr>
          <w:t>10.5539/elt.v5n9p9</w:t>
        </w:r>
      </w:hyperlink>
      <w:r w:rsidRPr="005F030F">
        <w:rPr>
          <w:rStyle w:val="Hyperlink"/>
          <w:rFonts w:asciiTheme="minorBidi" w:hAnsiTheme="minorBidi"/>
          <w:bdr w:val="none" w:sz="0" w:space="0" w:color="auto" w:frame="1"/>
          <w:shd w:val="clear" w:color="auto" w:fill="FFFFFF"/>
        </w:rPr>
        <w:t xml:space="preserve"> </w:t>
      </w:r>
    </w:p>
    <w:p w14:paraId="5257BED7" w14:textId="77777777" w:rsidR="00A82889" w:rsidRPr="005F030F" w:rsidRDefault="00A82889" w:rsidP="00A82889">
      <w:pPr>
        <w:pStyle w:val="NoSpacing"/>
        <w:spacing w:line="360" w:lineRule="auto"/>
        <w:rPr>
          <w:rStyle w:val="Hyperlink"/>
          <w:rFonts w:asciiTheme="minorBidi" w:hAnsiTheme="minorBidi"/>
          <w:bdr w:val="none" w:sz="0" w:space="0" w:color="auto" w:frame="1"/>
          <w:shd w:val="clear" w:color="auto" w:fill="FFFFFF"/>
        </w:rPr>
      </w:pPr>
    </w:p>
    <w:p w14:paraId="0B4122E3" w14:textId="77777777" w:rsidR="00A82889" w:rsidRPr="005F030F" w:rsidRDefault="00A82889" w:rsidP="00A82889">
      <w:pPr>
        <w:pStyle w:val="NoSpacing"/>
        <w:spacing w:line="360" w:lineRule="auto"/>
        <w:rPr>
          <w:rFonts w:asciiTheme="minorBidi" w:eastAsia="Times New Roman" w:hAnsiTheme="minorBidi"/>
          <w:lang w:val="it-IT"/>
          <w14:ligatures w14:val="none"/>
        </w:rPr>
      </w:pPr>
      <w:r w:rsidRPr="005F030F">
        <w:rPr>
          <w:rFonts w:asciiTheme="minorBidi" w:eastAsia="Times New Roman" w:hAnsiTheme="minorBidi"/>
          <w14:ligatures w14:val="none"/>
        </w:rPr>
        <w:t>Silverman, D. (2020). </w:t>
      </w:r>
      <w:r w:rsidRPr="005F030F">
        <w:rPr>
          <w:rFonts w:asciiTheme="minorBidi" w:eastAsia="Times New Roman" w:hAnsiTheme="minorBidi"/>
          <w:i/>
          <w:iCs/>
          <w:lang w:val="it-IT"/>
          <w14:ligatures w14:val="none"/>
        </w:rPr>
        <w:t>Interpreting Qualitative Data </w:t>
      </w:r>
      <w:r w:rsidRPr="005F030F">
        <w:rPr>
          <w:rFonts w:asciiTheme="minorBidi" w:eastAsia="Times New Roman" w:hAnsiTheme="minorBidi"/>
          <w:lang w:val="it-IT"/>
          <w14:ligatures w14:val="none"/>
        </w:rPr>
        <w:t>(6th ed.). SAGE Publications.</w:t>
      </w:r>
    </w:p>
    <w:p w14:paraId="5CE41DB4" w14:textId="77777777" w:rsidR="00A82889" w:rsidRPr="005F030F" w:rsidRDefault="00A82889" w:rsidP="00A82889">
      <w:pPr>
        <w:pStyle w:val="NoSpacing"/>
        <w:spacing w:line="360" w:lineRule="auto"/>
        <w:rPr>
          <w:rFonts w:asciiTheme="minorBidi" w:eastAsia="Times New Roman" w:hAnsiTheme="minorBidi"/>
          <w:lang w:val="it-IT"/>
          <w14:ligatures w14:val="none"/>
        </w:rPr>
      </w:pPr>
    </w:p>
    <w:p w14:paraId="365467EB" w14:textId="77777777" w:rsidR="00A82889" w:rsidRPr="00AF5052" w:rsidRDefault="00A82889" w:rsidP="00A82889">
      <w:pPr>
        <w:pStyle w:val="NoSpacing"/>
        <w:spacing w:line="360" w:lineRule="auto"/>
        <w:rPr>
          <w:rFonts w:asciiTheme="minorBidi" w:eastAsia="Times New Roman" w:hAnsiTheme="minorBidi"/>
          <w14:ligatures w14:val="none"/>
        </w:rPr>
      </w:pPr>
      <w:r w:rsidRPr="00AF5052">
        <w:rPr>
          <w:rFonts w:asciiTheme="minorBidi" w:eastAsia="Times New Roman" w:hAnsiTheme="minorBidi"/>
          <w:lang w:val="it-IT"/>
          <w14:ligatures w14:val="none"/>
        </w:rPr>
        <w:t xml:space="preserve">Skjott Linneberg, M., </w:t>
      </w:r>
      <w:r w:rsidRPr="005F030F">
        <w:rPr>
          <w:rFonts w:asciiTheme="minorBidi" w:eastAsia="Times New Roman" w:hAnsiTheme="minorBidi"/>
          <w:lang w:val="it-IT"/>
          <w14:ligatures w14:val="none"/>
        </w:rPr>
        <w:t>and</w:t>
      </w:r>
      <w:r w:rsidRPr="00AF5052">
        <w:rPr>
          <w:rFonts w:asciiTheme="minorBidi" w:eastAsia="Times New Roman" w:hAnsiTheme="minorBidi"/>
          <w:lang w:val="it-IT"/>
          <w14:ligatures w14:val="none"/>
        </w:rPr>
        <w:t xml:space="preserve"> Korsgaard, S. (2019). </w:t>
      </w:r>
      <w:r w:rsidRPr="005F030F">
        <w:rPr>
          <w:rFonts w:asciiTheme="minorBidi" w:eastAsia="Times New Roman" w:hAnsiTheme="minorBidi"/>
          <w:lang w:val="it-IT"/>
          <w14:ligatures w14:val="none"/>
        </w:rPr>
        <w:t>”</w:t>
      </w:r>
      <w:r w:rsidRPr="00AF5052">
        <w:rPr>
          <w:rFonts w:asciiTheme="minorBidi" w:eastAsia="Times New Roman" w:hAnsiTheme="minorBidi"/>
          <w:lang w:val="it-IT"/>
          <w14:ligatures w14:val="none"/>
        </w:rPr>
        <w:t>Coding qualitative data: a synthesis guiding the novice</w:t>
      </w:r>
      <w:r w:rsidRPr="005F030F">
        <w:rPr>
          <w:rFonts w:asciiTheme="minorBidi" w:eastAsia="Times New Roman" w:hAnsiTheme="minorBidi"/>
          <w:lang w:val="it-IT"/>
          <w14:ligatures w14:val="none"/>
        </w:rPr>
        <w:t>”</w:t>
      </w:r>
      <w:r w:rsidRPr="00AF5052">
        <w:rPr>
          <w:rFonts w:asciiTheme="minorBidi" w:eastAsia="Times New Roman" w:hAnsiTheme="minorBidi"/>
          <w:lang w:val="it-IT"/>
          <w14:ligatures w14:val="none"/>
        </w:rPr>
        <w:t xml:space="preserve">. </w:t>
      </w:r>
      <w:r w:rsidRPr="00AF5052">
        <w:rPr>
          <w:rFonts w:asciiTheme="minorBidi" w:eastAsia="Times New Roman" w:hAnsiTheme="minorBidi"/>
          <w:i/>
          <w:iCs/>
          <w14:ligatures w14:val="none"/>
        </w:rPr>
        <w:t>Qualitative Research Journal</w:t>
      </w:r>
      <w:r w:rsidRPr="00AF5052">
        <w:rPr>
          <w:rFonts w:asciiTheme="minorBidi" w:eastAsia="Times New Roman" w:hAnsiTheme="minorBidi"/>
          <w14:ligatures w14:val="none"/>
        </w:rPr>
        <w:t xml:space="preserve">, </w:t>
      </w:r>
      <w:r w:rsidRPr="00AF5052">
        <w:rPr>
          <w:rFonts w:asciiTheme="minorBidi" w:eastAsia="Times New Roman" w:hAnsiTheme="minorBidi"/>
          <w:i/>
          <w:iCs/>
          <w14:ligatures w14:val="none"/>
        </w:rPr>
        <w:t>19</w:t>
      </w:r>
      <w:r w:rsidRPr="00AF5052">
        <w:rPr>
          <w:rFonts w:asciiTheme="minorBidi" w:eastAsia="Times New Roman" w:hAnsiTheme="minorBidi"/>
          <w14:ligatures w14:val="none"/>
        </w:rPr>
        <w:t xml:space="preserve">(3), </w:t>
      </w:r>
      <w:r w:rsidRPr="005F030F">
        <w:rPr>
          <w:rFonts w:asciiTheme="minorBidi" w:eastAsia="Times New Roman" w:hAnsiTheme="minorBidi"/>
          <w14:ligatures w14:val="none"/>
        </w:rPr>
        <w:t xml:space="preserve">pp. </w:t>
      </w:r>
      <w:r w:rsidRPr="00AF5052">
        <w:rPr>
          <w:rFonts w:asciiTheme="minorBidi" w:eastAsia="Times New Roman" w:hAnsiTheme="minorBidi"/>
          <w14:ligatures w14:val="none"/>
        </w:rPr>
        <w:t>259–270.</w:t>
      </w:r>
      <w:r w:rsidRPr="005F030F">
        <w:rPr>
          <w:rFonts w:asciiTheme="minorBidi" w:eastAsia="Times New Roman" w:hAnsiTheme="minorBidi"/>
          <w14:ligatures w14:val="none"/>
        </w:rPr>
        <w:t xml:space="preserve"> Available at:</w:t>
      </w:r>
      <w:r w:rsidRPr="00AF5052">
        <w:rPr>
          <w:rFonts w:asciiTheme="minorBidi" w:eastAsia="Times New Roman" w:hAnsiTheme="minorBidi"/>
          <w14:ligatures w14:val="none"/>
        </w:rPr>
        <w:t xml:space="preserve"> </w:t>
      </w:r>
      <w:hyperlink r:id="rId22" w:history="1">
        <w:r w:rsidRPr="00AF5052">
          <w:rPr>
            <w:rStyle w:val="Hyperlink"/>
            <w:rFonts w:asciiTheme="minorBidi" w:eastAsia="Times New Roman" w:hAnsiTheme="minorBidi"/>
            <w14:ligatures w14:val="none"/>
          </w:rPr>
          <w:t>https://doi.org/10.1108/QRJ-12-2018-0012</w:t>
        </w:r>
      </w:hyperlink>
      <w:r w:rsidRPr="005F030F">
        <w:rPr>
          <w:rFonts w:asciiTheme="minorBidi" w:eastAsia="Times New Roman" w:hAnsiTheme="minorBidi"/>
          <w14:ligatures w14:val="none"/>
        </w:rPr>
        <w:t xml:space="preserve"> </w:t>
      </w:r>
    </w:p>
    <w:p w14:paraId="5F2380EE" w14:textId="77777777" w:rsidR="00A82889" w:rsidRPr="005F030F" w:rsidRDefault="00A82889" w:rsidP="00A82889">
      <w:pPr>
        <w:pStyle w:val="NoSpacing"/>
        <w:spacing w:line="360" w:lineRule="auto"/>
        <w:rPr>
          <w:rFonts w:asciiTheme="minorBidi" w:eastAsia="Times New Roman" w:hAnsiTheme="minorBidi"/>
          <w14:ligatures w14:val="none"/>
        </w:rPr>
      </w:pPr>
    </w:p>
    <w:p w14:paraId="70160D24" w14:textId="77777777" w:rsidR="00A82889" w:rsidRPr="005F030F" w:rsidRDefault="00A82889" w:rsidP="00A82889">
      <w:pPr>
        <w:pStyle w:val="NoSpacing"/>
        <w:spacing w:line="360" w:lineRule="auto"/>
        <w:rPr>
          <w:rFonts w:asciiTheme="minorBidi" w:eastAsia="Times New Roman" w:hAnsiTheme="minorBidi"/>
          <w14:ligatures w14:val="none"/>
        </w:rPr>
      </w:pPr>
      <w:r w:rsidRPr="005F030F">
        <w:rPr>
          <w:rFonts w:asciiTheme="minorBidi" w:eastAsia="Times New Roman" w:hAnsiTheme="minorBidi"/>
          <w14:ligatures w14:val="none"/>
        </w:rPr>
        <w:t xml:space="preserve">Thomas, G. (2018). </w:t>
      </w:r>
      <w:r w:rsidRPr="005F030F">
        <w:rPr>
          <w:rFonts w:asciiTheme="minorBidi" w:eastAsia="Times New Roman" w:hAnsiTheme="minorBidi"/>
          <w:i/>
          <w:iCs/>
          <w14:ligatures w14:val="none"/>
        </w:rPr>
        <w:t>How to do your research project : a guide for students</w:t>
      </w:r>
      <w:r w:rsidRPr="005F030F">
        <w:rPr>
          <w:rFonts w:asciiTheme="minorBidi" w:eastAsia="Times New Roman" w:hAnsiTheme="minorBidi"/>
          <w14:ligatures w14:val="none"/>
        </w:rPr>
        <w:t xml:space="preserve"> (4th edition.). </w:t>
      </w:r>
      <w:r w:rsidRPr="005F030F">
        <w:rPr>
          <w:rFonts w:asciiTheme="minorBidi" w:hAnsiTheme="minorBidi"/>
        </w:rPr>
        <w:t>California</w:t>
      </w:r>
      <w:r w:rsidRPr="005F030F">
        <w:rPr>
          <w:rFonts w:asciiTheme="minorBidi" w:eastAsia="Times New Roman" w:hAnsiTheme="minorBidi"/>
          <w14:ligatures w14:val="none"/>
        </w:rPr>
        <w:t>: Sage.</w:t>
      </w:r>
    </w:p>
    <w:p w14:paraId="19030063" w14:textId="77777777" w:rsidR="00A82889" w:rsidRPr="005F030F" w:rsidRDefault="00A82889" w:rsidP="00A82889">
      <w:pPr>
        <w:pStyle w:val="NoSpacing"/>
        <w:spacing w:line="360" w:lineRule="auto"/>
        <w:rPr>
          <w:rStyle w:val="Hyperlink"/>
          <w:rFonts w:asciiTheme="minorBidi" w:hAnsiTheme="minorBidi"/>
          <w:bdr w:val="none" w:sz="0" w:space="0" w:color="auto" w:frame="1"/>
          <w:shd w:val="clear" w:color="auto" w:fill="FFFFFF"/>
        </w:rPr>
      </w:pPr>
    </w:p>
    <w:p w14:paraId="2332956E" w14:textId="77777777" w:rsidR="00A82889" w:rsidRPr="005F030F" w:rsidRDefault="00A82889" w:rsidP="00A82889">
      <w:pPr>
        <w:spacing w:after="0" w:line="360" w:lineRule="auto"/>
        <w:rPr>
          <w:rFonts w:asciiTheme="minorBidi" w:hAnsiTheme="minorBidi"/>
        </w:rPr>
      </w:pPr>
      <w:r w:rsidRPr="005F030F">
        <w:rPr>
          <w:rFonts w:asciiTheme="minorBidi" w:hAnsiTheme="minorBidi"/>
        </w:rPr>
        <w:t xml:space="preserve">Warin, J. (2011). “Ethical mindfulness and reflexivity: managing a research relationship with children and young people in a 14-Year qualitative longitudinal research (QLR) study.” </w:t>
      </w:r>
      <w:r w:rsidRPr="005F030F">
        <w:rPr>
          <w:rFonts w:asciiTheme="minorBidi" w:hAnsiTheme="minorBidi"/>
          <w:i/>
          <w:iCs/>
        </w:rPr>
        <w:t>Qualitative Inquiry</w:t>
      </w:r>
      <w:r w:rsidRPr="005F030F">
        <w:rPr>
          <w:rFonts w:asciiTheme="minorBidi" w:hAnsiTheme="minorBidi"/>
        </w:rPr>
        <w:t xml:space="preserve">, 17(9), pp. 805-814. Available at: </w:t>
      </w:r>
      <w:hyperlink r:id="rId23" w:history="1">
        <w:r w:rsidRPr="005F030F">
          <w:rPr>
            <w:rStyle w:val="Hyperlink"/>
            <w:rFonts w:asciiTheme="minorBidi" w:hAnsiTheme="minorBidi"/>
          </w:rPr>
          <w:t>https://doi-org.ezproxy.uwtsd.ac.uk/10.1177/1077800411423196</w:t>
        </w:r>
      </w:hyperlink>
      <w:r w:rsidRPr="005F030F">
        <w:rPr>
          <w:rFonts w:asciiTheme="minorBidi" w:hAnsiTheme="minorBidi"/>
        </w:rPr>
        <w:t xml:space="preserve">  </w:t>
      </w:r>
    </w:p>
    <w:p w14:paraId="28E6689F" w14:textId="77777777" w:rsidR="00A82889" w:rsidRPr="005F030F" w:rsidRDefault="00A82889" w:rsidP="00A82889">
      <w:pPr>
        <w:spacing w:after="0" w:line="360" w:lineRule="auto"/>
        <w:rPr>
          <w:rFonts w:asciiTheme="minorBidi" w:hAnsiTheme="minorBidi"/>
        </w:rPr>
      </w:pPr>
    </w:p>
    <w:p w14:paraId="669B7107" w14:textId="68198767" w:rsidR="00A82889" w:rsidRPr="005F030F" w:rsidRDefault="00A82889" w:rsidP="00A82889">
      <w:pPr>
        <w:spacing w:after="0" w:line="360" w:lineRule="auto"/>
        <w:rPr>
          <w:rFonts w:asciiTheme="minorBidi" w:hAnsiTheme="minorBidi"/>
        </w:rPr>
      </w:pPr>
      <w:r w:rsidRPr="005F030F">
        <w:rPr>
          <w:rFonts w:asciiTheme="minorBidi" w:hAnsiTheme="minorBidi"/>
        </w:rPr>
        <w:t>Yip, S. Y. (2023). “Positionality and reflexivity: negotiating insider-outsider positions within and across cultures.” </w:t>
      </w:r>
      <w:r w:rsidRPr="005F030F">
        <w:rPr>
          <w:rFonts w:asciiTheme="minorBidi" w:hAnsiTheme="minorBidi"/>
          <w:i/>
          <w:iCs/>
        </w:rPr>
        <w:t>International Journal of Research &amp; Method in Education</w:t>
      </w:r>
      <w:r w:rsidRPr="005F030F">
        <w:rPr>
          <w:rFonts w:asciiTheme="minorBidi" w:hAnsiTheme="minorBidi"/>
        </w:rPr>
        <w:t>, </w:t>
      </w:r>
      <w:r w:rsidRPr="005F030F">
        <w:rPr>
          <w:rFonts w:asciiTheme="minorBidi" w:hAnsiTheme="minorBidi"/>
          <w:i/>
          <w:iCs/>
        </w:rPr>
        <w:t>47</w:t>
      </w:r>
      <w:r w:rsidRPr="005F030F">
        <w:rPr>
          <w:rFonts w:asciiTheme="minorBidi" w:hAnsiTheme="minorBidi"/>
        </w:rPr>
        <w:t xml:space="preserve">(3), </w:t>
      </w:r>
      <w:r w:rsidRPr="005F030F">
        <w:rPr>
          <w:rFonts w:asciiTheme="minorBidi" w:hAnsiTheme="minorBidi"/>
        </w:rPr>
        <w:t xml:space="preserve">pp. </w:t>
      </w:r>
      <w:r w:rsidRPr="005F030F">
        <w:rPr>
          <w:rFonts w:asciiTheme="minorBidi" w:hAnsiTheme="minorBidi"/>
        </w:rPr>
        <w:t xml:space="preserve">222–232. Available at: </w:t>
      </w:r>
      <w:hyperlink r:id="rId24" w:history="1">
        <w:r w:rsidRPr="005F030F">
          <w:rPr>
            <w:rStyle w:val="Hyperlink"/>
            <w:rFonts w:asciiTheme="minorBidi" w:hAnsiTheme="minorBidi"/>
          </w:rPr>
          <w:t>https://doi-org.ezproxy.uwtsd.ac.uk/10.1080/1743727X.2023.2266375</w:t>
        </w:r>
      </w:hyperlink>
      <w:r w:rsidRPr="005F030F">
        <w:rPr>
          <w:rFonts w:asciiTheme="minorBidi" w:hAnsiTheme="minorBidi"/>
        </w:rPr>
        <w:t xml:space="preserve"> </w:t>
      </w:r>
    </w:p>
    <w:p w14:paraId="1412033F" w14:textId="77777777" w:rsidR="003A33A6" w:rsidRPr="005F030F" w:rsidRDefault="003A33A6">
      <w:pPr>
        <w:rPr>
          <w:rFonts w:asciiTheme="minorBidi" w:eastAsiaTheme="majorEastAsia" w:hAnsiTheme="minorBidi"/>
          <w:color w:val="2F5496" w:themeColor="accent1" w:themeShade="BF"/>
          <w:sz w:val="40"/>
          <w:szCs w:val="40"/>
        </w:rPr>
      </w:pPr>
      <w:r w:rsidRPr="005F030F">
        <w:rPr>
          <w:rFonts w:asciiTheme="minorBidi" w:hAnsiTheme="minorBidi"/>
        </w:rPr>
        <w:br w:type="page"/>
      </w:r>
    </w:p>
    <w:p w14:paraId="778D2E50" w14:textId="02E1AC1D" w:rsidR="008A3C05" w:rsidRPr="005F030F" w:rsidRDefault="003A33A6" w:rsidP="003A33A6">
      <w:pPr>
        <w:pStyle w:val="Heading1"/>
        <w:rPr>
          <w:rFonts w:asciiTheme="minorBidi" w:hAnsiTheme="minorBidi" w:cstheme="minorBidi"/>
        </w:rPr>
      </w:pPr>
      <w:bookmarkStart w:id="16" w:name="_Toc196824677"/>
      <w:r w:rsidRPr="005F030F">
        <w:rPr>
          <w:rFonts w:asciiTheme="minorBidi" w:hAnsiTheme="minorBidi" w:cstheme="minorBidi"/>
        </w:rPr>
        <w:lastRenderedPageBreak/>
        <w:t>Appendi</w:t>
      </w:r>
      <w:r w:rsidR="00E84E15" w:rsidRPr="005F030F">
        <w:rPr>
          <w:rFonts w:asciiTheme="minorBidi" w:hAnsiTheme="minorBidi" w:cstheme="minorBidi"/>
        </w:rPr>
        <w:t>ces</w:t>
      </w:r>
      <w:bookmarkEnd w:id="16"/>
    </w:p>
    <w:p w14:paraId="37B9F42F" w14:textId="77777777" w:rsidR="00642226" w:rsidRPr="005F030F" w:rsidRDefault="00642226" w:rsidP="00642226">
      <w:pPr>
        <w:rPr>
          <w:rFonts w:asciiTheme="minorBidi" w:hAnsiTheme="minorBidi"/>
        </w:rPr>
      </w:pPr>
    </w:p>
    <w:p w14:paraId="2DB4DC4B" w14:textId="001EDDE9" w:rsidR="00642226" w:rsidRPr="005F030F" w:rsidRDefault="000D7F33" w:rsidP="005D5AD4">
      <w:pPr>
        <w:pStyle w:val="Heading2"/>
        <w:rPr>
          <w:rFonts w:asciiTheme="minorBidi" w:hAnsiTheme="minorBidi" w:cstheme="minorBidi"/>
        </w:rPr>
      </w:pPr>
      <w:bookmarkStart w:id="17" w:name="_Toc196824678"/>
      <w:r w:rsidRPr="005F030F">
        <w:rPr>
          <w:rFonts w:asciiTheme="minorBidi" w:hAnsiTheme="minorBidi" w:cstheme="minorBidi"/>
        </w:rPr>
        <w:t xml:space="preserve">Appendix I - </w:t>
      </w:r>
      <w:r w:rsidR="00642226" w:rsidRPr="005F030F">
        <w:rPr>
          <w:rFonts w:asciiTheme="minorBidi" w:hAnsiTheme="minorBidi" w:cstheme="minorBidi"/>
        </w:rPr>
        <w:t>Prompts and checks</w:t>
      </w:r>
      <w:bookmarkEnd w:id="17"/>
    </w:p>
    <w:p w14:paraId="12964793" w14:textId="229F9623" w:rsidR="00642226" w:rsidRPr="005F030F" w:rsidRDefault="005D5AD4" w:rsidP="00642226">
      <w:pPr>
        <w:rPr>
          <w:rFonts w:asciiTheme="minorBidi" w:hAnsiTheme="minorBidi"/>
        </w:rPr>
      </w:pPr>
      <w:r w:rsidRPr="005F030F">
        <w:rPr>
          <w:rFonts w:asciiTheme="minorBidi" w:hAnsiTheme="minorBidi"/>
        </w:rPr>
        <w:drawing>
          <wp:inline distT="0" distB="0" distL="0" distR="0" wp14:anchorId="5F4F8E29" wp14:editId="2B9E0AF7">
            <wp:extent cx="5731510" cy="2668270"/>
            <wp:effectExtent l="0" t="0" r="0" b="0"/>
            <wp:docPr id="542077227"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77227" name="Picture 1" descr="A white box with black text&#10;&#10;AI-generated content may be incorrect."/>
                    <pic:cNvPicPr/>
                  </pic:nvPicPr>
                  <pic:blipFill>
                    <a:blip r:embed="rId25"/>
                    <a:stretch>
                      <a:fillRect/>
                    </a:stretch>
                  </pic:blipFill>
                  <pic:spPr>
                    <a:xfrm>
                      <a:off x="0" y="0"/>
                      <a:ext cx="5731510" cy="2668270"/>
                    </a:xfrm>
                    <a:prstGeom prst="rect">
                      <a:avLst/>
                    </a:prstGeom>
                  </pic:spPr>
                </pic:pic>
              </a:graphicData>
            </a:graphic>
          </wp:inline>
        </w:drawing>
      </w:r>
    </w:p>
    <w:p w14:paraId="43668E27" w14:textId="17CC7F9D" w:rsidR="005D5AD4" w:rsidRPr="005F030F" w:rsidRDefault="005D5AD4" w:rsidP="00642226">
      <w:pPr>
        <w:rPr>
          <w:rFonts w:asciiTheme="minorBidi" w:hAnsiTheme="minorBidi"/>
        </w:rPr>
      </w:pPr>
      <w:r w:rsidRPr="005F030F">
        <w:rPr>
          <w:rFonts w:asciiTheme="minorBidi" w:hAnsiTheme="minorBidi"/>
        </w:rPr>
        <w:t>Denscombe, 20</w:t>
      </w:r>
      <w:r w:rsidR="000D7F33" w:rsidRPr="005F030F">
        <w:rPr>
          <w:rFonts w:asciiTheme="minorBidi" w:hAnsiTheme="minorBidi"/>
        </w:rPr>
        <w:t>21</w:t>
      </w:r>
      <w:r w:rsidRPr="005F030F">
        <w:rPr>
          <w:rFonts w:asciiTheme="minorBidi" w:hAnsiTheme="minorBidi"/>
        </w:rPr>
        <w:t>, p.184</w:t>
      </w:r>
    </w:p>
    <w:p w14:paraId="52B5A437" w14:textId="77777777" w:rsidR="005D5AD4" w:rsidRPr="005F030F" w:rsidRDefault="005D5AD4" w:rsidP="00642226">
      <w:pPr>
        <w:rPr>
          <w:rFonts w:asciiTheme="minorBidi" w:hAnsiTheme="minorBidi"/>
        </w:rPr>
      </w:pPr>
    </w:p>
    <w:p w14:paraId="7892B8BC" w14:textId="77777777" w:rsidR="005D5AD4" w:rsidRPr="005F030F" w:rsidRDefault="005D5AD4" w:rsidP="00642226">
      <w:pPr>
        <w:rPr>
          <w:rFonts w:asciiTheme="minorBidi" w:hAnsiTheme="minorBidi"/>
        </w:rPr>
      </w:pPr>
    </w:p>
    <w:p w14:paraId="3A4A7B0F" w14:textId="19706A2E" w:rsidR="00B01765" w:rsidRPr="005F030F" w:rsidRDefault="000D7F33" w:rsidP="005D5AD4">
      <w:pPr>
        <w:pStyle w:val="Heading2"/>
        <w:rPr>
          <w:rFonts w:asciiTheme="minorBidi" w:hAnsiTheme="minorBidi" w:cstheme="minorBidi"/>
        </w:rPr>
      </w:pPr>
      <w:bookmarkStart w:id="18" w:name="_Toc196824679"/>
      <w:r w:rsidRPr="005F030F">
        <w:rPr>
          <w:rFonts w:asciiTheme="minorBidi" w:hAnsiTheme="minorBidi" w:cstheme="minorBidi"/>
        </w:rPr>
        <w:t xml:space="preserve">Appendix II - </w:t>
      </w:r>
      <w:r w:rsidR="008813C0" w:rsidRPr="005F030F">
        <w:rPr>
          <w:rFonts w:asciiTheme="minorBidi" w:hAnsiTheme="minorBidi" w:cstheme="minorBidi"/>
        </w:rPr>
        <w:t xml:space="preserve">Semi-structured interview </w:t>
      </w:r>
      <w:r w:rsidR="004962A3" w:rsidRPr="005F030F">
        <w:rPr>
          <w:rFonts w:asciiTheme="minorBidi" w:hAnsiTheme="minorBidi" w:cstheme="minorBidi"/>
        </w:rPr>
        <w:t xml:space="preserve">questions </w:t>
      </w:r>
      <w:r w:rsidR="008813C0" w:rsidRPr="005F030F">
        <w:rPr>
          <w:rFonts w:asciiTheme="minorBidi" w:hAnsiTheme="minorBidi" w:cstheme="minorBidi"/>
        </w:rPr>
        <w:t>(RQ1)</w:t>
      </w:r>
      <w:bookmarkEnd w:id="18"/>
    </w:p>
    <w:p w14:paraId="261A0DE8" w14:textId="77777777" w:rsidR="005D5AD4" w:rsidRPr="005F030F" w:rsidRDefault="005D5AD4" w:rsidP="005D5AD4">
      <w:pPr>
        <w:rPr>
          <w:rFonts w:asciiTheme="minorBidi" w:hAnsiTheme="minorBidi"/>
        </w:rPr>
      </w:pPr>
    </w:p>
    <w:p w14:paraId="77FC17CA" w14:textId="62E011CE" w:rsidR="004962A3" w:rsidRPr="004962A3" w:rsidRDefault="004962A3" w:rsidP="004962A3">
      <w:pPr>
        <w:numPr>
          <w:ilvl w:val="0"/>
          <w:numId w:val="24"/>
        </w:numPr>
        <w:rPr>
          <w:rFonts w:asciiTheme="minorBidi" w:hAnsiTheme="minorBidi"/>
        </w:rPr>
      </w:pPr>
      <w:r w:rsidRPr="004962A3">
        <w:rPr>
          <w:rFonts w:asciiTheme="minorBidi" w:hAnsiTheme="minorBidi"/>
        </w:rPr>
        <w:t>Can you describe your understanding of joint accountability in the context of the partnership in Lead Partner Schools?</w:t>
      </w:r>
    </w:p>
    <w:p w14:paraId="1D299B31" w14:textId="77777777" w:rsidR="004962A3" w:rsidRPr="004962A3" w:rsidRDefault="004962A3" w:rsidP="004962A3">
      <w:pPr>
        <w:numPr>
          <w:ilvl w:val="0"/>
          <w:numId w:val="24"/>
        </w:numPr>
        <w:rPr>
          <w:rFonts w:asciiTheme="minorBidi" w:hAnsiTheme="minorBidi"/>
        </w:rPr>
      </w:pPr>
      <w:r w:rsidRPr="004962A3">
        <w:rPr>
          <w:rFonts w:asciiTheme="minorBidi" w:hAnsiTheme="minorBidi"/>
        </w:rPr>
        <w:t>How do you think your role (as a senior leader/mentor) influences your perception of joint accountability within the partnership?</w:t>
      </w:r>
    </w:p>
    <w:p w14:paraId="6033758C" w14:textId="6DB4A5FE" w:rsidR="004962A3" w:rsidRPr="004962A3" w:rsidRDefault="004962A3" w:rsidP="004962A3">
      <w:pPr>
        <w:numPr>
          <w:ilvl w:val="0"/>
          <w:numId w:val="24"/>
        </w:numPr>
        <w:rPr>
          <w:rFonts w:asciiTheme="minorBidi" w:hAnsiTheme="minorBidi"/>
        </w:rPr>
      </w:pPr>
      <w:r w:rsidRPr="004962A3">
        <w:rPr>
          <w:rFonts w:asciiTheme="minorBidi" w:hAnsiTheme="minorBidi"/>
        </w:rPr>
        <w:t>Are there any key differences or similarities you</w:t>
      </w:r>
      <w:r w:rsidR="00E84E15" w:rsidRPr="005F030F">
        <w:rPr>
          <w:rFonts w:asciiTheme="minorBidi" w:hAnsiTheme="minorBidi"/>
        </w:rPr>
        <w:t xml:space="preserve"> have </w:t>
      </w:r>
      <w:r w:rsidRPr="004962A3">
        <w:rPr>
          <w:rFonts w:asciiTheme="minorBidi" w:hAnsiTheme="minorBidi"/>
        </w:rPr>
        <w:t>observed in how senior leaders and mentors approach or understand joint accountability?</w:t>
      </w:r>
    </w:p>
    <w:p w14:paraId="31317864" w14:textId="77777777" w:rsidR="004962A3" w:rsidRPr="004962A3" w:rsidRDefault="004962A3" w:rsidP="004962A3">
      <w:pPr>
        <w:numPr>
          <w:ilvl w:val="0"/>
          <w:numId w:val="24"/>
        </w:numPr>
        <w:rPr>
          <w:rFonts w:asciiTheme="minorBidi" w:hAnsiTheme="minorBidi"/>
        </w:rPr>
      </w:pPr>
      <w:r w:rsidRPr="004962A3">
        <w:rPr>
          <w:rFonts w:asciiTheme="minorBidi" w:hAnsiTheme="minorBidi"/>
        </w:rPr>
        <w:t>Can you provide an example of a situation where joint accountability worked well (or didn’t) within the partnership?</w:t>
      </w:r>
    </w:p>
    <w:p w14:paraId="51E469D2" w14:textId="729540B3" w:rsidR="004962A3" w:rsidRPr="004962A3" w:rsidRDefault="004962A3" w:rsidP="004962A3">
      <w:pPr>
        <w:numPr>
          <w:ilvl w:val="0"/>
          <w:numId w:val="24"/>
        </w:numPr>
        <w:rPr>
          <w:rFonts w:asciiTheme="minorBidi" w:hAnsiTheme="minorBidi"/>
        </w:rPr>
      </w:pPr>
      <w:r w:rsidRPr="004962A3">
        <w:rPr>
          <w:rFonts w:asciiTheme="minorBidi" w:hAnsiTheme="minorBidi"/>
        </w:rPr>
        <w:t>What factors do you think influence how joint accountability is enacted within the partnership?</w:t>
      </w:r>
    </w:p>
    <w:p w14:paraId="69B1262E" w14:textId="77777777" w:rsidR="008813C0" w:rsidRPr="005F030F" w:rsidRDefault="008813C0" w:rsidP="004962A3">
      <w:pPr>
        <w:rPr>
          <w:rFonts w:asciiTheme="minorBidi" w:hAnsiTheme="minorBidi"/>
          <w:b/>
          <w:bCs/>
        </w:rPr>
      </w:pPr>
    </w:p>
    <w:p w14:paraId="03AE94F6" w14:textId="2D0406B5" w:rsidR="008813C0" w:rsidRPr="005F030F" w:rsidRDefault="008813C0" w:rsidP="008813C0">
      <w:pPr>
        <w:pStyle w:val="Heading2"/>
        <w:rPr>
          <w:rFonts w:asciiTheme="minorBidi" w:hAnsiTheme="minorBidi" w:cstheme="minorBidi"/>
        </w:rPr>
      </w:pPr>
      <w:bookmarkStart w:id="19" w:name="_Toc196824680"/>
      <w:r w:rsidRPr="005F030F">
        <w:rPr>
          <w:rFonts w:asciiTheme="minorBidi" w:hAnsiTheme="minorBidi" w:cstheme="minorBidi"/>
        </w:rPr>
        <w:t>Semi-structured interview questions (RQ2)</w:t>
      </w:r>
      <w:bookmarkEnd w:id="19"/>
    </w:p>
    <w:p w14:paraId="1A42F2D9" w14:textId="77777777" w:rsidR="008813C0" w:rsidRPr="005F030F" w:rsidRDefault="008813C0" w:rsidP="008813C0">
      <w:pPr>
        <w:rPr>
          <w:rFonts w:asciiTheme="minorBidi" w:hAnsiTheme="minorBidi"/>
        </w:rPr>
      </w:pPr>
    </w:p>
    <w:p w14:paraId="77DBCEAD" w14:textId="77777777" w:rsidR="004962A3" w:rsidRPr="004962A3" w:rsidRDefault="004962A3" w:rsidP="004962A3">
      <w:pPr>
        <w:numPr>
          <w:ilvl w:val="0"/>
          <w:numId w:val="25"/>
        </w:numPr>
        <w:rPr>
          <w:rFonts w:asciiTheme="minorBidi" w:hAnsiTheme="minorBidi"/>
        </w:rPr>
      </w:pPr>
      <w:r w:rsidRPr="004962A3">
        <w:rPr>
          <w:rFonts w:asciiTheme="minorBidi" w:hAnsiTheme="minorBidi"/>
        </w:rPr>
        <w:t>How would you describe your experience with both school inspections and ITE inspections?</w:t>
      </w:r>
    </w:p>
    <w:p w14:paraId="4694C167" w14:textId="77777777" w:rsidR="004962A3" w:rsidRPr="004962A3" w:rsidRDefault="004962A3" w:rsidP="004962A3">
      <w:pPr>
        <w:numPr>
          <w:ilvl w:val="0"/>
          <w:numId w:val="25"/>
        </w:numPr>
        <w:rPr>
          <w:rFonts w:asciiTheme="minorBidi" w:hAnsiTheme="minorBidi"/>
        </w:rPr>
      </w:pPr>
      <w:r w:rsidRPr="004962A3">
        <w:rPr>
          <w:rFonts w:asciiTheme="minorBidi" w:hAnsiTheme="minorBidi"/>
        </w:rPr>
        <w:lastRenderedPageBreak/>
        <w:t>In your opinion, are there any key similarities or differences between school inspections and ITE inspections?</w:t>
      </w:r>
    </w:p>
    <w:p w14:paraId="53CC5E50" w14:textId="77777777" w:rsidR="004962A3" w:rsidRDefault="004962A3" w:rsidP="004962A3">
      <w:pPr>
        <w:numPr>
          <w:ilvl w:val="0"/>
          <w:numId w:val="25"/>
        </w:numPr>
        <w:rPr>
          <w:rFonts w:asciiTheme="minorBidi" w:hAnsiTheme="minorBidi"/>
        </w:rPr>
      </w:pPr>
      <w:r w:rsidRPr="004962A3">
        <w:rPr>
          <w:rFonts w:asciiTheme="minorBidi" w:hAnsiTheme="minorBidi"/>
        </w:rPr>
        <w:t>What do you think are the most significant factors influencing how you view school inspections compared to ITE inspections?</w:t>
      </w:r>
    </w:p>
    <w:p w14:paraId="6D3D28E9" w14:textId="2B5097B5" w:rsidR="00304523" w:rsidRDefault="00304523" w:rsidP="004962A3">
      <w:pPr>
        <w:numPr>
          <w:ilvl w:val="0"/>
          <w:numId w:val="25"/>
        </w:numPr>
        <w:rPr>
          <w:rFonts w:asciiTheme="minorBidi" w:hAnsiTheme="minorBidi"/>
        </w:rPr>
      </w:pPr>
      <w:r>
        <w:rPr>
          <w:rFonts w:asciiTheme="minorBidi" w:hAnsiTheme="minorBidi"/>
        </w:rPr>
        <w:t xml:space="preserve">Do you prepare for school / partnership inspections in the same way? Why </w:t>
      </w:r>
      <w:r w:rsidR="00C67BA8">
        <w:rPr>
          <w:rFonts w:asciiTheme="minorBidi" w:hAnsiTheme="minorBidi"/>
        </w:rPr>
        <w:t>or</w:t>
      </w:r>
      <w:r>
        <w:rPr>
          <w:rFonts w:asciiTheme="minorBidi" w:hAnsiTheme="minorBidi"/>
        </w:rPr>
        <w:t xml:space="preserve"> why not?</w:t>
      </w:r>
    </w:p>
    <w:p w14:paraId="5F20B856" w14:textId="5D59FDBE" w:rsidR="00C67BA8" w:rsidRPr="004962A3" w:rsidRDefault="00C67BA8" w:rsidP="004962A3">
      <w:pPr>
        <w:numPr>
          <w:ilvl w:val="0"/>
          <w:numId w:val="25"/>
        </w:numPr>
        <w:rPr>
          <w:rFonts w:asciiTheme="minorBidi" w:hAnsiTheme="minorBidi"/>
        </w:rPr>
      </w:pPr>
      <w:r>
        <w:rPr>
          <w:rFonts w:asciiTheme="minorBidi" w:hAnsiTheme="minorBidi"/>
        </w:rPr>
        <w:t>Do wider staff in Lead Partner Schools prepare for school / partnership inspections in the same way? Why or why not?</w:t>
      </w:r>
    </w:p>
    <w:p w14:paraId="624B115B" w14:textId="77777777" w:rsidR="004962A3" w:rsidRPr="004962A3" w:rsidRDefault="004962A3" w:rsidP="004962A3">
      <w:pPr>
        <w:numPr>
          <w:ilvl w:val="0"/>
          <w:numId w:val="25"/>
        </w:numPr>
        <w:rPr>
          <w:rFonts w:asciiTheme="minorBidi" w:hAnsiTheme="minorBidi"/>
        </w:rPr>
      </w:pPr>
      <w:r w:rsidRPr="004962A3">
        <w:rPr>
          <w:rFonts w:asciiTheme="minorBidi" w:hAnsiTheme="minorBidi"/>
        </w:rPr>
        <w:t>Do you feel there is alignment between the expectations of school inspections and those of ITE inspections? Why or why not?</w:t>
      </w:r>
    </w:p>
    <w:p w14:paraId="641C2796" w14:textId="77777777" w:rsidR="004962A3" w:rsidRPr="005F030F" w:rsidRDefault="004962A3" w:rsidP="004962A3">
      <w:pPr>
        <w:rPr>
          <w:rFonts w:asciiTheme="minorBidi" w:hAnsiTheme="minorBidi"/>
        </w:rPr>
      </w:pPr>
    </w:p>
    <w:sectPr w:rsidR="004962A3" w:rsidRPr="005F030F" w:rsidSect="0031263D">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253A9" w14:textId="77777777" w:rsidR="005F40B1" w:rsidRDefault="005F40B1" w:rsidP="00401F31">
      <w:pPr>
        <w:spacing w:after="0" w:line="240" w:lineRule="auto"/>
      </w:pPr>
      <w:r>
        <w:separator/>
      </w:r>
    </w:p>
  </w:endnote>
  <w:endnote w:type="continuationSeparator" w:id="0">
    <w:p w14:paraId="74E0BD47" w14:textId="77777777" w:rsidR="005F40B1" w:rsidRDefault="005F40B1" w:rsidP="0040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3033267"/>
      <w:docPartObj>
        <w:docPartGallery w:val="Page Numbers (Bottom of Page)"/>
        <w:docPartUnique/>
      </w:docPartObj>
    </w:sdtPr>
    <w:sdtEndPr>
      <w:rPr>
        <w:noProof/>
      </w:rPr>
    </w:sdtEndPr>
    <w:sdtContent>
      <w:p w14:paraId="6750410F" w14:textId="0FC95D9F" w:rsidR="000F4182" w:rsidRDefault="000F4182">
        <w:pPr>
          <w:pStyle w:val="Footer"/>
        </w:pPr>
        <w:r>
          <w:fldChar w:fldCharType="begin"/>
        </w:r>
        <w:r>
          <w:instrText xml:space="preserve"> PAGE   \* MERGEFORMAT </w:instrText>
        </w:r>
        <w:r>
          <w:fldChar w:fldCharType="separate"/>
        </w:r>
        <w:r>
          <w:rPr>
            <w:noProof/>
          </w:rPr>
          <w:t>2</w:t>
        </w:r>
        <w:r>
          <w:rPr>
            <w:noProof/>
          </w:rPr>
          <w:fldChar w:fldCharType="end"/>
        </w:r>
      </w:p>
    </w:sdtContent>
  </w:sdt>
  <w:p w14:paraId="68643F48" w14:textId="77777777" w:rsidR="000F4182" w:rsidRDefault="000F4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87118" w14:textId="77777777" w:rsidR="005F40B1" w:rsidRDefault="005F40B1" w:rsidP="00401F31">
      <w:pPr>
        <w:spacing w:after="0" w:line="240" w:lineRule="auto"/>
      </w:pPr>
      <w:r>
        <w:separator/>
      </w:r>
    </w:p>
  </w:footnote>
  <w:footnote w:type="continuationSeparator" w:id="0">
    <w:p w14:paraId="77A18E3E" w14:textId="77777777" w:rsidR="005F40B1" w:rsidRDefault="005F40B1" w:rsidP="0040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97"/>
    <w:multiLevelType w:val="multilevel"/>
    <w:tmpl w:val="239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804BD"/>
    <w:multiLevelType w:val="multilevel"/>
    <w:tmpl w:val="ED74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26460"/>
    <w:multiLevelType w:val="hybridMultilevel"/>
    <w:tmpl w:val="75B2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366A1"/>
    <w:multiLevelType w:val="multilevel"/>
    <w:tmpl w:val="E3E6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66B6B"/>
    <w:multiLevelType w:val="multilevel"/>
    <w:tmpl w:val="7644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32A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9F39D7"/>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381602D"/>
    <w:multiLevelType w:val="multilevel"/>
    <w:tmpl w:val="C7DC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7C3130"/>
    <w:multiLevelType w:val="multilevel"/>
    <w:tmpl w:val="8CB0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30796"/>
    <w:multiLevelType w:val="multilevel"/>
    <w:tmpl w:val="88907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C1E13"/>
    <w:multiLevelType w:val="multilevel"/>
    <w:tmpl w:val="E3B07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EB7608"/>
    <w:multiLevelType w:val="multilevel"/>
    <w:tmpl w:val="E3E6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37638"/>
    <w:multiLevelType w:val="multilevel"/>
    <w:tmpl w:val="41FC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402C6"/>
    <w:multiLevelType w:val="multilevel"/>
    <w:tmpl w:val="E3E6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117BF"/>
    <w:multiLevelType w:val="multilevel"/>
    <w:tmpl w:val="659C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355767"/>
    <w:multiLevelType w:val="multilevel"/>
    <w:tmpl w:val="8F18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9343CE"/>
    <w:multiLevelType w:val="multilevel"/>
    <w:tmpl w:val="F7FAB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BB705C"/>
    <w:multiLevelType w:val="multilevel"/>
    <w:tmpl w:val="8082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CE63BD"/>
    <w:multiLevelType w:val="multilevel"/>
    <w:tmpl w:val="E3E6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645027"/>
    <w:multiLevelType w:val="multilevel"/>
    <w:tmpl w:val="40B82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5010CF"/>
    <w:multiLevelType w:val="multilevel"/>
    <w:tmpl w:val="E3E6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5963CC"/>
    <w:multiLevelType w:val="multilevel"/>
    <w:tmpl w:val="99582E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Bidi" w:hAnsiTheme="minorBidi" w:cstheme="minorBidi"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434F69C1"/>
    <w:multiLevelType w:val="hybridMultilevel"/>
    <w:tmpl w:val="44827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CD335E"/>
    <w:multiLevelType w:val="hybridMultilevel"/>
    <w:tmpl w:val="71322CA4"/>
    <w:lvl w:ilvl="0" w:tplc="E690CDE2">
      <w:start w:val="1"/>
      <w:numFmt w:val="bullet"/>
      <w:lvlText w:val="o"/>
      <w:lvlJc w:val="left"/>
      <w:pPr>
        <w:tabs>
          <w:tab w:val="num" w:pos="720"/>
        </w:tabs>
        <w:ind w:left="720" w:hanging="360"/>
      </w:pPr>
      <w:rPr>
        <w:rFonts w:ascii="Courier New" w:hAnsi="Courier New" w:hint="default"/>
      </w:rPr>
    </w:lvl>
    <w:lvl w:ilvl="1" w:tplc="F04045D4">
      <w:start w:val="1"/>
      <w:numFmt w:val="bullet"/>
      <w:lvlText w:val="o"/>
      <w:lvlJc w:val="left"/>
      <w:pPr>
        <w:tabs>
          <w:tab w:val="num" w:pos="1440"/>
        </w:tabs>
        <w:ind w:left="1440" w:hanging="360"/>
      </w:pPr>
      <w:rPr>
        <w:rFonts w:ascii="Courier New" w:hAnsi="Courier New" w:hint="default"/>
      </w:rPr>
    </w:lvl>
    <w:lvl w:ilvl="2" w:tplc="F64C7952">
      <w:start w:val="1"/>
      <w:numFmt w:val="bullet"/>
      <w:lvlText w:val="-"/>
      <w:lvlJc w:val="left"/>
      <w:pPr>
        <w:ind w:left="2160" w:hanging="360"/>
      </w:pPr>
      <w:rPr>
        <w:rFonts w:ascii="Arial" w:eastAsiaTheme="minorEastAsia" w:hAnsi="Arial" w:cs="Arial" w:hint="default"/>
      </w:rPr>
    </w:lvl>
    <w:lvl w:ilvl="3" w:tplc="067AD930" w:tentative="1">
      <w:start w:val="1"/>
      <w:numFmt w:val="bullet"/>
      <w:lvlText w:val="o"/>
      <w:lvlJc w:val="left"/>
      <w:pPr>
        <w:tabs>
          <w:tab w:val="num" w:pos="2880"/>
        </w:tabs>
        <w:ind w:left="2880" w:hanging="360"/>
      </w:pPr>
      <w:rPr>
        <w:rFonts w:ascii="Courier New" w:hAnsi="Courier New" w:hint="default"/>
      </w:rPr>
    </w:lvl>
    <w:lvl w:ilvl="4" w:tplc="B3FEB4BE" w:tentative="1">
      <w:start w:val="1"/>
      <w:numFmt w:val="bullet"/>
      <w:lvlText w:val="o"/>
      <w:lvlJc w:val="left"/>
      <w:pPr>
        <w:tabs>
          <w:tab w:val="num" w:pos="3600"/>
        </w:tabs>
        <w:ind w:left="3600" w:hanging="360"/>
      </w:pPr>
      <w:rPr>
        <w:rFonts w:ascii="Courier New" w:hAnsi="Courier New" w:hint="default"/>
      </w:rPr>
    </w:lvl>
    <w:lvl w:ilvl="5" w:tplc="7F36D378" w:tentative="1">
      <w:start w:val="1"/>
      <w:numFmt w:val="bullet"/>
      <w:lvlText w:val="o"/>
      <w:lvlJc w:val="left"/>
      <w:pPr>
        <w:tabs>
          <w:tab w:val="num" w:pos="4320"/>
        </w:tabs>
        <w:ind w:left="4320" w:hanging="360"/>
      </w:pPr>
      <w:rPr>
        <w:rFonts w:ascii="Courier New" w:hAnsi="Courier New" w:hint="default"/>
      </w:rPr>
    </w:lvl>
    <w:lvl w:ilvl="6" w:tplc="5510B53E" w:tentative="1">
      <w:start w:val="1"/>
      <w:numFmt w:val="bullet"/>
      <w:lvlText w:val="o"/>
      <w:lvlJc w:val="left"/>
      <w:pPr>
        <w:tabs>
          <w:tab w:val="num" w:pos="5040"/>
        </w:tabs>
        <w:ind w:left="5040" w:hanging="360"/>
      </w:pPr>
      <w:rPr>
        <w:rFonts w:ascii="Courier New" w:hAnsi="Courier New" w:hint="default"/>
      </w:rPr>
    </w:lvl>
    <w:lvl w:ilvl="7" w:tplc="A948BA02" w:tentative="1">
      <w:start w:val="1"/>
      <w:numFmt w:val="bullet"/>
      <w:lvlText w:val="o"/>
      <w:lvlJc w:val="left"/>
      <w:pPr>
        <w:tabs>
          <w:tab w:val="num" w:pos="5760"/>
        </w:tabs>
        <w:ind w:left="5760" w:hanging="360"/>
      </w:pPr>
      <w:rPr>
        <w:rFonts w:ascii="Courier New" w:hAnsi="Courier New" w:hint="default"/>
      </w:rPr>
    </w:lvl>
    <w:lvl w:ilvl="8" w:tplc="67549096" w:tentative="1">
      <w:start w:val="1"/>
      <w:numFmt w:val="bullet"/>
      <w:lvlText w:val="o"/>
      <w:lvlJc w:val="left"/>
      <w:pPr>
        <w:tabs>
          <w:tab w:val="num" w:pos="6480"/>
        </w:tabs>
        <w:ind w:left="6480" w:hanging="360"/>
      </w:pPr>
      <w:rPr>
        <w:rFonts w:ascii="Courier New" w:hAnsi="Courier New" w:hint="default"/>
      </w:rPr>
    </w:lvl>
  </w:abstractNum>
  <w:abstractNum w:abstractNumId="24" w15:restartNumberingAfterBreak="0">
    <w:nsid w:val="51C35EB1"/>
    <w:multiLevelType w:val="multilevel"/>
    <w:tmpl w:val="F92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615C7D"/>
    <w:multiLevelType w:val="multilevel"/>
    <w:tmpl w:val="082A7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653C69"/>
    <w:multiLevelType w:val="multilevel"/>
    <w:tmpl w:val="6D36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E04477"/>
    <w:multiLevelType w:val="multilevel"/>
    <w:tmpl w:val="7800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6E376D"/>
    <w:multiLevelType w:val="multilevel"/>
    <w:tmpl w:val="3F90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9378AA"/>
    <w:multiLevelType w:val="multilevel"/>
    <w:tmpl w:val="ED38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6289868">
    <w:abstractNumId w:val="7"/>
  </w:num>
  <w:num w:numId="2" w16cid:durableId="1624462051">
    <w:abstractNumId w:val="0"/>
  </w:num>
  <w:num w:numId="3" w16cid:durableId="472137309">
    <w:abstractNumId w:val="23"/>
  </w:num>
  <w:num w:numId="4" w16cid:durableId="166867630">
    <w:abstractNumId w:val="16"/>
  </w:num>
  <w:num w:numId="5" w16cid:durableId="517701121">
    <w:abstractNumId w:val="1"/>
  </w:num>
  <w:num w:numId="6" w16cid:durableId="1187018046">
    <w:abstractNumId w:val="15"/>
  </w:num>
  <w:num w:numId="7" w16cid:durableId="90977626">
    <w:abstractNumId w:val="14"/>
  </w:num>
  <w:num w:numId="8" w16cid:durableId="596254872">
    <w:abstractNumId w:val="28"/>
  </w:num>
  <w:num w:numId="9" w16cid:durableId="936865575">
    <w:abstractNumId w:val="4"/>
  </w:num>
  <w:num w:numId="10" w16cid:durableId="370501860">
    <w:abstractNumId w:val="29"/>
  </w:num>
  <w:num w:numId="11" w16cid:durableId="671644575">
    <w:abstractNumId w:val="17"/>
  </w:num>
  <w:num w:numId="12" w16cid:durableId="2143306385">
    <w:abstractNumId w:val="25"/>
  </w:num>
  <w:num w:numId="13" w16cid:durableId="1174148376">
    <w:abstractNumId w:val="12"/>
  </w:num>
  <w:num w:numId="14" w16cid:durableId="1091508017">
    <w:abstractNumId w:val="27"/>
  </w:num>
  <w:num w:numId="15" w16cid:durableId="1559512866">
    <w:abstractNumId w:val="26"/>
  </w:num>
  <w:num w:numId="16" w16cid:durableId="1871528762">
    <w:abstractNumId w:val="8"/>
  </w:num>
  <w:num w:numId="17" w16cid:durableId="423109998">
    <w:abstractNumId w:val="24"/>
  </w:num>
  <w:num w:numId="18" w16cid:durableId="455607360">
    <w:abstractNumId w:val="11"/>
  </w:num>
  <w:num w:numId="19" w16cid:durableId="2066177531">
    <w:abstractNumId w:val="3"/>
  </w:num>
  <w:num w:numId="20" w16cid:durableId="2095928923">
    <w:abstractNumId w:val="22"/>
  </w:num>
  <w:num w:numId="21" w16cid:durableId="1457404548">
    <w:abstractNumId w:val="6"/>
  </w:num>
  <w:num w:numId="22" w16cid:durableId="1486971543">
    <w:abstractNumId w:val="5"/>
  </w:num>
  <w:num w:numId="23" w16cid:durableId="1291977315">
    <w:abstractNumId w:val="21"/>
  </w:num>
  <w:num w:numId="24" w16cid:durableId="1239708670">
    <w:abstractNumId w:val="19"/>
  </w:num>
  <w:num w:numId="25" w16cid:durableId="767501698">
    <w:abstractNumId w:val="9"/>
  </w:num>
  <w:num w:numId="26" w16cid:durableId="1220627737">
    <w:abstractNumId w:val="10"/>
  </w:num>
  <w:num w:numId="27" w16cid:durableId="157427061">
    <w:abstractNumId w:val="13"/>
  </w:num>
  <w:num w:numId="28" w16cid:durableId="123932844">
    <w:abstractNumId w:val="20"/>
  </w:num>
  <w:num w:numId="29" w16cid:durableId="522981931">
    <w:abstractNumId w:val="2"/>
  </w:num>
  <w:num w:numId="30" w16cid:durableId="6148665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7E87"/>
    <w:rsid w:val="00002CBC"/>
    <w:rsid w:val="00010A11"/>
    <w:rsid w:val="00014244"/>
    <w:rsid w:val="00015D46"/>
    <w:rsid w:val="00024FC2"/>
    <w:rsid w:val="00033A69"/>
    <w:rsid w:val="0003455B"/>
    <w:rsid w:val="00034DD8"/>
    <w:rsid w:val="000354BF"/>
    <w:rsid w:val="000371CC"/>
    <w:rsid w:val="000374B3"/>
    <w:rsid w:val="000375BA"/>
    <w:rsid w:val="0003783F"/>
    <w:rsid w:val="00040ABE"/>
    <w:rsid w:val="00044ECF"/>
    <w:rsid w:val="00050F7F"/>
    <w:rsid w:val="00070B9E"/>
    <w:rsid w:val="000714D7"/>
    <w:rsid w:val="00073173"/>
    <w:rsid w:val="000731A5"/>
    <w:rsid w:val="00073688"/>
    <w:rsid w:val="000738EA"/>
    <w:rsid w:val="000749F1"/>
    <w:rsid w:val="000822A8"/>
    <w:rsid w:val="00083121"/>
    <w:rsid w:val="0008385A"/>
    <w:rsid w:val="00085637"/>
    <w:rsid w:val="00087596"/>
    <w:rsid w:val="00087C2E"/>
    <w:rsid w:val="000912B2"/>
    <w:rsid w:val="00093914"/>
    <w:rsid w:val="000947A7"/>
    <w:rsid w:val="00097F8F"/>
    <w:rsid w:val="000A0253"/>
    <w:rsid w:val="000A2F26"/>
    <w:rsid w:val="000A60C9"/>
    <w:rsid w:val="000A62FD"/>
    <w:rsid w:val="000C0546"/>
    <w:rsid w:val="000C39E7"/>
    <w:rsid w:val="000D0A9F"/>
    <w:rsid w:val="000D1795"/>
    <w:rsid w:val="000D2F57"/>
    <w:rsid w:val="000D41A6"/>
    <w:rsid w:val="000D7F33"/>
    <w:rsid w:val="000E6492"/>
    <w:rsid w:val="000F4182"/>
    <w:rsid w:val="000F6A46"/>
    <w:rsid w:val="001008BD"/>
    <w:rsid w:val="0011009D"/>
    <w:rsid w:val="0011607C"/>
    <w:rsid w:val="0012290A"/>
    <w:rsid w:val="00127D42"/>
    <w:rsid w:val="0013464E"/>
    <w:rsid w:val="001359BE"/>
    <w:rsid w:val="00137954"/>
    <w:rsid w:val="00137AC7"/>
    <w:rsid w:val="0014106A"/>
    <w:rsid w:val="00147F4B"/>
    <w:rsid w:val="001534C8"/>
    <w:rsid w:val="0015447E"/>
    <w:rsid w:val="0016175C"/>
    <w:rsid w:val="00162412"/>
    <w:rsid w:val="00166E6F"/>
    <w:rsid w:val="0016792A"/>
    <w:rsid w:val="00173E96"/>
    <w:rsid w:val="001752A7"/>
    <w:rsid w:val="001766FC"/>
    <w:rsid w:val="001805D7"/>
    <w:rsid w:val="00182A89"/>
    <w:rsid w:val="0018351B"/>
    <w:rsid w:val="00184031"/>
    <w:rsid w:val="00186374"/>
    <w:rsid w:val="0018774C"/>
    <w:rsid w:val="00194066"/>
    <w:rsid w:val="0019476A"/>
    <w:rsid w:val="00197BAC"/>
    <w:rsid w:val="001A0261"/>
    <w:rsid w:val="001A2D08"/>
    <w:rsid w:val="001A7569"/>
    <w:rsid w:val="001B1640"/>
    <w:rsid w:val="001B3533"/>
    <w:rsid w:val="001B41EF"/>
    <w:rsid w:val="001C0AC2"/>
    <w:rsid w:val="001C2991"/>
    <w:rsid w:val="001C342F"/>
    <w:rsid w:val="001D42EF"/>
    <w:rsid w:val="001D4A30"/>
    <w:rsid w:val="001D5751"/>
    <w:rsid w:val="001E361C"/>
    <w:rsid w:val="001F21EC"/>
    <w:rsid w:val="001F2EB9"/>
    <w:rsid w:val="00200EC2"/>
    <w:rsid w:val="00204054"/>
    <w:rsid w:val="00204566"/>
    <w:rsid w:val="00213D26"/>
    <w:rsid w:val="00214C18"/>
    <w:rsid w:val="00223D89"/>
    <w:rsid w:val="00233B2C"/>
    <w:rsid w:val="00242D75"/>
    <w:rsid w:val="0025291D"/>
    <w:rsid w:val="0025311C"/>
    <w:rsid w:val="0025451F"/>
    <w:rsid w:val="00260A74"/>
    <w:rsid w:val="0026113E"/>
    <w:rsid w:val="0026733D"/>
    <w:rsid w:val="00272AD9"/>
    <w:rsid w:val="0027483B"/>
    <w:rsid w:val="00282FBC"/>
    <w:rsid w:val="0029095E"/>
    <w:rsid w:val="002917FA"/>
    <w:rsid w:val="00292CEF"/>
    <w:rsid w:val="002951B6"/>
    <w:rsid w:val="002A1466"/>
    <w:rsid w:val="002A1467"/>
    <w:rsid w:val="002A2D3C"/>
    <w:rsid w:val="002A3A5E"/>
    <w:rsid w:val="002A5435"/>
    <w:rsid w:val="002B467D"/>
    <w:rsid w:val="002C216A"/>
    <w:rsid w:val="002D2340"/>
    <w:rsid w:val="002D53FB"/>
    <w:rsid w:val="002E02DF"/>
    <w:rsid w:val="002E1831"/>
    <w:rsid w:val="002E3F9F"/>
    <w:rsid w:val="002F010D"/>
    <w:rsid w:val="002F3311"/>
    <w:rsid w:val="002F6454"/>
    <w:rsid w:val="00301CA9"/>
    <w:rsid w:val="0030303F"/>
    <w:rsid w:val="00304523"/>
    <w:rsid w:val="00305FB7"/>
    <w:rsid w:val="0031263D"/>
    <w:rsid w:val="0031381F"/>
    <w:rsid w:val="00313D35"/>
    <w:rsid w:val="003150D7"/>
    <w:rsid w:val="0031560F"/>
    <w:rsid w:val="003201CC"/>
    <w:rsid w:val="00323A03"/>
    <w:rsid w:val="00330DAC"/>
    <w:rsid w:val="00331228"/>
    <w:rsid w:val="0033273A"/>
    <w:rsid w:val="00340E35"/>
    <w:rsid w:val="00344899"/>
    <w:rsid w:val="00345E65"/>
    <w:rsid w:val="0034661C"/>
    <w:rsid w:val="003472B3"/>
    <w:rsid w:val="00354F66"/>
    <w:rsid w:val="0036094C"/>
    <w:rsid w:val="00362F2B"/>
    <w:rsid w:val="00363B5F"/>
    <w:rsid w:val="00363CA1"/>
    <w:rsid w:val="003748C1"/>
    <w:rsid w:val="00375039"/>
    <w:rsid w:val="0038266A"/>
    <w:rsid w:val="00384A72"/>
    <w:rsid w:val="0038579A"/>
    <w:rsid w:val="003907A0"/>
    <w:rsid w:val="00392407"/>
    <w:rsid w:val="0039436B"/>
    <w:rsid w:val="003A2831"/>
    <w:rsid w:val="003A33A6"/>
    <w:rsid w:val="003A732D"/>
    <w:rsid w:val="003B09F9"/>
    <w:rsid w:val="003B2AAA"/>
    <w:rsid w:val="003B3A35"/>
    <w:rsid w:val="003B5AF0"/>
    <w:rsid w:val="003C0DA7"/>
    <w:rsid w:val="003C6B11"/>
    <w:rsid w:val="003D0259"/>
    <w:rsid w:val="003D0C38"/>
    <w:rsid w:val="003D0E66"/>
    <w:rsid w:val="003D6290"/>
    <w:rsid w:val="003D7C9F"/>
    <w:rsid w:val="003E059B"/>
    <w:rsid w:val="003E0806"/>
    <w:rsid w:val="003E105D"/>
    <w:rsid w:val="003E4912"/>
    <w:rsid w:val="004006E6"/>
    <w:rsid w:val="00401B6C"/>
    <w:rsid w:val="00401F31"/>
    <w:rsid w:val="004043BC"/>
    <w:rsid w:val="004066B1"/>
    <w:rsid w:val="00406716"/>
    <w:rsid w:val="00406E1F"/>
    <w:rsid w:val="00412994"/>
    <w:rsid w:val="004133EB"/>
    <w:rsid w:val="004255B9"/>
    <w:rsid w:val="00427F25"/>
    <w:rsid w:val="00431D57"/>
    <w:rsid w:val="0044189C"/>
    <w:rsid w:val="004558FA"/>
    <w:rsid w:val="00461E73"/>
    <w:rsid w:val="004639AB"/>
    <w:rsid w:val="00473EF9"/>
    <w:rsid w:val="00476D08"/>
    <w:rsid w:val="00480F11"/>
    <w:rsid w:val="004954C6"/>
    <w:rsid w:val="004962A3"/>
    <w:rsid w:val="004A4DA1"/>
    <w:rsid w:val="004B06E1"/>
    <w:rsid w:val="004B5673"/>
    <w:rsid w:val="004B56D5"/>
    <w:rsid w:val="004B5C0E"/>
    <w:rsid w:val="004B6664"/>
    <w:rsid w:val="004C412D"/>
    <w:rsid w:val="004C5266"/>
    <w:rsid w:val="004D6259"/>
    <w:rsid w:val="004D6A71"/>
    <w:rsid w:val="004E1DEE"/>
    <w:rsid w:val="004E4778"/>
    <w:rsid w:val="004E5D3B"/>
    <w:rsid w:val="004E6E9E"/>
    <w:rsid w:val="004E6FAE"/>
    <w:rsid w:val="004F26BC"/>
    <w:rsid w:val="004F2C5F"/>
    <w:rsid w:val="004F3272"/>
    <w:rsid w:val="004F4C7C"/>
    <w:rsid w:val="0050094D"/>
    <w:rsid w:val="00503718"/>
    <w:rsid w:val="00503ED2"/>
    <w:rsid w:val="00511C79"/>
    <w:rsid w:val="00513F00"/>
    <w:rsid w:val="00516717"/>
    <w:rsid w:val="0051797A"/>
    <w:rsid w:val="0052235F"/>
    <w:rsid w:val="005231DC"/>
    <w:rsid w:val="00530490"/>
    <w:rsid w:val="005331E5"/>
    <w:rsid w:val="005338F5"/>
    <w:rsid w:val="00534734"/>
    <w:rsid w:val="00534AE9"/>
    <w:rsid w:val="005417D9"/>
    <w:rsid w:val="00542BA8"/>
    <w:rsid w:val="00543B5A"/>
    <w:rsid w:val="00545DDF"/>
    <w:rsid w:val="00551B3A"/>
    <w:rsid w:val="00553622"/>
    <w:rsid w:val="00556543"/>
    <w:rsid w:val="00557E3E"/>
    <w:rsid w:val="00570D0C"/>
    <w:rsid w:val="00576465"/>
    <w:rsid w:val="00580329"/>
    <w:rsid w:val="00581496"/>
    <w:rsid w:val="00590194"/>
    <w:rsid w:val="00592283"/>
    <w:rsid w:val="005A1011"/>
    <w:rsid w:val="005A2DBD"/>
    <w:rsid w:val="005A48F3"/>
    <w:rsid w:val="005B18CC"/>
    <w:rsid w:val="005B2268"/>
    <w:rsid w:val="005C1B44"/>
    <w:rsid w:val="005C285A"/>
    <w:rsid w:val="005C3906"/>
    <w:rsid w:val="005C3939"/>
    <w:rsid w:val="005D5AD4"/>
    <w:rsid w:val="005E69CD"/>
    <w:rsid w:val="005E7517"/>
    <w:rsid w:val="005F030F"/>
    <w:rsid w:val="005F0BC9"/>
    <w:rsid w:val="005F40B1"/>
    <w:rsid w:val="005F4240"/>
    <w:rsid w:val="00604844"/>
    <w:rsid w:val="00614CA5"/>
    <w:rsid w:val="006174B0"/>
    <w:rsid w:val="00624A25"/>
    <w:rsid w:val="00631F2A"/>
    <w:rsid w:val="00632525"/>
    <w:rsid w:val="00632AE4"/>
    <w:rsid w:val="00634302"/>
    <w:rsid w:val="00636961"/>
    <w:rsid w:val="00642226"/>
    <w:rsid w:val="00644F13"/>
    <w:rsid w:val="0064789D"/>
    <w:rsid w:val="00654797"/>
    <w:rsid w:val="006561C8"/>
    <w:rsid w:val="0065759D"/>
    <w:rsid w:val="00657F5C"/>
    <w:rsid w:val="006633B4"/>
    <w:rsid w:val="006711B0"/>
    <w:rsid w:val="00672ADB"/>
    <w:rsid w:val="00672E55"/>
    <w:rsid w:val="00677148"/>
    <w:rsid w:val="006800C5"/>
    <w:rsid w:val="006842EB"/>
    <w:rsid w:val="00690BC6"/>
    <w:rsid w:val="00696F45"/>
    <w:rsid w:val="006A1900"/>
    <w:rsid w:val="006A4A80"/>
    <w:rsid w:val="006B6303"/>
    <w:rsid w:val="006C1911"/>
    <w:rsid w:val="006D0595"/>
    <w:rsid w:val="006D58C2"/>
    <w:rsid w:val="006D6BA6"/>
    <w:rsid w:val="006E004B"/>
    <w:rsid w:val="006E267C"/>
    <w:rsid w:val="006F072D"/>
    <w:rsid w:val="006F170E"/>
    <w:rsid w:val="006F3A9A"/>
    <w:rsid w:val="006F5255"/>
    <w:rsid w:val="006F6313"/>
    <w:rsid w:val="0070102B"/>
    <w:rsid w:val="00704478"/>
    <w:rsid w:val="0070766C"/>
    <w:rsid w:val="007108E3"/>
    <w:rsid w:val="007125A6"/>
    <w:rsid w:val="00715BA3"/>
    <w:rsid w:val="007247FF"/>
    <w:rsid w:val="00726CEE"/>
    <w:rsid w:val="00731BC8"/>
    <w:rsid w:val="0073349B"/>
    <w:rsid w:val="0073776C"/>
    <w:rsid w:val="00737848"/>
    <w:rsid w:val="007436A7"/>
    <w:rsid w:val="00743B2E"/>
    <w:rsid w:val="00744DA5"/>
    <w:rsid w:val="00747E4F"/>
    <w:rsid w:val="00747E7A"/>
    <w:rsid w:val="007607CD"/>
    <w:rsid w:val="00771776"/>
    <w:rsid w:val="00775CFE"/>
    <w:rsid w:val="00776FEA"/>
    <w:rsid w:val="0077763E"/>
    <w:rsid w:val="007814EC"/>
    <w:rsid w:val="00782F9D"/>
    <w:rsid w:val="007867B0"/>
    <w:rsid w:val="0078694F"/>
    <w:rsid w:val="00787D7B"/>
    <w:rsid w:val="00792BDB"/>
    <w:rsid w:val="007937F9"/>
    <w:rsid w:val="007941D2"/>
    <w:rsid w:val="00794C13"/>
    <w:rsid w:val="007A4C64"/>
    <w:rsid w:val="007A57FA"/>
    <w:rsid w:val="007B6CD5"/>
    <w:rsid w:val="007D044B"/>
    <w:rsid w:val="007D082A"/>
    <w:rsid w:val="007D288D"/>
    <w:rsid w:val="007D78D6"/>
    <w:rsid w:val="007E1972"/>
    <w:rsid w:val="007E2D6F"/>
    <w:rsid w:val="007E3CBB"/>
    <w:rsid w:val="007E43B0"/>
    <w:rsid w:val="007E571E"/>
    <w:rsid w:val="007E75FC"/>
    <w:rsid w:val="007E7D93"/>
    <w:rsid w:val="007F519D"/>
    <w:rsid w:val="007F6222"/>
    <w:rsid w:val="007F6333"/>
    <w:rsid w:val="00800D54"/>
    <w:rsid w:val="00802B88"/>
    <w:rsid w:val="008042E4"/>
    <w:rsid w:val="008047BA"/>
    <w:rsid w:val="00814A91"/>
    <w:rsid w:val="00816572"/>
    <w:rsid w:val="00817681"/>
    <w:rsid w:val="0082610E"/>
    <w:rsid w:val="00832C86"/>
    <w:rsid w:val="008333C1"/>
    <w:rsid w:val="00835F38"/>
    <w:rsid w:val="00840E53"/>
    <w:rsid w:val="0084367A"/>
    <w:rsid w:val="00843C8C"/>
    <w:rsid w:val="00847E03"/>
    <w:rsid w:val="008527F0"/>
    <w:rsid w:val="008608A4"/>
    <w:rsid w:val="00862138"/>
    <w:rsid w:val="008628DB"/>
    <w:rsid w:val="00863150"/>
    <w:rsid w:val="008724B7"/>
    <w:rsid w:val="0087390F"/>
    <w:rsid w:val="00875D7B"/>
    <w:rsid w:val="00876E6B"/>
    <w:rsid w:val="008813AD"/>
    <w:rsid w:val="008813C0"/>
    <w:rsid w:val="00892FE7"/>
    <w:rsid w:val="00895643"/>
    <w:rsid w:val="00895FC2"/>
    <w:rsid w:val="00897411"/>
    <w:rsid w:val="008A1F92"/>
    <w:rsid w:val="008A3C05"/>
    <w:rsid w:val="008A3F0B"/>
    <w:rsid w:val="008A4D2E"/>
    <w:rsid w:val="008A5517"/>
    <w:rsid w:val="008B253F"/>
    <w:rsid w:val="008B2C9E"/>
    <w:rsid w:val="008B2E7C"/>
    <w:rsid w:val="008B49EF"/>
    <w:rsid w:val="008B5837"/>
    <w:rsid w:val="008C157F"/>
    <w:rsid w:val="008C304D"/>
    <w:rsid w:val="008C3E5E"/>
    <w:rsid w:val="008D438C"/>
    <w:rsid w:val="008E1298"/>
    <w:rsid w:val="008E2740"/>
    <w:rsid w:val="008E481B"/>
    <w:rsid w:val="008E5FEE"/>
    <w:rsid w:val="008F4486"/>
    <w:rsid w:val="008F6A22"/>
    <w:rsid w:val="00901A83"/>
    <w:rsid w:val="00903B42"/>
    <w:rsid w:val="0090489A"/>
    <w:rsid w:val="009112B7"/>
    <w:rsid w:val="0091301D"/>
    <w:rsid w:val="00917F0C"/>
    <w:rsid w:val="00923CB8"/>
    <w:rsid w:val="00927349"/>
    <w:rsid w:val="009338B0"/>
    <w:rsid w:val="009371BA"/>
    <w:rsid w:val="00940538"/>
    <w:rsid w:val="009409B9"/>
    <w:rsid w:val="00943C2E"/>
    <w:rsid w:val="009452C3"/>
    <w:rsid w:val="009507EF"/>
    <w:rsid w:val="00952EC6"/>
    <w:rsid w:val="00954BF2"/>
    <w:rsid w:val="00955128"/>
    <w:rsid w:val="00956957"/>
    <w:rsid w:val="00957D54"/>
    <w:rsid w:val="00960D35"/>
    <w:rsid w:val="00970891"/>
    <w:rsid w:val="00971BE9"/>
    <w:rsid w:val="00976435"/>
    <w:rsid w:val="0098319B"/>
    <w:rsid w:val="009875B4"/>
    <w:rsid w:val="009A17E2"/>
    <w:rsid w:val="009B1103"/>
    <w:rsid w:val="009B3715"/>
    <w:rsid w:val="009C2CE9"/>
    <w:rsid w:val="009C50AE"/>
    <w:rsid w:val="009C51DC"/>
    <w:rsid w:val="009C5D16"/>
    <w:rsid w:val="009C602F"/>
    <w:rsid w:val="009C786C"/>
    <w:rsid w:val="009D0AE0"/>
    <w:rsid w:val="009D3AF3"/>
    <w:rsid w:val="009E256F"/>
    <w:rsid w:val="009E339A"/>
    <w:rsid w:val="009E7B8D"/>
    <w:rsid w:val="00A00752"/>
    <w:rsid w:val="00A03A99"/>
    <w:rsid w:val="00A03EDF"/>
    <w:rsid w:val="00A0529A"/>
    <w:rsid w:val="00A14196"/>
    <w:rsid w:val="00A14B48"/>
    <w:rsid w:val="00A1634E"/>
    <w:rsid w:val="00A2197C"/>
    <w:rsid w:val="00A21B64"/>
    <w:rsid w:val="00A2330C"/>
    <w:rsid w:val="00A27E87"/>
    <w:rsid w:val="00A305E0"/>
    <w:rsid w:val="00A31915"/>
    <w:rsid w:val="00A37078"/>
    <w:rsid w:val="00A37262"/>
    <w:rsid w:val="00A43FCD"/>
    <w:rsid w:val="00A54B77"/>
    <w:rsid w:val="00A55F70"/>
    <w:rsid w:val="00A5791C"/>
    <w:rsid w:val="00A60FC0"/>
    <w:rsid w:val="00A620E6"/>
    <w:rsid w:val="00A6339F"/>
    <w:rsid w:val="00A63B44"/>
    <w:rsid w:val="00A71AB5"/>
    <w:rsid w:val="00A77B64"/>
    <w:rsid w:val="00A77D1A"/>
    <w:rsid w:val="00A80678"/>
    <w:rsid w:val="00A80EAE"/>
    <w:rsid w:val="00A82889"/>
    <w:rsid w:val="00A848A2"/>
    <w:rsid w:val="00A86CB7"/>
    <w:rsid w:val="00A872B5"/>
    <w:rsid w:val="00A9321F"/>
    <w:rsid w:val="00A964D3"/>
    <w:rsid w:val="00A96CC4"/>
    <w:rsid w:val="00A97EB8"/>
    <w:rsid w:val="00AA7DD5"/>
    <w:rsid w:val="00AB0A11"/>
    <w:rsid w:val="00AB0A83"/>
    <w:rsid w:val="00AB1075"/>
    <w:rsid w:val="00AB1978"/>
    <w:rsid w:val="00AC2FE0"/>
    <w:rsid w:val="00AC36C4"/>
    <w:rsid w:val="00AD35F3"/>
    <w:rsid w:val="00AD5BAE"/>
    <w:rsid w:val="00AE1365"/>
    <w:rsid w:val="00AE2ADE"/>
    <w:rsid w:val="00AE2BC0"/>
    <w:rsid w:val="00AE6232"/>
    <w:rsid w:val="00AE7117"/>
    <w:rsid w:val="00AE71BF"/>
    <w:rsid w:val="00AF3F16"/>
    <w:rsid w:val="00AF4FA3"/>
    <w:rsid w:val="00B01765"/>
    <w:rsid w:val="00B0182B"/>
    <w:rsid w:val="00B058C8"/>
    <w:rsid w:val="00B10180"/>
    <w:rsid w:val="00B10A39"/>
    <w:rsid w:val="00B26CAD"/>
    <w:rsid w:val="00B2715A"/>
    <w:rsid w:val="00B27887"/>
    <w:rsid w:val="00B3079C"/>
    <w:rsid w:val="00B3475B"/>
    <w:rsid w:val="00B36304"/>
    <w:rsid w:val="00B3686E"/>
    <w:rsid w:val="00B37E60"/>
    <w:rsid w:val="00B400DD"/>
    <w:rsid w:val="00B4046E"/>
    <w:rsid w:val="00B406B7"/>
    <w:rsid w:val="00B40CAF"/>
    <w:rsid w:val="00B46392"/>
    <w:rsid w:val="00B512D4"/>
    <w:rsid w:val="00B51B0B"/>
    <w:rsid w:val="00B573F3"/>
    <w:rsid w:val="00B71E5A"/>
    <w:rsid w:val="00B81633"/>
    <w:rsid w:val="00B82D88"/>
    <w:rsid w:val="00B867F6"/>
    <w:rsid w:val="00B91A85"/>
    <w:rsid w:val="00B939D1"/>
    <w:rsid w:val="00B96370"/>
    <w:rsid w:val="00B972A5"/>
    <w:rsid w:val="00B972E5"/>
    <w:rsid w:val="00B97CE0"/>
    <w:rsid w:val="00BA2BBF"/>
    <w:rsid w:val="00BA3401"/>
    <w:rsid w:val="00BA4E92"/>
    <w:rsid w:val="00BB7D6B"/>
    <w:rsid w:val="00BB7E5E"/>
    <w:rsid w:val="00BC53DC"/>
    <w:rsid w:val="00BC5688"/>
    <w:rsid w:val="00BC6B55"/>
    <w:rsid w:val="00BC7388"/>
    <w:rsid w:val="00BD4593"/>
    <w:rsid w:val="00BD4F77"/>
    <w:rsid w:val="00BD503F"/>
    <w:rsid w:val="00BD77CD"/>
    <w:rsid w:val="00BE516B"/>
    <w:rsid w:val="00BE6248"/>
    <w:rsid w:val="00BF2476"/>
    <w:rsid w:val="00C02268"/>
    <w:rsid w:val="00C05457"/>
    <w:rsid w:val="00C06BD6"/>
    <w:rsid w:val="00C06E47"/>
    <w:rsid w:val="00C07C22"/>
    <w:rsid w:val="00C14D7F"/>
    <w:rsid w:val="00C335C5"/>
    <w:rsid w:val="00C345A3"/>
    <w:rsid w:val="00C352F6"/>
    <w:rsid w:val="00C36FC0"/>
    <w:rsid w:val="00C4400A"/>
    <w:rsid w:val="00C45CDF"/>
    <w:rsid w:val="00C45D9E"/>
    <w:rsid w:val="00C460CA"/>
    <w:rsid w:val="00C5612F"/>
    <w:rsid w:val="00C57397"/>
    <w:rsid w:val="00C6284D"/>
    <w:rsid w:val="00C67BA8"/>
    <w:rsid w:val="00C7116E"/>
    <w:rsid w:val="00C758F6"/>
    <w:rsid w:val="00C859CF"/>
    <w:rsid w:val="00C867FB"/>
    <w:rsid w:val="00C87A85"/>
    <w:rsid w:val="00C91206"/>
    <w:rsid w:val="00C91C13"/>
    <w:rsid w:val="00C92F9F"/>
    <w:rsid w:val="00CA52AC"/>
    <w:rsid w:val="00CB5684"/>
    <w:rsid w:val="00CB56D6"/>
    <w:rsid w:val="00CB7315"/>
    <w:rsid w:val="00CC0412"/>
    <w:rsid w:val="00CD0D0E"/>
    <w:rsid w:val="00CD4A66"/>
    <w:rsid w:val="00CE1B67"/>
    <w:rsid w:val="00CF0C74"/>
    <w:rsid w:val="00CF2A2D"/>
    <w:rsid w:val="00D004B3"/>
    <w:rsid w:val="00D0331E"/>
    <w:rsid w:val="00D100DD"/>
    <w:rsid w:val="00D109FE"/>
    <w:rsid w:val="00D14CD6"/>
    <w:rsid w:val="00D156C3"/>
    <w:rsid w:val="00D20065"/>
    <w:rsid w:val="00D2638B"/>
    <w:rsid w:val="00D31927"/>
    <w:rsid w:val="00D33958"/>
    <w:rsid w:val="00D342C1"/>
    <w:rsid w:val="00D37587"/>
    <w:rsid w:val="00D4263D"/>
    <w:rsid w:val="00D43EF8"/>
    <w:rsid w:val="00D54AE7"/>
    <w:rsid w:val="00D60865"/>
    <w:rsid w:val="00D665F5"/>
    <w:rsid w:val="00D7008A"/>
    <w:rsid w:val="00D738FF"/>
    <w:rsid w:val="00D73BA4"/>
    <w:rsid w:val="00D8268F"/>
    <w:rsid w:val="00D83172"/>
    <w:rsid w:val="00D870F0"/>
    <w:rsid w:val="00D904A8"/>
    <w:rsid w:val="00D90D75"/>
    <w:rsid w:val="00D92F21"/>
    <w:rsid w:val="00D934E3"/>
    <w:rsid w:val="00D95F04"/>
    <w:rsid w:val="00D96AA4"/>
    <w:rsid w:val="00D970F2"/>
    <w:rsid w:val="00D9718A"/>
    <w:rsid w:val="00DA0A02"/>
    <w:rsid w:val="00DA46DA"/>
    <w:rsid w:val="00DA6D26"/>
    <w:rsid w:val="00DC7136"/>
    <w:rsid w:val="00DD00D2"/>
    <w:rsid w:val="00DD6BB3"/>
    <w:rsid w:val="00DE3CB4"/>
    <w:rsid w:val="00DF0600"/>
    <w:rsid w:val="00DF51B2"/>
    <w:rsid w:val="00E0246F"/>
    <w:rsid w:val="00E062F0"/>
    <w:rsid w:val="00E07766"/>
    <w:rsid w:val="00E0784E"/>
    <w:rsid w:val="00E25418"/>
    <w:rsid w:val="00E2542C"/>
    <w:rsid w:val="00E424A1"/>
    <w:rsid w:val="00E44706"/>
    <w:rsid w:val="00E617EC"/>
    <w:rsid w:val="00E7335D"/>
    <w:rsid w:val="00E75675"/>
    <w:rsid w:val="00E8226D"/>
    <w:rsid w:val="00E84E15"/>
    <w:rsid w:val="00E924E5"/>
    <w:rsid w:val="00E94393"/>
    <w:rsid w:val="00EA1D36"/>
    <w:rsid w:val="00EA70D1"/>
    <w:rsid w:val="00EB23BB"/>
    <w:rsid w:val="00EB2DAB"/>
    <w:rsid w:val="00EC7D28"/>
    <w:rsid w:val="00ED2828"/>
    <w:rsid w:val="00ED2F5C"/>
    <w:rsid w:val="00ED42B6"/>
    <w:rsid w:val="00ED62C3"/>
    <w:rsid w:val="00ED70BD"/>
    <w:rsid w:val="00EE2021"/>
    <w:rsid w:val="00EE2FCE"/>
    <w:rsid w:val="00EE74CD"/>
    <w:rsid w:val="00EF2D93"/>
    <w:rsid w:val="00EF2E28"/>
    <w:rsid w:val="00EF34A0"/>
    <w:rsid w:val="00EF37D1"/>
    <w:rsid w:val="00F004C1"/>
    <w:rsid w:val="00F00574"/>
    <w:rsid w:val="00F0389B"/>
    <w:rsid w:val="00F12F0C"/>
    <w:rsid w:val="00F132E8"/>
    <w:rsid w:val="00F13E28"/>
    <w:rsid w:val="00F33482"/>
    <w:rsid w:val="00F3641A"/>
    <w:rsid w:val="00F4106F"/>
    <w:rsid w:val="00F41A40"/>
    <w:rsid w:val="00F4556C"/>
    <w:rsid w:val="00F45806"/>
    <w:rsid w:val="00F477B5"/>
    <w:rsid w:val="00F53DB5"/>
    <w:rsid w:val="00F622CD"/>
    <w:rsid w:val="00F65B7C"/>
    <w:rsid w:val="00F669E0"/>
    <w:rsid w:val="00F6732B"/>
    <w:rsid w:val="00F76406"/>
    <w:rsid w:val="00F8216F"/>
    <w:rsid w:val="00F9598A"/>
    <w:rsid w:val="00F96A5F"/>
    <w:rsid w:val="00FA0A73"/>
    <w:rsid w:val="00FA3D51"/>
    <w:rsid w:val="00FA6794"/>
    <w:rsid w:val="00FA7FFE"/>
    <w:rsid w:val="00FB2D44"/>
    <w:rsid w:val="00FC5433"/>
    <w:rsid w:val="00FC5D65"/>
    <w:rsid w:val="00FC6858"/>
    <w:rsid w:val="00FC6F85"/>
    <w:rsid w:val="00FD2A9E"/>
    <w:rsid w:val="00FD7884"/>
    <w:rsid w:val="00FE1697"/>
    <w:rsid w:val="00FE1BAE"/>
    <w:rsid w:val="00FE40A2"/>
    <w:rsid w:val="00FE445D"/>
    <w:rsid w:val="00FF184C"/>
    <w:rsid w:val="00FF1D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rules v:ext="edit">
        <o:r id="V:Rule1" type="connector" idref="#_x0000_s2055"/>
        <o:r id="V:Rule2" type="connector" idref="#_x0000_s2056"/>
      </o:rules>
    </o:shapelayout>
  </w:shapeDefaults>
  <w:decimalSymbol w:val="."/>
  <w:listSeparator w:val=","/>
  <w14:docId w14:val="430F6DB1"/>
  <w15:chartTrackingRefBased/>
  <w15:docId w15:val="{60A3CA5E-30FA-4DD2-B1CE-96E18099A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E87"/>
    <w:pPr>
      <w:keepNext/>
      <w:keepLines/>
      <w:numPr>
        <w:numId w:val="23"/>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27E87"/>
    <w:pPr>
      <w:keepNext/>
      <w:keepLines/>
      <w:numPr>
        <w:ilvl w:val="1"/>
        <w:numId w:val="23"/>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7E87"/>
    <w:pPr>
      <w:keepNext/>
      <w:keepLines/>
      <w:numPr>
        <w:ilvl w:val="2"/>
        <w:numId w:val="23"/>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7E87"/>
    <w:pPr>
      <w:keepNext/>
      <w:keepLines/>
      <w:numPr>
        <w:ilvl w:val="3"/>
        <w:numId w:val="23"/>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7E87"/>
    <w:pPr>
      <w:keepNext/>
      <w:keepLines/>
      <w:numPr>
        <w:ilvl w:val="4"/>
        <w:numId w:val="23"/>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7E87"/>
    <w:pPr>
      <w:keepNext/>
      <w:keepLines/>
      <w:numPr>
        <w:ilvl w:val="5"/>
        <w:numId w:val="2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E87"/>
    <w:pPr>
      <w:keepNext/>
      <w:keepLines/>
      <w:numPr>
        <w:ilvl w:val="6"/>
        <w:numId w:val="2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E87"/>
    <w:pPr>
      <w:keepNext/>
      <w:keepLines/>
      <w:numPr>
        <w:ilvl w:val="7"/>
        <w:numId w:val="2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E87"/>
    <w:pPr>
      <w:keepNext/>
      <w:keepLines/>
      <w:numPr>
        <w:ilvl w:val="8"/>
        <w:numId w:val="2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E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27E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27E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7E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7E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7E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E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E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E87"/>
    <w:rPr>
      <w:rFonts w:eastAsiaTheme="majorEastAsia" w:cstheme="majorBidi"/>
      <w:color w:val="272727" w:themeColor="text1" w:themeTint="D8"/>
    </w:rPr>
  </w:style>
  <w:style w:type="paragraph" w:styleId="Title">
    <w:name w:val="Title"/>
    <w:basedOn w:val="Normal"/>
    <w:next w:val="Normal"/>
    <w:link w:val="TitleChar"/>
    <w:uiPriority w:val="10"/>
    <w:qFormat/>
    <w:rsid w:val="00A27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E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E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E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E87"/>
    <w:pPr>
      <w:spacing w:before="160"/>
      <w:jc w:val="center"/>
    </w:pPr>
    <w:rPr>
      <w:i/>
      <w:iCs/>
      <w:color w:val="404040" w:themeColor="text1" w:themeTint="BF"/>
    </w:rPr>
  </w:style>
  <w:style w:type="character" w:customStyle="1" w:styleId="QuoteChar">
    <w:name w:val="Quote Char"/>
    <w:basedOn w:val="DefaultParagraphFont"/>
    <w:link w:val="Quote"/>
    <w:uiPriority w:val="29"/>
    <w:rsid w:val="00A27E87"/>
    <w:rPr>
      <w:i/>
      <w:iCs/>
      <w:color w:val="404040" w:themeColor="text1" w:themeTint="BF"/>
    </w:rPr>
  </w:style>
  <w:style w:type="paragraph" w:styleId="ListParagraph">
    <w:name w:val="List Paragraph"/>
    <w:basedOn w:val="Normal"/>
    <w:uiPriority w:val="34"/>
    <w:qFormat/>
    <w:rsid w:val="00A27E87"/>
    <w:pPr>
      <w:ind w:left="720"/>
      <w:contextualSpacing/>
    </w:pPr>
  </w:style>
  <w:style w:type="character" w:styleId="IntenseEmphasis">
    <w:name w:val="Intense Emphasis"/>
    <w:basedOn w:val="DefaultParagraphFont"/>
    <w:uiPriority w:val="21"/>
    <w:qFormat/>
    <w:rsid w:val="00A27E87"/>
    <w:rPr>
      <w:i/>
      <w:iCs/>
      <w:color w:val="2F5496" w:themeColor="accent1" w:themeShade="BF"/>
    </w:rPr>
  </w:style>
  <w:style w:type="paragraph" w:styleId="IntenseQuote">
    <w:name w:val="Intense Quote"/>
    <w:basedOn w:val="Normal"/>
    <w:next w:val="Normal"/>
    <w:link w:val="IntenseQuoteChar"/>
    <w:uiPriority w:val="30"/>
    <w:qFormat/>
    <w:rsid w:val="00A27E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7E87"/>
    <w:rPr>
      <w:i/>
      <w:iCs/>
      <w:color w:val="2F5496" w:themeColor="accent1" w:themeShade="BF"/>
    </w:rPr>
  </w:style>
  <w:style w:type="character" w:styleId="IntenseReference">
    <w:name w:val="Intense Reference"/>
    <w:basedOn w:val="DefaultParagraphFont"/>
    <w:uiPriority w:val="32"/>
    <w:qFormat/>
    <w:rsid w:val="00A27E87"/>
    <w:rPr>
      <w:b/>
      <w:bCs/>
      <w:smallCaps/>
      <w:color w:val="2F5496" w:themeColor="accent1" w:themeShade="BF"/>
      <w:spacing w:val="5"/>
    </w:rPr>
  </w:style>
  <w:style w:type="paragraph" w:styleId="Header">
    <w:name w:val="header"/>
    <w:basedOn w:val="Normal"/>
    <w:link w:val="HeaderChar"/>
    <w:uiPriority w:val="99"/>
    <w:unhideWhenUsed/>
    <w:rsid w:val="00401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F31"/>
  </w:style>
  <w:style w:type="paragraph" w:styleId="Footer">
    <w:name w:val="footer"/>
    <w:basedOn w:val="Normal"/>
    <w:link w:val="FooterChar"/>
    <w:uiPriority w:val="99"/>
    <w:unhideWhenUsed/>
    <w:rsid w:val="00401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F31"/>
  </w:style>
  <w:style w:type="character" w:styleId="Strong">
    <w:name w:val="Strong"/>
    <w:basedOn w:val="DefaultParagraphFont"/>
    <w:uiPriority w:val="22"/>
    <w:qFormat/>
    <w:rsid w:val="007247FF"/>
    <w:rPr>
      <w:b/>
      <w:bCs/>
    </w:rPr>
  </w:style>
  <w:style w:type="character" w:styleId="Hyperlink">
    <w:name w:val="Hyperlink"/>
    <w:basedOn w:val="DefaultParagraphFont"/>
    <w:uiPriority w:val="99"/>
    <w:unhideWhenUsed/>
    <w:rsid w:val="00F669E0"/>
    <w:rPr>
      <w:color w:val="0563C1" w:themeColor="hyperlink"/>
      <w:u w:val="single"/>
    </w:rPr>
  </w:style>
  <w:style w:type="character" w:styleId="UnresolvedMention">
    <w:name w:val="Unresolved Mention"/>
    <w:basedOn w:val="DefaultParagraphFont"/>
    <w:uiPriority w:val="99"/>
    <w:semiHidden/>
    <w:unhideWhenUsed/>
    <w:rsid w:val="00F669E0"/>
    <w:rPr>
      <w:color w:val="605E5C"/>
      <w:shd w:val="clear" w:color="auto" w:fill="E1DFDD"/>
    </w:rPr>
  </w:style>
  <w:style w:type="paragraph" w:styleId="NoSpacing">
    <w:name w:val="No Spacing"/>
    <w:link w:val="NoSpacingChar"/>
    <w:uiPriority w:val="1"/>
    <w:qFormat/>
    <w:rsid w:val="0031263D"/>
    <w:pPr>
      <w:spacing w:after="0" w:line="240" w:lineRule="auto"/>
    </w:pPr>
    <w:rPr>
      <w:kern w:val="0"/>
      <w:lang w:val="en-US" w:eastAsia="en-US"/>
    </w:rPr>
  </w:style>
  <w:style w:type="character" w:customStyle="1" w:styleId="NoSpacingChar">
    <w:name w:val="No Spacing Char"/>
    <w:basedOn w:val="DefaultParagraphFont"/>
    <w:link w:val="NoSpacing"/>
    <w:uiPriority w:val="1"/>
    <w:rsid w:val="0031263D"/>
    <w:rPr>
      <w:kern w:val="0"/>
      <w:lang w:val="en-US" w:eastAsia="en-US"/>
    </w:rPr>
  </w:style>
  <w:style w:type="paragraph" w:styleId="TOCHeading">
    <w:name w:val="TOC Heading"/>
    <w:basedOn w:val="Heading1"/>
    <w:next w:val="Normal"/>
    <w:uiPriority w:val="39"/>
    <w:unhideWhenUsed/>
    <w:qFormat/>
    <w:rsid w:val="00D92F21"/>
    <w:pPr>
      <w:spacing w:before="240" w:after="0"/>
      <w:outlineLvl w:val="9"/>
    </w:pPr>
    <w:rPr>
      <w:kern w:val="0"/>
      <w:sz w:val="32"/>
      <w:szCs w:val="32"/>
      <w:lang w:val="en-US" w:eastAsia="en-US"/>
    </w:rPr>
  </w:style>
  <w:style w:type="paragraph" w:styleId="TOC1">
    <w:name w:val="toc 1"/>
    <w:basedOn w:val="Normal"/>
    <w:next w:val="Normal"/>
    <w:autoRedefine/>
    <w:uiPriority w:val="39"/>
    <w:unhideWhenUsed/>
    <w:rsid w:val="00B37E60"/>
    <w:pPr>
      <w:spacing w:after="100"/>
    </w:pPr>
  </w:style>
  <w:style w:type="paragraph" w:styleId="TOC2">
    <w:name w:val="toc 2"/>
    <w:basedOn w:val="Normal"/>
    <w:next w:val="Normal"/>
    <w:autoRedefine/>
    <w:uiPriority w:val="39"/>
    <w:unhideWhenUsed/>
    <w:rsid w:val="00B37E60"/>
    <w:pPr>
      <w:spacing w:after="100"/>
      <w:ind w:left="220"/>
    </w:pPr>
  </w:style>
  <w:style w:type="table" w:styleId="TableGrid">
    <w:name w:val="Table Grid"/>
    <w:basedOn w:val="TableNormal"/>
    <w:uiPriority w:val="39"/>
    <w:rsid w:val="00A37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828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86610">
      <w:bodyDiv w:val="1"/>
      <w:marLeft w:val="0"/>
      <w:marRight w:val="0"/>
      <w:marTop w:val="0"/>
      <w:marBottom w:val="0"/>
      <w:divBdr>
        <w:top w:val="none" w:sz="0" w:space="0" w:color="auto"/>
        <w:left w:val="none" w:sz="0" w:space="0" w:color="auto"/>
        <w:bottom w:val="none" w:sz="0" w:space="0" w:color="auto"/>
        <w:right w:val="none" w:sz="0" w:space="0" w:color="auto"/>
      </w:divBdr>
      <w:divsChild>
        <w:div w:id="106825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57296">
      <w:bodyDiv w:val="1"/>
      <w:marLeft w:val="0"/>
      <w:marRight w:val="0"/>
      <w:marTop w:val="0"/>
      <w:marBottom w:val="0"/>
      <w:divBdr>
        <w:top w:val="none" w:sz="0" w:space="0" w:color="auto"/>
        <w:left w:val="none" w:sz="0" w:space="0" w:color="auto"/>
        <w:bottom w:val="none" w:sz="0" w:space="0" w:color="auto"/>
        <w:right w:val="none" w:sz="0" w:space="0" w:color="auto"/>
      </w:divBdr>
      <w:divsChild>
        <w:div w:id="2005206468">
          <w:marLeft w:val="0"/>
          <w:marRight w:val="0"/>
          <w:marTop w:val="0"/>
          <w:marBottom w:val="0"/>
          <w:divBdr>
            <w:top w:val="none" w:sz="0" w:space="0" w:color="auto"/>
            <w:left w:val="none" w:sz="0" w:space="0" w:color="auto"/>
            <w:bottom w:val="none" w:sz="0" w:space="0" w:color="auto"/>
            <w:right w:val="none" w:sz="0" w:space="0" w:color="auto"/>
          </w:divBdr>
        </w:div>
        <w:div w:id="883952313">
          <w:marLeft w:val="0"/>
          <w:marRight w:val="0"/>
          <w:marTop w:val="0"/>
          <w:marBottom w:val="0"/>
          <w:divBdr>
            <w:top w:val="none" w:sz="0" w:space="0" w:color="auto"/>
            <w:left w:val="none" w:sz="0" w:space="0" w:color="auto"/>
            <w:bottom w:val="none" w:sz="0" w:space="0" w:color="auto"/>
            <w:right w:val="none" w:sz="0" w:space="0" w:color="auto"/>
          </w:divBdr>
        </w:div>
        <w:div w:id="1803886858">
          <w:marLeft w:val="0"/>
          <w:marRight w:val="0"/>
          <w:marTop w:val="0"/>
          <w:marBottom w:val="0"/>
          <w:divBdr>
            <w:top w:val="none" w:sz="0" w:space="0" w:color="auto"/>
            <w:left w:val="none" w:sz="0" w:space="0" w:color="auto"/>
            <w:bottom w:val="none" w:sz="0" w:space="0" w:color="auto"/>
            <w:right w:val="none" w:sz="0" w:space="0" w:color="auto"/>
          </w:divBdr>
        </w:div>
      </w:divsChild>
    </w:div>
    <w:div w:id="126121921">
      <w:bodyDiv w:val="1"/>
      <w:marLeft w:val="0"/>
      <w:marRight w:val="0"/>
      <w:marTop w:val="0"/>
      <w:marBottom w:val="0"/>
      <w:divBdr>
        <w:top w:val="none" w:sz="0" w:space="0" w:color="auto"/>
        <w:left w:val="none" w:sz="0" w:space="0" w:color="auto"/>
        <w:bottom w:val="none" w:sz="0" w:space="0" w:color="auto"/>
        <w:right w:val="none" w:sz="0" w:space="0" w:color="auto"/>
      </w:divBdr>
    </w:div>
    <w:div w:id="186531336">
      <w:bodyDiv w:val="1"/>
      <w:marLeft w:val="0"/>
      <w:marRight w:val="0"/>
      <w:marTop w:val="0"/>
      <w:marBottom w:val="0"/>
      <w:divBdr>
        <w:top w:val="none" w:sz="0" w:space="0" w:color="auto"/>
        <w:left w:val="none" w:sz="0" w:space="0" w:color="auto"/>
        <w:bottom w:val="none" w:sz="0" w:space="0" w:color="auto"/>
        <w:right w:val="none" w:sz="0" w:space="0" w:color="auto"/>
      </w:divBdr>
    </w:div>
    <w:div w:id="213854164">
      <w:bodyDiv w:val="1"/>
      <w:marLeft w:val="0"/>
      <w:marRight w:val="0"/>
      <w:marTop w:val="0"/>
      <w:marBottom w:val="0"/>
      <w:divBdr>
        <w:top w:val="none" w:sz="0" w:space="0" w:color="auto"/>
        <w:left w:val="none" w:sz="0" w:space="0" w:color="auto"/>
        <w:bottom w:val="none" w:sz="0" w:space="0" w:color="auto"/>
        <w:right w:val="none" w:sz="0" w:space="0" w:color="auto"/>
      </w:divBdr>
    </w:div>
    <w:div w:id="234631759">
      <w:bodyDiv w:val="1"/>
      <w:marLeft w:val="0"/>
      <w:marRight w:val="0"/>
      <w:marTop w:val="0"/>
      <w:marBottom w:val="0"/>
      <w:divBdr>
        <w:top w:val="none" w:sz="0" w:space="0" w:color="auto"/>
        <w:left w:val="none" w:sz="0" w:space="0" w:color="auto"/>
        <w:bottom w:val="none" w:sz="0" w:space="0" w:color="auto"/>
        <w:right w:val="none" w:sz="0" w:space="0" w:color="auto"/>
      </w:divBdr>
      <w:divsChild>
        <w:div w:id="164711468">
          <w:marLeft w:val="1166"/>
          <w:marRight w:val="0"/>
          <w:marTop w:val="0"/>
          <w:marBottom w:val="0"/>
          <w:divBdr>
            <w:top w:val="none" w:sz="0" w:space="0" w:color="auto"/>
            <w:left w:val="none" w:sz="0" w:space="0" w:color="auto"/>
            <w:bottom w:val="none" w:sz="0" w:space="0" w:color="auto"/>
            <w:right w:val="none" w:sz="0" w:space="0" w:color="auto"/>
          </w:divBdr>
        </w:div>
        <w:div w:id="1375346367">
          <w:marLeft w:val="1166"/>
          <w:marRight w:val="0"/>
          <w:marTop w:val="0"/>
          <w:marBottom w:val="0"/>
          <w:divBdr>
            <w:top w:val="none" w:sz="0" w:space="0" w:color="auto"/>
            <w:left w:val="none" w:sz="0" w:space="0" w:color="auto"/>
            <w:bottom w:val="none" w:sz="0" w:space="0" w:color="auto"/>
            <w:right w:val="none" w:sz="0" w:space="0" w:color="auto"/>
          </w:divBdr>
        </w:div>
      </w:divsChild>
    </w:div>
    <w:div w:id="290788570">
      <w:bodyDiv w:val="1"/>
      <w:marLeft w:val="0"/>
      <w:marRight w:val="0"/>
      <w:marTop w:val="0"/>
      <w:marBottom w:val="0"/>
      <w:divBdr>
        <w:top w:val="none" w:sz="0" w:space="0" w:color="auto"/>
        <w:left w:val="none" w:sz="0" w:space="0" w:color="auto"/>
        <w:bottom w:val="none" w:sz="0" w:space="0" w:color="auto"/>
        <w:right w:val="none" w:sz="0" w:space="0" w:color="auto"/>
      </w:divBdr>
    </w:div>
    <w:div w:id="305859890">
      <w:bodyDiv w:val="1"/>
      <w:marLeft w:val="0"/>
      <w:marRight w:val="0"/>
      <w:marTop w:val="0"/>
      <w:marBottom w:val="0"/>
      <w:divBdr>
        <w:top w:val="none" w:sz="0" w:space="0" w:color="auto"/>
        <w:left w:val="none" w:sz="0" w:space="0" w:color="auto"/>
        <w:bottom w:val="none" w:sz="0" w:space="0" w:color="auto"/>
        <w:right w:val="none" w:sz="0" w:space="0" w:color="auto"/>
      </w:divBdr>
    </w:div>
    <w:div w:id="404838616">
      <w:bodyDiv w:val="1"/>
      <w:marLeft w:val="0"/>
      <w:marRight w:val="0"/>
      <w:marTop w:val="0"/>
      <w:marBottom w:val="0"/>
      <w:divBdr>
        <w:top w:val="none" w:sz="0" w:space="0" w:color="auto"/>
        <w:left w:val="none" w:sz="0" w:space="0" w:color="auto"/>
        <w:bottom w:val="none" w:sz="0" w:space="0" w:color="auto"/>
        <w:right w:val="none" w:sz="0" w:space="0" w:color="auto"/>
      </w:divBdr>
    </w:div>
    <w:div w:id="414128161">
      <w:bodyDiv w:val="1"/>
      <w:marLeft w:val="0"/>
      <w:marRight w:val="0"/>
      <w:marTop w:val="0"/>
      <w:marBottom w:val="0"/>
      <w:divBdr>
        <w:top w:val="none" w:sz="0" w:space="0" w:color="auto"/>
        <w:left w:val="none" w:sz="0" w:space="0" w:color="auto"/>
        <w:bottom w:val="none" w:sz="0" w:space="0" w:color="auto"/>
        <w:right w:val="none" w:sz="0" w:space="0" w:color="auto"/>
      </w:divBdr>
      <w:divsChild>
        <w:div w:id="1351493852">
          <w:marLeft w:val="0"/>
          <w:marRight w:val="0"/>
          <w:marTop w:val="0"/>
          <w:marBottom w:val="0"/>
          <w:divBdr>
            <w:top w:val="none" w:sz="0" w:space="0" w:color="auto"/>
            <w:left w:val="none" w:sz="0" w:space="0" w:color="auto"/>
            <w:bottom w:val="none" w:sz="0" w:space="0" w:color="auto"/>
            <w:right w:val="none" w:sz="0" w:space="0" w:color="auto"/>
          </w:divBdr>
          <w:divsChild>
            <w:div w:id="93960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1009">
      <w:bodyDiv w:val="1"/>
      <w:marLeft w:val="0"/>
      <w:marRight w:val="0"/>
      <w:marTop w:val="0"/>
      <w:marBottom w:val="0"/>
      <w:divBdr>
        <w:top w:val="none" w:sz="0" w:space="0" w:color="auto"/>
        <w:left w:val="none" w:sz="0" w:space="0" w:color="auto"/>
        <w:bottom w:val="none" w:sz="0" w:space="0" w:color="auto"/>
        <w:right w:val="none" w:sz="0" w:space="0" w:color="auto"/>
      </w:divBdr>
    </w:div>
    <w:div w:id="455022782">
      <w:bodyDiv w:val="1"/>
      <w:marLeft w:val="0"/>
      <w:marRight w:val="0"/>
      <w:marTop w:val="0"/>
      <w:marBottom w:val="0"/>
      <w:divBdr>
        <w:top w:val="none" w:sz="0" w:space="0" w:color="auto"/>
        <w:left w:val="none" w:sz="0" w:space="0" w:color="auto"/>
        <w:bottom w:val="none" w:sz="0" w:space="0" w:color="auto"/>
        <w:right w:val="none" w:sz="0" w:space="0" w:color="auto"/>
      </w:divBdr>
    </w:div>
    <w:div w:id="467282287">
      <w:bodyDiv w:val="1"/>
      <w:marLeft w:val="0"/>
      <w:marRight w:val="0"/>
      <w:marTop w:val="0"/>
      <w:marBottom w:val="0"/>
      <w:divBdr>
        <w:top w:val="none" w:sz="0" w:space="0" w:color="auto"/>
        <w:left w:val="none" w:sz="0" w:space="0" w:color="auto"/>
        <w:bottom w:val="none" w:sz="0" w:space="0" w:color="auto"/>
        <w:right w:val="none" w:sz="0" w:space="0" w:color="auto"/>
      </w:divBdr>
    </w:div>
    <w:div w:id="474955910">
      <w:bodyDiv w:val="1"/>
      <w:marLeft w:val="0"/>
      <w:marRight w:val="0"/>
      <w:marTop w:val="0"/>
      <w:marBottom w:val="0"/>
      <w:divBdr>
        <w:top w:val="none" w:sz="0" w:space="0" w:color="auto"/>
        <w:left w:val="none" w:sz="0" w:space="0" w:color="auto"/>
        <w:bottom w:val="none" w:sz="0" w:space="0" w:color="auto"/>
        <w:right w:val="none" w:sz="0" w:space="0" w:color="auto"/>
      </w:divBdr>
    </w:div>
    <w:div w:id="476265598">
      <w:bodyDiv w:val="1"/>
      <w:marLeft w:val="0"/>
      <w:marRight w:val="0"/>
      <w:marTop w:val="0"/>
      <w:marBottom w:val="0"/>
      <w:divBdr>
        <w:top w:val="none" w:sz="0" w:space="0" w:color="auto"/>
        <w:left w:val="none" w:sz="0" w:space="0" w:color="auto"/>
        <w:bottom w:val="none" w:sz="0" w:space="0" w:color="auto"/>
        <w:right w:val="none" w:sz="0" w:space="0" w:color="auto"/>
      </w:divBdr>
    </w:div>
    <w:div w:id="476799552">
      <w:bodyDiv w:val="1"/>
      <w:marLeft w:val="0"/>
      <w:marRight w:val="0"/>
      <w:marTop w:val="0"/>
      <w:marBottom w:val="0"/>
      <w:divBdr>
        <w:top w:val="none" w:sz="0" w:space="0" w:color="auto"/>
        <w:left w:val="none" w:sz="0" w:space="0" w:color="auto"/>
        <w:bottom w:val="none" w:sz="0" w:space="0" w:color="auto"/>
        <w:right w:val="none" w:sz="0" w:space="0" w:color="auto"/>
      </w:divBdr>
    </w:div>
    <w:div w:id="509294740">
      <w:bodyDiv w:val="1"/>
      <w:marLeft w:val="0"/>
      <w:marRight w:val="0"/>
      <w:marTop w:val="0"/>
      <w:marBottom w:val="0"/>
      <w:divBdr>
        <w:top w:val="none" w:sz="0" w:space="0" w:color="auto"/>
        <w:left w:val="none" w:sz="0" w:space="0" w:color="auto"/>
        <w:bottom w:val="none" w:sz="0" w:space="0" w:color="auto"/>
        <w:right w:val="none" w:sz="0" w:space="0" w:color="auto"/>
      </w:divBdr>
      <w:divsChild>
        <w:div w:id="120809633">
          <w:marLeft w:val="0"/>
          <w:marRight w:val="0"/>
          <w:marTop w:val="0"/>
          <w:marBottom w:val="0"/>
          <w:divBdr>
            <w:top w:val="none" w:sz="0" w:space="0" w:color="auto"/>
            <w:left w:val="none" w:sz="0" w:space="0" w:color="auto"/>
            <w:bottom w:val="none" w:sz="0" w:space="0" w:color="auto"/>
            <w:right w:val="none" w:sz="0" w:space="0" w:color="auto"/>
          </w:divBdr>
        </w:div>
        <w:div w:id="214047838">
          <w:marLeft w:val="0"/>
          <w:marRight w:val="0"/>
          <w:marTop w:val="0"/>
          <w:marBottom w:val="0"/>
          <w:divBdr>
            <w:top w:val="none" w:sz="0" w:space="0" w:color="auto"/>
            <w:left w:val="none" w:sz="0" w:space="0" w:color="auto"/>
            <w:bottom w:val="none" w:sz="0" w:space="0" w:color="auto"/>
            <w:right w:val="none" w:sz="0" w:space="0" w:color="auto"/>
          </w:divBdr>
        </w:div>
        <w:div w:id="1509714322">
          <w:marLeft w:val="0"/>
          <w:marRight w:val="0"/>
          <w:marTop w:val="0"/>
          <w:marBottom w:val="0"/>
          <w:divBdr>
            <w:top w:val="none" w:sz="0" w:space="0" w:color="auto"/>
            <w:left w:val="none" w:sz="0" w:space="0" w:color="auto"/>
            <w:bottom w:val="none" w:sz="0" w:space="0" w:color="auto"/>
            <w:right w:val="none" w:sz="0" w:space="0" w:color="auto"/>
          </w:divBdr>
        </w:div>
      </w:divsChild>
    </w:div>
    <w:div w:id="542712827">
      <w:bodyDiv w:val="1"/>
      <w:marLeft w:val="0"/>
      <w:marRight w:val="0"/>
      <w:marTop w:val="0"/>
      <w:marBottom w:val="0"/>
      <w:divBdr>
        <w:top w:val="none" w:sz="0" w:space="0" w:color="auto"/>
        <w:left w:val="none" w:sz="0" w:space="0" w:color="auto"/>
        <w:bottom w:val="none" w:sz="0" w:space="0" w:color="auto"/>
        <w:right w:val="none" w:sz="0" w:space="0" w:color="auto"/>
      </w:divBdr>
    </w:div>
    <w:div w:id="565644979">
      <w:bodyDiv w:val="1"/>
      <w:marLeft w:val="0"/>
      <w:marRight w:val="0"/>
      <w:marTop w:val="0"/>
      <w:marBottom w:val="0"/>
      <w:divBdr>
        <w:top w:val="none" w:sz="0" w:space="0" w:color="auto"/>
        <w:left w:val="none" w:sz="0" w:space="0" w:color="auto"/>
        <w:bottom w:val="none" w:sz="0" w:space="0" w:color="auto"/>
        <w:right w:val="none" w:sz="0" w:space="0" w:color="auto"/>
      </w:divBdr>
    </w:div>
    <w:div w:id="568688095">
      <w:bodyDiv w:val="1"/>
      <w:marLeft w:val="0"/>
      <w:marRight w:val="0"/>
      <w:marTop w:val="0"/>
      <w:marBottom w:val="0"/>
      <w:divBdr>
        <w:top w:val="none" w:sz="0" w:space="0" w:color="auto"/>
        <w:left w:val="none" w:sz="0" w:space="0" w:color="auto"/>
        <w:bottom w:val="none" w:sz="0" w:space="0" w:color="auto"/>
        <w:right w:val="none" w:sz="0" w:space="0" w:color="auto"/>
      </w:divBdr>
    </w:div>
    <w:div w:id="620845268">
      <w:bodyDiv w:val="1"/>
      <w:marLeft w:val="0"/>
      <w:marRight w:val="0"/>
      <w:marTop w:val="0"/>
      <w:marBottom w:val="0"/>
      <w:divBdr>
        <w:top w:val="none" w:sz="0" w:space="0" w:color="auto"/>
        <w:left w:val="none" w:sz="0" w:space="0" w:color="auto"/>
        <w:bottom w:val="none" w:sz="0" w:space="0" w:color="auto"/>
        <w:right w:val="none" w:sz="0" w:space="0" w:color="auto"/>
      </w:divBdr>
    </w:div>
    <w:div w:id="680161723">
      <w:bodyDiv w:val="1"/>
      <w:marLeft w:val="0"/>
      <w:marRight w:val="0"/>
      <w:marTop w:val="0"/>
      <w:marBottom w:val="0"/>
      <w:divBdr>
        <w:top w:val="none" w:sz="0" w:space="0" w:color="auto"/>
        <w:left w:val="none" w:sz="0" w:space="0" w:color="auto"/>
        <w:bottom w:val="none" w:sz="0" w:space="0" w:color="auto"/>
        <w:right w:val="none" w:sz="0" w:space="0" w:color="auto"/>
      </w:divBdr>
    </w:div>
    <w:div w:id="715087742">
      <w:bodyDiv w:val="1"/>
      <w:marLeft w:val="0"/>
      <w:marRight w:val="0"/>
      <w:marTop w:val="0"/>
      <w:marBottom w:val="0"/>
      <w:divBdr>
        <w:top w:val="none" w:sz="0" w:space="0" w:color="auto"/>
        <w:left w:val="none" w:sz="0" w:space="0" w:color="auto"/>
        <w:bottom w:val="none" w:sz="0" w:space="0" w:color="auto"/>
        <w:right w:val="none" w:sz="0" w:space="0" w:color="auto"/>
      </w:divBdr>
    </w:div>
    <w:div w:id="793794635">
      <w:bodyDiv w:val="1"/>
      <w:marLeft w:val="0"/>
      <w:marRight w:val="0"/>
      <w:marTop w:val="0"/>
      <w:marBottom w:val="0"/>
      <w:divBdr>
        <w:top w:val="none" w:sz="0" w:space="0" w:color="auto"/>
        <w:left w:val="none" w:sz="0" w:space="0" w:color="auto"/>
        <w:bottom w:val="none" w:sz="0" w:space="0" w:color="auto"/>
        <w:right w:val="none" w:sz="0" w:space="0" w:color="auto"/>
      </w:divBdr>
    </w:div>
    <w:div w:id="809782336">
      <w:bodyDiv w:val="1"/>
      <w:marLeft w:val="0"/>
      <w:marRight w:val="0"/>
      <w:marTop w:val="0"/>
      <w:marBottom w:val="0"/>
      <w:divBdr>
        <w:top w:val="none" w:sz="0" w:space="0" w:color="auto"/>
        <w:left w:val="none" w:sz="0" w:space="0" w:color="auto"/>
        <w:bottom w:val="none" w:sz="0" w:space="0" w:color="auto"/>
        <w:right w:val="none" w:sz="0" w:space="0" w:color="auto"/>
      </w:divBdr>
    </w:div>
    <w:div w:id="828132598">
      <w:bodyDiv w:val="1"/>
      <w:marLeft w:val="0"/>
      <w:marRight w:val="0"/>
      <w:marTop w:val="0"/>
      <w:marBottom w:val="0"/>
      <w:divBdr>
        <w:top w:val="none" w:sz="0" w:space="0" w:color="auto"/>
        <w:left w:val="none" w:sz="0" w:space="0" w:color="auto"/>
        <w:bottom w:val="none" w:sz="0" w:space="0" w:color="auto"/>
        <w:right w:val="none" w:sz="0" w:space="0" w:color="auto"/>
      </w:divBdr>
    </w:div>
    <w:div w:id="857892362">
      <w:bodyDiv w:val="1"/>
      <w:marLeft w:val="0"/>
      <w:marRight w:val="0"/>
      <w:marTop w:val="0"/>
      <w:marBottom w:val="0"/>
      <w:divBdr>
        <w:top w:val="none" w:sz="0" w:space="0" w:color="auto"/>
        <w:left w:val="none" w:sz="0" w:space="0" w:color="auto"/>
        <w:bottom w:val="none" w:sz="0" w:space="0" w:color="auto"/>
        <w:right w:val="none" w:sz="0" w:space="0" w:color="auto"/>
      </w:divBdr>
    </w:div>
    <w:div w:id="967977110">
      <w:bodyDiv w:val="1"/>
      <w:marLeft w:val="0"/>
      <w:marRight w:val="0"/>
      <w:marTop w:val="0"/>
      <w:marBottom w:val="0"/>
      <w:divBdr>
        <w:top w:val="none" w:sz="0" w:space="0" w:color="auto"/>
        <w:left w:val="none" w:sz="0" w:space="0" w:color="auto"/>
        <w:bottom w:val="none" w:sz="0" w:space="0" w:color="auto"/>
        <w:right w:val="none" w:sz="0" w:space="0" w:color="auto"/>
      </w:divBdr>
    </w:div>
    <w:div w:id="992488320">
      <w:bodyDiv w:val="1"/>
      <w:marLeft w:val="0"/>
      <w:marRight w:val="0"/>
      <w:marTop w:val="0"/>
      <w:marBottom w:val="0"/>
      <w:divBdr>
        <w:top w:val="none" w:sz="0" w:space="0" w:color="auto"/>
        <w:left w:val="none" w:sz="0" w:space="0" w:color="auto"/>
        <w:bottom w:val="none" w:sz="0" w:space="0" w:color="auto"/>
        <w:right w:val="none" w:sz="0" w:space="0" w:color="auto"/>
      </w:divBdr>
    </w:div>
    <w:div w:id="1020088197">
      <w:bodyDiv w:val="1"/>
      <w:marLeft w:val="0"/>
      <w:marRight w:val="0"/>
      <w:marTop w:val="0"/>
      <w:marBottom w:val="0"/>
      <w:divBdr>
        <w:top w:val="none" w:sz="0" w:space="0" w:color="auto"/>
        <w:left w:val="none" w:sz="0" w:space="0" w:color="auto"/>
        <w:bottom w:val="none" w:sz="0" w:space="0" w:color="auto"/>
        <w:right w:val="none" w:sz="0" w:space="0" w:color="auto"/>
      </w:divBdr>
    </w:div>
    <w:div w:id="1092508880">
      <w:bodyDiv w:val="1"/>
      <w:marLeft w:val="0"/>
      <w:marRight w:val="0"/>
      <w:marTop w:val="0"/>
      <w:marBottom w:val="0"/>
      <w:divBdr>
        <w:top w:val="none" w:sz="0" w:space="0" w:color="auto"/>
        <w:left w:val="none" w:sz="0" w:space="0" w:color="auto"/>
        <w:bottom w:val="none" w:sz="0" w:space="0" w:color="auto"/>
        <w:right w:val="none" w:sz="0" w:space="0" w:color="auto"/>
      </w:divBdr>
    </w:div>
    <w:div w:id="1145271427">
      <w:bodyDiv w:val="1"/>
      <w:marLeft w:val="0"/>
      <w:marRight w:val="0"/>
      <w:marTop w:val="0"/>
      <w:marBottom w:val="0"/>
      <w:divBdr>
        <w:top w:val="none" w:sz="0" w:space="0" w:color="auto"/>
        <w:left w:val="none" w:sz="0" w:space="0" w:color="auto"/>
        <w:bottom w:val="none" w:sz="0" w:space="0" w:color="auto"/>
        <w:right w:val="none" w:sz="0" w:space="0" w:color="auto"/>
      </w:divBdr>
    </w:div>
    <w:div w:id="1152983153">
      <w:bodyDiv w:val="1"/>
      <w:marLeft w:val="0"/>
      <w:marRight w:val="0"/>
      <w:marTop w:val="0"/>
      <w:marBottom w:val="0"/>
      <w:divBdr>
        <w:top w:val="none" w:sz="0" w:space="0" w:color="auto"/>
        <w:left w:val="none" w:sz="0" w:space="0" w:color="auto"/>
        <w:bottom w:val="none" w:sz="0" w:space="0" w:color="auto"/>
        <w:right w:val="none" w:sz="0" w:space="0" w:color="auto"/>
      </w:divBdr>
    </w:div>
    <w:div w:id="1167332148">
      <w:bodyDiv w:val="1"/>
      <w:marLeft w:val="0"/>
      <w:marRight w:val="0"/>
      <w:marTop w:val="0"/>
      <w:marBottom w:val="0"/>
      <w:divBdr>
        <w:top w:val="none" w:sz="0" w:space="0" w:color="auto"/>
        <w:left w:val="none" w:sz="0" w:space="0" w:color="auto"/>
        <w:bottom w:val="none" w:sz="0" w:space="0" w:color="auto"/>
        <w:right w:val="none" w:sz="0" w:space="0" w:color="auto"/>
      </w:divBdr>
    </w:div>
    <w:div w:id="1212382401">
      <w:bodyDiv w:val="1"/>
      <w:marLeft w:val="0"/>
      <w:marRight w:val="0"/>
      <w:marTop w:val="0"/>
      <w:marBottom w:val="0"/>
      <w:divBdr>
        <w:top w:val="none" w:sz="0" w:space="0" w:color="auto"/>
        <w:left w:val="none" w:sz="0" w:space="0" w:color="auto"/>
        <w:bottom w:val="none" w:sz="0" w:space="0" w:color="auto"/>
        <w:right w:val="none" w:sz="0" w:space="0" w:color="auto"/>
      </w:divBdr>
    </w:div>
    <w:div w:id="1247810153">
      <w:bodyDiv w:val="1"/>
      <w:marLeft w:val="0"/>
      <w:marRight w:val="0"/>
      <w:marTop w:val="0"/>
      <w:marBottom w:val="0"/>
      <w:divBdr>
        <w:top w:val="none" w:sz="0" w:space="0" w:color="auto"/>
        <w:left w:val="none" w:sz="0" w:space="0" w:color="auto"/>
        <w:bottom w:val="none" w:sz="0" w:space="0" w:color="auto"/>
        <w:right w:val="none" w:sz="0" w:space="0" w:color="auto"/>
      </w:divBdr>
    </w:div>
    <w:div w:id="1250116506">
      <w:bodyDiv w:val="1"/>
      <w:marLeft w:val="0"/>
      <w:marRight w:val="0"/>
      <w:marTop w:val="0"/>
      <w:marBottom w:val="0"/>
      <w:divBdr>
        <w:top w:val="none" w:sz="0" w:space="0" w:color="auto"/>
        <w:left w:val="none" w:sz="0" w:space="0" w:color="auto"/>
        <w:bottom w:val="none" w:sz="0" w:space="0" w:color="auto"/>
        <w:right w:val="none" w:sz="0" w:space="0" w:color="auto"/>
      </w:divBdr>
    </w:div>
    <w:div w:id="1281063124">
      <w:bodyDiv w:val="1"/>
      <w:marLeft w:val="0"/>
      <w:marRight w:val="0"/>
      <w:marTop w:val="0"/>
      <w:marBottom w:val="0"/>
      <w:divBdr>
        <w:top w:val="none" w:sz="0" w:space="0" w:color="auto"/>
        <w:left w:val="none" w:sz="0" w:space="0" w:color="auto"/>
        <w:bottom w:val="none" w:sz="0" w:space="0" w:color="auto"/>
        <w:right w:val="none" w:sz="0" w:space="0" w:color="auto"/>
      </w:divBdr>
    </w:div>
    <w:div w:id="1319770990">
      <w:bodyDiv w:val="1"/>
      <w:marLeft w:val="0"/>
      <w:marRight w:val="0"/>
      <w:marTop w:val="0"/>
      <w:marBottom w:val="0"/>
      <w:divBdr>
        <w:top w:val="none" w:sz="0" w:space="0" w:color="auto"/>
        <w:left w:val="none" w:sz="0" w:space="0" w:color="auto"/>
        <w:bottom w:val="none" w:sz="0" w:space="0" w:color="auto"/>
        <w:right w:val="none" w:sz="0" w:space="0" w:color="auto"/>
      </w:divBdr>
    </w:div>
    <w:div w:id="1335262851">
      <w:bodyDiv w:val="1"/>
      <w:marLeft w:val="0"/>
      <w:marRight w:val="0"/>
      <w:marTop w:val="0"/>
      <w:marBottom w:val="0"/>
      <w:divBdr>
        <w:top w:val="none" w:sz="0" w:space="0" w:color="auto"/>
        <w:left w:val="none" w:sz="0" w:space="0" w:color="auto"/>
        <w:bottom w:val="none" w:sz="0" w:space="0" w:color="auto"/>
        <w:right w:val="none" w:sz="0" w:space="0" w:color="auto"/>
      </w:divBdr>
    </w:div>
    <w:div w:id="1430739748">
      <w:bodyDiv w:val="1"/>
      <w:marLeft w:val="0"/>
      <w:marRight w:val="0"/>
      <w:marTop w:val="0"/>
      <w:marBottom w:val="0"/>
      <w:divBdr>
        <w:top w:val="none" w:sz="0" w:space="0" w:color="auto"/>
        <w:left w:val="none" w:sz="0" w:space="0" w:color="auto"/>
        <w:bottom w:val="none" w:sz="0" w:space="0" w:color="auto"/>
        <w:right w:val="none" w:sz="0" w:space="0" w:color="auto"/>
      </w:divBdr>
    </w:div>
    <w:div w:id="1460876962">
      <w:bodyDiv w:val="1"/>
      <w:marLeft w:val="0"/>
      <w:marRight w:val="0"/>
      <w:marTop w:val="0"/>
      <w:marBottom w:val="0"/>
      <w:divBdr>
        <w:top w:val="none" w:sz="0" w:space="0" w:color="auto"/>
        <w:left w:val="none" w:sz="0" w:space="0" w:color="auto"/>
        <w:bottom w:val="none" w:sz="0" w:space="0" w:color="auto"/>
        <w:right w:val="none" w:sz="0" w:space="0" w:color="auto"/>
      </w:divBdr>
    </w:div>
    <w:div w:id="1481656567">
      <w:bodyDiv w:val="1"/>
      <w:marLeft w:val="0"/>
      <w:marRight w:val="0"/>
      <w:marTop w:val="0"/>
      <w:marBottom w:val="0"/>
      <w:divBdr>
        <w:top w:val="none" w:sz="0" w:space="0" w:color="auto"/>
        <w:left w:val="none" w:sz="0" w:space="0" w:color="auto"/>
        <w:bottom w:val="none" w:sz="0" w:space="0" w:color="auto"/>
        <w:right w:val="none" w:sz="0" w:space="0" w:color="auto"/>
      </w:divBdr>
      <w:divsChild>
        <w:div w:id="389304655">
          <w:marLeft w:val="0"/>
          <w:marRight w:val="0"/>
          <w:marTop w:val="0"/>
          <w:marBottom w:val="0"/>
          <w:divBdr>
            <w:top w:val="none" w:sz="0" w:space="0" w:color="auto"/>
            <w:left w:val="none" w:sz="0" w:space="0" w:color="auto"/>
            <w:bottom w:val="none" w:sz="0" w:space="0" w:color="auto"/>
            <w:right w:val="none" w:sz="0" w:space="0" w:color="auto"/>
          </w:divBdr>
          <w:divsChild>
            <w:div w:id="2064675959">
              <w:marLeft w:val="0"/>
              <w:marRight w:val="0"/>
              <w:marTop w:val="0"/>
              <w:marBottom w:val="0"/>
              <w:divBdr>
                <w:top w:val="none" w:sz="0" w:space="0" w:color="auto"/>
                <w:left w:val="none" w:sz="0" w:space="0" w:color="auto"/>
                <w:bottom w:val="none" w:sz="0" w:space="0" w:color="auto"/>
                <w:right w:val="none" w:sz="0" w:space="0" w:color="auto"/>
              </w:divBdr>
              <w:divsChild>
                <w:div w:id="694889668">
                  <w:marLeft w:val="0"/>
                  <w:marRight w:val="0"/>
                  <w:marTop w:val="0"/>
                  <w:marBottom w:val="0"/>
                  <w:divBdr>
                    <w:top w:val="none" w:sz="0" w:space="0" w:color="auto"/>
                    <w:left w:val="none" w:sz="0" w:space="0" w:color="auto"/>
                    <w:bottom w:val="none" w:sz="0" w:space="0" w:color="auto"/>
                    <w:right w:val="none" w:sz="0" w:space="0" w:color="auto"/>
                  </w:divBdr>
                  <w:divsChild>
                    <w:div w:id="2031299204">
                      <w:marLeft w:val="0"/>
                      <w:marRight w:val="0"/>
                      <w:marTop w:val="0"/>
                      <w:marBottom w:val="0"/>
                      <w:divBdr>
                        <w:top w:val="none" w:sz="0" w:space="0" w:color="auto"/>
                        <w:left w:val="none" w:sz="0" w:space="0" w:color="auto"/>
                        <w:bottom w:val="none" w:sz="0" w:space="0" w:color="auto"/>
                        <w:right w:val="none" w:sz="0" w:space="0" w:color="auto"/>
                      </w:divBdr>
                      <w:divsChild>
                        <w:div w:id="1194224234">
                          <w:marLeft w:val="0"/>
                          <w:marRight w:val="0"/>
                          <w:marTop w:val="0"/>
                          <w:marBottom w:val="0"/>
                          <w:divBdr>
                            <w:top w:val="none" w:sz="0" w:space="0" w:color="auto"/>
                            <w:left w:val="none" w:sz="0" w:space="0" w:color="auto"/>
                            <w:bottom w:val="none" w:sz="0" w:space="0" w:color="auto"/>
                            <w:right w:val="none" w:sz="0" w:space="0" w:color="auto"/>
                          </w:divBdr>
                          <w:divsChild>
                            <w:div w:id="339163462">
                              <w:marLeft w:val="0"/>
                              <w:marRight w:val="0"/>
                              <w:marTop w:val="0"/>
                              <w:marBottom w:val="0"/>
                              <w:divBdr>
                                <w:top w:val="none" w:sz="0" w:space="0" w:color="auto"/>
                                <w:left w:val="none" w:sz="0" w:space="0" w:color="auto"/>
                                <w:bottom w:val="none" w:sz="0" w:space="0" w:color="auto"/>
                                <w:right w:val="none" w:sz="0" w:space="0" w:color="auto"/>
                              </w:divBdr>
                              <w:divsChild>
                                <w:div w:id="1054737682">
                                  <w:marLeft w:val="0"/>
                                  <w:marRight w:val="0"/>
                                  <w:marTop w:val="0"/>
                                  <w:marBottom w:val="0"/>
                                  <w:divBdr>
                                    <w:top w:val="none" w:sz="0" w:space="0" w:color="auto"/>
                                    <w:left w:val="none" w:sz="0" w:space="0" w:color="auto"/>
                                    <w:bottom w:val="none" w:sz="0" w:space="0" w:color="auto"/>
                                    <w:right w:val="none" w:sz="0" w:space="0" w:color="auto"/>
                                  </w:divBdr>
                                  <w:divsChild>
                                    <w:div w:id="130766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118278">
                          <w:marLeft w:val="0"/>
                          <w:marRight w:val="0"/>
                          <w:marTop w:val="0"/>
                          <w:marBottom w:val="0"/>
                          <w:divBdr>
                            <w:top w:val="none" w:sz="0" w:space="0" w:color="auto"/>
                            <w:left w:val="none" w:sz="0" w:space="0" w:color="auto"/>
                            <w:bottom w:val="none" w:sz="0" w:space="0" w:color="auto"/>
                            <w:right w:val="none" w:sz="0" w:space="0" w:color="auto"/>
                          </w:divBdr>
                          <w:divsChild>
                            <w:div w:id="34040545">
                              <w:marLeft w:val="0"/>
                              <w:marRight w:val="0"/>
                              <w:marTop w:val="0"/>
                              <w:marBottom w:val="0"/>
                              <w:divBdr>
                                <w:top w:val="none" w:sz="0" w:space="0" w:color="auto"/>
                                <w:left w:val="none" w:sz="0" w:space="0" w:color="auto"/>
                                <w:bottom w:val="none" w:sz="0" w:space="0" w:color="auto"/>
                                <w:right w:val="none" w:sz="0" w:space="0" w:color="auto"/>
                              </w:divBdr>
                              <w:divsChild>
                                <w:div w:id="1337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630675">
      <w:bodyDiv w:val="1"/>
      <w:marLeft w:val="0"/>
      <w:marRight w:val="0"/>
      <w:marTop w:val="0"/>
      <w:marBottom w:val="0"/>
      <w:divBdr>
        <w:top w:val="none" w:sz="0" w:space="0" w:color="auto"/>
        <w:left w:val="none" w:sz="0" w:space="0" w:color="auto"/>
        <w:bottom w:val="none" w:sz="0" w:space="0" w:color="auto"/>
        <w:right w:val="none" w:sz="0" w:space="0" w:color="auto"/>
      </w:divBdr>
    </w:div>
    <w:div w:id="1565680056">
      <w:bodyDiv w:val="1"/>
      <w:marLeft w:val="0"/>
      <w:marRight w:val="0"/>
      <w:marTop w:val="0"/>
      <w:marBottom w:val="0"/>
      <w:divBdr>
        <w:top w:val="none" w:sz="0" w:space="0" w:color="auto"/>
        <w:left w:val="none" w:sz="0" w:space="0" w:color="auto"/>
        <w:bottom w:val="none" w:sz="0" w:space="0" w:color="auto"/>
        <w:right w:val="none" w:sz="0" w:space="0" w:color="auto"/>
      </w:divBdr>
    </w:div>
    <w:div w:id="1573853833">
      <w:bodyDiv w:val="1"/>
      <w:marLeft w:val="0"/>
      <w:marRight w:val="0"/>
      <w:marTop w:val="0"/>
      <w:marBottom w:val="0"/>
      <w:divBdr>
        <w:top w:val="none" w:sz="0" w:space="0" w:color="auto"/>
        <w:left w:val="none" w:sz="0" w:space="0" w:color="auto"/>
        <w:bottom w:val="none" w:sz="0" w:space="0" w:color="auto"/>
        <w:right w:val="none" w:sz="0" w:space="0" w:color="auto"/>
      </w:divBdr>
    </w:div>
    <w:div w:id="1603217614">
      <w:bodyDiv w:val="1"/>
      <w:marLeft w:val="0"/>
      <w:marRight w:val="0"/>
      <w:marTop w:val="0"/>
      <w:marBottom w:val="0"/>
      <w:divBdr>
        <w:top w:val="none" w:sz="0" w:space="0" w:color="auto"/>
        <w:left w:val="none" w:sz="0" w:space="0" w:color="auto"/>
        <w:bottom w:val="none" w:sz="0" w:space="0" w:color="auto"/>
        <w:right w:val="none" w:sz="0" w:space="0" w:color="auto"/>
      </w:divBdr>
    </w:div>
    <w:div w:id="1618415198">
      <w:bodyDiv w:val="1"/>
      <w:marLeft w:val="0"/>
      <w:marRight w:val="0"/>
      <w:marTop w:val="0"/>
      <w:marBottom w:val="0"/>
      <w:divBdr>
        <w:top w:val="none" w:sz="0" w:space="0" w:color="auto"/>
        <w:left w:val="none" w:sz="0" w:space="0" w:color="auto"/>
        <w:bottom w:val="none" w:sz="0" w:space="0" w:color="auto"/>
        <w:right w:val="none" w:sz="0" w:space="0" w:color="auto"/>
      </w:divBdr>
    </w:div>
    <w:div w:id="1672948397">
      <w:bodyDiv w:val="1"/>
      <w:marLeft w:val="0"/>
      <w:marRight w:val="0"/>
      <w:marTop w:val="0"/>
      <w:marBottom w:val="0"/>
      <w:divBdr>
        <w:top w:val="none" w:sz="0" w:space="0" w:color="auto"/>
        <w:left w:val="none" w:sz="0" w:space="0" w:color="auto"/>
        <w:bottom w:val="none" w:sz="0" w:space="0" w:color="auto"/>
        <w:right w:val="none" w:sz="0" w:space="0" w:color="auto"/>
      </w:divBdr>
    </w:div>
    <w:div w:id="1681811611">
      <w:bodyDiv w:val="1"/>
      <w:marLeft w:val="0"/>
      <w:marRight w:val="0"/>
      <w:marTop w:val="0"/>
      <w:marBottom w:val="0"/>
      <w:divBdr>
        <w:top w:val="none" w:sz="0" w:space="0" w:color="auto"/>
        <w:left w:val="none" w:sz="0" w:space="0" w:color="auto"/>
        <w:bottom w:val="none" w:sz="0" w:space="0" w:color="auto"/>
        <w:right w:val="none" w:sz="0" w:space="0" w:color="auto"/>
      </w:divBdr>
      <w:divsChild>
        <w:div w:id="1185170386">
          <w:marLeft w:val="0"/>
          <w:marRight w:val="0"/>
          <w:marTop w:val="0"/>
          <w:marBottom w:val="0"/>
          <w:divBdr>
            <w:top w:val="none" w:sz="0" w:space="0" w:color="auto"/>
            <w:left w:val="none" w:sz="0" w:space="0" w:color="auto"/>
            <w:bottom w:val="none" w:sz="0" w:space="0" w:color="auto"/>
            <w:right w:val="none" w:sz="0" w:space="0" w:color="auto"/>
          </w:divBdr>
          <w:divsChild>
            <w:div w:id="1552768796">
              <w:marLeft w:val="0"/>
              <w:marRight w:val="0"/>
              <w:marTop w:val="0"/>
              <w:marBottom w:val="0"/>
              <w:divBdr>
                <w:top w:val="none" w:sz="0" w:space="0" w:color="auto"/>
                <w:left w:val="none" w:sz="0" w:space="0" w:color="auto"/>
                <w:bottom w:val="none" w:sz="0" w:space="0" w:color="auto"/>
                <w:right w:val="none" w:sz="0" w:space="0" w:color="auto"/>
              </w:divBdr>
              <w:divsChild>
                <w:div w:id="121848862">
                  <w:marLeft w:val="0"/>
                  <w:marRight w:val="0"/>
                  <w:marTop w:val="0"/>
                  <w:marBottom w:val="0"/>
                  <w:divBdr>
                    <w:top w:val="none" w:sz="0" w:space="0" w:color="auto"/>
                    <w:left w:val="none" w:sz="0" w:space="0" w:color="auto"/>
                    <w:bottom w:val="none" w:sz="0" w:space="0" w:color="auto"/>
                    <w:right w:val="none" w:sz="0" w:space="0" w:color="auto"/>
                  </w:divBdr>
                  <w:divsChild>
                    <w:div w:id="739837802">
                      <w:marLeft w:val="0"/>
                      <w:marRight w:val="0"/>
                      <w:marTop w:val="0"/>
                      <w:marBottom w:val="0"/>
                      <w:divBdr>
                        <w:top w:val="none" w:sz="0" w:space="0" w:color="auto"/>
                        <w:left w:val="none" w:sz="0" w:space="0" w:color="auto"/>
                        <w:bottom w:val="none" w:sz="0" w:space="0" w:color="auto"/>
                        <w:right w:val="none" w:sz="0" w:space="0" w:color="auto"/>
                      </w:divBdr>
                      <w:divsChild>
                        <w:div w:id="1028095043">
                          <w:marLeft w:val="0"/>
                          <w:marRight w:val="0"/>
                          <w:marTop w:val="0"/>
                          <w:marBottom w:val="0"/>
                          <w:divBdr>
                            <w:top w:val="none" w:sz="0" w:space="0" w:color="auto"/>
                            <w:left w:val="none" w:sz="0" w:space="0" w:color="auto"/>
                            <w:bottom w:val="none" w:sz="0" w:space="0" w:color="auto"/>
                            <w:right w:val="none" w:sz="0" w:space="0" w:color="auto"/>
                          </w:divBdr>
                          <w:divsChild>
                            <w:div w:id="1279331217">
                              <w:marLeft w:val="0"/>
                              <w:marRight w:val="0"/>
                              <w:marTop w:val="0"/>
                              <w:marBottom w:val="0"/>
                              <w:divBdr>
                                <w:top w:val="none" w:sz="0" w:space="0" w:color="auto"/>
                                <w:left w:val="none" w:sz="0" w:space="0" w:color="auto"/>
                                <w:bottom w:val="none" w:sz="0" w:space="0" w:color="auto"/>
                                <w:right w:val="none" w:sz="0" w:space="0" w:color="auto"/>
                              </w:divBdr>
                              <w:divsChild>
                                <w:div w:id="153229169">
                                  <w:marLeft w:val="0"/>
                                  <w:marRight w:val="0"/>
                                  <w:marTop w:val="0"/>
                                  <w:marBottom w:val="0"/>
                                  <w:divBdr>
                                    <w:top w:val="none" w:sz="0" w:space="0" w:color="auto"/>
                                    <w:left w:val="none" w:sz="0" w:space="0" w:color="auto"/>
                                    <w:bottom w:val="none" w:sz="0" w:space="0" w:color="auto"/>
                                    <w:right w:val="none" w:sz="0" w:space="0" w:color="auto"/>
                                  </w:divBdr>
                                  <w:divsChild>
                                    <w:div w:id="203692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489205">
                          <w:marLeft w:val="0"/>
                          <w:marRight w:val="0"/>
                          <w:marTop w:val="0"/>
                          <w:marBottom w:val="0"/>
                          <w:divBdr>
                            <w:top w:val="none" w:sz="0" w:space="0" w:color="auto"/>
                            <w:left w:val="none" w:sz="0" w:space="0" w:color="auto"/>
                            <w:bottom w:val="none" w:sz="0" w:space="0" w:color="auto"/>
                            <w:right w:val="none" w:sz="0" w:space="0" w:color="auto"/>
                          </w:divBdr>
                          <w:divsChild>
                            <w:div w:id="1431511000">
                              <w:marLeft w:val="0"/>
                              <w:marRight w:val="0"/>
                              <w:marTop w:val="0"/>
                              <w:marBottom w:val="0"/>
                              <w:divBdr>
                                <w:top w:val="none" w:sz="0" w:space="0" w:color="auto"/>
                                <w:left w:val="none" w:sz="0" w:space="0" w:color="auto"/>
                                <w:bottom w:val="none" w:sz="0" w:space="0" w:color="auto"/>
                                <w:right w:val="none" w:sz="0" w:space="0" w:color="auto"/>
                              </w:divBdr>
                              <w:divsChild>
                                <w:div w:id="10500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8289400">
      <w:bodyDiv w:val="1"/>
      <w:marLeft w:val="0"/>
      <w:marRight w:val="0"/>
      <w:marTop w:val="0"/>
      <w:marBottom w:val="0"/>
      <w:divBdr>
        <w:top w:val="none" w:sz="0" w:space="0" w:color="auto"/>
        <w:left w:val="none" w:sz="0" w:space="0" w:color="auto"/>
        <w:bottom w:val="none" w:sz="0" w:space="0" w:color="auto"/>
        <w:right w:val="none" w:sz="0" w:space="0" w:color="auto"/>
      </w:divBdr>
    </w:div>
    <w:div w:id="1705328212">
      <w:bodyDiv w:val="1"/>
      <w:marLeft w:val="0"/>
      <w:marRight w:val="0"/>
      <w:marTop w:val="0"/>
      <w:marBottom w:val="0"/>
      <w:divBdr>
        <w:top w:val="none" w:sz="0" w:space="0" w:color="auto"/>
        <w:left w:val="none" w:sz="0" w:space="0" w:color="auto"/>
        <w:bottom w:val="none" w:sz="0" w:space="0" w:color="auto"/>
        <w:right w:val="none" w:sz="0" w:space="0" w:color="auto"/>
      </w:divBdr>
      <w:divsChild>
        <w:div w:id="2042781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6522397">
      <w:bodyDiv w:val="1"/>
      <w:marLeft w:val="0"/>
      <w:marRight w:val="0"/>
      <w:marTop w:val="0"/>
      <w:marBottom w:val="0"/>
      <w:divBdr>
        <w:top w:val="none" w:sz="0" w:space="0" w:color="auto"/>
        <w:left w:val="none" w:sz="0" w:space="0" w:color="auto"/>
        <w:bottom w:val="none" w:sz="0" w:space="0" w:color="auto"/>
        <w:right w:val="none" w:sz="0" w:space="0" w:color="auto"/>
      </w:divBdr>
    </w:div>
    <w:div w:id="1734043367">
      <w:bodyDiv w:val="1"/>
      <w:marLeft w:val="0"/>
      <w:marRight w:val="0"/>
      <w:marTop w:val="0"/>
      <w:marBottom w:val="0"/>
      <w:divBdr>
        <w:top w:val="none" w:sz="0" w:space="0" w:color="auto"/>
        <w:left w:val="none" w:sz="0" w:space="0" w:color="auto"/>
        <w:bottom w:val="none" w:sz="0" w:space="0" w:color="auto"/>
        <w:right w:val="none" w:sz="0" w:space="0" w:color="auto"/>
      </w:divBdr>
    </w:div>
    <w:div w:id="1747652513">
      <w:bodyDiv w:val="1"/>
      <w:marLeft w:val="0"/>
      <w:marRight w:val="0"/>
      <w:marTop w:val="0"/>
      <w:marBottom w:val="0"/>
      <w:divBdr>
        <w:top w:val="none" w:sz="0" w:space="0" w:color="auto"/>
        <w:left w:val="none" w:sz="0" w:space="0" w:color="auto"/>
        <w:bottom w:val="none" w:sz="0" w:space="0" w:color="auto"/>
        <w:right w:val="none" w:sz="0" w:space="0" w:color="auto"/>
      </w:divBdr>
      <w:divsChild>
        <w:div w:id="706609622">
          <w:marLeft w:val="0"/>
          <w:marRight w:val="0"/>
          <w:marTop w:val="0"/>
          <w:marBottom w:val="0"/>
          <w:divBdr>
            <w:top w:val="none" w:sz="0" w:space="0" w:color="auto"/>
            <w:left w:val="none" w:sz="0" w:space="0" w:color="auto"/>
            <w:bottom w:val="none" w:sz="0" w:space="0" w:color="auto"/>
            <w:right w:val="none" w:sz="0" w:space="0" w:color="auto"/>
          </w:divBdr>
          <w:divsChild>
            <w:div w:id="1796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51110">
      <w:bodyDiv w:val="1"/>
      <w:marLeft w:val="0"/>
      <w:marRight w:val="0"/>
      <w:marTop w:val="0"/>
      <w:marBottom w:val="0"/>
      <w:divBdr>
        <w:top w:val="none" w:sz="0" w:space="0" w:color="auto"/>
        <w:left w:val="none" w:sz="0" w:space="0" w:color="auto"/>
        <w:bottom w:val="none" w:sz="0" w:space="0" w:color="auto"/>
        <w:right w:val="none" w:sz="0" w:space="0" w:color="auto"/>
      </w:divBdr>
    </w:div>
    <w:div w:id="1815295648">
      <w:bodyDiv w:val="1"/>
      <w:marLeft w:val="0"/>
      <w:marRight w:val="0"/>
      <w:marTop w:val="0"/>
      <w:marBottom w:val="0"/>
      <w:divBdr>
        <w:top w:val="none" w:sz="0" w:space="0" w:color="auto"/>
        <w:left w:val="none" w:sz="0" w:space="0" w:color="auto"/>
        <w:bottom w:val="none" w:sz="0" w:space="0" w:color="auto"/>
        <w:right w:val="none" w:sz="0" w:space="0" w:color="auto"/>
      </w:divBdr>
    </w:div>
    <w:div w:id="1885289376">
      <w:bodyDiv w:val="1"/>
      <w:marLeft w:val="0"/>
      <w:marRight w:val="0"/>
      <w:marTop w:val="0"/>
      <w:marBottom w:val="0"/>
      <w:divBdr>
        <w:top w:val="none" w:sz="0" w:space="0" w:color="auto"/>
        <w:left w:val="none" w:sz="0" w:space="0" w:color="auto"/>
        <w:bottom w:val="none" w:sz="0" w:space="0" w:color="auto"/>
        <w:right w:val="none" w:sz="0" w:space="0" w:color="auto"/>
      </w:divBdr>
    </w:div>
    <w:div w:id="1891768283">
      <w:bodyDiv w:val="1"/>
      <w:marLeft w:val="0"/>
      <w:marRight w:val="0"/>
      <w:marTop w:val="0"/>
      <w:marBottom w:val="0"/>
      <w:divBdr>
        <w:top w:val="none" w:sz="0" w:space="0" w:color="auto"/>
        <w:left w:val="none" w:sz="0" w:space="0" w:color="auto"/>
        <w:bottom w:val="none" w:sz="0" w:space="0" w:color="auto"/>
        <w:right w:val="none" w:sz="0" w:space="0" w:color="auto"/>
      </w:divBdr>
    </w:div>
    <w:div w:id="2013335421">
      <w:bodyDiv w:val="1"/>
      <w:marLeft w:val="0"/>
      <w:marRight w:val="0"/>
      <w:marTop w:val="0"/>
      <w:marBottom w:val="0"/>
      <w:divBdr>
        <w:top w:val="none" w:sz="0" w:space="0" w:color="auto"/>
        <w:left w:val="none" w:sz="0" w:space="0" w:color="auto"/>
        <w:bottom w:val="none" w:sz="0" w:space="0" w:color="auto"/>
        <w:right w:val="none" w:sz="0" w:space="0" w:color="auto"/>
      </w:divBdr>
    </w:div>
    <w:div w:id="2038315881">
      <w:bodyDiv w:val="1"/>
      <w:marLeft w:val="0"/>
      <w:marRight w:val="0"/>
      <w:marTop w:val="0"/>
      <w:marBottom w:val="0"/>
      <w:divBdr>
        <w:top w:val="none" w:sz="0" w:space="0" w:color="auto"/>
        <w:left w:val="none" w:sz="0" w:space="0" w:color="auto"/>
        <w:bottom w:val="none" w:sz="0" w:space="0" w:color="auto"/>
        <w:right w:val="none" w:sz="0" w:space="0" w:color="auto"/>
      </w:divBdr>
    </w:div>
    <w:div w:id="2045014503">
      <w:bodyDiv w:val="1"/>
      <w:marLeft w:val="0"/>
      <w:marRight w:val="0"/>
      <w:marTop w:val="0"/>
      <w:marBottom w:val="0"/>
      <w:divBdr>
        <w:top w:val="none" w:sz="0" w:space="0" w:color="auto"/>
        <w:left w:val="none" w:sz="0" w:space="0" w:color="auto"/>
        <w:bottom w:val="none" w:sz="0" w:space="0" w:color="auto"/>
        <w:right w:val="none" w:sz="0" w:space="0" w:color="auto"/>
      </w:divBdr>
    </w:div>
    <w:div w:id="2082242288">
      <w:bodyDiv w:val="1"/>
      <w:marLeft w:val="0"/>
      <w:marRight w:val="0"/>
      <w:marTop w:val="0"/>
      <w:marBottom w:val="0"/>
      <w:divBdr>
        <w:top w:val="none" w:sz="0" w:space="0" w:color="auto"/>
        <w:left w:val="none" w:sz="0" w:space="0" w:color="auto"/>
        <w:bottom w:val="none" w:sz="0" w:space="0" w:color="auto"/>
        <w:right w:val="none" w:sz="0" w:space="0" w:color="auto"/>
      </w:divBdr>
    </w:div>
    <w:div w:id="2123574369">
      <w:bodyDiv w:val="1"/>
      <w:marLeft w:val="0"/>
      <w:marRight w:val="0"/>
      <w:marTop w:val="0"/>
      <w:marBottom w:val="0"/>
      <w:divBdr>
        <w:top w:val="none" w:sz="0" w:space="0" w:color="auto"/>
        <w:left w:val="none" w:sz="0" w:space="0" w:color="auto"/>
        <w:bottom w:val="none" w:sz="0" w:space="0" w:color="auto"/>
        <w:right w:val="none" w:sz="0" w:space="0" w:color="auto"/>
      </w:divBdr>
    </w:div>
    <w:div w:id="213936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jrurstud.2008.03.010" TargetMode="External"/><Relationship Id="rId18" Type="http://schemas.openxmlformats.org/officeDocument/2006/relationships/hyperlink" Target="https://doi-org.ezproxy.uwtsd.ac.uk/10.1080/17437270701614782"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dx.doi.org/10.5539/elt.v5n9p9" TargetMode="External"/><Relationship Id="rId7" Type="http://schemas.openxmlformats.org/officeDocument/2006/relationships/footnotes" Target="footnotes.xml"/><Relationship Id="rId12" Type="http://schemas.openxmlformats.org/officeDocument/2006/relationships/hyperlink" Target="https://doi-org.ezproxy.uwtsd.ac.uk/10.1080/00131946.2013.783834" TargetMode="External"/><Relationship Id="rId17" Type="http://schemas.openxmlformats.org/officeDocument/2006/relationships/hyperlink" Target="https://doi.org/10.1177/1077800405278776" TargetMode="Externa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doi-org.ezproxy.uwtsd.ac.uk/10.1177/16094069251321251" TargetMode="External"/><Relationship Id="rId20" Type="http://schemas.openxmlformats.org/officeDocument/2006/relationships/hyperlink" Target="https://doi-org.ezproxy.uwtsd.ac.uk/10.1177/1609406921101800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135/9781483348858" TargetMode="External"/><Relationship Id="rId24" Type="http://schemas.openxmlformats.org/officeDocument/2006/relationships/hyperlink" Target="https://doi-org.ezproxy.uwtsd.ac.uk/10.1080/1743727X.2023.2266375" TargetMode="External"/><Relationship Id="rId5" Type="http://schemas.openxmlformats.org/officeDocument/2006/relationships/settings" Target="settings.xml"/><Relationship Id="rId15" Type="http://schemas.openxmlformats.org/officeDocument/2006/relationships/hyperlink" Target="https://doi.org/10.11648/j.ajtas.20160501.11" TargetMode="External"/><Relationship Id="rId23" Type="http://schemas.openxmlformats.org/officeDocument/2006/relationships/hyperlink" Target="https://doi-org.ezproxy.uwtsd.ac.uk/10.1177/1077800411423196" TargetMode="External"/><Relationship Id="rId28" Type="http://schemas.openxmlformats.org/officeDocument/2006/relationships/theme" Target="theme/theme1.xml"/><Relationship Id="rId10" Type="http://schemas.openxmlformats.org/officeDocument/2006/relationships/hyperlink" Target="https://www.bera.ac.uk/publication/ethical-guidelines-for-educational-research-fifth-edition-2024" TargetMode="External"/><Relationship Id="rId19" Type="http://schemas.openxmlformats.org/officeDocument/2006/relationships/hyperlink" Target="https://doi.org/10.3102/0013189X033007014" TargetMode="External"/><Relationship Id="rId4" Type="http://schemas.openxmlformats.org/officeDocument/2006/relationships/styles" Target="styles.xml"/><Relationship Id="rId9" Type="http://schemas.openxmlformats.org/officeDocument/2006/relationships/hyperlink" Target="https://doi:10.1177/104973230001000308" TargetMode="External"/><Relationship Id="rId14" Type="http://schemas.openxmlformats.org/officeDocument/2006/relationships/hyperlink" Target="https://doi.org/10.1111/j.1365-2929.2006.02418.x" TargetMode="External"/><Relationship Id="rId22" Type="http://schemas.openxmlformats.org/officeDocument/2006/relationships/hyperlink" Target="https://doi.org/10.1108/QRJ-12-2018-001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ECDE7012 Component 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D23629-1DDE-4B1F-991F-09EB515C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5277</Words>
  <Characters>30083</Characters>
  <Application>Microsoft Office Word</Application>
  <DocSecurity>0</DocSecurity>
  <Lines>250</Lines>
  <Paragraphs>70</Paragraphs>
  <ScaleCrop>false</ScaleCrop>
  <Company>University of Wales Trinity Saint David</Company>
  <LinksUpToDate>false</LinksUpToDate>
  <CharactersWithSpaces>35290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Accountability in Initial Teacher Education: Perspectives from Lead Partner Schools in Wales</dc:title>
  <dc:subject/>
  <dc:creator>Laurence Thomas (0202197)</dc:creator>
  <cp:keywords/>
  <dc:description/>
  <cp:lastModifiedBy>Laurence Thomas</cp:lastModifiedBy>
  <cp:revision>680</cp:revision>
  <dcterms:created xsi:type="dcterms:W3CDTF">2025-04-22T14:51:00Z</dcterms:created>
  <dcterms:modified xsi:type="dcterms:W3CDTF">2025-04-29T12:19:00Z</dcterms:modified>
</cp:coreProperties>
</file>