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91AD53" w14:textId="77777777" w:rsidR="00DE4458" w:rsidRDefault="009B62D7">
      <w:pPr>
        <w:pBdr>
          <w:top w:val="nil"/>
          <w:left w:val="nil"/>
          <w:bottom w:val="nil"/>
          <w:right w:val="nil"/>
          <w:between w:val="nil"/>
        </w:pBdr>
        <w:spacing w:line="276" w:lineRule="auto"/>
        <w:jc w:val="center"/>
        <w:rPr>
          <w:rFonts w:ascii="Cambria" w:eastAsia="Cambria" w:hAnsi="Cambria" w:cs="Cambria"/>
          <w:color w:val="000000"/>
          <w:sz w:val="22"/>
          <w:szCs w:val="22"/>
        </w:rPr>
      </w:pPr>
      <w:r>
        <w:rPr>
          <w:rFonts w:ascii="Cambria" w:eastAsia="Cambria" w:hAnsi="Cambria" w:cs="Cambria"/>
          <w:noProof/>
          <w:color w:val="000000"/>
          <w:sz w:val="22"/>
          <w:szCs w:val="22"/>
        </w:rPr>
        <w:drawing>
          <wp:inline distT="114300" distB="114300" distL="114300" distR="114300" wp14:anchorId="7BA1EA26" wp14:editId="0DA0AA32">
            <wp:extent cx="2857500" cy="127635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7"/>
                    <a:stretch>
                      <a:fillRect/>
                    </a:stretch>
                  </pic:blipFill>
                  <pic:spPr>
                    <a:xfrm>
                      <a:off x="0" y="0"/>
                      <a:ext cx="2857500" cy="1276350"/>
                    </a:xfrm>
                    <a:prstGeom prst="rect">
                      <a:avLst/>
                    </a:prstGeom>
                  </pic:spPr>
                </pic:pic>
              </a:graphicData>
            </a:graphic>
          </wp:inline>
        </w:drawing>
      </w:r>
    </w:p>
    <w:p w14:paraId="46B31368" w14:textId="77777777" w:rsidR="00DE4458" w:rsidRDefault="00DE4458">
      <w:pPr>
        <w:pBdr>
          <w:top w:val="nil"/>
          <w:left w:val="nil"/>
          <w:bottom w:val="nil"/>
          <w:right w:val="nil"/>
          <w:between w:val="nil"/>
        </w:pBdr>
        <w:spacing w:line="276" w:lineRule="auto"/>
        <w:jc w:val="center"/>
        <w:rPr>
          <w:rFonts w:ascii="Cambria" w:eastAsia="Cambria" w:hAnsi="Cambria" w:cs="Cambria"/>
          <w:color w:val="000000"/>
          <w:sz w:val="22"/>
          <w:szCs w:val="22"/>
        </w:rPr>
      </w:pPr>
    </w:p>
    <w:p w14:paraId="5EFC56D8" w14:textId="77777777" w:rsidR="00DE4458" w:rsidRDefault="00DE4458">
      <w:pPr>
        <w:pBdr>
          <w:top w:val="nil"/>
          <w:left w:val="nil"/>
          <w:bottom w:val="nil"/>
          <w:right w:val="nil"/>
          <w:between w:val="nil"/>
        </w:pBdr>
        <w:spacing w:line="276" w:lineRule="auto"/>
        <w:jc w:val="center"/>
        <w:rPr>
          <w:rFonts w:ascii="Cambria" w:eastAsia="Cambria" w:hAnsi="Cambria" w:cs="Cambria"/>
          <w:color w:val="000000"/>
          <w:sz w:val="22"/>
          <w:szCs w:val="22"/>
        </w:rPr>
      </w:pPr>
    </w:p>
    <w:p w14:paraId="119C830C" w14:textId="77777777" w:rsidR="00DE4458" w:rsidRDefault="00DE4458">
      <w:pPr>
        <w:pBdr>
          <w:top w:val="nil"/>
          <w:left w:val="nil"/>
          <w:bottom w:val="nil"/>
          <w:right w:val="nil"/>
          <w:between w:val="nil"/>
        </w:pBdr>
        <w:spacing w:line="276" w:lineRule="auto"/>
        <w:jc w:val="center"/>
        <w:rPr>
          <w:rFonts w:ascii="Cambria" w:eastAsia="Cambria" w:hAnsi="Cambria" w:cs="Cambria"/>
          <w:color w:val="000000"/>
          <w:sz w:val="22"/>
          <w:szCs w:val="22"/>
        </w:rPr>
      </w:pPr>
    </w:p>
    <w:p w14:paraId="3C5C3063" w14:textId="77777777" w:rsidR="00DE4458" w:rsidRDefault="00DE4458">
      <w:pPr>
        <w:pBdr>
          <w:top w:val="nil"/>
          <w:left w:val="nil"/>
          <w:bottom w:val="nil"/>
          <w:right w:val="nil"/>
          <w:between w:val="nil"/>
        </w:pBdr>
        <w:spacing w:line="276" w:lineRule="auto"/>
        <w:jc w:val="center"/>
        <w:rPr>
          <w:rFonts w:ascii="Cambria" w:eastAsia="Cambria" w:hAnsi="Cambria" w:cs="Cambria"/>
          <w:color w:val="000000"/>
          <w:sz w:val="22"/>
          <w:szCs w:val="22"/>
        </w:rPr>
      </w:pPr>
    </w:p>
    <w:p w14:paraId="37B91551" w14:textId="77777777" w:rsidR="00DE4458" w:rsidRDefault="00DE4458">
      <w:pPr>
        <w:pBdr>
          <w:top w:val="nil"/>
          <w:left w:val="nil"/>
          <w:bottom w:val="nil"/>
          <w:right w:val="nil"/>
          <w:between w:val="nil"/>
        </w:pBdr>
        <w:spacing w:line="276" w:lineRule="auto"/>
        <w:jc w:val="center"/>
        <w:rPr>
          <w:rFonts w:ascii="Cambria" w:eastAsia="Cambria" w:hAnsi="Cambria" w:cs="Cambria"/>
          <w:color w:val="000000"/>
          <w:sz w:val="22"/>
          <w:szCs w:val="22"/>
        </w:rPr>
      </w:pPr>
    </w:p>
    <w:p w14:paraId="5273859D" w14:textId="77777777" w:rsidR="00DE4458" w:rsidRDefault="00DE4458">
      <w:pPr>
        <w:pBdr>
          <w:top w:val="nil"/>
          <w:left w:val="nil"/>
          <w:bottom w:val="nil"/>
          <w:right w:val="nil"/>
          <w:between w:val="nil"/>
        </w:pBdr>
        <w:spacing w:line="276" w:lineRule="auto"/>
        <w:jc w:val="center"/>
        <w:rPr>
          <w:rFonts w:ascii="Cambria" w:eastAsia="Cambria" w:hAnsi="Cambria" w:cs="Cambria"/>
          <w:color w:val="000000"/>
          <w:sz w:val="22"/>
          <w:szCs w:val="22"/>
        </w:rPr>
      </w:pPr>
    </w:p>
    <w:p w14:paraId="34D9B2ED" w14:textId="77777777" w:rsidR="00DE4458" w:rsidRDefault="00DE4458">
      <w:pPr>
        <w:pBdr>
          <w:top w:val="nil"/>
          <w:left w:val="nil"/>
          <w:bottom w:val="nil"/>
          <w:right w:val="nil"/>
          <w:between w:val="nil"/>
        </w:pBdr>
        <w:spacing w:line="276" w:lineRule="auto"/>
        <w:jc w:val="center"/>
        <w:rPr>
          <w:rFonts w:ascii="Cambria" w:eastAsia="Cambria" w:hAnsi="Cambria" w:cs="Cambria"/>
          <w:color w:val="000000"/>
          <w:sz w:val="22"/>
          <w:szCs w:val="22"/>
        </w:rPr>
      </w:pPr>
    </w:p>
    <w:p w14:paraId="1EB1EE3D" w14:textId="77777777" w:rsidR="00DE4458" w:rsidRDefault="00DE4458">
      <w:pPr>
        <w:pBdr>
          <w:top w:val="nil"/>
          <w:left w:val="nil"/>
          <w:bottom w:val="nil"/>
          <w:right w:val="nil"/>
          <w:between w:val="nil"/>
        </w:pBdr>
        <w:spacing w:line="276" w:lineRule="auto"/>
        <w:jc w:val="center"/>
        <w:rPr>
          <w:b/>
          <w:color w:val="000000"/>
        </w:rPr>
      </w:pPr>
    </w:p>
    <w:p w14:paraId="2B0D6038" w14:textId="77777777" w:rsidR="00DE4458" w:rsidRDefault="009B62D7">
      <w:pPr>
        <w:pBdr>
          <w:top w:val="nil"/>
          <w:left w:val="nil"/>
          <w:bottom w:val="nil"/>
          <w:right w:val="nil"/>
          <w:between w:val="nil"/>
        </w:pBdr>
        <w:spacing w:line="276" w:lineRule="auto"/>
        <w:jc w:val="center"/>
        <w:rPr>
          <w:b/>
          <w:color w:val="000000"/>
          <w:sz w:val="40"/>
          <w:szCs w:val="40"/>
        </w:rPr>
      </w:pPr>
      <w:r>
        <w:rPr>
          <w:b/>
          <w:color w:val="000000"/>
          <w:sz w:val="40"/>
          <w:szCs w:val="40"/>
        </w:rPr>
        <w:t xml:space="preserve">Common Law </w:t>
      </w:r>
    </w:p>
    <w:p w14:paraId="3B3117D1" w14:textId="77777777" w:rsidR="00DE4458" w:rsidRDefault="009B62D7">
      <w:pPr>
        <w:pBdr>
          <w:top w:val="nil"/>
          <w:left w:val="nil"/>
          <w:bottom w:val="nil"/>
          <w:right w:val="nil"/>
          <w:between w:val="nil"/>
        </w:pBdr>
        <w:spacing w:line="276" w:lineRule="auto"/>
        <w:jc w:val="center"/>
        <w:rPr>
          <w:b/>
          <w:color w:val="000000"/>
        </w:rPr>
      </w:pPr>
      <w:r>
        <w:rPr>
          <w:b/>
          <w:color w:val="000000"/>
        </w:rPr>
        <w:t>Module Code: BMPL4011</w:t>
      </w:r>
    </w:p>
    <w:p w14:paraId="656B6DBD" w14:textId="77777777" w:rsidR="00DE4458" w:rsidRDefault="00DE4458">
      <w:pPr>
        <w:pBdr>
          <w:top w:val="nil"/>
          <w:left w:val="nil"/>
          <w:bottom w:val="nil"/>
          <w:right w:val="nil"/>
          <w:between w:val="nil"/>
        </w:pBdr>
        <w:spacing w:line="276" w:lineRule="auto"/>
        <w:jc w:val="left"/>
        <w:rPr>
          <w:rFonts w:ascii="Cambria" w:eastAsia="Cambria" w:hAnsi="Cambria" w:cs="Cambria"/>
          <w:color w:val="000000"/>
          <w:sz w:val="22"/>
          <w:szCs w:val="22"/>
        </w:rPr>
      </w:pPr>
    </w:p>
    <w:p w14:paraId="655DCA11" w14:textId="77777777" w:rsidR="00DE4458" w:rsidRDefault="00DE4458">
      <w:pPr>
        <w:pBdr>
          <w:top w:val="nil"/>
          <w:left w:val="nil"/>
          <w:bottom w:val="nil"/>
          <w:right w:val="nil"/>
          <w:between w:val="nil"/>
        </w:pBdr>
        <w:spacing w:line="276" w:lineRule="auto"/>
        <w:jc w:val="left"/>
        <w:rPr>
          <w:rFonts w:ascii="Cambria" w:eastAsia="Cambria" w:hAnsi="Cambria" w:cs="Cambria"/>
          <w:color w:val="000000"/>
          <w:sz w:val="22"/>
          <w:szCs w:val="22"/>
        </w:rPr>
      </w:pPr>
    </w:p>
    <w:p w14:paraId="5A1DE948" w14:textId="77777777" w:rsidR="00DE4458" w:rsidRDefault="00DE4458">
      <w:pPr>
        <w:pBdr>
          <w:top w:val="nil"/>
          <w:left w:val="nil"/>
          <w:bottom w:val="nil"/>
          <w:right w:val="nil"/>
          <w:between w:val="nil"/>
        </w:pBdr>
        <w:spacing w:line="276" w:lineRule="auto"/>
        <w:jc w:val="left"/>
        <w:rPr>
          <w:rFonts w:ascii="Cambria" w:eastAsia="Cambria" w:hAnsi="Cambria" w:cs="Cambria"/>
          <w:color w:val="000000"/>
          <w:sz w:val="22"/>
          <w:szCs w:val="22"/>
        </w:rPr>
      </w:pPr>
    </w:p>
    <w:p w14:paraId="488B59B4" w14:textId="77777777" w:rsidR="00DE4458" w:rsidRDefault="00DE4458">
      <w:pPr>
        <w:pBdr>
          <w:top w:val="nil"/>
          <w:left w:val="nil"/>
          <w:bottom w:val="nil"/>
          <w:right w:val="nil"/>
          <w:between w:val="nil"/>
        </w:pBdr>
        <w:spacing w:line="276" w:lineRule="auto"/>
        <w:jc w:val="left"/>
        <w:rPr>
          <w:rFonts w:ascii="Cambria" w:eastAsia="Cambria" w:hAnsi="Cambria" w:cs="Cambria"/>
          <w:color w:val="000000"/>
          <w:sz w:val="22"/>
          <w:szCs w:val="22"/>
        </w:rPr>
      </w:pPr>
    </w:p>
    <w:p w14:paraId="24FD3379" w14:textId="77777777" w:rsidR="00DE4458" w:rsidRDefault="00DE4458">
      <w:pPr>
        <w:pBdr>
          <w:top w:val="nil"/>
          <w:left w:val="nil"/>
          <w:bottom w:val="nil"/>
          <w:right w:val="nil"/>
          <w:between w:val="nil"/>
        </w:pBdr>
        <w:spacing w:line="276" w:lineRule="auto"/>
        <w:jc w:val="left"/>
        <w:rPr>
          <w:rFonts w:ascii="Cambria" w:eastAsia="Cambria" w:hAnsi="Cambria" w:cs="Cambria"/>
          <w:color w:val="000000"/>
          <w:sz w:val="22"/>
          <w:szCs w:val="22"/>
        </w:rPr>
      </w:pPr>
    </w:p>
    <w:p w14:paraId="20AC5DB5" w14:textId="77777777" w:rsidR="00DE4458" w:rsidRDefault="00DE4458">
      <w:pPr>
        <w:pBdr>
          <w:top w:val="nil"/>
          <w:left w:val="nil"/>
          <w:bottom w:val="nil"/>
          <w:right w:val="nil"/>
          <w:between w:val="nil"/>
        </w:pBdr>
        <w:spacing w:line="276" w:lineRule="auto"/>
        <w:jc w:val="left"/>
        <w:rPr>
          <w:rFonts w:ascii="Cambria" w:eastAsia="Cambria" w:hAnsi="Cambria" w:cs="Cambria"/>
          <w:color w:val="000000"/>
          <w:sz w:val="22"/>
          <w:szCs w:val="22"/>
        </w:rPr>
      </w:pPr>
    </w:p>
    <w:p w14:paraId="0F93BDCD" w14:textId="77777777" w:rsidR="00DE4458" w:rsidRDefault="00DE4458">
      <w:pPr>
        <w:pBdr>
          <w:top w:val="nil"/>
          <w:left w:val="nil"/>
          <w:bottom w:val="nil"/>
          <w:right w:val="nil"/>
          <w:between w:val="nil"/>
        </w:pBdr>
        <w:spacing w:line="276" w:lineRule="auto"/>
        <w:jc w:val="left"/>
        <w:rPr>
          <w:rFonts w:ascii="Cambria" w:eastAsia="Cambria" w:hAnsi="Cambria" w:cs="Cambria"/>
          <w:color w:val="000000"/>
          <w:sz w:val="22"/>
          <w:szCs w:val="22"/>
        </w:rPr>
      </w:pPr>
    </w:p>
    <w:p w14:paraId="31E51B2B" w14:textId="77777777" w:rsidR="00DE4458" w:rsidRDefault="00DE4458">
      <w:pPr>
        <w:pBdr>
          <w:top w:val="nil"/>
          <w:left w:val="nil"/>
          <w:bottom w:val="nil"/>
          <w:right w:val="nil"/>
          <w:between w:val="nil"/>
        </w:pBdr>
        <w:spacing w:line="276" w:lineRule="auto"/>
        <w:jc w:val="left"/>
        <w:rPr>
          <w:rFonts w:ascii="Cambria" w:eastAsia="Cambria" w:hAnsi="Cambria" w:cs="Cambria"/>
          <w:color w:val="000000"/>
          <w:sz w:val="22"/>
          <w:szCs w:val="22"/>
        </w:rPr>
      </w:pPr>
    </w:p>
    <w:p w14:paraId="3D501537" w14:textId="77777777" w:rsidR="00DE4458" w:rsidRDefault="00DE4458">
      <w:pPr>
        <w:pBdr>
          <w:top w:val="nil"/>
          <w:left w:val="nil"/>
          <w:bottom w:val="nil"/>
          <w:right w:val="nil"/>
          <w:between w:val="nil"/>
        </w:pBdr>
        <w:spacing w:line="276" w:lineRule="auto"/>
        <w:jc w:val="left"/>
        <w:rPr>
          <w:rFonts w:ascii="Cambria" w:eastAsia="Cambria" w:hAnsi="Cambria" w:cs="Cambria"/>
          <w:color w:val="000000"/>
          <w:sz w:val="22"/>
          <w:szCs w:val="22"/>
        </w:rPr>
      </w:pPr>
    </w:p>
    <w:p w14:paraId="444ABB98" w14:textId="77777777" w:rsidR="00DE4458" w:rsidRDefault="00DE4458">
      <w:pPr>
        <w:pBdr>
          <w:top w:val="nil"/>
          <w:left w:val="nil"/>
          <w:bottom w:val="nil"/>
          <w:right w:val="nil"/>
          <w:between w:val="nil"/>
        </w:pBdr>
        <w:spacing w:line="276" w:lineRule="auto"/>
        <w:jc w:val="left"/>
        <w:rPr>
          <w:rFonts w:ascii="Cambria" w:eastAsia="Cambria" w:hAnsi="Cambria" w:cs="Cambria"/>
          <w:color w:val="000000"/>
          <w:sz w:val="22"/>
          <w:szCs w:val="22"/>
        </w:rPr>
      </w:pPr>
    </w:p>
    <w:p w14:paraId="020B7D2E" w14:textId="77777777" w:rsidR="00DE4458" w:rsidRDefault="00DE4458">
      <w:pPr>
        <w:pBdr>
          <w:top w:val="nil"/>
          <w:left w:val="nil"/>
          <w:bottom w:val="nil"/>
          <w:right w:val="nil"/>
          <w:between w:val="nil"/>
        </w:pBdr>
        <w:spacing w:line="276" w:lineRule="auto"/>
        <w:jc w:val="left"/>
        <w:rPr>
          <w:rFonts w:ascii="Cambria" w:eastAsia="Cambria" w:hAnsi="Cambria" w:cs="Cambria"/>
          <w:color w:val="000000"/>
          <w:sz w:val="22"/>
          <w:szCs w:val="22"/>
        </w:rPr>
      </w:pPr>
    </w:p>
    <w:p w14:paraId="0DCE01B7" w14:textId="77777777" w:rsidR="00DE4458" w:rsidRDefault="00DE4458">
      <w:pPr>
        <w:pBdr>
          <w:top w:val="nil"/>
          <w:left w:val="nil"/>
          <w:bottom w:val="nil"/>
          <w:right w:val="nil"/>
          <w:between w:val="nil"/>
        </w:pBdr>
        <w:spacing w:line="276" w:lineRule="auto"/>
        <w:jc w:val="left"/>
        <w:rPr>
          <w:rFonts w:ascii="Cambria" w:eastAsia="Cambria" w:hAnsi="Cambria" w:cs="Cambria"/>
          <w:color w:val="000000"/>
          <w:sz w:val="22"/>
          <w:szCs w:val="22"/>
        </w:rPr>
      </w:pPr>
    </w:p>
    <w:p w14:paraId="33247F35" w14:textId="77777777" w:rsidR="00DE4458" w:rsidRDefault="00DE4458">
      <w:pPr>
        <w:pBdr>
          <w:top w:val="nil"/>
          <w:left w:val="nil"/>
          <w:bottom w:val="nil"/>
          <w:right w:val="nil"/>
          <w:between w:val="nil"/>
        </w:pBdr>
        <w:spacing w:line="276" w:lineRule="auto"/>
        <w:jc w:val="left"/>
        <w:rPr>
          <w:rFonts w:ascii="Cambria" w:eastAsia="Cambria" w:hAnsi="Cambria" w:cs="Cambria"/>
          <w:color w:val="000000"/>
          <w:sz w:val="22"/>
          <w:szCs w:val="22"/>
        </w:rPr>
      </w:pPr>
    </w:p>
    <w:p w14:paraId="1A30E7CD" w14:textId="77777777" w:rsidR="00DE4458" w:rsidRDefault="009B62D7">
      <w:pPr>
        <w:keepNext/>
        <w:keepLines/>
        <w:pBdr>
          <w:top w:val="nil"/>
          <w:left w:val="nil"/>
          <w:bottom w:val="nil"/>
          <w:right w:val="nil"/>
          <w:between w:val="nil"/>
        </w:pBdr>
        <w:spacing w:before="480" w:after="0"/>
        <w:jc w:val="center"/>
        <w:rPr>
          <w:b/>
          <w:color w:val="000000"/>
          <w:sz w:val="28"/>
          <w:szCs w:val="28"/>
        </w:rPr>
      </w:pPr>
      <w:bookmarkStart w:id="0" w:name="_heading=h.gjdgxs" w:colFirst="0" w:colLast="0"/>
      <w:bookmarkEnd w:id="0"/>
      <w:r>
        <w:rPr>
          <w:b/>
          <w:color w:val="000000"/>
          <w:sz w:val="28"/>
          <w:szCs w:val="28"/>
        </w:rPr>
        <w:lastRenderedPageBreak/>
        <w:t>Table of Contents</w:t>
      </w:r>
    </w:p>
    <w:sdt>
      <w:sdtPr>
        <w:id w:val="-1958784003"/>
        <w:docPartObj>
          <w:docPartGallery w:val="Table of Contents"/>
          <w:docPartUnique/>
        </w:docPartObj>
      </w:sdtPr>
      <w:sdtContent>
        <w:p w14:paraId="61396B41" w14:textId="77777777" w:rsidR="007D6608" w:rsidRDefault="009B62D7">
          <w:pPr>
            <w:pStyle w:val="TOC1"/>
            <w:tabs>
              <w:tab w:val="right" w:leader="dot" w:pos="9019"/>
            </w:tabs>
            <w:rPr>
              <w:rFonts w:asciiTheme="minorHAnsi" w:eastAsiaTheme="minorEastAsia" w:hAnsiTheme="minorHAnsi" w:cstheme="minorBidi"/>
              <w:noProof/>
              <w:kern w:val="2"/>
              <w:sz w:val="22"/>
              <w:szCs w:val="22"/>
              <w:lang w:val="en-IN"/>
              <w14:ligatures w14:val="standardContextual"/>
            </w:rPr>
          </w:pPr>
          <w:r>
            <w:fldChar w:fldCharType="begin"/>
          </w:r>
          <w:r>
            <w:instrText xml:space="preserve"> TOC \h \u \z \t "Heading 1,1,Heading 2,2,Heading 3,3,"</w:instrText>
          </w:r>
          <w:r>
            <w:fldChar w:fldCharType="separate"/>
          </w:r>
          <w:hyperlink w:anchor="_Toc140866850" w:history="1">
            <w:r w:rsidRPr="000609E1">
              <w:rPr>
                <w:rStyle w:val="Hyperlink"/>
                <w:noProof/>
              </w:rPr>
              <w:t>Introduction</w:t>
            </w:r>
            <w:r>
              <w:rPr>
                <w:noProof/>
                <w:webHidden/>
              </w:rPr>
              <w:tab/>
            </w:r>
            <w:r>
              <w:rPr>
                <w:noProof/>
                <w:webHidden/>
              </w:rPr>
              <w:fldChar w:fldCharType="begin"/>
            </w:r>
            <w:r>
              <w:rPr>
                <w:noProof/>
                <w:webHidden/>
              </w:rPr>
              <w:instrText xml:space="preserve"> PAGEREF _Toc140866850 \h </w:instrText>
            </w:r>
            <w:r>
              <w:rPr>
                <w:noProof/>
                <w:webHidden/>
              </w:rPr>
            </w:r>
            <w:r>
              <w:rPr>
                <w:noProof/>
                <w:webHidden/>
              </w:rPr>
              <w:fldChar w:fldCharType="separate"/>
            </w:r>
            <w:r>
              <w:rPr>
                <w:noProof/>
                <w:webHidden/>
              </w:rPr>
              <w:t>3</w:t>
            </w:r>
            <w:r>
              <w:rPr>
                <w:noProof/>
                <w:webHidden/>
              </w:rPr>
              <w:fldChar w:fldCharType="end"/>
            </w:r>
          </w:hyperlink>
        </w:p>
        <w:p w14:paraId="72D476E6" w14:textId="77777777" w:rsidR="007D6608" w:rsidRDefault="00000000">
          <w:pPr>
            <w:pStyle w:val="TOC1"/>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40866851" w:history="1">
            <w:r w:rsidR="009B62D7" w:rsidRPr="000609E1">
              <w:rPr>
                <w:rStyle w:val="Hyperlink"/>
                <w:noProof/>
              </w:rPr>
              <w:t>Common Law</w:t>
            </w:r>
            <w:r w:rsidR="009B62D7">
              <w:rPr>
                <w:noProof/>
                <w:webHidden/>
              </w:rPr>
              <w:tab/>
            </w:r>
            <w:r w:rsidR="009B62D7">
              <w:rPr>
                <w:noProof/>
                <w:webHidden/>
              </w:rPr>
              <w:fldChar w:fldCharType="begin"/>
            </w:r>
            <w:r w:rsidR="009B62D7">
              <w:rPr>
                <w:noProof/>
                <w:webHidden/>
              </w:rPr>
              <w:instrText xml:space="preserve"> PAGEREF _Toc140866851 \h </w:instrText>
            </w:r>
            <w:r w:rsidR="009B62D7">
              <w:rPr>
                <w:noProof/>
                <w:webHidden/>
              </w:rPr>
            </w:r>
            <w:r w:rsidR="009B62D7">
              <w:rPr>
                <w:noProof/>
                <w:webHidden/>
              </w:rPr>
              <w:fldChar w:fldCharType="separate"/>
            </w:r>
            <w:r w:rsidR="009B62D7">
              <w:rPr>
                <w:noProof/>
                <w:webHidden/>
              </w:rPr>
              <w:t>3</w:t>
            </w:r>
            <w:r w:rsidR="009B62D7">
              <w:rPr>
                <w:noProof/>
                <w:webHidden/>
              </w:rPr>
              <w:fldChar w:fldCharType="end"/>
            </w:r>
          </w:hyperlink>
        </w:p>
        <w:p w14:paraId="5BE25109" w14:textId="77777777" w:rsidR="007D6608" w:rsidRDefault="00000000">
          <w:pPr>
            <w:pStyle w:val="TOC1"/>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40866852" w:history="1">
            <w:r w:rsidR="009B62D7" w:rsidRPr="000609E1">
              <w:rPr>
                <w:rStyle w:val="Hyperlink"/>
                <w:noProof/>
              </w:rPr>
              <w:t>Civil Law</w:t>
            </w:r>
            <w:r w:rsidR="009B62D7">
              <w:rPr>
                <w:noProof/>
                <w:webHidden/>
              </w:rPr>
              <w:tab/>
            </w:r>
            <w:r w:rsidR="009B62D7">
              <w:rPr>
                <w:noProof/>
                <w:webHidden/>
              </w:rPr>
              <w:fldChar w:fldCharType="begin"/>
            </w:r>
            <w:r w:rsidR="009B62D7">
              <w:rPr>
                <w:noProof/>
                <w:webHidden/>
              </w:rPr>
              <w:instrText xml:space="preserve"> PAGEREF _Toc140866852 \h </w:instrText>
            </w:r>
            <w:r w:rsidR="009B62D7">
              <w:rPr>
                <w:noProof/>
                <w:webHidden/>
              </w:rPr>
            </w:r>
            <w:r w:rsidR="009B62D7">
              <w:rPr>
                <w:noProof/>
                <w:webHidden/>
              </w:rPr>
              <w:fldChar w:fldCharType="separate"/>
            </w:r>
            <w:r w:rsidR="009B62D7">
              <w:rPr>
                <w:noProof/>
                <w:webHidden/>
              </w:rPr>
              <w:t>4</w:t>
            </w:r>
            <w:r w:rsidR="009B62D7">
              <w:rPr>
                <w:noProof/>
                <w:webHidden/>
              </w:rPr>
              <w:fldChar w:fldCharType="end"/>
            </w:r>
          </w:hyperlink>
        </w:p>
        <w:p w14:paraId="144BAD4D" w14:textId="77777777" w:rsidR="007D6608" w:rsidRDefault="00000000">
          <w:pPr>
            <w:pStyle w:val="TOC1"/>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40866853" w:history="1">
            <w:r w:rsidR="009B62D7" w:rsidRPr="000609E1">
              <w:rPr>
                <w:rStyle w:val="Hyperlink"/>
                <w:noProof/>
              </w:rPr>
              <w:t>Comparison of the two systems</w:t>
            </w:r>
            <w:r w:rsidR="009B62D7">
              <w:rPr>
                <w:noProof/>
                <w:webHidden/>
              </w:rPr>
              <w:tab/>
            </w:r>
            <w:r w:rsidR="009B62D7">
              <w:rPr>
                <w:noProof/>
                <w:webHidden/>
              </w:rPr>
              <w:fldChar w:fldCharType="begin"/>
            </w:r>
            <w:r w:rsidR="009B62D7">
              <w:rPr>
                <w:noProof/>
                <w:webHidden/>
              </w:rPr>
              <w:instrText xml:space="preserve"> PAGEREF _Toc140866853 \h </w:instrText>
            </w:r>
            <w:r w:rsidR="009B62D7">
              <w:rPr>
                <w:noProof/>
                <w:webHidden/>
              </w:rPr>
            </w:r>
            <w:r w:rsidR="009B62D7">
              <w:rPr>
                <w:noProof/>
                <w:webHidden/>
              </w:rPr>
              <w:fldChar w:fldCharType="separate"/>
            </w:r>
            <w:r w:rsidR="009B62D7">
              <w:rPr>
                <w:noProof/>
                <w:webHidden/>
              </w:rPr>
              <w:t>4</w:t>
            </w:r>
            <w:r w:rsidR="009B62D7">
              <w:rPr>
                <w:noProof/>
                <w:webHidden/>
              </w:rPr>
              <w:fldChar w:fldCharType="end"/>
            </w:r>
          </w:hyperlink>
        </w:p>
        <w:p w14:paraId="36440D15" w14:textId="77777777" w:rsidR="007D6608" w:rsidRDefault="00000000">
          <w:pPr>
            <w:pStyle w:val="TOC1"/>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40866854" w:history="1">
            <w:r w:rsidR="009B62D7" w:rsidRPr="000609E1">
              <w:rPr>
                <w:rStyle w:val="Hyperlink"/>
                <w:noProof/>
              </w:rPr>
              <w:t>History of Common Law</w:t>
            </w:r>
            <w:r w:rsidR="009B62D7">
              <w:rPr>
                <w:noProof/>
                <w:webHidden/>
              </w:rPr>
              <w:tab/>
            </w:r>
            <w:r w:rsidR="009B62D7">
              <w:rPr>
                <w:noProof/>
                <w:webHidden/>
              </w:rPr>
              <w:fldChar w:fldCharType="begin"/>
            </w:r>
            <w:r w:rsidR="009B62D7">
              <w:rPr>
                <w:noProof/>
                <w:webHidden/>
              </w:rPr>
              <w:instrText xml:space="preserve"> PAGEREF _Toc140866854 \h </w:instrText>
            </w:r>
            <w:r w:rsidR="009B62D7">
              <w:rPr>
                <w:noProof/>
                <w:webHidden/>
              </w:rPr>
            </w:r>
            <w:r w:rsidR="009B62D7">
              <w:rPr>
                <w:noProof/>
                <w:webHidden/>
              </w:rPr>
              <w:fldChar w:fldCharType="separate"/>
            </w:r>
            <w:r w:rsidR="009B62D7">
              <w:rPr>
                <w:noProof/>
                <w:webHidden/>
              </w:rPr>
              <w:t>5</w:t>
            </w:r>
            <w:r w:rsidR="009B62D7">
              <w:rPr>
                <w:noProof/>
                <w:webHidden/>
              </w:rPr>
              <w:fldChar w:fldCharType="end"/>
            </w:r>
          </w:hyperlink>
        </w:p>
        <w:p w14:paraId="6BB6BB9D" w14:textId="77777777" w:rsidR="007D6608" w:rsidRDefault="00000000">
          <w:pPr>
            <w:pStyle w:val="TOC1"/>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40866855" w:history="1">
            <w:r w:rsidR="009B62D7" w:rsidRPr="000609E1">
              <w:rPr>
                <w:rStyle w:val="Hyperlink"/>
                <w:noProof/>
              </w:rPr>
              <w:t>Example of common law working in practice</w:t>
            </w:r>
            <w:r w:rsidR="009B62D7">
              <w:rPr>
                <w:noProof/>
                <w:webHidden/>
              </w:rPr>
              <w:tab/>
            </w:r>
            <w:r w:rsidR="009B62D7">
              <w:rPr>
                <w:noProof/>
                <w:webHidden/>
              </w:rPr>
              <w:fldChar w:fldCharType="begin"/>
            </w:r>
            <w:r w:rsidR="009B62D7">
              <w:rPr>
                <w:noProof/>
                <w:webHidden/>
              </w:rPr>
              <w:instrText xml:space="preserve"> PAGEREF _Toc140866855 \h </w:instrText>
            </w:r>
            <w:r w:rsidR="009B62D7">
              <w:rPr>
                <w:noProof/>
                <w:webHidden/>
              </w:rPr>
            </w:r>
            <w:r w:rsidR="009B62D7">
              <w:rPr>
                <w:noProof/>
                <w:webHidden/>
              </w:rPr>
              <w:fldChar w:fldCharType="separate"/>
            </w:r>
            <w:r w:rsidR="009B62D7">
              <w:rPr>
                <w:noProof/>
                <w:webHidden/>
              </w:rPr>
              <w:t>6</w:t>
            </w:r>
            <w:r w:rsidR="009B62D7">
              <w:rPr>
                <w:noProof/>
                <w:webHidden/>
              </w:rPr>
              <w:fldChar w:fldCharType="end"/>
            </w:r>
          </w:hyperlink>
        </w:p>
        <w:p w14:paraId="5C485FD5" w14:textId="77777777" w:rsidR="007D6608" w:rsidRDefault="00000000">
          <w:pPr>
            <w:pStyle w:val="TOC1"/>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40866856" w:history="1">
            <w:r w:rsidR="009B62D7" w:rsidRPr="000609E1">
              <w:rPr>
                <w:rStyle w:val="Hyperlink"/>
                <w:noProof/>
              </w:rPr>
              <w:t>Conclusion</w:t>
            </w:r>
            <w:r w:rsidR="009B62D7">
              <w:rPr>
                <w:noProof/>
                <w:webHidden/>
              </w:rPr>
              <w:tab/>
            </w:r>
            <w:r w:rsidR="009B62D7">
              <w:rPr>
                <w:noProof/>
                <w:webHidden/>
              </w:rPr>
              <w:fldChar w:fldCharType="begin"/>
            </w:r>
            <w:r w:rsidR="009B62D7">
              <w:rPr>
                <w:noProof/>
                <w:webHidden/>
              </w:rPr>
              <w:instrText xml:space="preserve"> PAGEREF _Toc140866856 \h </w:instrText>
            </w:r>
            <w:r w:rsidR="009B62D7">
              <w:rPr>
                <w:noProof/>
                <w:webHidden/>
              </w:rPr>
            </w:r>
            <w:r w:rsidR="009B62D7">
              <w:rPr>
                <w:noProof/>
                <w:webHidden/>
              </w:rPr>
              <w:fldChar w:fldCharType="separate"/>
            </w:r>
            <w:r w:rsidR="009B62D7">
              <w:rPr>
                <w:noProof/>
                <w:webHidden/>
              </w:rPr>
              <w:t>7</w:t>
            </w:r>
            <w:r w:rsidR="009B62D7">
              <w:rPr>
                <w:noProof/>
                <w:webHidden/>
              </w:rPr>
              <w:fldChar w:fldCharType="end"/>
            </w:r>
          </w:hyperlink>
        </w:p>
        <w:p w14:paraId="5F915A80" w14:textId="77777777" w:rsidR="007D6608" w:rsidRDefault="00000000">
          <w:pPr>
            <w:pStyle w:val="TOC1"/>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40866857" w:history="1">
            <w:r w:rsidR="009B62D7" w:rsidRPr="000609E1">
              <w:rPr>
                <w:rStyle w:val="Hyperlink"/>
                <w:noProof/>
              </w:rPr>
              <w:t>Reference</w:t>
            </w:r>
            <w:r w:rsidR="009B62D7">
              <w:rPr>
                <w:noProof/>
                <w:webHidden/>
              </w:rPr>
              <w:tab/>
            </w:r>
            <w:r w:rsidR="009B62D7">
              <w:rPr>
                <w:noProof/>
                <w:webHidden/>
              </w:rPr>
              <w:fldChar w:fldCharType="begin"/>
            </w:r>
            <w:r w:rsidR="009B62D7">
              <w:rPr>
                <w:noProof/>
                <w:webHidden/>
              </w:rPr>
              <w:instrText xml:space="preserve"> PAGEREF _Toc140866857 \h </w:instrText>
            </w:r>
            <w:r w:rsidR="009B62D7">
              <w:rPr>
                <w:noProof/>
                <w:webHidden/>
              </w:rPr>
            </w:r>
            <w:r w:rsidR="009B62D7">
              <w:rPr>
                <w:noProof/>
                <w:webHidden/>
              </w:rPr>
              <w:fldChar w:fldCharType="separate"/>
            </w:r>
            <w:r w:rsidR="009B62D7">
              <w:rPr>
                <w:noProof/>
                <w:webHidden/>
              </w:rPr>
              <w:t>8</w:t>
            </w:r>
            <w:r w:rsidR="009B62D7">
              <w:rPr>
                <w:noProof/>
                <w:webHidden/>
              </w:rPr>
              <w:fldChar w:fldCharType="end"/>
            </w:r>
          </w:hyperlink>
        </w:p>
        <w:p w14:paraId="6649BE75" w14:textId="77777777" w:rsidR="00DE4458" w:rsidRDefault="009B62D7">
          <w:pPr>
            <w:widowControl w:val="0"/>
            <w:tabs>
              <w:tab w:val="right" w:leader="dot" w:pos="12000"/>
            </w:tabs>
            <w:spacing w:before="60" w:after="0"/>
            <w:jc w:val="left"/>
            <w:rPr>
              <w:b/>
              <w:color w:val="000000"/>
            </w:rPr>
          </w:pPr>
          <w:r>
            <w:fldChar w:fldCharType="end"/>
          </w:r>
        </w:p>
      </w:sdtContent>
    </w:sdt>
    <w:p w14:paraId="361C862A" w14:textId="77777777" w:rsidR="00DE4458" w:rsidRDefault="009B62D7">
      <w:pPr>
        <w:spacing w:line="276" w:lineRule="auto"/>
        <w:jc w:val="left"/>
        <w:rPr>
          <w:b/>
          <w:sz w:val="28"/>
          <w:szCs w:val="28"/>
        </w:rPr>
      </w:pPr>
      <w:r>
        <w:br w:type="page"/>
      </w:r>
    </w:p>
    <w:p w14:paraId="7F53D62A" w14:textId="77777777" w:rsidR="00DE4458" w:rsidRDefault="009B62D7">
      <w:pPr>
        <w:pStyle w:val="Heading1"/>
      </w:pPr>
      <w:bookmarkStart w:id="1" w:name="_Toc140866850"/>
      <w:r>
        <w:lastRenderedPageBreak/>
        <w:t>Introduction</w:t>
      </w:r>
      <w:bookmarkEnd w:id="1"/>
      <w:r>
        <w:t xml:space="preserve"> </w:t>
      </w:r>
    </w:p>
    <w:p w14:paraId="4E4C1273" w14:textId="77777777" w:rsidR="00DE4458" w:rsidRDefault="009B62D7">
      <w:r>
        <w:t xml:space="preserve">Common law and civil law are both practised in the prejudice of the governing body of the country under the scrutinization of legislation of the parliament. The assignment aims to focus on the practices and demonstration of common law and civil law in the UK. The current assignment will also focus on the comparison of two systems and how it has been impacting legislation operations in the UK. Examples of common law will also be discussed to provide clarification upon the requirement of the law and what societal categories rest under this particular section in the legislation of the UK. </w:t>
      </w:r>
    </w:p>
    <w:p w14:paraId="576CB618" w14:textId="77777777" w:rsidR="00DE4458" w:rsidRDefault="009B62D7">
      <w:pPr>
        <w:pStyle w:val="Heading1"/>
        <w:spacing w:before="0"/>
      </w:pPr>
      <w:bookmarkStart w:id="2" w:name="_Toc140866851"/>
      <w:r>
        <w:t>Common Law</w:t>
      </w:r>
      <w:bookmarkEnd w:id="2"/>
      <w:r>
        <w:t xml:space="preserve"> </w:t>
      </w:r>
    </w:p>
    <w:p w14:paraId="00929B47" w14:textId="77777777" w:rsidR="00DE4458" w:rsidRDefault="009B62D7">
      <w:r>
        <w:t>Any principles which control how people behave together in civilized society are known as statutes. Administrative regulations have been chosen as well as announced for humans and yet are subject to more operator interaction, in contrast to natural principles, which are still derived from a direct investigation of the real world and yet are unchangeable (although in our understanding might improve). Everything remains good independent of the legislation's intellectual, geopolitical, and even religious rationale (</w:t>
      </w:r>
      <w:r>
        <w:rPr>
          <w:color w:val="222222"/>
          <w:highlight w:val="white"/>
        </w:rPr>
        <w:t>Knutsson and Tompson, 2017)</w:t>
      </w:r>
      <w:r>
        <w:t xml:space="preserve">. In the legal arena, common law refers to the collection of practice established through judicial and other developed bodies which is frequently referred to as legal decisions, judgment legislation, or jurisprudence. Common law is distinguished by the fact that something develops via custom. Courts of common law use previous rulings effectively summarize the constitutional tenets underlying earlier instances. Most legal systems institutions include founded on the idea of judicial precedent, which states the judgments should have been handled using continuous, fundamental guidelines as then comparable circumstances will produce consistent results. In general, a court must accept the justification presented inside a previous ruling whether it determines that somehow a disagreement identical to that in hand has been satisfactorily settled. </w:t>
      </w:r>
      <w:r w:rsidRPr="00782856">
        <w:t>Nonetheless, if a judge decides that the current debate essentially differs on all prior decisions because legal requirements have been either unclear or otherwise unclear mostly on topic, judges have always had the jurisdiction and responsibility to decide the complaint. Any common law juror's rulings are based on previous rulings which serve established tradition and therefore are binding to both defendants as well as authorities throughout the future.</w:t>
      </w:r>
    </w:p>
    <w:p w14:paraId="135B9D21" w14:textId="77777777" w:rsidR="00DE4458" w:rsidRDefault="009B62D7">
      <w:pPr>
        <w:pStyle w:val="Heading1"/>
        <w:spacing w:before="0"/>
      </w:pPr>
      <w:bookmarkStart w:id="3" w:name="_Toc140866852"/>
      <w:r>
        <w:lastRenderedPageBreak/>
        <w:t>Civil Law</w:t>
      </w:r>
      <w:bookmarkEnd w:id="3"/>
    </w:p>
    <w:p w14:paraId="3CA7C685" w14:textId="77777777" w:rsidR="00DE4458" w:rsidRPr="00782856" w:rsidRDefault="009B62D7">
      <w:pPr>
        <w:rPr>
          <w:rFonts w:ascii="Cambria" w:eastAsia="Cambria" w:hAnsi="Cambria" w:cs="Cambria"/>
          <w:color w:val="000000"/>
          <w:sz w:val="22"/>
          <w:szCs w:val="22"/>
        </w:rPr>
      </w:pPr>
      <w:r>
        <w:t xml:space="preserve">One significant legal discipline is statutory. This phrase relates to concerns legal </w:t>
      </w:r>
      <w:r w:rsidRPr="00782856">
        <w:t>system in traditional legal frameworks that include England, Wales, and the United States. The parliament of the UK Government has developed various civil laws by detecting the case scenarios within their country zones. It is applicable for developing the juridical systems regarding the UK population, which has been followed in various cases, like marriage, properties etc. Likewise, constitutional liability and civil law may very well be broken down between jurisdiction and subordinate legislation (</w:t>
      </w:r>
      <w:r w:rsidRPr="00782856">
        <w:rPr>
          <w:color w:val="222222"/>
        </w:rPr>
        <w:t xml:space="preserve">Salhi </w:t>
      </w:r>
      <w:r>
        <w:rPr>
          <w:i/>
          <w:color w:val="222222"/>
          <w:highlight w:val="white"/>
        </w:rPr>
        <w:t>et al</w:t>
      </w:r>
      <w:r>
        <w:rPr>
          <w:color w:val="222222"/>
          <w:highlight w:val="white"/>
        </w:rPr>
        <w:t>. 2020)</w:t>
      </w:r>
      <w:r>
        <w:t>. One major issue of civil law seems to be the freedoms and responsibilities of people (both legally and naturally organizations) towards one another. It is frequently asserted because affirmative defences can be utilized to gain reimbursement for suffering harm, and it can be contrasted with unlawful conduct, which seeks penalties. During court litigation, nevertheless, exceptional circumstances or aggravated penalties could well be given. Conventional inspectors used to be able to file a lawsuit seeking punishment. The term "civil proceedings" occasionally fails to refer to actions done in the court system since some jurisdictions each have jurisdiction over civil and criminal matters. "Civilian cases" seems to be a colloquial term describing "tribunals handling matters of the law" as in the United States (</w:t>
      </w:r>
      <w:r>
        <w:rPr>
          <w:color w:val="222222"/>
          <w:highlight w:val="white"/>
        </w:rPr>
        <w:t>Helleringer and Corradi, 2021)</w:t>
      </w:r>
      <w:r>
        <w:t xml:space="preserve">. There are some anomalies, including communication procedures involving official misconduct, and basic evidence required in legal actions throughout England or other widely accepted nations generally proved </w:t>
      </w:r>
      <w:r w:rsidRPr="00782856">
        <w:t xml:space="preserve">based on probability. This evidence obligation in civil actions under England and Wales obligates the complainant to substantially persuade the tribunal that the defendant is entitled to the remedy requested. On being qualified for reimbursement, one defendant should demonstrate every component of the complaint or course of matter to the present judge of the civil court. </w:t>
      </w:r>
    </w:p>
    <w:p w14:paraId="0B779EE5" w14:textId="77777777" w:rsidR="00DE4458" w:rsidRPr="00782856" w:rsidRDefault="009B62D7">
      <w:pPr>
        <w:pStyle w:val="Heading1"/>
        <w:spacing w:before="0"/>
      </w:pPr>
      <w:bookmarkStart w:id="4" w:name="_Toc140866853"/>
      <w:r w:rsidRPr="00782856">
        <w:t>Comparison of the two systems</w:t>
      </w:r>
      <w:bookmarkEnd w:id="4"/>
    </w:p>
    <w:p w14:paraId="07176666" w14:textId="77777777" w:rsidR="00DE4458" w:rsidRPr="00782856" w:rsidRDefault="009B62D7">
      <w:r w:rsidRPr="00782856">
        <w:t>Common law and civil law are indeed the two legal traditions that have come about</w:t>
      </w:r>
      <w:r>
        <w:t xml:space="preserve"> because of substantially different disciplines toward the legal system. As a consequence, laws and regulations are also the primary sources for legal knowledge, with jurisprudence functioning as either supplemental authority (theguardian.com, 2022). In contrast, the common law system provided little consideration for just a theoretical model as the legal system was already predominantly developed via legal </w:t>
      </w:r>
      <w:r>
        <w:lastRenderedPageBreak/>
        <w:t xml:space="preserve">cases. Legislation, an area defined considered that "nullify" meaning receive priority despite statutory law, might override and otherwise alter legal systems norms. Theft Acts 1968, 1978, and other legislation has supplanted previous punishments for manslaughter (rather than the crime directly), for illustration, which have been predicated somewhat on the old common law misdemeanour of stealing (iclr.co.uk, 2018). This same concept principle, the division of powers, essentially holds also that parliament's function should be to enact laws, although the judiciary's task will be to carry them out, which seems to be the basis for civil law. On the other hand, in common law, it is up to the </w:t>
      </w:r>
      <w:r w:rsidRPr="00782856">
        <w:t xml:space="preserve">courts to make the laws. Civil law is based on protocols that connect clustering the process theories and regulations, starting with basic tenets and moving forward with specific regulations. In contrast, a common law </w:t>
      </w:r>
      <w:r w:rsidRPr="00782856">
        <w:rPr>
          <w:color w:val="202124"/>
        </w:rPr>
        <w:t xml:space="preserve">solicitor </w:t>
      </w:r>
      <w:r w:rsidRPr="00782856">
        <w:t>starts only with details of the instance as well as evaluates them against similar or related legal matters those justices have addressed in previous rulings. Nonetheless, a murder conviction would indeed be adjudicated in what seems like a prosecution, which might be the Crown Court, as opposed to a federal lawsuit throughout the classic sense, which could be the Chancery Division of the High Court.</w:t>
      </w:r>
    </w:p>
    <w:p w14:paraId="27C01B2B" w14:textId="77777777" w:rsidR="00DE4458" w:rsidRPr="00782856" w:rsidRDefault="009B62D7">
      <w:pPr>
        <w:pStyle w:val="Heading1"/>
        <w:spacing w:before="0"/>
      </w:pPr>
      <w:bookmarkStart w:id="5" w:name="_Toc140866854"/>
      <w:r w:rsidRPr="00782856">
        <w:t>History of Common Law</w:t>
      </w:r>
      <w:bookmarkEnd w:id="5"/>
    </w:p>
    <w:p w14:paraId="0FDEF85F" w14:textId="77777777" w:rsidR="00DE4458" w:rsidRPr="00782856" w:rsidRDefault="009B62D7">
      <w:pPr>
        <w:rPr>
          <w:rFonts w:ascii="Cambria" w:eastAsia="Cambria" w:hAnsi="Cambria" w:cs="Cambria"/>
          <w:color w:val="000000"/>
          <w:sz w:val="22"/>
          <w:szCs w:val="22"/>
        </w:rPr>
      </w:pPr>
      <w:r w:rsidRPr="00782856">
        <w:t>The common law evolved inside this customs of the English kings' courtroom throughout the decades after Norman Conquest throughout 1066, earning its moniker due to it being "common" for the entire king's tribunals throughout England. Most of England's solicitors were conducted in the numbers of the Home Counties' traditional folk tribunals before the Norman Invasion. There were several additional independent justices distributed throughout the nation: urban municipalities, commerc</w:t>
      </w:r>
      <w:r>
        <w:t xml:space="preserve">ial </w:t>
      </w:r>
      <w:r w:rsidRPr="00782856">
        <w:t>marketplaces, and institutions of Oxford and Cambridge, big landowners, but others conducted independent monarchial and seigniorial councils when necessary (</w:t>
      </w:r>
      <w:r w:rsidRPr="00782856">
        <w:rPr>
          <w:color w:val="222222"/>
        </w:rPr>
        <w:t>O’Hagan, 2019)</w:t>
      </w:r>
      <w:r w:rsidRPr="00782856">
        <w:t>. It remains up for debate to what extent Norman common law borrowed upon older Anglo-Saxon customs like the council, travails, severe punishment for social ostracization, and petitions. Every one of these concepts became part of Norman English</w:t>
      </w:r>
      <w:r>
        <w:t xml:space="preserve"> courts. In consequence, the Catholic Church established a legal system that decided scriptural interpretation disputes. The Year Books and Plea Rolls are also important resources for the formation of common law throughout the Middle Ages. All primary case files for both the Courts of Common Pleas and King's Bench were originally called plea rolls, and they had been written in </w:t>
      </w:r>
      <w:r w:rsidRPr="00782856">
        <w:lastRenderedPageBreak/>
        <w:t>Latin (</w:t>
      </w:r>
      <w:r w:rsidRPr="00782856">
        <w:rPr>
          <w:color w:val="222222"/>
        </w:rPr>
        <w:t>O’Hagan, 2019)</w:t>
      </w:r>
      <w:r w:rsidRPr="00782856">
        <w:t>. The papers were usually divided into the bunch that corresponded to the seasons: wintertime, springtime, summertime, then fall, or Hilary, Easter, Trinity, and Michaela's. These would be presently housed there at UK National Archives, and with their approval, the University O'Quinn Law Library of the University Of Houston Law Center has made available electronic photographs of both the records for such Courts of Common Pleas, King's Bench, and Exchequer of Pleas from the 13th to the 17th centuries.</w:t>
      </w:r>
    </w:p>
    <w:p w14:paraId="77EB0D61" w14:textId="77777777" w:rsidR="00DE4458" w:rsidRPr="00782856" w:rsidRDefault="009B62D7">
      <w:pPr>
        <w:pStyle w:val="Heading1"/>
        <w:spacing w:before="0"/>
      </w:pPr>
      <w:bookmarkStart w:id="6" w:name="_Toc140866855"/>
      <w:r w:rsidRPr="00782856">
        <w:t>Example of common law working in practice</w:t>
      </w:r>
      <w:bookmarkEnd w:id="6"/>
      <w:r w:rsidRPr="00782856">
        <w:t xml:space="preserve"> </w:t>
      </w:r>
    </w:p>
    <w:p w14:paraId="0F6D3D46" w14:textId="77777777" w:rsidR="00DE4458" w:rsidRPr="00782856" w:rsidRDefault="009B62D7">
      <w:r w:rsidRPr="00782856">
        <w:t>Every region of Britain's political order is particularly intricate yet nuanced, which provides a warning of an increasingly widespread tendency. The UK's judicial framework seems unique that it contains key components that determine national orientation toward resolving disputes, how it employs government authority, and thus the structure of its legislature, and these elements, similar to other systems, are still a result of the national history, geography, and civilization. Those elements of said UK legal system which has been identified—common legal heritage, European emergence, and worldwide dependence—reflect the importance of experience as well as locality. In the present era, its major responsibility in legal training has been taken up by academics. This has emulated much majority of European nations by recognizing postgraduate studies as either a topic involving philosophical and speculative inquiry appropriate to bachelor studies. English higher profession changed to resemble "the more legal background there at neither usual European (sic) nor South American institution instead of major American public universities." Procedural competence is usually provided within a distinct yet another vocational course that is accredited through professional organizations, academic institutions, through commercial. Yet evolution is an ongoing phenomenon because having a particular characteristic are entered the political establishment recently. Another institution offers combined training academic degrees only with specialized occupational levels. Scholarships from independent institutions are now permitted. All disciplines have been looking for some more changes, methods to increase employee knowledge, and transportation modes for legal training (LEIDER, 2021). The common law includes both procedural like cour procedure rules and substantiative law like murder offences derived from courts' inherent jurisdiction practice (</w:t>
      </w:r>
      <w:r w:rsidRPr="00782856">
        <w:rPr>
          <w:color w:val="222222"/>
        </w:rPr>
        <w:t xml:space="preserve">Salhi, </w:t>
      </w:r>
      <w:r w:rsidRPr="00782856">
        <w:rPr>
          <w:i/>
          <w:color w:val="222222"/>
        </w:rPr>
        <w:t>et al.</w:t>
      </w:r>
      <w:r w:rsidRPr="00782856">
        <w:rPr>
          <w:color w:val="222222"/>
        </w:rPr>
        <w:t xml:space="preserve"> 2020</w:t>
      </w:r>
      <w:r w:rsidRPr="00782856">
        <w:t xml:space="preserve">). In the UK Wales </w:t>
      </w:r>
      <w:r w:rsidRPr="00782856">
        <w:lastRenderedPageBreak/>
        <w:t xml:space="preserve">and England operates a common law system that combines passing legislation and precedents creation through UK’s case law. </w:t>
      </w:r>
    </w:p>
    <w:p w14:paraId="6CD463CB" w14:textId="77777777" w:rsidR="00DE4458" w:rsidRPr="00782856" w:rsidRDefault="009B62D7">
      <w:pPr>
        <w:pStyle w:val="Heading1"/>
      </w:pPr>
      <w:bookmarkStart w:id="7" w:name="_Toc140866856"/>
      <w:r w:rsidRPr="00782856">
        <w:t>Conclusion</w:t>
      </w:r>
      <w:bookmarkEnd w:id="7"/>
      <w:r w:rsidRPr="00782856">
        <w:t xml:space="preserve"> </w:t>
      </w:r>
    </w:p>
    <w:p w14:paraId="2B0559E2" w14:textId="77777777" w:rsidR="00DE4458" w:rsidRDefault="009B62D7">
      <w:r w:rsidRPr="00782856">
        <w:t>This simple invitation must list then rank the "greatest essential" features of somebody's home judicial framework revealing a significant barrier. This assumption also that mechanisms that ideals underlying various cultures' interactions only with the court can be explained by the concept of a court system constituting the core of search. T cackled the problem as one of articulating how the legislation functions in another's civilization using traits that become relatively prevalent and yet only favoured as "legally" to be assigned a specific label. The English narrative, just like every other one, is best interpreted in the framework of a globalized world and with consideration to its global placement both chronologically and geographically.</w:t>
      </w:r>
    </w:p>
    <w:p w14:paraId="075605C0" w14:textId="77777777" w:rsidR="00DE4458" w:rsidRDefault="00DE4458">
      <w:pPr>
        <w:pBdr>
          <w:top w:val="nil"/>
          <w:left w:val="nil"/>
          <w:bottom w:val="nil"/>
          <w:right w:val="nil"/>
          <w:between w:val="nil"/>
        </w:pBdr>
        <w:spacing w:line="276" w:lineRule="auto"/>
        <w:jc w:val="left"/>
        <w:rPr>
          <w:rFonts w:ascii="Cambria" w:eastAsia="Cambria" w:hAnsi="Cambria" w:cs="Cambria"/>
          <w:color w:val="000000"/>
          <w:sz w:val="22"/>
          <w:szCs w:val="22"/>
        </w:rPr>
      </w:pPr>
    </w:p>
    <w:p w14:paraId="0A2757A4" w14:textId="77777777" w:rsidR="00DE4458" w:rsidRDefault="009B62D7">
      <w:pPr>
        <w:spacing w:line="276" w:lineRule="auto"/>
        <w:jc w:val="left"/>
        <w:rPr>
          <w:b/>
          <w:sz w:val="28"/>
          <w:szCs w:val="28"/>
        </w:rPr>
      </w:pPr>
      <w:bookmarkStart w:id="8" w:name="_heading=h.2s8eyo1" w:colFirst="0" w:colLast="0"/>
      <w:bookmarkEnd w:id="8"/>
      <w:r>
        <w:br w:type="page"/>
      </w:r>
    </w:p>
    <w:p w14:paraId="2259ED98" w14:textId="77777777" w:rsidR="00DE4458" w:rsidRPr="00782856" w:rsidRDefault="009B62D7">
      <w:pPr>
        <w:pStyle w:val="Heading1"/>
      </w:pPr>
      <w:bookmarkStart w:id="9" w:name="_Toc140866857"/>
      <w:r w:rsidRPr="00782856">
        <w:lastRenderedPageBreak/>
        <w:t>Reference</w:t>
      </w:r>
      <w:bookmarkEnd w:id="9"/>
      <w:r w:rsidRPr="00782856">
        <w:t xml:space="preserve"> </w:t>
      </w:r>
    </w:p>
    <w:p w14:paraId="6EFCB0D7" w14:textId="77777777" w:rsidR="00DE4458" w:rsidRPr="00782856" w:rsidRDefault="009B62D7">
      <w:pPr>
        <w:rPr>
          <w:color w:val="000000"/>
        </w:rPr>
      </w:pPr>
      <w:r w:rsidRPr="00782856">
        <w:rPr>
          <w:color w:val="222222"/>
        </w:rPr>
        <w:t xml:space="preserve">Salhi, B., Riguen, R., Kachouri, M. and Jarboui, A., 2020. The mediating role of corporate social responsibility on the relationship between governance and tax avoidance: UK common law versus French civil law. </w:t>
      </w:r>
      <w:r w:rsidRPr="00782856">
        <w:rPr>
          <w:i/>
          <w:color w:val="222222"/>
        </w:rPr>
        <w:t>Social Responsibility Journal</w:t>
      </w:r>
      <w:r w:rsidRPr="00782856">
        <w:rPr>
          <w:color w:val="222222"/>
        </w:rPr>
        <w:t xml:space="preserve">, </w:t>
      </w:r>
      <w:r w:rsidRPr="00782856">
        <w:rPr>
          <w:i/>
          <w:color w:val="222222"/>
        </w:rPr>
        <w:t>16</w:t>
      </w:r>
      <w:r w:rsidRPr="00782856">
        <w:rPr>
          <w:color w:val="222222"/>
        </w:rPr>
        <w:t xml:space="preserve">(8), pp.1149-1168. Available at: </w:t>
      </w:r>
      <w:hyperlink r:id="rId8">
        <w:r w:rsidRPr="00782856">
          <w:rPr>
            <w:color w:val="1155CC"/>
            <w:u w:val="single"/>
          </w:rPr>
          <w:t>https://doi.org/10.1108/SRJ-04-2019-0125</w:t>
        </w:r>
      </w:hyperlink>
      <w:r w:rsidRPr="00782856">
        <w:t xml:space="preserve"> (Accessed: 21 July 2023)</w:t>
      </w:r>
    </w:p>
    <w:p w14:paraId="6F191307" w14:textId="77777777" w:rsidR="00DE4458" w:rsidRPr="00782856" w:rsidRDefault="009B62D7">
      <w:r w:rsidRPr="00782856">
        <w:t>Helleringer, G. and Corradi, M.C., 2021. Self-Dealing, Corporate Opportunities and the Duty of Loyalty-a US, UK and EU Comparative Perspective. </w:t>
      </w:r>
      <w:r w:rsidRPr="00782856">
        <w:rPr>
          <w:i/>
        </w:rPr>
        <w:t>European Corporate Governance Institute-Law Working Paper</w:t>
      </w:r>
      <w:r w:rsidRPr="00782856">
        <w:t xml:space="preserve">, (582). Available at: </w:t>
      </w:r>
      <w:hyperlink r:id="rId9">
        <w:r w:rsidRPr="00782856">
          <w:rPr>
            <w:color w:val="0000FF"/>
            <w:u w:val="single"/>
          </w:rPr>
          <w:t>https://dx.doi.org/10.2139/ssrn.3825745</w:t>
        </w:r>
      </w:hyperlink>
      <w:r w:rsidRPr="00782856">
        <w:t xml:space="preserve"> (Accessed: February 24, 2023).</w:t>
      </w:r>
    </w:p>
    <w:p w14:paraId="2FFBD52D" w14:textId="77777777" w:rsidR="00DE4458" w:rsidRDefault="009B62D7">
      <w:r w:rsidRPr="00782856">
        <w:t xml:space="preserve">Iclr.co.uk (2018) </w:t>
      </w:r>
      <w:r w:rsidRPr="00782856">
        <w:rPr>
          <w:i/>
        </w:rPr>
        <w:t>The English legal system</w:t>
      </w:r>
      <w:r w:rsidRPr="00782856">
        <w:t xml:space="preserve">, </w:t>
      </w:r>
      <w:r w:rsidRPr="00782856">
        <w:rPr>
          <w:i/>
        </w:rPr>
        <w:t>ICLR</w:t>
      </w:r>
      <w:r w:rsidRPr="00782856">
        <w:t xml:space="preserve">. Available at: </w:t>
      </w:r>
      <w:hyperlink r:id="rId10" w:anchor=":~:text=The%20common%20law%20is%20the,equally%20across%20the%20whole%20country">
        <w:r w:rsidRPr="00782856">
          <w:rPr>
            <w:color w:val="0000FF"/>
            <w:u w:val="single"/>
          </w:rPr>
          <w:t>https://www.iclr.co.uk/knowledge/topics/the-english-legal-system/#:~:text=The%20common%20law%20is%20the,equally%20across%20the%20whole%20country</w:t>
        </w:r>
      </w:hyperlink>
      <w:r w:rsidRPr="00782856">
        <w:t>. (Accessed: February 24, 2023).</w:t>
      </w:r>
      <w:r>
        <w:t xml:space="preserve"> </w:t>
      </w:r>
    </w:p>
    <w:p w14:paraId="6B2DECE5" w14:textId="77777777" w:rsidR="00DE4458" w:rsidRPr="00782856" w:rsidRDefault="009B62D7">
      <w:r>
        <w:rPr>
          <w:highlight w:val="white"/>
        </w:rPr>
        <w:t>Knutsson, J. and Tompson, L. eds., 2017. </w:t>
      </w:r>
      <w:r>
        <w:rPr>
          <w:i/>
          <w:highlight w:val="white"/>
        </w:rPr>
        <w:t>Advances in evidence-based policing</w:t>
      </w:r>
      <w:r>
        <w:rPr>
          <w:highlight w:val="white"/>
        </w:rPr>
        <w:t xml:space="preserve"> (pp. 1-231). Abingdon: Routledge. </w:t>
      </w:r>
      <w:r>
        <w:t xml:space="preserve">Available at: </w:t>
      </w:r>
      <w:hyperlink r:id="rId11">
        <w:r>
          <w:rPr>
            <w:color w:val="0000FF"/>
            <w:highlight w:val="white"/>
            <w:u w:val="single"/>
          </w:rPr>
          <w:t>https://doi.org/10.4324/9781315518299</w:t>
        </w:r>
      </w:hyperlink>
      <w:r>
        <w:rPr>
          <w:highlight w:val="white"/>
        </w:rPr>
        <w:t xml:space="preserve"> </w:t>
      </w:r>
      <w:r w:rsidRPr="00782856">
        <w:t>(Accessed: February 24, 2023).</w:t>
      </w:r>
    </w:p>
    <w:p w14:paraId="5BE60D51" w14:textId="77777777" w:rsidR="00DE4458" w:rsidRPr="00782856" w:rsidRDefault="009B62D7">
      <w:r w:rsidRPr="00782856">
        <w:t xml:space="preserve">LEIDER, R. 2021. THE MODERN COMMON LAW OF CRIME. </w:t>
      </w:r>
      <w:r w:rsidRPr="00782856">
        <w:rPr>
          <w:i/>
        </w:rPr>
        <w:t>The Journal of Criminal Law and Criminology (1973-)</w:t>
      </w:r>
      <w:r w:rsidRPr="00782856">
        <w:t xml:space="preserve">, </w:t>
      </w:r>
      <w:r w:rsidRPr="00782856">
        <w:rPr>
          <w:i/>
        </w:rPr>
        <w:t>111</w:t>
      </w:r>
      <w:r w:rsidRPr="00782856">
        <w:t xml:space="preserve">(2), 407-499. Available at: </w:t>
      </w:r>
      <w:hyperlink r:id="rId12">
        <w:r w:rsidRPr="00782856">
          <w:rPr>
            <w:color w:val="0000FF"/>
            <w:u w:val="single"/>
          </w:rPr>
          <w:t>https://doi.org/10.2307/48614944</w:t>
        </w:r>
      </w:hyperlink>
      <w:r w:rsidRPr="00782856">
        <w:t xml:space="preserve"> (Accessed: February 24, 2023).</w:t>
      </w:r>
    </w:p>
    <w:p w14:paraId="2399CDA5" w14:textId="77777777" w:rsidR="00DE4458" w:rsidRPr="00782856" w:rsidRDefault="009B62D7">
      <w:r w:rsidRPr="00782856">
        <w:rPr>
          <w:color w:val="222222"/>
        </w:rPr>
        <w:t xml:space="preserve">O’Hagan, A., 2019. Expert knowledge elicitation: subjective but scientific. </w:t>
      </w:r>
      <w:r w:rsidRPr="00782856">
        <w:rPr>
          <w:i/>
          <w:color w:val="222222"/>
        </w:rPr>
        <w:t>The American Statistician</w:t>
      </w:r>
      <w:r w:rsidRPr="00782856">
        <w:rPr>
          <w:color w:val="222222"/>
        </w:rPr>
        <w:t xml:space="preserve">, </w:t>
      </w:r>
      <w:r w:rsidRPr="00782856">
        <w:rPr>
          <w:i/>
          <w:color w:val="222222"/>
        </w:rPr>
        <w:t>73</w:t>
      </w:r>
      <w:r w:rsidRPr="00782856">
        <w:rPr>
          <w:color w:val="222222"/>
        </w:rPr>
        <w:t>(sup1), pp.69-81.</w:t>
      </w:r>
      <w:r w:rsidRPr="00782856">
        <w:t xml:space="preserve"> Available at: </w:t>
      </w:r>
      <w:hyperlink r:id="rId13">
        <w:r w:rsidRPr="00782856">
          <w:rPr>
            <w:color w:val="1155CC"/>
            <w:u w:val="single"/>
          </w:rPr>
          <w:t>https://www.tandfonline.com/action/showCitFormats?doi=10.1080/00031305.2018.1518265</w:t>
        </w:r>
      </w:hyperlink>
      <w:r w:rsidRPr="00782856">
        <w:t xml:space="preserve"> (Accessed: July 21, 2023).</w:t>
      </w:r>
    </w:p>
    <w:p w14:paraId="5E72F806" w14:textId="77777777" w:rsidR="00DE4458" w:rsidRDefault="009B62D7">
      <w:r w:rsidRPr="00782856">
        <w:t xml:space="preserve">Theguardian.com (2022) </w:t>
      </w:r>
      <w:r w:rsidRPr="00782856">
        <w:rPr>
          <w:i/>
        </w:rPr>
        <w:t>What is common law and why is it being misinterpreted?</w:t>
      </w:r>
      <w:r w:rsidRPr="00782856">
        <w:t xml:space="preserve"> </w:t>
      </w:r>
      <w:r w:rsidRPr="00782856">
        <w:rPr>
          <w:i/>
        </w:rPr>
        <w:t>The Guardian</w:t>
      </w:r>
      <w:r w:rsidRPr="00782856">
        <w:t xml:space="preserve">. Guardian News and Media. Available at: </w:t>
      </w:r>
      <w:hyperlink r:id="rId14">
        <w:r w:rsidRPr="00782856">
          <w:rPr>
            <w:color w:val="0000FF"/>
            <w:u w:val="single"/>
          </w:rPr>
          <w:t>https://www.theguardian.com/law/2022/feb/12/what-is-common-law-and-why-is-it-being-misinterpreted</w:t>
        </w:r>
      </w:hyperlink>
      <w:r w:rsidRPr="00782856">
        <w:t xml:space="preserve"> (Accessed: February 24, 2023).</w:t>
      </w:r>
      <w:r>
        <w:t xml:space="preserve"> </w:t>
      </w:r>
    </w:p>
    <w:sectPr w:rsidR="00DE4458">
      <w:footerReference w:type="default" r:id="rId15"/>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4EF365" w14:textId="77777777" w:rsidR="00947356" w:rsidRDefault="00947356">
      <w:pPr>
        <w:spacing w:after="0" w:line="240" w:lineRule="auto"/>
      </w:pPr>
      <w:r>
        <w:separator/>
      </w:r>
    </w:p>
  </w:endnote>
  <w:endnote w:type="continuationSeparator" w:id="0">
    <w:p w14:paraId="2AE65542" w14:textId="77777777" w:rsidR="00947356" w:rsidRDefault="009473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altName w:val="Arial"/>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93C760" w14:textId="77777777" w:rsidR="00DE4458" w:rsidRDefault="009B62D7">
    <w:pPr>
      <w:pBdr>
        <w:top w:val="nil"/>
        <w:left w:val="nil"/>
        <w:bottom w:val="nil"/>
        <w:right w:val="nil"/>
        <w:between w:val="nil"/>
      </w:pBdr>
      <w:tabs>
        <w:tab w:val="center" w:pos="4680"/>
        <w:tab w:val="right" w:pos="9360"/>
      </w:tabs>
      <w:spacing w:after="0" w:line="240" w:lineRule="auto"/>
      <w:jc w:val="right"/>
      <w:rPr>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sidR="007D6608">
      <w:rPr>
        <w:b/>
        <w:noProof/>
        <w:color w:val="000000"/>
      </w:rPr>
      <w:t>2</w:t>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sidR="007D6608">
      <w:rPr>
        <w:b/>
        <w:noProof/>
        <w:color w:val="000000"/>
      </w:rPr>
      <w:t>3</w:t>
    </w:r>
    <w:r>
      <w:rPr>
        <w:b/>
        <w:color w:val="000000"/>
      </w:rPr>
      <w:fldChar w:fldCharType="end"/>
    </w:r>
  </w:p>
  <w:p w14:paraId="3E5479ED" w14:textId="77777777" w:rsidR="00DE4458" w:rsidRDefault="00DE4458">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B12500" w14:textId="77777777" w:rsidR="00947356" w:rsidRDefault="00947356">
      <w:pPr>
        <w:spacing w:after="0" w:line="240" w:lineRule="auto"/>
      </w:pPr>
      <w:r>
        <w:separator/>
      </w:r>
    </w:p>
  </w:footnote>
  <w:footnote w:type="continuationSeparator" w:id="0">
    <w:p w14:paraId="3AC1AED0" w14:textId="77777777" w:rsidR="00947356" w:rsidRDefault="0094735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4458"/>
    <w:rsid w:val="000609E1"/>
    <w:rsid w:val="00782856"/>
    <w:rsid w:val="00783E8C"/>
    <w:rsid w:val="007D6608"/>
    <w:rsid w:val="00947356"/>
    <w:rsid w:val="009B62D7"/>
    <w:rsid w:val="00CF4521"/>
    <w:rsid w:val="00DE445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B6F035"/>
  <w15:docId w15:val="{9C5AC903-3E08-4E30-B497-734F3D613C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US"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23"/>
  </w:style>
  <w:style w:type="paragraph" w:styleId="Heading1">
    <w:name w:val="heading 1"/>
    <w:basedOn w:val="Normal"/>
    <w:next w:val="Normal"/>
    <w:link w:val="Heading1Char"/>
    <w:uiPriority w:val="9"/>
    <w:qFormat/>
    <w:rsid w:val="008B04AA"/>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semiHidden/>
    <w:unhideWhenUsed/>
    <w:qFormat/>
    <w:rsid w:val="008B04AA"/>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semiHidden/>
    <w:unhideWhenUsed/>
    <w:qFormat/>
    <w:rsid w:val="00390023"/>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390023"/>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390023"/>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390023"/>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390023"/>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390023"/>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390023"/>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9002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paragraph" w:customStyle="1" w:styleId="Normal1">
    <w:name w:val="Normal1"/>
    <w:rsid w:val="00273BBF"/>
  </w:style>
  <w:style w:type="paragraph" w:styleId="Subtitle">
    <w:name w:val="Subtitle"/>
    <w:basedOn w:val="Normal"/>
    <w:next w:val="Normal"/>
    <w:link w:val="SubtitleChar"/>
    <w:uiPriority w:val="11"/>
    <w:qFormat/>
    <w:rPr>
      <w:rFonts w:ascii="Calibri" w:eastAsia="Calibri" w:hAnsi="Calibri" w:cs="Calibri"/>
      <w:i/>
      <w:color w:val="4F81BD"/>
    </w:rPr>
  </w:style>
  <w:style w:type="character" w:styleId="Hyperlink">
    <w:name w:val="Hyperlink"/>
    <w:basedOn w:val="DefaultParagraphFont"/>
    <w:uiPriority w:val="99"/>
    <w:unhideWhenUsed/>
    <w:rsid w:val="00390023"/>
    <w:rPr>
      <w:color w:val="0000FF" w:themeColor="hyperlink"/>
      <w:u w:val="single"/>
    </w:rPr>
  </w:style>
  <w:style w:type="paragraph" w:styleId="NormalWeb">
    <w:name w:val="Normal (Web)"/>
    <w:basedOn w:val="Normal"/>
    <w:uiPriority w:val="99"/>
    <w:semiHidden/>
    <w:unhideWhenUsed/>
    <w:rsid w:val="00390023"/>
    <w:pPr>
      <w:spacing w:before="100" w:beforeAutospacing="1" w:after="100" w:afterAutospacing="1" w:line="240" w:lineRule="auto"/>
    </w:pPr>
    <w:rPr>
      <w:rFonts w:ascii="Times New Roman" w:eastAsia="Times New Roman" w:hAnsi="Times New Roman" w:cs="Times New Roman"/>
    </w:rPr>
  </w:style>
  <w:style w:type="character" w:customStyle="1" w:styleId="Heading1Char">
    <w:name w:val="Heading 1 Char"/>
    <w:basedOn w:val="DefaultParagraphFont"/>
    <w:link w:val="Heading1"/>
    <w:uiPriority w:val="9"/>
    <w:rsid w:val="008B04AA"/>
    <w:rPr>
      <w:rFonts w:ascii="Arial" w:eastAsiaTheme="majorEastAsia" w:hAnsi="Arial" w:cstheme="majorBidi"/>
      <w:b/>
      <w:bCs/>
      <w:sz w:val="28"/>
      <w:szCs w:val="28"/>
    </w:rPr>
  </w:style>
  <w:style w:type="character" w:customStyle="1" w:styleId="Heading2Char">
    <w:name w:val="Heading 2 Char"/>
    <w:basedOn w:val="DefaultParagraphFont"/>
    <w:link w:val="Heading2"/>
    <w:uiPriority w:val="9"/>
    <w:rsid w:val="008B04AA"/>
    <w:rPr>
      <w:rFonts w:ascii="Arial" w:eastAsiaTheme="majorEastAsia" w:hAnsi="Arial" w:cstheme="majorBidi"/>
      <w:b/>
      <w:bCs/>
      <w:sz w:val="24"/>
      <w:szCs w:val="26"/>
    </w:rPr>
  </w:style>
  <w:style w:type="character" w:customStyle="1" w:styleId="Heading3Char">
    <w:name w:val="Heading 3 Char"/>
    <w:basedOn w:val="DefaultParagraphFont"/>
    <w:link w:val="Heading3"/>
    <w:uiPriority w:val="9"/>
    <w:rsid w:val="00390023"/>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390023"/>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390023"/>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390023"/>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rsid w:val="00390023"/>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sid w:val="00390023"/>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rsid w:val="00390023"/>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390023"/>
    <w:pPr>
      <w:spacing w:line="240" w:lineRule="auto"/>
    </w:pPr>
    <w:rPr>
      <w:b/>
      <w:bCs/>
      <w:color w:val="4F81BD" w:themeColor="accent1"/>
      <w:sz w:val="18"/>
      <w:szCs w:val="18"/>
    </w:rPr>
  </w:style>
  <w:style w:type="character" w:customStyle="1" w:styleId="TitleChar">
    <w:name w:val="Title Char"/>
    <w:basedOn w:val="DefaultParagraphFont"/>
    <w:link w:val="Title"/>
    <w:uiPriority w:val="10"/>
    <w:rsid w:val="00390023"/>
    <w:rPr>
      <w:rFonts w:asciiTheme="majorHAnsi" w:eastAsiaTheme="majorEastAsia" w:hAnsiTheme="majorHAnsi" w:cstheme="majorBidi"/>
      <w:color w:val="17365D" w:themeColor="text2" w:themeShade="BF"/>
      <w:spacing w:val="5"/>
      <w:kern w:val="28"/>
      <w:sz w:val="52"/>
      <w:szCs w:val="52"/>
    </w:rPr>
  </w:style>
  <w:style w:type="character" w:customStyle="1" w:styleId="SubtitleChar">
    <w:name w:val="Subtitle Char"/>
    <w:basedOn w:val="DefaultParagraphFont"/>
    <w:link w:val="Subtitle"/>
    <w:uiPriority w:val="11"/>
    <w:rsid w:val="00390023"/>
    <w:rPr>
      <w:rFonts w:asciiTheme="majorHAnsi" w:eastAsiaTheme="majorEastAsia" w:hAnsiTheme="majorHAnsi" w:cstheme="majorBidi"/>
      <w:i/>
      <w:iCs/>
      <w:color w:val="4F81BD" w:themeColor="accent1"/>
      <w:spacing w:val="15"/>
      <w:sz w:val="24"/>
      <w:szCs w:val="24"/>
    </w:rPr>
  </w:style>
  <w:style w:type="character" w:styleId="Strong">
    <w:name w:val="Strong"/>
    <w:basedOn w:val="DefaultParagraphFont"/>
    <w:uiPriority w:val="22"/>
    <w:qFormat/>
    <w:rsid w:val="00390023"/>
    <w:rPr>
      <w:b/>
      <w:bCs/>
    </w:rPr>
  </w:style>
  <w:style w:type="character" w:styleId="Emphasis">
    <w:name w:val="Emphasis"/>
    <w:basedOn w:val="DefaultParagraphFont"/>
    <w:uiPriority w:val="20"/>
    <w:qFormat/>
    <w:rsid w:val="00390023"/>
    <w:rPr>
      <w:i/>
      <w:iCs/>
    </w:rPr>
  </w:style>
  <w:style w:type="paragraph" w:styleId="NoSpacing">
    <w:name w:val="No Spacing"/>
    <w:uiPriority w:val="1"/>
    <w:qFormat/>
    <w:rsid w:val="00390023"/>
    <w:pPr>
      <w:spacing w:after="0" w:line="240" w:lineRule="auto"/>
    </w:pPr>
  </w:style>
  <w:style w:type="paragraph" w:styleId="ListParagraph">
    <w:name w:val="List Paragraph"/>
    <w:basedOn w:val="Normal"/>
    <w:uiPriority w:val="34"/>
    <w:qFormat/>
    <w:rsid w:val="00390023"/>
    <w:pPr>
      <w:ind w:left="720"/>
      <w:contextualSpacing/>
    </w:pPr>
  </w:style>
  <w:style w:type="paragraph" w:styleId="Quote">
    <w:name w:val="Quote"/>
    <w:basedOn w:val="Normal"/>
    <w:next w:val="Normal"/>
    <w:link w:val="QuoteChar"/>
    <w:uiPriority w:val="29"/>
    <w:qFormat/>
    <w:rsid w:val="00390023"/>
    <w:rPr>
      <w:i/>
      <w:iCs/>
      <w:color w:val="000000" w:themeColor="text1"/>
    </w:rPr>
  </w:style>
  <w:style w:type="character" w:customStyle="1" w:styleId="QuoteChar">
    <w:name w:val="Quote Char"/>
    <w:basedOn w:val="DefaultParagraphFont"/>
    <w:link w:val="Quote"/>
    <w:uiPriority w:val="29"/>
    <w:rsid w:val="00390023"/>
    <w:rPr>
      <w:i/>
      <w:iCs/>
      <w:color w:val="000000" w:themeColor="text1"/>
    </w:rPr>
  </w:style>
  <w:style w:type="paragraph" w:styleId="IntenseQuote">
    <w:name w:val="Intense Quote"/>
    <w:basedOn w:val="Normal"/>
    <w:next w:val="Normal"/>
    <w:link w:val="IntenseQuoteChar"/>
    <w:uiPriority w:val="30"/>
    <w:qFormat/>
    <w:rsid w:val="00390023"/>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390023"/>
    <w:rPr>
      <w:b/>
      <w:bCs/>
      <w:i/>
      <w:iCs/>
      <w:color w:val="4F81BD" w:themeColor="accent1"/>
    </w:rPr>
  </w:style>
  <w:style w:type="character" w:styleId="SubtleEmphasis">
    <w:name w:val="Subtle Emphasis"/>
    <w:basedOn w:val="DefaultParagraphFont"/>
    <w:uiPriority w:val="19"/>
    <w:qFormat/>
    <w:rsid w:val="00390023"/>
    <w:rPr>
      <w:i/>
      <w:iCs/>
      <w:color w:val="808080" w:themeColor="text1" w:themeTint="7F"/>
    </w:rPr>
  </w:style>
  <w:style w:type="character" w:styleId="IntenseEmphasis">
    <w:name w:val="Intense Emphasis"/>
    <w:basedOn w:val="DefaultParagraphFont"/>
    <w:uiPriority w:val="21"/>
    <w:qFormat/>
    <w:rsid w:val="00390023"/>
    <w:rPr>
      <w:b/>
      <w:bCs/>
      <w:i/>
      <w:iCs/>
      <w:color w:val="4F81BD" w:themeColor="accent1"/>
    </w:rPr>
  </w:style>
  <w:style w:type="character" w:styleId="SubtleReference">
    <w:name w:val="Subtle Reference"/>
    <w:basedOn w:val="DefaultParagraphFont"/>
    <w:uiPriority w:val="31"/>
    <w:qFormat/>
    <w:rsid w:val="00390023"/>
    <w:rPr>
      <w:smallCaps/>
      <w:color w:val="C0504D" w:themeColor="accent2"/>
      <w:u w:val="single"/>
    </w:rPr>
  </w:style>
  <w:style w:type="character" w:styleId="IntenseReference">
    <w:name w:val="Intense Reference"/>
    <w:basedOn w:val="DefaultParagraphFont"/>
    <w:uiPriority w:val="32"/>
    <w:qFormat/>
    <w:rsid w:val="00390023"/>
    <w:rPr>
      <w:b/>
      <w:bCs/>
      <w:smallCaps/>
      <w:color w:val="C0504D" w:themeColor="accent2"/>
      <w:spacing w:val="5"/>
      <w:u w:val="single"/>
    </w:rPr>
  </w:style>
  <w:style w:type="character" w:styleId="BookTitle">
    <w:name w:val="Book Title"/>
    <w:basedOn w:val="DefaultParagraphFont"/>
    <w:uiPriority w:val="33"/>
    <w:qFormat/>
    <w:rsid w:val="00390023"/>
    <w:rPr>
      <w:b/>
      <w:bCs/>
      <w:smallCaps/>
      <w:spacing w:val="5"/>
    </w:rPr>
  </w:style>
  <w:style w:type="paragraph" w:styleId="TOCHeading">
    <w:name w:val="TOC Heading"/>
    <w:basedOn w:val="Heading1"/>
    <w:next w:val="Normal"/>
    <w:uiPriority w:val="39"/>
    <w:unhideWhenUsed/>
    <w:qFormat/>
    <w:rsid w:val="00390023"/>
    <w:pPr>
      <w:outlineLvl w:val="9"/>
    </w:pPr>
  </w:style>
  <w:style w:type="paragraph" w:styleId="BalloonText">
    <w:name w:val="Balloon Text"/>
    <w:basedOn w:val="Normal"/>
    <w:link w:val="BalloonTextChar"/>
    <w:uiPriority w:val="99"/>
    <w:semiHidden/>
    <w:unhideWhenUsed/>
    <w:rsid w:val="0039002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90023"/>
    <w:rPr>
      <w:rFonts w:ascii="Tahoma" w:hAnsi="Tahoma" w:cs="Tahoma"/>
      <w:sz w:val="16"/>
      <w:szCs w:val="16"/>
    </w:rPr>
  </w:style>
  <w:style w:type="paragraph" w:styleId="TOC1">
    <w:name w:val="toc 1"/>
    <w:basedOn w:val="Normal"/>
    <w:next w:val="Normal"/>
    <w:autoRedefine/>
    <w:uiPriority w:val="39"/>
    <w:unhideWhenUsed/>
    <w:rsid w:val="00390023"/>
    <w:pPr>
      <w:spacing w:after="100"/>
    </w:pPr>
  </w:style>
  <w:style w:type="paragraph" w:styleId="TOC2">
    <w:name w:val="toc 2"/>
    <w:basedOn w:val="Normal"/>
    <w:next w:val="Normal"/>
    <w:autoRedefine/>
    <w:uiPriority w:val="39"/>
    <w:unhideWhenUsed/>
    <w:rsid w:val="00390023"/>
    <w:pPr>
      <w:spacing w:after="100"/>
      <w:ind w:left="240"/>
    </w:pPr>
  </w:style>
  <w:style w:type="paragraph" w:styleId="Header">
    <w:name w:val="header"/>
    <w:basedOn w:val="Normal"/>
    <w:link w:val="HeaderChar"/>
    <w:uiPriority w:val="99"/>
    <w:unhideWhenUsed/>
    <w:rsid w:val="00390023"/>
    <w:pPr>
      <w:tabs>
        <w:tab w:val="center" w:pos="4680"/>
        <w:tab w:val="right" w:pos="9360"/>
      </w:tabs>
      <w:spacing w:after="0" w:line="240" w:lineRule="auto"/>
    </w:pPr>
  </w:style>
  <w:style w:type="character" w:customStyle="1" w:styleId="HeaderChar">
    <w:name w:val="Header Char"/>
    <w:basedOn w:val="DefaultParagraphFont"/>
    <w:link w:val="Header"/>
    <w:uiPriority w:val="99"/>
    <w:rsid w:val="00390023"/>
    <w:rPr>
      <w:rFonts w:ascii="Arial" w:hAnsi="Arial"/>
      <w:sz w:val="24"/>
    </w:rPr>
  </w:style>
  <w:style w:type="paragraph" w:styleId="Footer">
    <w:name w:val="footer"/>
    <w:basedOn w:val="Normal"/>
    <w:link w:val="FooterChar"/>
    <w:uiPriority w:val="99"/>
    <w:unhideWhenUsed/>
    <w:rsid w:val="00390023"/>
    <w:pPr>
      <w:tabs>
        <w:tab w:val="center" w:pos="4680"/>
        <w:tab w:val="right" w:pos="9360"/>
      </w:tabs>
      <w:spacing w:after="0" w:line="240" w:lineRule="auto"/>
    </w:pPr>
  </w:style>
  <w:style w:type="character" w:customStyle="1" w:styleId="FooterChar">
    <w:name w:val="Footer Char"/>
    <w:basedOn w:val="DefaultParagraphFont"/>
    <w:link w:val="Footer"/>
    <w:uiPriority w:val="99"/>
    <w:rsid w:val="00390023"/>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SRJ-04-2019-0125" TargetMode="External"/><Relationship Id="rId13" Type="http://schemas.openxmlformats.org/officeDocument/2006/relationships/hyperlink" Target="https://www.tandfonline.com/action/showCitFormats?doi=10.1080/00031305.2018.1518265"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2307/48614944"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4324/9781315518299"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iclr.co.uk/knowledge/topics/the-english-legal-system/" TargetMode="External"/><Relationship Id="rId4" Type="http://schemas.openxmlformats.org/officeDocument/2006/relationships/webSettings" Target="webSettings.xml"/><Relationship Id="rId9" Type="http://schemas.openxmlformats.org/officeDocument/2006/relationships/hyperlink" Target="https://dx.doi.org/10.2139/ssrn.3825745" TargetMode="External"/><Relationship Id="rId14" Type="http://schemas.openxmlformats.org/officeDocument/2006/relationships/hyperlink" Target="https://www.theguardian.com/law/2022/feb/12/what-is-common-law-and-why-is-it-being-misinterpret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3t9dIUEbufodomPqVxwfKxhijSw==">CgMxLjAyCGguZ2pkZ3hzMgloLjMwajB6bGwyCWguM3pueXNoNzIJaC4yZXQ5MnAwMghoLnR5amN3dDIJaC4zZHk2dmttMgloLjF0M2g1c2YyCWguNGQzNG9nODIJaC4yczhleW8xMgloLjE3ZHA4dnU4AHIhMVNZclprZXpUME9scFltN3A3NmprOWdCZGM0UWxWWExx</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2138</Words>
  <Characters>12192</Characters>
  <Application>Microsoft Office Word</Application>
  <DocSecurity>0</DocSecurity>
  <Lines>101</Lines>
  <Paragraphs>28</Paragraphs>
  <ScaleCrop>false</ScaleCrop>
  <Company/>
  <LinksUpToDate>false</LinksUpToDate>
  <CharactersWithSpaces>14302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Flavius Ovidiu Godja (2217499)</cp:lastModifiedBy>
  <cp:revision>4</cp:revision>
  <dcterms:created xsi:type="dcterms:W3CDTF">2023-07-21T18:14:00Z</dcterms:created>
  <dcterms:modified xsi:type="dcterms:W3CDTF">2023-07-21T22:13:00Z</dcterms:modified>
</cp:coreProperties>
</file>