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Verdana" w:hAnsi="Verdana" w:cs="Verdana" w:eastAsia="Verdana"/>
          <w:b/>
          <w:i/>
          <w:color w:val="auto"/>
          <w:spacing w:val="0"/>
          <w:position w:val="0"/>
          <w:sz w:val="44"/>
          <w:shd w:fill="auto" w:val="clear"/>
        </w:rPr>
      </w:pPr>
    </w:p>
    <w:p>
      <w:pPr>
        <w:spacing w:before="0" w:after="160" w:line="259"/>
        <w:ind w:right="0" w:left="0" w:firstLine="0"/>
        <w:jc w:val="left"/>
        <w:rPr>
          <w:rFonts w:ascii="Verdana" w:hAnsi="Verdana" w:cs="Verdana" w:eastAsia="Verdana"/>
          <w:b/>
          <w:caps w:val="true"/>
          <w:color w:val="auto"/>
          <w:spacing w:val="0"/>
          <w:position w:val="0"/>
          <w:sz w:val="18"/>
          <w:shd w:fill="auto" w:val="clear"/>
        </w:rPr>
      </w:pPr>
    </w:p>
    <w:p>
      <w:pPr>
        <w:spacing w:before="0" w:after="160" w:line="259"/>
        <w:ind w:right="0" w:left="0" w:firstLine="0"/>
        <w:jc w:val="center"/>
        <w:rPr>
          <w:rFonts w:ascii="Verdana" w:hAnsi="Verdana" w:cs="Verdana" w:eastAsia="Verdana"/>
          <w:b/>
          <w:caps w:val="true"/>
          <w:color w:val="auto"/>
          <w:spacing w:val="0"/>
          <w:position w:val="0"/>
          <w:sz w:val="18"/>
          <w:shd w:fill="auto" w:val="clear"/>
        </w:rPr>
      </w:pPr>
      <w:r>
        <w:object w:dxaOrig="4323" w:dyaOrig="4796">
          <v:rect xmlns:o="urn:schemas-microsoft-com:office:office" xmlns:v="urn:schemas-microsoft-com:vml" id="rectole0000000000" style="width:216.150000pt;height:239.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Verdana" w:hAnsi="Verdana" w:cs="Verdana" w:eastAsia="Verdana"/>
          <w:b/>
          <w:caps w:val="true"/>
          <w:color w:val="auto"/>
          <w:spacing w:val="0"/>
          <w:position w:val="0"/>
          <w:sz w:val="18"/>
          <w:shd w:fill="auto" w:val="clear"/>
        </w:rPr>
      </w:pPr>
    </w:p>
    <w:p>
      <w:pPr>
        <w:spacing w:before="0" w:after="160" w:line="259"/>
        <w:ind w:right="0" w:left="0" w:firstLine="0"/>
        <w:jc w:val="left"/>
        <w:rPr>
          <w:rFonts w:ascii="Verdana" w:hAnsi="Verdana" w:cs="Verdana" w:eastAsia="Verdana"/>
          <w:b/>
          <w:caps w:val="true"/>
          <w:color w:val="FF0000"/>
          <w:spacing w:val="0"/>
          <w:position w:val="0"/>
          <w:sz w:val="18"/>
          <w:shd w:fill="auto" w:val="clear"/>
        </w:rPr>
      </w:pPr>
      <w:r>
        <w:rPr>
          <w:rFonts w:ascii="Verdana" w:hAnsi="Verdana" w:cs="Verdana" w:eastAsia="Verdana"/>
          <w:b/>
          <w:caps w:val="true"/>
          <w:color w:val="auto"/>
          <w:spacing w:val="0"/>
          <w:position w:val="0"/>
          <w:sz w:val="18"/>
          <w:shd w:fill="auto" w:val="clear"/>
        </w:rPr>
        <w:t xml:space="preserve">MODULE NAME:</w:t>
        <w:tab/>
        <w:tab/>
      </w:r>
      <w:r>
        <w:rPr>
          <w:rFonts w:ascii="Verdana" w:hAnsi="Verdana" w:cs="Verdana" w:eastAsia="Verdana"/>
          <w:b/>
          <w:caps w:val="true"/>
          <w:color w:val="FF0000"/>
          <w:spacing w:val="0"/>
          <w:position w:val="0"/>
          <w:sz w:val="18"/>
          <w:shd w:fill="auto" w:val="clear"/>
        </w:rPr>
        <w:t xml:space="preserve">Academic Skills for the Digital Era</w:t>
      </w:r>
    </w:p>
    <w:p>
      <w:pPr>
        <w:spacing w:before="0" w:after="160" w:line="259"/>
        <w:ind w:right="0" w:left="0" w:firstLine="0"/>
        <w:jc w:val="left"/>
        <w:rPr>
          <w:rFonts w:ascii="Verdana" w:hAnsi="Verdana" w:cs="Verdana" w:eastAsia="Verdana"/>
          <w:b/>
          <w:caps w:val="true"/>
          <w:color w:val="FF0000"/>
          <w:spacing w:val="0"/>
          <w:position w:val="0"/>
          <w:sz w:val="18"/>
          <w:shd w:fill="auto" w:val="clear"/>
        </w:rPr>
      </w:pPr>
      <w:r>
        <w:rPr>
          <w:rFonts w:ascii="Verdana" w:hAnsi="Verdana" w:cs="Verdana" w:eastAsia="Verdana"/>
          <w:b/>
          <w:caps w:val="true"/>
          <w:color w:val="auto"/>
          <w:spacing w:val="0"/>
          <w:position w:val="0"/>
          <w:sz w:val="18"/>
          <w:shd w:fill="auto" w:val="clear"/>
        </w:rPr>
        <w:t xml:space="preserve">Student Name:</w:t>
        <w:tab/>
        <w:tab/>
      </w:r>
      <w:r>
        <w:rPr>
          <w:rFonts w:ascii="Verdana" w:hAnsi="Verdana" w:cs="Verdana" w:eastAsia="Verdana"/>
          <w:b/>
          <w:caps w:val="true"/>
          <w:color w:val="FF0000"/>
          <w:spacing w:val="0"/>
          <w:position w:val="0"/>
          <w:sz w:val="18"/>
          <w:shd w:fill="auto" w:val="clear"/>
        </w:rPr>
        <w:t xml:space="preserve">Solomon-Mihai Cirpaci (2322596)</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b/>
          <w:caps w:val="true"/>
          <w:color w:val="000000"/>
          <w:spacing w:val="0"/>
          <w:position w:val="0"/>
          <w:sz w:val="18"/>
          <w:shd w:fill="auto" w:val="clear"/>
        </w:rPr>
        <w:t xml:space="preserve">Lecturer Name:                  </w:t>
      </w:r>
      <w:r>
        <w:rPr>
          <w:rFonts w:ascii="Verdana" w:hAnsi="Verdana" w:cs="Verdana" w:eastAsia="Verdana"/>
          <w:b/>
          <w:caps w:val="true"/>
          <w:color w:val="FF0000"/>
          <w:spacing w:val="0"/>
          <w:position w:val="0"/>
          <w:sz w:val="18"/>
          <w:shd w:fill="auto" w:val="clear"/>
        </w:rPr>
        <w:t xml:space="preserve">Ffion Cumberpatch</w:t>
      </w:r>
    </w:p>
    <w:p>
      <w:pPr>
        <w:keepNext w:val="true"/>
        <w:keepLines w:val="true"/>
        <w:spacing w:before="360" w:after="80" w:line="278"/>
        <w:ind w:right="0" w:left="0" w:firstLine="0"/>
        <w:jc w:val="left"/>
        <w:rPr>
          <w:rFonts w:ascii="Aptos Display" w:hAnsi="Aptos Display" w:cs="Aptos Display" w:eastAsia="Aptos Display"/>
          <w:color w:val="0F4761"/>
          <w:spacing w:val="0"/>
          <w:position w:val="0"/>
          <w:sz w:val="40"/>
          <w:shd w:fill="auto" w:val="clear"/>
        </w:rPr>
      </w:pPr>
    </w:p>
    <w:p>
      <w:pPr>
        <w:keepNext w:val="true"/>
        <w:keepLines w:val="true"/>
        <w:spacing w:before="360" w:after="80" w:line="278"/>
        <w:ind w:right="0" w:left="0" w:firstLine="0"/>
        <w:jc w:val="left"/>
        <w:rPr>
          <w:rFonts w:ascii="Calibri" w:hAnsi="Calibri" w:cs="Calibri" w:eastAsia="Calibri"/>
          <w:color w:val="0F4761"/>
          <w:spacing w:val="0"/>
          <w:position w:val="0"/>
          <w:sz w:val="40"/>
          <w:shd w:fill="auto" w:val="clear"/>
        </w:rPr>
      </w:pPr>
      <w:r>
        <w:rPr>
          <w:rFonts w:ascii="Aptos Display" w:hAnsi="Aptos Display" w:cs="Aptos Display" w:eastAsia="Aptos Display"/>
          <w:color w:val="0F4761"/>
          <w:spacing w:val="0"/>
          <w:position w:val="0"/>
          <w:sz w:val="40"/>
          <w:shd w:fill="auto" w:val="clear"/>
        </w:rPr>
        <w:t xml:space="preserve">Element 1 </w:t>
      </w:r>
      <w:r>
        <w:rPr>
          <w:rFonts w:ascii="Calibri" w:hAnsi="Calibri" w:cs="Calibri" w:eastAsia="Calibri"/>
          <w:color w:val="0F4761"/>
          <w:spacing w:val="0"/>
          <w:position w:val="0"/>
          <w:sz w:val="40"/>
          <w:shd w:fill="auto" w:val="clear"/>
        </w:rPr>
        <w:t xml:space="preserve">– Title</w:t>
      </w:r>
    </w:p>
    <w:p>
      <w:pPr>
        <w:spacing w:before="0" w:after="160" w:line="279"/>
        <w:ind w:right="0" w:left="0" w:firstLine="0"/>
        <w:jc w:val="left"/>
        <w:rPr>
          <w:rFonts w:ascii="Calibri Light" w:hAnsi="Calibri Light" w:cs="Calibri Light" w:eastAsia="Calibri Light"/>
          <w:color w:val="auto"/>
          <w:spacing w:val="0"/>
          <w:position w:val="0"/>
          <w:sz w:val="24"/>
          <w:shd w:fill="auto" w:val="clear"/>
        </w:rPr>
      </w:pPr>
      <w:r>
        <w:rPr>
          <w:rFonts w:ascii="Aptos" w:hAnsi="Aptos" w:cs="Aptos" w:eastAsia="Aptos"/>
          <w:color w:val="auto"/>
          <w:spacing w:val="0"/>
          <w:position w:val="0"/>
          <w:sz w:val="24"/>
          <w:shd w:fill="auto" w:val="clear"/>
        </w:rPr>
        <w:t xml:space="preserve">The digital age has permanently altered the landscape of education, giving us all an array of resources at our fingertips. However, this digital revolution also presents certain challenges for students. To navigate through this new era of education, it is important to adopt effective study strategies that boost the benefits of technology while reducing its disadvantages</w:t>
      </w:r>
      <w:r>
        <w:rPr>
          <w:rFonts w:ascii="Calibri Light" w:hAnsi="Calibri Light" w:cs="Calibri Light" w:eastAsia="Calibri Light"/>
          <w:color w:val="auto"/>
          <w:spacing w:val="0"/>
          <w:position w:val="0"/>
          <w:sz w:val="24"/>
          <w:shd w:fill="auto" w:val="clear"/>
        </w:rPr>
        <w:t xml:space="preserve"> </w:t>
      </w:r>
      <w:r>
        <w:rPr>
          <w:rFonts w:ascii="Calibri Light" w:hAnsi="Calibri Light" w:cs="Calibri Light" w:eastAsia="Calibri Light"/>
          <w:i/>
          <w:color w:val="auto"/>
          <w:spacing w:val="0"/>
          <w:position w:val="0"/>
          <w:sz w:val="24"/>
          <w:shd w:fill="auto" w:val="clear"/>
        </w:rPr>
        <w:t xml:space="preserve">(Sander, I. 2024).</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Active learning is a key element to effective study. Rather than passively consuming information students should actively engage with the material. Practices like note taking, summarizing key points, and questioning the source material can enhance both comprehension and memory. Although digital tools like OneNote and Evernote can increase the efficiency of note taking and help you organize better. For instance, a study by Mueller and Oppenheimer</w:t>
      </w:r>
      <w:r>
        <w:rPr>
          <w:rFonts w:ascii="Calibri Light" w:hAnsi="Calibri Light" w:cs="Calibri Light" w:eastAsia="Calibri Light"/>
          <w:i/>
          <w:color w:val="auto"/>
          <w:spacing w:val="0"/>
          <w:position w:val="0"/>
          <w:sz w:val="24"/>
          <w:shd w:fill="auto" w:val="clear"/>
        </w:rPr>
        <w:t xml:space="preserve"> (2014)</w:t>
      </w:r>
      <w:r>
        <w:rPr>
          <w:rFonts w:ascii="Aptos" w:hAnsi="Aptos" w:cs="Aptos" w:eastAsia="Aptos"/>
          <w:color w:val="auto"/>
          <w:spacing w:val="0"/>
          <w:position w:val="0"/>
          <w:sz w:val="24"/>
          <w:shd w:fill="auto" w:val="clear"/>
        </w:rPr>
        <w:t xml:space="preserve"> found that students who took notes by hand had a deeper understanding of the material and performed better on tests than those who typed notes. The physical act of note taking can cement concepts in our minds, making it easier for us to recall later.</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Time management is another important skill. A well-organized study schedule along with time management techniques such as the Eisenhower matrix can increase productivity </w:t>
      </w:r>
      <w:r>
        <w:rPr>
          <w:rFonts w:ascii="Calibri Light" w:hAnsi="Calibri Light" w:cs="Calibri Light" w:eastAsia="Calibri Light"/>
          <w:i/>
          <w:color w:val="auto"/>
          <w:spacing w:val="0"/>
          <w:position w:val="0"/>
          <w:sz w:val="24"/>
          <w:shd w:fill="auto" w:val="clear"/>
        </w:rPr>
        <w:t xml:space="preserve">(Eisenhower, D. D. 1954)</w:t>
      </w:r>
      <w:r>
        <w:rPr>
          <w:rFonts w:ascii="Aptos" w:hAnsi="Aptos" w:cs="Aptos" w:eastAsia="Aptos"/>
          <w:color w:val="auto"/>
          <w:spacing w:val="0"/>
          <w:position w:val="0"/>
          <w:sz w:val="24"/>
          <w:shd w:fill="auto" w:val="clear"/>
        </w:rPr>
        <w:t xml:space="preserve">. However, it is important to keep a balance between the use of digital and traditional time management strategies. Overreliance on digital tools can hinder your progress in the development of crucial time management skills.</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Taking ownership of your own learning is key. Self-regulated learning involves setting rational goals and monitoring the progress of your goals </w:t>
      </w:r>
      <w:r>
        <w:rPr>
          <w:rFonts w:ascii="Calibri Light" w:hAnsi="Calibri Light" w:cs="Calibri Light" w:eastAsia="Calibri Light"/>
          <w:i/>
          <w:color w:val="auto"/>
          <w:spacing w:val="0"/>
          <w:position w:val="0"/>
          <w:sz w:val="24"/>
          <w:shd w:fill="auto" w:val="clear"/>
        </w:rPr>
        <w:t xml:space="preserve">(Yusuf et al., 2020, p. 462)</w:t>
      </w:r>
      <w:r>
        <w:rPr>
          <w:rFonts w:ascii="Aptos" w:hAnsi="Aptos" w:cs="Aptos" w:eastAsia="Aptos"/>
          <w:color w:val="auto"/>
          <w:spacing w:val="0"/>
          <w:position w:val="0"/>
          <w:sz w:val="24"/>
          <w:shd w:fill="auto" w:val="clear"/>
        </w:rPr>
        <w:t xml:space="preserve">. Tools like SMART Goals and PACT Goals can increase the efficiency of these techniques. This active approach encourages students to take control of their learning journey </w:t>
      </w:r>
      <w:r>
        <w:rPr>
          <w:rFonts w:ascii="Calibri Light" w:hAnsi="Calibri Light" w:cs="Calibri Light" w:eastAsia="Calibri Light"/>
          <w:i/>
          <w:color w:val="auto"/>
          <w:spacing w:val="0"/>
          <w:position w:val="0"/>
          <w:sz w:val="24"/>
          <w:shd w:fill="auto" w:val="clear"/>
        </w:rPr>
        <w:t xml:space="preserve">(MacMahon, S.J. et al. 2022)</w:t>
      </w:r>
      <w:r>
        <w:rPr>
          <w:rFonts w:ascii="Aptos" w:hAnsi="Aptos" w:cs="Aptos" w:eastAsia="Aptos"/>
          <w:color w:val="auto"/>
          <w:spacing w:val="0"/>
          <w:position w:val="0"/>
          <w:sz w:val="24"/>
          <w:shd w:fill="auto" w:val="clear"/>
        </w:rPr>
        <w:t xml:space="preserve">.</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Collaborative learning, facilitated by online forums, group chat apps and engagement with peers can be a useful strategy. Studies show that this strategy improves efficiency of learning and helps students engage with the course material better (</w:t>
      </w:r>
      <w:r>
        <w:rPr>
          <w:rFonts w:ascii="Calibri Light" w:hAnsi="Calibri Light" w:cs="Calibri Light" w:eastAsia="Calibri Light"/>
          <w:i/>
          <w:color w:val="auto"/>
          <w:spacing w:val="0"/>
          <w:position w:val="0"/>
          <w:sz w:val="24"/>
          <w:shd w:fill="auto" w:val="clear"/>
        </w:rPr>
        <w:t xml:space="preserve">Zhang, D. &amp; Hwang, G.-J. 2023)</w:t>
      </w:r>
      <w:r>
        <w:rPr>
          <w:rFonts w:ascii="Aptos" w:hAnsi="Aptos" w:cs="Aptos" w:eastAsia="Aptos"/>
          <w:color w:val="auto"/>
          <w:spacing w:val="0"/>
          <w:position w:val="0"/>
          <w:sz w:val="24"/>
          <w:shd w:fill="auto" w:val="clear"/>
        </w:rPr>
        <w:t xml:space="preserve">. However, this strategy can put students at risk of unintentionally plagiarizing their peers and puts them at risk of being plagiarized themselves.</w:t>
      </w:r>
    </w:p>
    <w:p>
      <w:pPr>
        <w:spacing w:before="0" w:after="160" w:line="279"/>
        <w:ind w:right="0" w:left="0" w:firstLine="0"/>
        <w:jc w:val="left"/>
        <w:rPr>
          <w:rFonts w:ascii="Calibri Light" w:hAnsi="Calibri Light" w:cs="Calibri Light" w:eastAsia="Calibri Light"/>
          <w:i/>
          <w:color w:val="auto"/>
          <w:spacing w:val="0"/>
          <w:position w:val="0"/>
          <w:sz w:val="24"/>
          <w:shd w:fill="auto" w:val="clear"/>
        </w:rPr>
      </w:pPr>
      <w:r>
        <w:rPr>
          <w:rFonts w:ascii="Aptos" w:hAnsi="Aptos" w:cs="Aptos" w:eastAsia="Aptos"/>
          <w:color w:val="auto"/>
          <w:spacing w:val="0"/>
          <w:position w:val="0"/>
          <w:sz w:val="24"/>
          <w:shd w:fill="auto" w:val="clear"/>
        </w:rPr>
        <w:t xml:space="preserve">Additionally, it is crucial to maintain a student-life balance. However important studying is it is equally important to make time for yourself via hobbies, social activities, and relaxation. Taking regular breaks and engaging in physical activity can help reduce stress and improve the well-being of the student </w:t>
      </w:r>
      <w:r>
        <w:rPr>
          <w:rFonts w:ascii="Calibri Light" w:hAnsi="Calibri Light" w:cs="Calibri Light" w:eastAsia="Calibri Light"/>
          <w:i/>
          <w:color w:val="auto"/>
          <w:spacing w:val="0"/>
          <w:position w:val="0"/>
          <w:sz w:val="24"/>
          <w:shd w:fill="auto" w:val="clear"/>
        </w:rPr>
        <w:t xml:space="preserve">(SMITH, S.R., 2023)</w:t>
      </w:r>
      <w:r>
        <w:rPr>
          <w:rFonts w:ascii="Aptos" w:hAnsi="Aptos" w:cs="Aptos" w:eastAsia="Aptos"/>
          <w:color w:val="auto"/>
          <w:spacing w:val="0"/>
          <w:position w:val="0"/>
          <w:sz w:val="24"/>
          <w:shd w:fill="auto" w:val="clear"/>
        </w:rPr>
        <w:t xml:space="preserve">.</w:t>
      </w:r>
    </w:p>
    <w:p>
      <w:pPr>
        <w:spacing w:before="0" w:after="160" w:line="279"/>
        <w:ind w:right="0" w:left="0" w:firstLine="0"/>
        <w:jc w:val="left"/>
        <w:rPr>
          <w:rFonts w:ascii="Verdana" w:hAnsi="Verdana" w:cs="Verdana" w:eastAsia="Verdana"/>
          <w:b/>
          <w:color w:val="auto"/>
          <w:spacing w:val="0"/>
          <w:position w:val="0"/>
          <w:sz w:val="18"/>
          <w:shd w:fill="auto" w:val="clear"/>
        </w:rPr>
      </w:pPr>
      <w:r>
        <w:rPr>
          <w:rFonts w:ascii="Aptos" w:hAnsi="Aptos" w:cs="Aptos" w:eastAsia="Aptos"/>
          <w:color w:val="auto"/>
          <w:spacing w:val="0"/>
          <w:position w:val="0"/>
          <w:sz w:val="24"/>
          <w:shd w:fill="auto" w:val="clear"/>
        </w:rPr>
        <w:t xml:space="preserve">In conclusion, while the digital age offers a considerable number of opportunities for learning, it is important to approach it carefully. By combining both traditional and digitalized study habits students can maximize their learning potential and flourish in this new academic era. It is important to recognize that technology is a tool not a replacement for more traditional study strategies. A balanced approach utilizing both strategies is essential to succeed in this modern academic era.</w:t>
      </w:r>
    </w:p>
    <w:p>
      <w:pPr>
        <w:keepNext w:val="true"/>
        <w:keepLines w:val="true"/>
        <w:spacing w:before="160" w:after="80" w:line="278"/>
        <w:ind w:right="0" w:left="0" w:firstLine="0"/>
        <w:jc w:val="left"/>
        <w:rPr>
          <w:rFonts w:ascii="Aptos Display" w:hAnsi="Aptos Display" w:cs="Aptos Display" w:eastAsia="Aptos Display"/>
          <w:color w:val="0F4761"/>
          <w:spacing w:val="0"/>
          <w:position w:val="0"/>
          <w:sz w:val="32"/>
          <w:shd w:fill="auto" w:val="clear"/>
        </w:rPr>
      </w:pPr>
      <w:r>
        <w:rPr>
          <w:rFonts w:ascii="Aptos Display" w:hAnsi="Aptos Display" w:cs="Aptos Display" w:eastAsia="Aptos Display"/>
          <w:color w:val="0F4761"/>
          <w:spacing w:val="0"/>
          <w:position w:val="0"/>
          <w:sz w:val="32"/>
          <w:shd w:fill="auto" w:val="clear"/>
        </w:rPr>
        <w:t xml:space="preserve">Reference List</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Sander, I. (2024) Critical Datafication Literacy : A Framework and Practical Approaches. 1st ed. Bielefeld: transcript Verlag.</w:t>
      </w:r>
    </w:p>
    <w:p>
      <w:pPr>
        <w:spacing w:before="0" w:after="160" w:line="279"/>
        <w:ind w:right="0" w:left="0" w:firstLine="0"/>
        <w:jc w:val="left"/>
        <w:rPr>
          <w:rFonts w:ascii="Aptos" w:hAnsi="Aptos" w:cs="Aptos" w:eastAsia="Aptos"/>
          <w:color w:val="auto"/>
          <w:spacing w:val="0"/>
          <w:position w:val="0"/>
          <w:sz w:val="24"/>
          <w:shd w:fill="auto" w:val="clear"/>
        </w:rPr>
      </w:pP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Mueller, P. A., &amp; Oppenheimer, D. M. (2014). The pen is mightier than the keyboard: Advantages of longhand over laptop note taking. Psychological Science, 25(6), 1159-1166.</w:t>
      </w:r>
    </w:p>
    <w:p>
      <w:pPr>
        <w:spacing w:before="0" w:after="160" w:line="279"/>
        <w:ind w:right="0" w:left="0" w:firstLine="0"/>
        <w:jc w:val="left"/>
        <w:rPr>
          <w:rFonts w:ascii="Aptos" w:hAnsi="Aptos" w:cs="Aptos" w:eastAsia="Aptos"/>
          <w:color w:val="auto"/>
          <w:spacing w:val="0"/>
          <w:position w:val="0"/>
          <w:sz w:val="24"/>
          <w:shd w:fill="auto" w:val="clear"/>
        </w:rPr>
      </w:pP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Eisenhower, D. D. (1954). Eisenhower Matrix. Time Management Techniques.</w:t>
      </w:r>
    </w:p>
    <w:p>
      <w:pPr>
        <w:spacing w:before="0" w:after="160" w:line="279"/>
        <w:ind w:right="0" w:left="0" w:firstLine="0"/>
        <w:jc w:val="left"/>
        <w:rPr>
          <w:rFonts w:ascii="Aptos" w:hAnsi="Aptos" w:cs="Aptos" w:eastAsia="Aptos"/>
          <w:color w:val="auto"/>
          <w:spacing w:val="0"/>
          <w:position w:val="0"/>
          <w:sz w:val="24"/>
          <w:shd w:fill="auto" w:val="clear"/>
        </w:rPr>
      </w:pPr>
    </w:p>
    <w:p>
      <w:pPr>
        <w:spacing w:before="0" w:after="160" w:line="279"/>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Yusuf, J.-E. (Wie), Saitgalina, M. and Chapman, D.W. (2020) ‘Work-life balance and well-being of graduate students’, Journal of public affairs education : J-PAE., 26(4), pp. 458</w:t>
      </w:r>
      <w:r>
        <w:rPr>
          <w:rFonts w:ascii="Calibri" w:hAnsi="Calibri" w:cs="Calibri" w:eastAsia="Calibri"/>
          <w:color w:val="auto"/>
          <w:spacing w:val="0"/>
          <w:position w:val="0"/>
          <w:sz w:val="24"/>
          <w:shd w:fill="auto" w:val="clear"/>
        </w:rPr>
        <w:t xml:space="preserve">–483. Available at: </w:t>
      </w:r>
      <w:hyperlink xmlns:r="http://schemas.openxmlformats.org/officeDocument/2006/relationships" r:id="docRId2">
        <w:r>
          <w:rPr>
            <w:rFonts w:ascii="Calibri" w:hAnsi="Calibri" w:cs="Calibri" w:eastAsia="Calibri"/>
            <w:color w:val="0000FF"/>
            <w:spacing w:val="0"/>
            <w:position w:val="0"/>
            <w:sz w:val="24"/>
            <w:u w:val="single"/>
            <w:shd w:fill="auto" w:val="clear"/>
          </w:rPr>
          <w:t xml:space="preserve">https://doi.org/10.1080/15236803.2020.1771990</w:t>
        </w:r>
      </w:hyperlink>
      <w:r>
        <w:rPr>
          <w:rFonts w:ascii="Calibri" w:hAnsi="Calibri" w:cs="Calibri" w:eastAsia="Calibri"/>
          <w:color w:val="auto"/>
          <w:spacing w:val="0"/>
          <w:position w:val="0"/>
          <w:sz w:val="24"/>
          <w:shd w:fill="auto" w:val="clear"/>
        </w:rPr>
        <w:t xml:space="preserve">.</w:t>
      </w:r>
    </w:p>
    <w:p>
      <w:pPr>
        <w:spacing w:before="0" w:after="160" w:line="279"/>
        <w:ind w:right="0" w:left="0" w:firstLine="0"/>
        <w:jc w:val="left"/>
        <w:rPr>
          <w:rFonts w:ascii="Aptos" w:hAnsi="Aptos" w:cs="Aptos" w:eastAsia="Aptos"/>
          <w:color w:val="auto"/>
          <w:spacing w:val="0"/>
          <w:position w:val="0"/>
          <w:sz w:val="24"/>
          <w:shd w:fill="auto" w:val="clear"/>
        </w:rPr>
      </w:pPr>
    </w:p>
    <w:p>
      <w:pPr>
        <w:spacing w:before="0" w:after="160" w:line="279"/>
        <w:ind w:right="0" w:left="0" w:firstLine="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MacMahon, S.J. et al. (2022) ‘Learning how to learn</w:t>
      </w:r>
      <w:r>
        <w:rPr>
          <w:rFonts w:ascii="Aptos" w:hAnsi="Aptos" w:cs="Aptos" w:eastAsia="Aptos"/>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Implementing self</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regulated learning evidence into practice in higher education: Illustrations from diverse disciplines’, Review of education (Oxford), 10(1), pp. e3339-n/a. Available at: </w:t>
      </w:r>
      <w:hyperlink xmlns:r="http://schemas.openxmlformats.org/officeDocument/2006/relationships" r:id="docRId3">
        <w:r>
          <w:rPr>
            <w:rFonts w:ascii="Calibri" w:hAnsi="Calibri" w:cs="Calibri" w:eastAsia="Calibri"/>
            <w:color w:val="0000FF"/>
            <w:spacing w:val="0"/>
            <w:position w:val="0"/>
            <w:sz w:val="24"/>
            <w:u w:val="single"/>
            <w:shd w:fill="auto" w:val="clear"/>
          </w:rPr>
          <w:t xml:space="preserve">https://doi.org/10.1002/rev3.3339</w:t>
        </w:r>
      </w:hyperlink>
      <w:r>
        <w:rPr>
          <w:rFonts w:ascii="Calibri" w:hAnsi="Calibri" w:cs="Calibri" w:eastAsia="Calibri"/>
          <w:color w:val="auto"/>
          <w:spacing w:val="0"/>
          <w:position w:val="0"/>
          <w:sz w:val="24"/>
          <w:shd w:fill="auto" w:val="clear"/>
        </w:rPr>
        <w:t xml:space="preserve">.</w:t>
      </w: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Zhang, D. and Hwang, G.-J. (2023) ‘Effects of Interaction between Peer Assessment and Problem-Solving Tendencies on Students’ Learning Achievements and Collaboration in Mobile Technology-Supported Project-Based Learning’, Journal of educational computing research, 61(1), pp. 208</w:t>
      </w:r>
      <w:r>
        <w:rPr>
          <w:rFonts w:ascii="Aptos" w:hAnsi="Aptos" w:cs="Aptos" w:eastAsia="Aptos"/>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234. Available at: </w:t>
      </w:r>
      <w:hyperlink xmlns:r="http://schemas.openxmlformats.org/officeDocument/2006/relationships" r:id="docRId4">
        <w:r>
          <w:rPr>
            <w:rFonts w:ascii="Aptos" w:hAnsi="Aptos" w:cs="Aptos" w:eastAsia="Aptos"/>
            <w:color w:val="0000FF"/>
            <w:spacing w:val="0"/>
            <w:position w:val="0"/>
            <w:sz w:val="24"/>
            <w:u w:val="single"/>
            <w:shd w:fill="auto" w:val="clear"/>
          </w:rPr>
          <w:t xml:space="preserve">https://doi.org/10.1177/07356331221094250</w:t>
        </w:r>
      </w:hyperlink>
      <w:r>
        <w:rPr>
          <w:rFonts w:ascii="Aptos" w:hAnsi="Aptos" w:cs="Aptos" w:eastAsia="Aptos"/>
          <w:color w:val="auto"/>
          <w:spacing w:val="0"/>
          <w:position w:val="0"/>
          <w:sz w:val="24"/>
          <w:shd w:fill="auto" w:val="clear"/>
        </w:rPr>
        <w:t xml:space="preserve">.</w:t>
      </w:r>
    </w:p>
    <w:p>
      <w:pPr>
        <w:spacing w:before="0" w:after="160" w:line="279"/>
        <w:ind w:right="0" w:left="0" w:firstLine="0"/>
        <w:jc w:val="left"/>
        <w:rPr>
          <w:rFonts w:ascii="Aptos" w:hAnsi="Aptos" w:cs="Aptos" w:eastAsia="Aptos"/>
          <w:color w:val="auto"/>
          <w:spacing w:val="0"/>
          <w:position w:val="0"/>
          <w:sz w:val="24"/>
          <w:shd w:fill="auto" w:val="clear"/>
        </w:rPr>
      </w:pPr>
    </w:p>
    <w:p>
      <w:pPr>
        <w:spacing w:before="0" w:after="160" w:line="279"/>
        <w:ind w:right="0" w:left="0" w:firstLine="0"/>
        <w:jc w:val="left"/>
        <w:rPr>
          <w:rFonts w:ascii="Calibri" w:hAnsi="Calibri" w:cs="Calibri" w:eastAsia="Calibri"/>
          <w:color w:val="auto"/>
          <w:spacing w:val="0"/>
          <w:position w:val="0"/>
          <w:sz w:val="22"/>
          <w:shd w:fill="auto" w:val="clear"/>
        </w:rPr>
      </w:pPr>
      <w:r>
        <w:rPr>
          <w:rFonts w:ascii="Aptos" w:hAnsi="Aptos" w:cs="Aptos" w:eastAsia="Aptos"/>
          <w:color w:val="auto"/>
          <w:spacing w:val="0"/>
          <w:position w:val="0"/>
          <w:sz w:val="24"/>
          <w:shd w:fill="auto" w:val="clear"/>
        </w:rPr>
        <w:t xml:space="preserve">SMITH, S.R., 2023. Impact of Stress on Higher Education Academic Performance: A Qualitative Study of a Midwestern American University Students, The Chicago School of Professional Psychology.</w:t>
      </w:r>
    </w:p>
    <w:p>
      <w:pPr>
        <w:keepNext w:val="true"/>
        <w:keepLines w:val="true"/>
        <w:spacing w:before="360" w:after="80" w:line="278"/>
        <w:ind w:right="0" w:left="0" w:firstLine="0"/>
        <w:jc w:val="left"/>
        <w:rPr>
          <w:rFonts w:ascii="Calibri" w:hAnsi="Calibri" w:cs="Calibri" w:eastAsia="Calibri"/>
          <w:color w:val="0F4761"/>
          <w:spacing w:val="0"/>
          <w:position w:val="0"/>
          <w:sz w:val="40"/>
          <w:shd w:fill="auto" w:val="clear"/>
        </w:rPr>
      </w:pPr>
      <w:r>
        <w:rPr>
          <w:rFonts w:ascii="Aptos Display" w:hAnsi="Aptos Display" w:cs="Aptos Display" w:eastAsia="Aptos Display"/>
          <w:color w:val="0F4761"/>
          <w:spacing w:val="0"/>
          <w:position w:val="0"/>
          <w:sz w:val="40"/>
          <w:shd w:fill="auto" w:val="clear"/>
        </w:rPr>
        <w:t xml:space="preserve">Element 2 </w:t>
      </w:r>
      <w:r>
        <w:rPr>
          <w:rFonts w:ascii="Calibri" w:hAnsi="Calibri" w:cs="Calibri" w:eastAsia="Calibri"/>
          <w:color w:val="0F4761"/>
          <w:spacing w:val="0"/>
          <w:position w:val="0"/>
          <w:sz w:val="40"/>
          <w:shd w:fill="auto" w:val="clear"/>
        </w:rPr>
        <w:t xml:space="preserve">– Digital literacy: A Modern Necessity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today's digitally driven world, the development of computer skills has become a necessity. Proficiency in digital technologies empowers students to better navigate through the difficulties of higher education. From conducting research and composing assignments to collaborating with peers, computer skills are a must have for the academic success of students </w:t>
      </w:r>
      <w:r>
        <w:rPr>
          <w:rFonts w:ascii="Arial" w:hAnsi="Arial" w:cs="Arial" w:eastAsia="Arial"/>
          <w:i/>
          <w:color w:val="auto"/>
          <w:spacing w:val="0"/>
          <w:position w:val="0"/>
          <w:sz w:val="24"/>
          <w:shd w:fill="auto" w:val="clear"/>
        </w:rPr>
        <w:t xml:space="preserve">(Sander, I. 2024)</w:t>
      </w:r>
      <w:r>
        <w:rPr>
          <w:rFonts w:ascii="Arial" w:hAnsi="Arial" w:cs="Arial" w:eastAsia="Arial"/>
          <w:color w:val="auto"/>
          <w:spacing w:val="0"/>
          <w:position w:val="0"/>
          <w:sz w:val="24"/>
          <w:shd w:fill="auto" w:val="clear"/>
        </w:rPr>
        <w:t xml:space="preserve">.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Farther than a traditional classroom,computer skills equip students with the necessary tools to allow them to learn lifelong skills, such as critical thinking and problem solving. As technology continuously advances the ability to adapt becomes an increasingly necessary skill in modern academic life. By developing strong computer skills students can increase their capabilities as academic prospects </w:t>
      </w:r>
      <w:r>
        <w:rPr>
          <w:rFonts w:ascii="Arial" w:hAnsi="Arial" w:cs="Arial" w:eastAsia="Arial"/>
          <w:i/>
          <w:color w:val="auto"/>
          <w:spacing w:val="0"/>
          <w:position w:val="0"/>
          <w:sz w:val="24"/>
          <w:shd w:fill="auto" w:val="clear"/>
        </w:rPr>
        <w:t xml:space="preserve">(Altlnay, F. 2020)</w:t>
      </w:r>
      <w:r>
        <w:rPr>
          <w:rFonts w:ascii="Arial" w:hAnsi="Arial" w:cs="Arial" w:eastAsia="Arial"/>
          <w:color w:val="auto"/>
          <w:spacing w:val="0"/>
          <w:position w:val="0"/>
          <w:sz w:val="24"/>
          <w:shd w:fill="auto" w:val="clear"/>
        </w:rPr>
        <w:t xml:space="preserve">.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u w:val="single"/>
          <w:shd w:fill="auto" w:val="clear"/>
        </w:rPr>
        <w:t xml:space="preserve">Why Computer Skills Matter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Improved Reasearch Skills: Digital tools like online libraries and databases can make research easier and faster. With good computer skills students can find and use information from numerous different sources.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Thinking Critically and Solving Problems: Digital tools can help us think critically. We can analyze data, run experiments, and come up with new ideas. This helps us understand complex problems and find creative solutions.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Working Together and Learning Together: Online tools allow easier collaboration between students, regardless of distance. This creates a sense of comradeship and encourages students to share ideas and knowledge between themselves.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Being Smart Online: Computer skills extend beyond technical skills. It also includes the ability to evaluate digital information critically, recognize misinformation, and protect personal information online. </w:t>
      </w:r>
    </w:p>
    <w:p>
      <w:pPr>
        <w:keepNext w:val="true"/>
        <w:keepLines w:val="true"/>
        <w:spacing w:before="360" w:after="80" w:line="278"/>
        <w:ind w:right="0" w:left="0" w:firstLine="0"/>
        <w:jc w:val="left"/>
        <w:rPr>
          <w:rFonts w:ascii="Arial" w:hAnsi="Arial" w:cs="Arial" w:eastAsia="Arial"/>
          <w:b/>
          <w:color w:val="auto"/>
          <w:spacing w:val="0"/>
          <w:position w:val="0"/>
          <w:sz w:val="24"/>
          <w:u w:val="single"/>
          <w:shd w:fill="auto" w:val="clear"/>
        </w:rPr>
      </w:pP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u w:val="single"/>
          <w:shd w:fill="auto" w:val="clear"/>
        </w:rPr>
        <w:t xml:space="preserve">Challenges and Strategies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Technology gap: Unequal access to technology can hinder students’ ability to develop critical digital skills.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Lack of IT skills: Many students lack basic computer skills, such as sending emails and internet browsing.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Lack of Confidence: Some students may not be confident in their IT skills causing them to develop anxiety and further leading to them avoiding the use of computers </w:t>
      </w:r>
      <w:r>
        <w:rPr>
          <w:rFonts w:ascii="Arial" w:hAnsi="Arial" w:cs="Arial" w:eastAsia="Arial"/>
          <w:i/>
          <w:color w:val="auto"/>
          <w:spacing w:val="0"/>
          <w:position w:val="0"/>
          <w:sz w:val="24"/>
          <w:shd w:fill="auto" w:val="clear"/>
        </w:rPr>
        <w:t xml:space="preserve">(Wilson, M.L. et al. 2023)</w:t>
      </w:r>
      <w:r>
        <w:rPr>
          <w:rFonts w:ascii="Arial" w:hAnsi="Arial" w:cs="Arial" w:eastAsia="Arial"/>
          <w:color w:val="auto"/>
          <w:spacing w:val="0"/>
          <w:position w:val="0"/>
          <w:sz w:val="24"/>
          <w:shd w:fill="auto" w:val="clear"/>
        </w:rPr>
        <w:t xml:space="preserve">.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combat these challenges institutions, need can implement the following strategies: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Adding computer skills into the curriculum: Incorporate computer skills into various courses to make sure students develop the necessary skills.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Utilize Technology in the Classroom: Use technology when teaching to demonstrate its applications and encourage the students to engage in its use.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Implement Targeted Training: Give the students the opportunity to participate in extracurricular activities that will aid them in the development of specific skills, such as composing emails, analyzing data, and internet browsing.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Develop a Growth Mindset: Encourage students to strive for a continuous growth and development of their digital skills </w:t>
      </w:r>
      <w:r>
        <w:rPr>
          <w:rFonts w:ascii="Arial" w:hAnsi="Arial" w:cs="Arial" w:eastAsia="Arial"/>
          <w:i/>
          <w:color w:val="auto"/>
          <w:spacing w:val="0"/>
          <w:position w:val="0"/>
          <w:sz w:val="24"/>
          <w:shd w:fill="auto" w:val="clear"/>
        </w:rPr>
        <w:t xml:space="preserve">(Burnette, J.L. et al. 2020)</w:t>
      </w:r>
      <w:r>
        <w:rPr>
          <w:rFonts w:ascii="Arial" w:hAnsi="Arial" w:cs="Arial" w:eastAsia="Arial"/>
          <w:color w:val="auto"/>
          <w:spacing w:val="0"/>
          <w:position w:val="0"/>
          <w:sz w:val="24"/>
          <w:shd w:fill="auto" w:val="clear"/>
        </w:rPr>
        <w:t xml:space="preserve">.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Encourage Self Directed Learning: Advise students to browse online resources, tutorials, and online courses so they may grow independently.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Administrate Tech Support: Provide students with technical support services to aid them with any technical issues they may be facing.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Assistive Technology: Provide assistive technology to students with disabilities, such as screen readers, speech to text tools, and braille displays.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By prioritizing computer skills and implementing efficient strategies, institutions can empower students to flourish in the digital age and achieve academic success. By equipping students with the necessary digital literacy skills, we can make sure that they are well prepared to navigate through the difficulties of the 21st century and contribute to society. </w:t>
      </w:r>
    </w:p>
    <w:p>
      <w:pPr>
        <w:keepNext w:val="true"/>
        <w:keepLines w:val="true"/>
        <w:spacing w:before="360" w:after="80" w:line="278"/>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fully realize the potential of technology in education it is important to address the technology gap and give equal access to digital resources to all students. By providing students with the necessary tools and internet connectivity we can create an equally challenging playing field and give every student an equal chance to succeed </w:t>
      </w:r>
      <w:r>
        <w:rPr>
          <w:rFonts w:ascii="Arial" w:hAnsi="Arial" w:cs="Arial" w:eastAsia="Arial"/>
          <w:i/>
          <w:color w:val="auto"/>
          <w:spacing w:val="0"/>
          <w:position w:val="0"/>
          <w:sz w:val="24"/>
          <w:shd w:fill="auto" w:val="clear"/>
        </w:rPr>
        <w:t xml:space="preserve">(Habibi, Sofyan, &amp; Mukminin, 2023)</w:t>
      </w:r>
      <w:r>
        <w:rPr>
          <w:rFonts w:ascii="Arial" w:hAnsi="Arial" w:cs="Arial" w:eastAsia="Arial"/>
          <w:color w:val="auto"/>
          <w:spacing w:val="0"/>
          <w:position w:val="0"/>
          <w:sz w:val="24"/>
          <w:shd w:fill="auto" w:val="clear"/>
        </w:rPr>
        <w:t xml:space="preserve">. </w:t>
      </w:r>
    </w:p>
    <w:p>
      <w:pPr>
        <w:keepNext w:val="true"/>
        <w:keepLines w:val="true"/>
        <w:spacing w:before="360" w:after="80" w:line="278"/>
        <w:ind w:right="0" w:left="0" w:firstLine="0"/>
        <w:jc w:val="left"/>
        <w:rPr>
          <w:rFonts w:ascii="Calibri" w:hAnsi="Calibri" w:cs="Calibri" w:eastAsia="Calibri"/>
          <w:color w:val="auto"/>
          <w:spacing w:val="0"/>
          <w:position w:val="0"/>
          <w:sz w:val="40"/>
          <w:shd w:fill="auto" w:val="clear"/>
        </w:rPr>
      </w:pPr>
      <w:r>
        <w:rPr>
          <w:rFonts w:ascii="Arial" w:hAnsi="Arial" w:cs="Arial" w:eastAsia="Arial"/>
          <w:color w:val="auto"/>
          <w:spacing w:val="0"/>
          <w:position w:val="0"/>
          <w:sz w:val="24"/>
          <w:shd w:fill="auto" w:val="clear"/>
        </w:rPr>
        <w:t xml:space="preserve">Furthermore, it is crucial to offer assistive technologies as to not limit the potential of their more challenged students, this would further create an inclusive learning environment for all students </w:t>
      </w:r>
      <w:r>
        <w:rPr>
          <w:rFonts w:ascii="Arial" w:hAnsi="Arial" w:cs="Arial" w:eastAsia="Arial"/>
          <w:i/>
          <w:color w:val="auto"/>
          <w:spacing w:val="0"/>
          <w:position w:val="0"/>
          <w:sz w:val="24"/>
          <w:shd w:fill="auto" w:val="clear"/>
        </w:rPr>
        <w:t xml:space="preserve">(SMITH, S. et al. 2020)</w:t>
      </w:r>
      <w:r>
        <w:rPr>
          <w:rFonts w:ascii="Arial" w:hAnsi="Arial" w:cs="Arial" w:eastAsia="Arial"/>
          <w:color w:val="auto"/>
          <w:spacing w:val="0"/>
          <w:position w:val="0"/>
          <w:sz w:val="24"/>
          <w:shd w:fill="auto" w:val="clear"/>
        </w:rPr>
        <w:t xml:space="preserve">.                                   </w:t>
      </w:r>
    </w:p>
    <w:p>
      <w:pPr>
        <w:keepNext w:val="true"/>
        <w:keepLines w:val="true"/>
        <w:spacing w:before="160" w:after="80" w:line="278"/>
        <w:ind w:right="0" w:left="0" w:firstLine="0"/>
        <w:jc w:val="left"/>
        <w:rPr>
          <w:rFonts w:ascii="Aptos Display" w:hAnsi="Aptos Display" w:cs="Aptos Display" w:eastAsia="Aptos Display"/>
          <w:color w:val="0F4761"/>
          <w:spacing w:val="0"/>
          <w:position w:val="0"/>
          <w:sz w:val="32"/>
          <w:shd w:fill="auto" w:val="clear"/>
        </w:rPr>
      </w:pPr>
      <w:r>
        <w:rPr>
          <w:rFonts w:ascii="Aptos Display" w:hAnsi="Aptos Display" w:cs="Aptos Display" w:eastAsia="Aptos Display"/>
          <w:color w:val="0F4761"/>
          <w:spacing w:val="0"/>
          <w:position w:val="0"/>
          <w:sz w:val="32"/>
          <w:shd w:fill="auto" w:val="clear"/>
        </w:rPr>
        <w:t xml:space="preserve">Reference List</w:t>
      </w:r>
    </w:p>
    <w:p>
      <w:pPr>
        <w:spacing w:before="0" w:after="200" w:line="276"/>
        <w:ind w:right="0" w:left="0" w:firstLine="0"/>
        <w:jc w:val="left"/>
        <w:rPr>
          <w:rFonts w:ascii="Arial" w:hAnsi="Arial" w:cs="Arial" w:eastAsia="Arial"/>
          <w:color w:val="auto"/>
          <w:spacing w:val="0"/>
          <w:position w:val="0"/>
          <w:sz w:val="22"/>
          <w:shd w:fill="auto" w:val="clear"/>
        </w:rPr>
      </w:pPr>
      <w:r>
        <w:rPr>
          <w:rFonts w:ascii="Calibri" w:hAnsi="Calibri" w:cs="Calibri" w:eastAsia="Calibri"/>
          <w:color w:val="auto"/>
          <w:spacing w:val="0"/>
          <w:position w:val="0"/>
          <w:sz w:val="22"/>
          <w:shd w:fill="auto" w:val="clear"/>
        </w:rPr>
        <w:t xml:space="preserve">Sander, I. (2024) Critical Datafication Literacy</w:t>
      </w:r>
      <w:r>
        <w:rPr>
          <w:rFonts w:ascii="Arial" w:hAnsi="Arial" w:cs="Arial" w:eastAsia="Arial"/>
          <w:color w:val="auto"/>
          <w:spacing w:val="0"/>
          <w:position w:val="0"/>
          <w:sz w:val="22"/>
          <w:shd w:fill="auto" w:val="clear"/>
        </w:rPr>
        <w:t xml:space="preserve"> : A Framework and Practical Approaches. 1st ed. Bielefeld: transcript Verlag. </w:t>
      </w:r>
    </w:p>
    <w:p>
      <w:pPr>
        <w:spacing w:before="0" w:after="200" w:line="276"/>
        <w:ind w:right="0" w:left="0" w:firstLine="0"/>
        <w:jc w:val="left"/>
        <w:rPr>
          <w:rFonts w:ascii="Arial" w:hAnsi="Arial" w:cs="Arial" w:eastAsia="Arial"/>
          <w:color w:val="auto"/>
          <w:spacing w:val="0"/>
          <w:position w:val="0"/>
          <w:sz w:val="22"/>
          <w:shd w:fill="auto" w:val="clear"/>
        </w:rPr>
      </w:pPr>
    </w:p>
    <w:p>
      <w:pPr>
        <w:spacing w:before="0" w:after="20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Altlnay F (ed.) (2020) The Role of Technology in Education. IntechOpen. Available at: </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http://dx.doi.org/10.5772/intechopen.77620</w:t>
        </w:r>
      </w:hyperlink>
      <w:r>
        <w:rPr>
          <w:rFonts w:ascii="Arial" w:hAnsi="Arial" w:cs="Arial" w:eastAsia="Arial"/>
          <w:color w:val="auto"/>
          <w:spacing w:val="0"/>
          <w:position w:val="0"/>
          <w:sz w:val="22"/>
          <w:shd w:fill="auto" w:val="clear"/>
        </w:rPr>
        <w:t xml:space="preserve">. </w:t>
      </w:r>
    </w:p>
    <w:p>
      <w:pPr>
        <w:spacing w:before="0" w:after="200" w:line="276"/>
        <w:ind w:right="0" w:left="0" w:firstLine="0"/>
        <w:jc w:val="left"/>
        <w:rPr>
          <w:rFonts w:ascii="Arial" w:hAnsi="Arial" w:cs="Arial" w:eastAsia="Arial"/>
          <w:color w:val="auto"/>
          <w:spacing w:val="0"/>
          <w:position w:val="0"/>
          <w:sz w:val="22"/>
          <w:shd w:fill="auto" w:val="clear"/>
        </w:rPr>
      </w:pPr>
    </w:p>
    <w:p>
      <w:pPr>
        <w:spacing w:before="0" w:after="20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Wilson, M.L. et al. (2023) ‘Development of the Abbreviated Technology Anxiety Scale (ATAS)’, Behavior research methods, 55(1), pp. 185</w:t>
      </w:r>
      <w:r>
        <w:rPr>
          <w:rFonts w:ascii="Arial" w:hAnsi="Arial" w:cs="Arial" w:eastAsia="Arial"/>
          <w:color w:val="auto"/>
          <w:spacing w:val="0"/>
          <w:position w:val="0"/>
          <w:sz w:val="22"/>
          <w:shd w:fill="auto" w:val="clear"/>
        </w:rPr>
        <w:t xml:space="preserve">–199. Available at: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https://doi.org/10.3758/s13428-022-01820-9</w:t>
        </w:r>
      </w:hyperlink>
      <w:r>
        <w:rPr>
          <w:rFonts w:ascii="Arial" w:hAnsi="Arial" w:cs="Arial" w:eastAsia="Arial"/>
          <w:color w:val="auto"/>
          <w:spacing w:val="0"/>
          <w:position w:val="0"/>
          <w:sz w:val="22"/>
          <w:shd w:fill="auto" w:val="clear"/>
        </w:rPr>
        <w:t xml:space="preserve">. </w:t>
      </w:r>
    </w:p>
    <w:p>
      <w:pPr>
        <w:spacing w:before="0" w:after="200" w:line="276"/>
        <w:ind w:right="0" w:left="0" w:firstLine="0"/>
        <w:jc w:val="left"/>
        <w:rPr>
          <w:rFonts w:ascii="Arial" w:hAnsi="Arial" w:cs="Arial" w:eastAsia="Arial"/>
          <w:color w:val="auto"/>
          <w:spacing w:val="0"/>
          <w:position w:val="0"/>
          <w:sz w:val="22"/>
          <w:shd w:fill="auto" w:val="clear"/>
        </w:rPr>
      </w:pPr>
    </w:p>
    <w:p>
      <w:pPr>
        <w:spacing w:before="0" w:after="20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Burnette, J.L. et al. (2020) ‘A Growth Mindset Intervention: Enhancing Students’ Entrepreneurial Self-Efficacy and Career Development’, Entrepreneurship theory and practice, 44(5), pp. 878–908. Available at: </w:t>
      </w:r>
      <w:hyperlink xmlns:r="http://schemas.openxmlformats.org/officeDocument/2006/relationships" r:id="docRId7">
        <w:r>
          <w:rPr>
            <w:rFonts w:ascii="Arial" w:hAnsi="Arial" w:cs="Arial" w:eastAsia="Arial"/>
            <w:color w:val="0000FF"/>
            <w:spacing w:val="0"/>
            <w:position w:val="0"/>
            <w:sz w:val="22"/>
            <w:u w:val="single"/>
            <w:shd w:fill="auto" w:val="clear"/>
          </w:rPr>
          <w:t xml:space="preserve">https://doi.org/10.1177/1042258719864293</w:t>
        </w:r>
      </w:hyperlink>
      <w:r>
        <w:rPr>
          <w:rFonts w:ascii="Arial" w:hAnsi="Arial" w:cs="Arial" w:eastAsia="Arial"/>
          <w:color w:val="auto"/>
          <w:spacing w:val="0"/>
          <w:position w:val="0"/>
          <w:sz w:val="22"/>
          <w:shd w:fill="auto" w:val="clear"/>
        </w:rPr>
        <w:t xml:space="preserve">. </w:t>
      </w:r>
    </w:p>
    <w:p>
      <w:pPr>
        <w:spacing w:before="0" w:after="200" w:line="276"/>
        <w:ind w:right="0" w:left="0" w:firstLine="0"/>
        <w:jc w:val="left"/>
        <w:rPr>
          <w:rFonts w:ascii="Arial" w:hAnsi="Arial" w:cs="Arial" w:eastAsia="Arial"/>
          <w:color w:val="auto"/>
          <w:spacing w:val="0"/>
          <w:position w:val="0"/>
          <w:sz w:val="22"/>
          <w:shd w:fill="auto" w:val="clear"/>
        </w:rPr>
      </w:pPr>
    </w:p>
    <w:p>
      <w:pPr>
        <w:spacing w:before="0" w:after="20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Habibi, A., Sofyan, S. and Mukminin, A. (2023) ‘Factors affecting digital technology access in vocational education’, Scientific reports, 13(1), pp. 5682–5682. Available at: </w:t>
      </w:r>
      <w:hyperlink xmlns:r="http://schemas.openxmlformats.org/officeDocument/2006/relationships" r:id="docRId8">
        <w:r>
          <w:rPr>
            <w:rFonts w:ascii="Arial" w:hAnsi="Arial" w:cs="Arial" w:eastAsia="Arial"/>
            <w:color w:val="0000FF"/>
            <w:spacing w:val="0"/>
            <w:position w:val="0"/>
            <w:sz w:val="22"/>
            <w:u w:val="single"/>
            <w:shd w:fill="auto" w:val="clear"/>
          </w:rPr>
          <w:t xml:space="preserve">https://doi.org/10.1038/s41598-023-32755-6</w:t>
        </w:r>
      </w:hyperlink>
      <w:r>
        <w:rPr>
          <w:rFonts w:ascii="Arial" w:hAnsi="Arial" w:cs="Arial" w:eastAsia="Arial"/>
          <w:color w:val="auto"/>
          <w:spacing w:val="0"/>
          <w:position w:val="0"/>
          <w:sz w:val="22"/>
          <w:shd w:fill="auto" w:val="clear"/>
        </w:rPr>
        <w:t xml:space="preserve">. </w:t>
      </w:r>
    </w:p>
    <w:p>
      <w:pPr>
        <w:spacing w:before="0" w:after="200" w:line="276"/>
        <w:ind w:right="0" w:left="0" w:firstLine="0"/>
        <w:jc w:val="left"/>
        <w:rPr>
          <w:rFonts w:ascii="Arial" w:hAnsi="Arial" w:cs="Arial" w:eastAsia="Arial"/>
          <w:color w:val="auto"/>
          <w:spacing w:val="0"/>
          <w:position w:val="0"/>
          <w:sz w:val="22"/>
          <w:shd w:fill="auto" w:val="clear"/>
        </w:rPr>
      </w:pPr>
    </w:p>
    <w:p>
      <w:pPr>
        <w:spacing w:before="0" w:after="200" w:line="276"/>
        <w:ind w:right="0" w:left="0" w:firstLine="0"/>
        <w:jc w:val="left"/>
        <w:rPr>
          <w:rFonts w:ascii="Aptos Display" w:hAnsi="Aptos Display" w:cs="Aptos Display" w:eastAsia="Aptos Display"/>
          <w:color w:val="0F4761"/>
          <w:spacing w:val="0"/>
          <w:position w:val="0"/>
          <w:sz w:val="40"/>
          <w:shd w:fill="auto" w:val="clear"/>
        </w:rPr>
      </w:pPr>
      <w:r>
        <w:rPr>
          <w:rFonts w:ascii="Arial" w:hAnsi="Arial" w:cs="Arial" w:eastAsia="Arial"/>
          <w:color w:val="auto"/>
          <w:spacing w:val="0"/>
          <w:position w:val="0"/>
          <w:sz w:val="22"/>
          <w:shd w:fill="auto" w:val="clear"/>
        </w:rPr>
        <w:t xml:space="preserve">SMITH, S., PHD., ROWLAND, A., PHD., LOWREY, K.A., CRAIG-HARE, J. and FREY, B., PHD., 2024. Integrating Assistive Technology into the Writing Process: An Example for Future Implications. Assistive Technology Outcomes &amp; Benefits, 18, pp. 36-50.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i.org/10.1002/rev3.3339" Id="docRId3" Type="http://schemas.openxmlformats.org/officeDocument/2006/relationships/hyperlink" /><Relationship TargetMode="External" Target="https://doi.org/10.1177/1042258719864293" Id="docRId7" Type="http://schemas.openxmlformats.org/officeDocument/2006/relationships/hyperlink" /><Relationship Target="embeddings/oleObject0.bin" Id="docRId0" Type="http://schemas.openxmlformats.org/officeDocument/2006/relationships/oleObject" /><Relationship Target="styles.xml" Id="docRId10" Type="http://schemas.openxmlformats.org/officeDocument/2006/relationships/styles" /><Relationship TargetMode="External" Target="https://doi.org/10.1080/15236803.2020.1771990" Id="docRId2" Type="http://schemas.openxmlformats.org/officeDocument/2006/relationships/hyperlink" /><Relationship TargetMode="External" Target="https://doi.org/10.1177/07356331221094250" Id="docRId4" Type="http://schemas.openxmlformats.org/officeDocument/2006/relationships/hyperlink" /><Relationship TargetMode="External" Target="https://doi.org/10.3758/s13428-022-01820-9" Id="docRId6" Type="http://schemas.openxmlformats.org/officeDocument/2006/relationships/hyperlink" /><Relationship TargetMode="External" Target="https://doi.org/10.1038/s41598-023-32755-6" Id="docRId8" Type="http://schemas.openxmlformats.org/officeDocument/2006/relationships/hyperlink" /><Relationship Target="media/image0.wmf" Id="docRId1" Type="http://schemas.openxmlformats.org/officeDocument/2006/relationships/image" /><Relationship TargetMode="External" Target="http://dx.doi.org/10.5772/intechopen.77620" Id="docRId5" Type="http://schemas.openxmlformats.org/officeDocument/2006/relationships/hyperlink" /><Relationship Target="numbering.xml" Id="docRId9" Type="http://schemas.openxmlformats.org/officeDocument/2006/relationships/numbering" /></Relationships>
</file>