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4353812"/>
        <w:docPartObj>
          <w:docPartGallery w:val="Cover Pages"/>
          <w:docPartUnique/>
        </w:docPartObj>
      </w:sdtPr>
      <w:sdtEndPr/>
      <w:sdtContent>
        <w:p w14:paraId="22D4A61F" w14:textId="0E0CF8D8" w:rsidR="002135F5" w:rsidRDefault="002135F5">
          <w:r>
            <w:rPr>
              <w:noProof/>
            </w:rPr>
            <mc:AlternateContent>
              <mc:Choice Requires="wpg">
                <w:drawing>
                  <wp:anchor distT="0" distB="0" distL="114300" distR="114300" simplePos="0" relativeHeight="251659264" behindDoc="0" locked="0" layoutInCell="1" allowOverlap="1" wp14:anchorId="36C7FE4A" wp14:editId="31731D53">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4-06T00:00:00Z">
                                      <w:dateFormat w:val="yyyy"/>
                                      <w:lid w:val="en-US"/>
                                      <w:storeMappedDataAs w:val="dateTime"/>
                                      <w:calendar w:val="gregorian"/>
                                    </w:date>
                                  </w:sdtPr>
                                  <w:sdtEndPr/>
                                  <w:sdtContent>
                                    <w:p w14:paraId="7DE32598" w14:textId="7A97FC7E" w:rsidR="002135F5" w:rsidRDefault="002135F5">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CFBBCB6" w14:textId="66BCE4A9" w:rsidR="002135F5" w:rsidRDefault="002135F5" w:rsidP="002135F5">
                                      <w:pPr>
                                        <w:pStyle w:val="NoSpacing"/>
                                        <w:spacing w:line="480" w:lineRule="auto"/>
                                        <w:rPr>
                                          <w:color w:val="FFFFFF" w:themeColor="background1"/>
                                        </w:rPr>
                                      </w:pPr>
                                      <w:r w:rsidRPr="002135F5">
                                        <w:rPr>
                                          <w:rFonts w:ascii="Arial" w:hAnsi="Arial" w:cs="Arial"/>
                                          <w:color w:val="FFFFFF" w:themeColor="background1"/>
                                          <w:sz w:val="24"/>
                                          <w:szCs w:val="24"/>
                                        </w:rPr>
                                        <w:t>Mel Box (2003707)</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10838F8D" w14:textId="4B0CBC87" w:rsidR="002135F5" w:rsidRDefault="002135F5">
                                      <w:pPr>
                                        <w:pStyle w:val="NoSpacing"/>
                                        <w:spacing w:line="360" w:lineRule="auto"/>
                                        <w:rPr>
                                          <w:color w:val="FFFFFF" w:themeColor="background1"/>
                                        </w:rPr>
                                      </w:pPr>
                                      <w:r>
                                        <w:rPr>
                                          <w:color w:val="FFFFFF" w:themeColor="background1"/>
                                        </w:rPr>
                                        <w:t>BMLW5001.</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4-06T00:00:00Z">
                                      <w:dateFormat w:val="M/d/yyyy"/>
                                      <w:lid w:val="en-US"/>
                                      <w:storeMappedDataAs w:val="dateTime"/>
                                      <w:calendar w:val="gregorian"/>
                                    </w:date>
                                  </w:sdtPr>
                                  <w:sdtEndPr/>
                                  <w:sdtContent>
                                    <w:p w14:paraId="2226CA66" w14:textId="610B57C0" w:rsidR="002135F5" w:rsidRDefault="00B82A64">
                                      <w:pPr>
                                        <w:pStyle w:val="NoSpacing"/>
                                        <w:spacing w:line="360" w:lineRule="auto"/>
                                        <w:rPr>
                                          <w:color w:val="FFFFFF" w:themeColor="background1"/>
                                        </w:rPr>
                                      </w:pPr>
                                      <w:r>
                                        <w:rPr>
                                          <w:color w:val="FFFFFF" w:themeColor="background1"/>
                                        </w:rPr>
                                        <w:t>4/6/2022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6C7FE4A"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5"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4-06T00:00:00Z">
                                <w:dateFormat w:val="yyyy"/>
                                <w:lid w:val="en-US"/>
                                <w:storeMappedDataAs w:val="dateTime"/>
                                <w:calendar w:val="gregorian"/>
                              </w:date>
                            </w:sdtPr>
                            <w:sdtEndPr/>
                            <w:sdtContent>
                              <w:p w14:paraId="7DE32598" w14:textId="7A97FC7E" w:rsidR="002135F5" w:rsidRDefault="002135F5">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CFBBCB6" w14:textId="66BCE4A9" w:rsidR="002135F5" w:rsidRDefault="002135F5" w:rsidP="002135F5">
                                <w:pPr>
                                  <w:pStyle w:val="NoSpacing"/>
                                  <w:spacing w:line="480" w:lineRule="auto"/>
                                  <w:rPr>
                                    <w:color w:val="FFFFFF" w:themeColor="background1"/>
                                  </w:rPr>
                                </w:pPr>
                                <w:r w:rsidRPr="002135F5">
                                  <w:rPr>
                                    <w:rFonts w:ascii="Arial" w:hAnsi="Arial" w:cs="Arial"/>
                                    <w:color w:val="FFFFFF" w:themeColor="background1"/>
                                    <w:sz w:val="24"/>
                                    <w:szCs w:val="24"/>
                                  </w:rPr>
                                  <w:t>Mel Box (2003707)</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10838F8D" w14:textId="4B0CBC87" w:rsidR="002135F5" w:rsidRDefault="002135F5">
                                <w:pPr>
                                  <w:pStyle w:val="NoSpacing"/>
                                  <w:spacing w:line="360" w:lineRule="auto"/>
                                  <w:rPr>
                                    <w:color w:val="FFFFFF" w:themeColor="background1"/>
                                  </w:rPr>
                                </w:pPr>
                                <w:r>
                                  <w:rPr>
                                    <w:color w:val="FFFFFF" w:themeColor="background1"/>
                                  </w:rPr>
                                  <w:t>BMLW5001.</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4-06T00:00:00Z">
                                <w:dateFormat w:val="M/d/yyyy"/>
                                <w:lid w:val="en-US"/>
                                <w:storeMappedDataAs w:val="dateTime"/>
                                <w:calendar w:val="gregorian"/>
                              </w:date>
                            </w:sdtPr>
                            <w:sdtEndPr/>
                            <w:sdtContent>
                              <w:p w14:paraId="2226CA66" w14:textId="610B57C0" w:rsidR="002135F5" w:rsidRDefault="00B82A64">
                                <w:pPr>
                                  <w:pStyle w:val="NoSpacing"/>
                                  <w:spacing w:line="360" w:lineRule="auto"/>
                                  <w:rPr>
                                    <w:color w:val="FFFFFF" w:themeColor="background1"/>
                                  </w:rPr>
                                </w:pPr>
                                <w:r>
                                  <w:rPr>
                                    <w:color w:val="FFFFFF" w:themeColor="background1"/>
                                  </w:rPr>
                                  <w:t>4/6/2022</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2838B4B9" wp14:editId="2279E032">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72A637B" w14:textId="33322BBA" w:rsidR="002135F5" w:rsidRDefault="002135F5">
                                    <w:pPr>
                                      <w:pStyle w:val="NoSpacing"/>
                                      <w:jc w:val="right"/>
                                      <w:rPr>
                                        <w:color w:val="FFFFFF" w:themeColor="background1"/>
                                        <w:sz w:val="72"/>
                                        <w:szCs w:val="72"/>
                                      </w:rPr>
                                    </w:pPr>
                                    <w:r>
                                      <w:rPr>
                                        <w:color w:val="FFFFFF" w:themeColor="background1"/>
                                        <w:sz w:val="72"/>
                                        <w:szCs w:val="72"/>
                                      </w:rPr>
                                      <w:t>Understanding Crime, Justice and Punishment.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2838B4B9"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72A637B" w14:textId="33322BBA" w:rsidR="002135F5" w:rsidRDefault="002135F5">
                              <w:pPr>
                                <w:pStyle w:val="NoSpacing"/>
                                <w:jc w:val="right"/>
                                <w:rPr>
                                  <w:color w:val="FFFFFF" w:themeColor="background1"/>
                                  <w:sz w:val="72"/>
                                  <w:szCs w:val="72"/>
                                </w:rPr>
                              </w:pPr>
                              <w:r>
                                <w:rPr>
                                  <w:color w:val="FFFFFF" w:themeColor="background1"/>
                                  <w:sz w:val="72"/>
                                  <w:szCs w:val="72"/>
                                </w:rPr>
                                <w:t>Understanding Crime, Justice and Punishment.</w:t>
                              </w:r>
                            </w:p>
                          </w:sdtContent>
                        </w:sdt>
                      </w:txbxContent>
                    </v:textbox>
                    <w10:wrap anchorx="page" anchory="page"/>
                  </v:rect>
                </w:pict>
              </mc:Fallback>
            </mc:AlternateContent>
          </w:r>
        </w:p>
        <w:p w14:paraId="62163D49" w14:textId="0C88E0FF" w:rsidR="002135F5" w:rsidRDefault="002135F5">
          <w:r>
            <w:rPr>
              <w:noProof/>
            </w:rPr>
            <w:drawing>
              <wp:anchor distT="0" distB="0" distL="114300" distR="114300" simplePos="0" relativeHeight="251660288" behindDoc="0" locked="0" layoutInCell="0" allowOverlap="1" wp14:anchorId="389AA07A" wp14:editId="1F0B38A5">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6">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2BB2B7D9" w14:textId="68A2B19C" w:rsidR="002135F5" w:rsidRDefault="002135F5" w:rsidP="002135F5">
      <w:pPr>
        <w:spacing w:line="480" w:lineRule="auto"/>
        <w:rPr>
          <w:rFonts w:ascii="Arial" w:hAnsi="Arial" w:cs="Arial"/>
          <w:sz w:val="24"/>
          <w:szCs w:val="24"/>
        </w:rPr>
      </w:pPr>
      <w:r>
        <w:rPr>
          <w:rFonts w:ascii="Arial" w:hAnsi="Arial" w:cs="Arial"/>
          <w:sz w:val="24"/>
          <w:szCs w:val="24"/>
        </w:rPr>
        <w:lastRenderedPageBreak/>
        <w:t xml:space="preserve">This assignment is based upon whether male and female offenders are treated differently within the Criminal Justice system in England and Wales, and if </w:t>
      </w:r>
      <w:r w:rsidR="00B82A64">
        <w:rPr>
          <w:rFonts w:ascii="Arial" w:hAnsi="Arial" w:cs="Arial"/>
          <w:sz w:val="24"/>
          <w:szCs w:val="24"/>
        </w:rPr>
        <w:t>so,</w:t>
      </w:r>
      <w:r>
        <w:rPr>
          <w:rFonts w:ascii="Arial" w:hAnsi="Arial" w:cs="Arial"/>
          <w:sz w:val="24"/>
          <w:szCs w:val="24"/>
        </w:rPr>
        <w:t xml:space="preserve"> does this matter? </w:t>
      </w:r>
    </w:p>
    <w:p w14:paraId="12329E18" w14:textId="7515FFC7" w:rsidR="002135F5" w:rsidRDefault="002135F5" w:rsidP="002135F5">
      <w:pPr>
        <w:spacing w:line="480" w:lineRule="auto"/>
        <w:rPr>
          <w:rFonts w:ascii="Arial" w:hAnsi="Arial" w:cs="Arial"/>
          <w:sz w:val="24"/>
          <w:szCs w:val="24"/>
        </w:rPr>
      </w:pPr>
      <w:r>
        <w:rPr>
          <w:rFonts w:ascii="Arial" w:hAnsi="Arial" w:cs="Arial"/>
          <w:sz w:val="24"/>
          <w:szCs w:val="24"/>
        </w:rPr>
        <w:t>If so, why should this matter and if not then why not?</w:t>
      </w:r>
    </w:p>
    <w:p w14:paraId="37881218" w14:textId="3071796E" w:rsidR="002135F5" w:rsidRDefault="002135F5" w:rsidP="002135F5">
      <w:pPr>
        <w:spacing w:line="480" w:lineRule="auto"/>
        <w:rPr>
          <w:rFonts w:ascii="Arial" w:hAnsi="Arial" w:cs="Arial"/>
          <w:sz w:val="24"/>
          <w:szCs w:val="24"/>
        </w:rPr>
      </w:pPr>
      <w:r>
        <w:rPr>
          <w:rFonts w:ascii="Arial" w:hAnsi="Arial" w:cs="Arial"/>
          <w:sz w:val="24"/>
          <w:szCs w:val="24"/>
        </w:rPr>
        <w:t xml:space="preserve">Everyone should be treated the same, regarding their age, </w:t>
      </w:r>
      <w:proofErr w:type="gramStart"/>
      <w:r>
        <w:rPr>
          <w:rFonts w:ascii="Arial" w:hAnsi="Arial" w:cs="Arial"/>
          <w:sz w:val="24"/>
          <w:szCs w:val="24"/>
        </w:rPr>
        <w:t>sex</w:t>
      </w:r>
      <w:proofErr w:type="gramEnd"/>
      <w:r>
        <w:rPr>
          <w:rFonts w:ascii="Arial" w:hAnsi="Arial" w:cs="Arial"/>
          <w:sz w:val="24"/>
          <w:szCs w:val="24"/>
        </w:rPr>
        <w:t xml:space="preserve"> or what offence they are being charged with. The punishment should fit the crime regardless of gender, not the other way around.</w:t>
      </w:r>
    </w:p>
    <w:p w14:paraId="0C4C2EEE" w14:textId="5ECCA858" w:rsidR="002135F5" w:rsidRDefault="002135F5" w:rsidP="002135F5">
      <w:pPr>
        <w:spacing w:line="480" w:lineRule="auto"/>
        <w:rPr>
          <w:rFonts w:ascii="Arial" w:hAnsi="Arial" w:cs="Arial"/>
          <w:sz w:val="24"/>
          <w:szCs w:val="24"/>
        </w:rPr>
      </w:pPr>
      <w:r>
        <w:rPr>
          <w:rFonts w:ascii="Arial" w:hAnsi="Arial" w:cs="Arial"/>
          <w:sz w:val="24"/>
          <w:szCs w:val="24"/>
        </w:rPr>
        <w:t>In the 2019 right up to the year 2020, there was a big difference between males (63.4 %) and that of females (57.3 %) who were aware that the criminal justice system to be fair and to also be seen in previous years too. In this same year,</w:t>
      </w:r>
      <w:r w:rsidR="00213EA2">
        <w:rPr>
          <w:rFonts w:ascii="Arial" w:hAnsi="Arial" w:cs="Arial"/>
          <w:sz w:val="24"/>
          <w:szCs w:val="24"/>
        </w:rPr>
        <w:t xml:space="preserve"> 51.7% of most adults were aware that the criminal justice system was as still as effective, this did not differ significantly between the sexes.</w:t>
      </w:r>
    </w:p>
    <w:p w14:paraId="10BC1CC0" w14:textId="059959FF" w:rsidR="00346FC0" w:rsidRDefault="00213EA2" w:rsidP="002135F5">
      <w:pPr>
        <w:spacing w:line="480" w:lineRule="auto"/>
        <w:rPr>
          <w:rFonts w:ascii="Arial" w:hAnsi="Arial" w:cs="Arial"/>
          <w:sz w:val="24"/>
          <w:szCs w:val="24"/>
        </w:rPr>
      </w:pPr>
      <w:r>
        <w:rPr>
          <w:rFonts w:ascii="Arial" w:hAnsi="Arial" w:cs="Arial"/>
          <w:sz w:val="24"/>
          <w:szCs w:val="24"/>
        </w:rPr>
        <w:t>Gender based discrimination within the criminal justice system can create many significant obstacles to achieve access to justify for all. This though can ten to affect women disproportionately, they would still face a lot of barriers to accessing any forms of justice, whether they are witness</w:t>
      </w:r>
      <w:r w:rsidR="00346FC0">
        <w:rPr>
          <w:rFonts w:ascii="Arial" w:hAnsi="Arial" w:cs="Arial"/>
          <w:sz w:val="24"/>
          <w:szCs w:val="24"/>
        </w:rPr>
        <w:t>, victims, prisoners, or even alleged offenders.</w:t>
      </w:r>
    </w:p>
    <w:p w14:paraId="37C56ABA" w14:textId="448492E6" w:rsidR="00CF7F69" w:rsidRDefault="00346FC0" w:rsidP="002135F5">
      <w:pPr>
        <w:spacing w:line="480" w:lineRule="auto"/>
        <w:rPr>
          <w:rFonts w:ascii="Arial" w:hAnsi="Arial" w:cs="Arial"/>
          <w:sz w:val="24"/>
          <w:szCs w:val="24"/>
        </w:rPr>
      </w:pPr>
      <w:r>
        <w:rPr>
          <w:rFonts w:ascii="Arial" w:hAnsi="Arial" w:cs="Arial"/>
          <w:sz w:val="24"/>
          <w:szCs w:val="24"/>
        </w:rPr>
        <w:t xml:space="preserve">It was stated in 1994 by </w:t>
      </w:r>
      <w:r w:rsidR="00CF7F69">
        <w:rPr>
          <w:rFonts w:ascii="Arial" w:hAnsi="Arial" w:cs="Arial"/>
          <w:sz w:val="24"/>
          <w:szCs w:val="24"/>
        </w:rPr>
        <w:t xml:space="preserve">Newburn and </w:t>
      </w:r>
      <w:proofErr w:type="spellStart"/>
      <w:r w:rsidR="00CF7F69">
        <w:rPr>
          <w:rFonts w:ascii="Arial" w:hAnsi="Arial" w:cs="Arial"/>
          <w:sz w:val="24"/>
          <w:szCs w:val="24"/>
        </w:rPr>
        <w:t>Stanks</w:t>
      </w:r>
      <w:proofErr w:type="spellEnd"/>
      <w:r w:rsidR="00CF7F69">
        <w:rPr>
          <w:rFonts w:ascii="Arial" w:hAnsi="Arial" w:cs="Arial"/>
          <w:sz w:val="24"/>
          <w:szCs w:val="24"/>
        </w:rPr>
        <w:t xml:space="preserve"> that the most significant fact on crime is that it is almost always the men that commit </w:t>
      </w:r>
      <w:proofErr w:type="gramStart"/>
      <w:r w:rsidR="00CF7F69">
        <w:rPr>
          <w:rFonts w:ascii="Arial" w:hAnsi="Arial" w:cs="Arial"/>
          <w:sz w:val="24"/>
          <w:szCs w:val="24"/>
        </w:rPr>
        <w:t>all of</w:t>
      </w:r>
      <w:proofErr w:type="gramEnd"/>
      <w:r w:rsidR="00CF7F69">
        <w:rPr>
          <w:rFonts w:ascii="Arial" w:hAnsi="Arial" w:cs="Arial"/>
          <w:sz w:val="24"/>
          <w:szCs w:val="24"/>
        </w:rPr>
        <w:t xml:space="preserve"> the crimes. The proportion of female offenders to male offenders varied in 2017. The population is fifty - fifty men and women, arrests about twenty per cent would be women. Thirty per cent of women were prosecuted, about the same for convictions of women and less than ten per cent of the prison population are women.</w:t>
      </w:r>
    </w:p>
    <w:p w14:paraId="2D046A9B" w14:textId="086C0DFC" w:rsidR="00B82A64" w:rsidRDefault="00B82A64" w:rsidP="002135F5">
      <w:pPr>
        <w:spacing w:line="480" w:lineRule="auto"/>
        <w:rPr>
          <w:rFonts w:ascii="Arial" w:hAnsi="Arial" w:cs="Arial"/>
          <w:sz w:val="24"/>
          <w:szCs w:val="24"/>
        </w:rPr>
      </w:pPr>
      <w:r>
        <w:rPr>
          <w:rFonts w:ascii="Arial" w:hAnsi="Arial" w:cs="Arial"/>
          <w:sz w:val="24"/>
          <w:szCs w:val="24"/>
        </w:rPr>
        <w:t>(Newburn 2007).</w:t>
      </w:r>
    </w:p>
    <w:p w14:paraId="671E33CC" w14:textId="3B947D6A" w:rsidR="00346FC0" w:rsidRDefault="00CF7F69" w:rsidP="002135F5">
      <w:pPr>
        <w:spacing w:line="480" w:lineRule="auto"/>
        <w:rPr>
          <w:rFonts w:ascii="Arial" w:hAnsi="Arial" w:cs="Arial"/>
          <w:sz w:val="24"/>
          <w:szCs w:val="24"/>
        </w:rPr>
      </w:pPr>
      <w:r>
        <w:rPr>
          <w:rFonts w:ascii="Arial" w:hAnsi="Arial" w:cs="Arial"/>
          <w:sz w:val="24"/>
          <w:szCs w:val="24"/>
        </w:rPr>
        <w:lastRenderedPageBreak/>
        <w:t xml:space="preserve">One feature of the landscape of criminology is that </w:t>
      </w:r>
      <w:proofErr w:type="gramStart"/>
      <w:r>
        <w:rPr>
          <w:rFonts w:ascii="Arial" w:hAnsi="Arial" w:cs="Arial"/>
          <w:sz w:val="24"/>
          <w:szCs w:val="24"/>
        </w:rPr>
        <w:t>the majority of</w:t>
      </w:r>
      <w:proofErr w:type="gramEnd"/>
      <w:r>
        <w:rPr>
          <w:rFonts w:ascii="Arial" w:hAnsi="Arial" w:cs="Arial"/>
          <w:sz w:val="24"/>
          <w:szCs w:val="24"/>
        </w:rPr>
        <w:t xml:space="preserve"> the crimes seem to be undertaken by boys and men. </w:t>
      </w:r>
      <w:r w:rsidR="003B1E4B">
        <w:rPr>
          <w:rFonts w:ascii="Arial" w:hAnsi="Arial" w:cs="Arial"/>
          <w:sz w:val="24"/>
          <w:szCs w:val="24"/>
        </w:rPr>
        <w:t>However,</w:t>
      </w:r>
      <w:r>
        <w:rPr>
          <w:rFonts w:ascii="Arial" w:hAnsi="Arial" w:cs="Arial"/>
          <w:sz w:val="24"/>
          <w:szCs w:val="24"/>
        </w:rPr>
        <w:t xml:space="preserve"> measured the system is,</w:t>
      </w:r>
      <w:r w:rsidR="003B1E4B">
        <w:rPr>
          <w:rFonts w:ascii="Arial" w:hAnsi="Arial" w:cs="Arial"/>
          <w:sz w:val="24"/>
          <w:szCs w:val="24"/>
        </w:rPr>
        <w:t xml:space="preserve"> women are thought to be much less involved in offending. The quantity of women who have convictions tend to be lower at all ages than it would be for all males.</w:t>
      </w:r>
    </w:p>
    <w:p w14:paraId="60139491" w14:textId="34FF81C5" w:rsidR="003B1E4B" w:rsidRDefault="003B1E4B" w:rsidP="002135F5">
      <w:pPr>
        <w:spacing w:line="480" w:lineRule="auto"/>
        <w:rPr>
          <w:rFonts w:ascii="Arial" w:hAnsi="Arial" w:cs="Arial"/>
          <w:sz w:val="24"/>
          <w:szCs w:val="24"/>
        </w:rPr>
      </w:pPr>
      <w:r>
        <w:rPr>
          <w:rFonts w:ascii="Arial" w:hAnsi="Arial" w:cs="Arial"/>
          <w:sz w:val="24"/>
          <w:szCs w:val="24"/>
        </w:rPr>
        <w:t xml:space="preserve">The Home Office used data from people born in </w:t>
      </w:r>
      <w:r w:rsidR="00BE34E3">
        <w:rPr>
          <w:rFonts w:ascii="Arial" w:hAnsi="Arial" w:cs="Arial"/>
          <w:sz w:val="24"/>
          <w:szCs w:val="24"/>
        </w:rPr>
        <w:t>1953 and</w:t>
      </w:r>
      <w:r>
        <w:rPr>
          <w:rFonts w:ascii="Arial" w:hAnsi="Arial" w:cs="Arial"/>
          <w:sz w:val="24"/>
          <w:szCs w:val="24"/>
        </w:rPr>
        <w:t xml:space="preserve"> went on to state that by the age of forty – six, at least thirty – three per cent of males had one conviction which compared to nine per cent of all females. Fast forward five years, to females born in 1958</w:t>
      </w:r>
      <w:r w:rsidR="00BE34E3">
        <w:rPr>
          <w:rFonts w:ascii="Arial" w:hAnsi="Arial" w:cs="Arial"/>
          <w:sz w:val="24"/>
          <w:szCs w:val="24"/>
        </w:rPr>
        <w:t>, and the nine per cent of the women had gone on to receive a conviction by the age of forty, compared to the thirty – two per cent of men.</w:t>
      </w:r>
    </w:p>
    <w:p w14:paraId="49223224" w14:textId="797E1C1A" w:rsidR="005239CA" w:rsidRDefault="005239CA" w:rsidP="002135F5">
      <w:pPr>
        <w:spacing w:line="480" w:lineRule="auto"/>
        <w:rPr>
          <w:rFonts w:ascii="Arial" w:hAnsi="Arial" w:cs="Arial"/>
          <w:sz w:val="24"/>
          <w:szCs w:val="24"/>
        </w:rPr>
      </w:pPr>
      <w:r>
        <w:rPr>
          <w:rFonts w:ascii="Arial" w:hAnsi="Arial" w:cs="Arial"/>
          <w:sz w:val="24"/>
          <w:szCs w:val="24"/>
        </w:rPr>
        <w:t>In their mid-forties at least one per cent of all females will have encountered a prison sentence, males were seven per cent. In the 1990’s, it was said to be found over half of men and nearly one third of women between fourteen and twenty – five acknowledged to committing one or more offences in their lives.</w:t>
      </w:r>
    </w:p>
    <w:p w14:paraId="7608FA44" w14:textId="72569E06" w:rsidR="001F101A" w:rsidRDefault="001F101A" w:rsidP="002135F5">
      <w:pPr>
        <w:spacing w:line="480" w:lineRule="auto"/>
        <w:rPr>
          <w:rFonts w:ascii="Arial" w:hAnsi="Arial" w:cs="Arial"/>
          <w:sz w:val="24"/>
          <w:szCs w:val="24"/>
        </w:rPr>
      </w:pPr>
      <w:r>
        <w:rPr>
          <w:rFonts w:ascii="Arial" w:hAnsi="Arial" w:cs="Arial"/>
          <w:sz w:val="24"/>
          <w:szCs w:val="24"/>
        </w:rPr>
        <w:t xml:space="preserve">In the last quarter of a century consideration has been given to all different roles which are played by both men and women in the commission of crime. Most criminologists are to assume that crime is just a male dominated </w:t>
      </w:r>
      <w:r w:rsidR="00160F9A">
        <w:rPr>
          <w:rFonts w:ascii="Arial" w:hAnsi="Arial" w:cs="Arial"/>
          <w:sz w:val="24"/>
          <w:szCs w:val="24"/>
        </w:rPr>
        <w:t>phenomenon</w:t>
      </w:r>
      <w:r>
        <w:rPr>
          <w:rFonts w:ascii="Arial" w:hAnsi="Arial" w:cs="Arial"/>
          <w:sz w:val="24"/>
          <w:szCs w:val="24"/>
        </w:rPr>
        <w:t>, had also decided largely to ignore any crimes</w:t>
      </w:r>
      <w:r w:rsidR="00160F9A">
        <w:rPr>
          <w:rFonts w:ascii="Arial" w:hAnsi="Arial" w:cs="Arial"/>
          <w:sz w:val="24"/>
          <w:szCs w:val="24"/>
        </w:rPr>
        <w:t xml:space="preserve"> which had been committed by females. There have been many different explanations on any early neglect of women’s crimes. Most criminal statistics have shown women convicted of crimes to a far lesser extent than men. Most offences can be capable of being committed by both male </w:t>
      </w:r>
      <w:r w:rsidR="00613D50">
        <w:rPr>
          <w:rFonts w:ascii="Arial" w:hAnsi="Arial" w:cs="Arial"/>
          <w:sz w:val="24"/>
          <w:szCs w:val="24"/>
        </w:rPr>
        <w:t>and</w:t>
      </w:r>
      <w:r w:rsidR="00160F9A">
        <w:rPr>
          <w:rFonts w:ascii="Arial" w:hAnsi="Arial" w:cs="Arial"/>
          <w:sz w:val="24"/>
          <w:szCs w:val="24"/>
        </w:rPr>
        <w:t xml:space="preserve"> females, even women can be convicted of sexual offences like rape.</w:t>
      </w:r>
    </w:p>
    <w:p w14:paraId="77C505BA" w14:textId="088D4497" w:rsidR="00613D50" w:rsidRDefault="00613D50" w:rsidP="002135F5">
      <w:pPr>
        <w:spacing w:line="480" w:lineRule="auto"/>
        <w:rPr>
          <w:rFonts w:ascii="Arial" w:hAnsi="Arial" w:cs="Arial"/>
          <w:sz w:val="24"/>
          <w:szCs w:val="24"/>
        </w:rPr>
      </w:pPr>
      <w:r>
        <w:rPr>
          <w:rFonts w:ascii="Arial" w:hAnsi="Arial" w:cs="Arial"/>
          <w:sz w:val="24"/>
          <w:szCs w:val="24"/>
        </w:rPr>
        <w:t>Early reports suggested that the statistics would not reveal the true and full extent of crimes committed by females. This was later made apparent by the narrowing of the gap as a large amount of petty offending had been reported.</w:t>
      </w:r>
      <w:r w:rsidR="00E00BFA">
        <w:rPr>
          <w:rFonts w:ascii="Arial" w:hAnsi="Arial" w:cs="Arial"/>
          <w:sz w:val="24"/>
          <w:szCs w:val="24"/>
        </w:rPr>
        <w:t xml:space="preserve"> (Newburn 2007).</w:t>
      </w:r>
    </w:p>
    <w:p w14:paraId="6AAFBD65" w14:textId="67399557" w:rsidR="00A27371" w:rsidRDefault="00A27371" w:rsidP="002135F5">
      <w:pPr>
        <w:spacing w:line="480" w:lineRule="auto"/>
        <w:rPr>
          <w:rFonts w:ascii="Arial" w:hAnsi="Arial" w:cs="Arial"/>
          <w:sz w:val="24"/>
          <w:szCs w:val="24"/>
        </w:rPr>
      </w:pPr>
      <w:r>
        <w:rPr>
          <w:rFonts w:ascii="Arial" w:hAnsi="Arial" w:cs="Arial"/>
          <w:sz w:val="24"/>
          <w:szCs w:val="24"/>
        </w:rPr>
        <w:lastRenderedPageBreak/>
        <w:t xml:space="preserve">Males and females are known to be physically and mentally different so this could be logical to think that both sexes would be different when it comes down to crime. Men are known to be more physically active and aggressive than women. Females tend to have a much better skill in communication than males (women talk too much). Men would show any emotions through things like violence and aggression, whereas women are motherly and can keep their emotions under control. Women are only a small minority in our criminal justice system, about five per cent of these females would be held in custody and at least ten per cent of them are </w:t>
      </w:r>
      <w:proofErr w:type="gramStart"/>
      <w:r>
        <w:rPr>
          <w:rFonts w:ascii="Arial" w:hAnsi="Arial" w:cs="Arial"/>
          <w:sz w:val="24"/>
          <w:szCs w:val="24"/>
        </w:rPr>
        <w:t>actually supervised</w:t>
      </w:r>
      <w:proofErr w:type="gramEnd"/>
      <w:r>
        <w:rPr>
          <w:rFonts w:ascii="Arial" w:hAnsi="Arial" w:cs="Arial"/>
          <w:sz w:val="24"/>
          <w:szCs w:val="24"/>
        </w:rPr>
        <w:t xml:space="preserve"> out in the community. The types of crimes which are committed </w:t>
      </w:r>
      <w:proofErr w:type="gramStart"/>
      <w:r>
        <w:rPr>
          <w:rFonts w:ascii="Arial" w:hAnsi="Arial" w:cs="Arial"/>
          <w:sz w:val="24"/>
          <w:szCs w:val="24"/>
        </w:rPr>
        <w:t>and also</w:t>
      </w:r>
      <w:proofErr w:type="gramEnd"/>
      <w:r>
        <w:rPr>
          <w:rFonts w:ascii="Arial" w:hAnsi="Arial" w:cs="Arial"/>
          <w:sz w:val="24"/>
          <w:szCs w:val="24"/>
        </w:rPr>
        <w:t xml:space="preserve"> any of the routes or ways out of offending do tend to differ from males to females.</w:t>
      </w:r>
      <w:r w:rsidR="00466FE7">
        <w:rPr>
          <w:rFonts w:ascii="Arial" w:hAnsi="Arial" w:cs="Arial"/>
          <w:sz w:val="24"/>
          <w:szCs w:val="24"/>
        </w:rPr>
        <w:t xml:space="preserve"> (Newburn 2007).</w:t>
      </w:r>
    </w:p>
    <w:p w14:paraId="2723196D" w14:textId="2A43F307" w:rsidR="0041551D" w:rsidRDefault="0041551D" w:rsidP="002135F5">
      <w:pPr>
        <w:spacing w:line="480" w:lineRule="auto"/>
        <w:rPr>
          <w:rFonts w:ascii="Arial" w:hAnsi="Arial" w:cs="Arial"/>
          <w:sz w:val="24"/>
          <w:szCs w:val="24"/>
        </w:rPr>
      </w:pPr>
      <w:r>
        <w:rPr>
          <w:rFonts w:ascii="Arial" w:hAnsi="Arial" w:cs="Arial"/>
          <w:sz w:val="24"/>
          <w:szCs w:val="24"/>
        </w:rPr>
        <w:t>The development of the female perspective was seen in the 1960s, with the feminist movement, which caused lots of academic disciplines to feel the impact of new sets of ideas and criticisms. Not until the 1970s did this impact get really felt within the criminological aspect of things.</w:t>
      </w:r>
    </w:p>
    <w:p w14:paraId="0BCF1974" w14:textId="3AFCAF2B" w:rsidR="0041551D" w:rsidRDefault="0041551D" w:rsidP="002135F5">
      <w:pPr>
        <w:spacing w:line="480" w:lineRule="auto"/>
        <w:rPr>
          <w:rFonts w:ascii="Arial" w:hAnsi="Arial" w:cs="Arial"/>
          <w:sz w:val="24"/>
          <w:szCs w:val="24"/>
        </w:rPr>
      </w:pPr>
      <w:r>
        <w:rPr>
          <w:rFonts w:ascii="Arial" w:hAnsi="Arial" w:cs="Arial"/>
          <w:sz w:val="24"/>
          <w:szCs w:val="24"/>
        </w:rPr>
        <w:t>Two examples of this can be seen in Klein (1973) and Smart (1976). They were to observe women who had been ignored in the discipline. Most of these studies were mainly based on men and boys. If a woman did appear, they were treated in very unsatisfactory ways, psychological and biological assumptions of a rather sexist and stereotypical nature.</w:t>
      </w:r>
    </w:p>
    <w:p w14:paraId="12C00AA4" w14:textId="2E8D08DB" w:rsidR="002E0973" w:rsidRDefault="0041551D" w:rsidP="002135F5">
      <w:pPr>
        <w:spacing w:line="480" w:lineRule="auto"/>
        <w:rPr>
          <w:rFonts w:ascii="Arial" w:hAnsi="Arial" w:cs="Arial"/>
          <w:sz w:val="24"/>
          <w:szCs w:val="24"/>
        </w:rPr>
      </w:pPr>
      <w:r>
        <w:rPr>
          <w:rFonts w:ascii="Arial" w:hAnsi="Arial" w:cs="Arial"/>
          <w:sz w:val="24"/>
          <w:szCs w:val="24"/>
        </w:rPr>
        <w:t>Pollak (1961) was to argue that the deceitful nature of a woman can contribute to their crimes being underestimated at times. The most striking thing about crime rates is the way that they</w:t>
      </w:r>
      <w:r w:rsidR="009C0D9B">
        <w:rPr>
          <w:rFonts w:ascii="Arial" w:hAnsi="Arial" w:cs="Arial"/>
          <w:sz w:val="24"/>
          <w:szCs w:val="24"/>
        </w:rPr>
        <w:t xml:space="preserve"> are measured, this is done in a way where you would see that men are to outnumber women in crime. Gender at the time had been given little </w:t>
      </w:r>
      <w:r w:rsidR="009C0D9B">
        <w:rPr>
          <w:rFonts w:ascii="Arial" w:hAnsi="Arial" w:cs="Arial"/>
          <w:sz w:val="24"/>
          <w:szCs w:val="24"/>
        </w:rPr>
        <w:lastRenderedPageBreak/>
        <w:t>thought to, even by the emerging radical criminology. Following this, several studies were seen to appear to fill in any deficiencies and gaps which had been identified. One of these studies which had been identified would come from Eaton (1996) and Edwards (1984). The example of this is: Are women offenders treated more harshly or more lenientl</w:t>
      </w:r>
      <w:r w:rsidR="002E0973">
        <w:rPr>
          <w:rFonts w:ascii="Arial" w:hAnsi="Arial" w:cs="Arial"/>
          <w:sz w:val="24"/>
          <w:szCs w:val="24"/>
        </w:rPr>
        <w:t>y than men?  (Coleman &amp; Norris 2000).</w:t>
      </w:r>
    </w:p>
    <w:p w14:paraId="739995A5" w14:textId="1EC37D9D" w:rsidR="00E00BFA" w:rsidRDefault="009C3C17" w:rsidP="002135F5">
      <w:pPr>
        <w:spacing w:line="480" w:lineRule="auto"/>
        <w:rPr>
          <w:rFonts w:ascii="Arial" w:hAnsi="Arial" w:cs="Arial"/>
          <w:sz w:val="24"/>
          <w:szCs w:val="24"/>
        </w:rPr>
      </w:pPr>
      <w:r>
        <w:rPr>
          <w:rFonts w:ascii="Arial" w:hAnsi="Arial" w:cs="Arial"/>
          <w:sz w:val="24"/>
          <w:szCs w:val="24"/>
        </w:rPr>
        <w:t xml:space="preserve">One feature of the landscape of criminology is that </w:t>
      </w:r>
      <w:proofErr w:type="gramStart"/>
      <w:r>
        <w:rPr>
          <w:rFonts w:ascii="Arial" w:hAnsi="Arial" w:cs="Arial"/>
          <w:sz w:val="24"/>
          <w:szCs w:val="24"/>
        </w:rPr>
        <w:t>the majority of</w:t>
      </w:r>
      <w:proofErr w:type="gramEnd"/>
      <w:r>
        <w:rPr>
          <w:rFonts w:ascii="Arial" w:hAnsi="Arial" w:cs="Arial"/>
          <w:sz w:val="24"/>
          <w:szCs w:val="24"/>
        </w:rPr>
        <w:t xml:space="preserve"> the crimes seem to be undertaken by boys and men. </w:t>
      </w:r>
      <w:r w:rsidR="00662687">
        <w:rPr>
          <w:rFonts w:ascii="Arial" w:hAnsi="Arial" w:cs="Arial"/>
          <w:sz w:val="24"/>
          <w:szCs w:val="24"/>
        </w:rPr>
        <w:t>However,</w:t>
      </w:r>
      <w:r>
        <w:rPr>
          <w:rFonts w:ascii="Arial" w:hAnsi="Arial" w:cs="Arial"/>
          <w:sz w:val="24"/>
          <w:szCs w:val="24"/>
        </w:rPr>
        <w:t xml:space="preserve"> measured the system</w:t>
      </w:r>
      <w:r w:rsidR="005833FC">
        <w:rPr>
          <w:rFonts w:ascii="Arial" w:hAnsi="Arial" w:cs="Arial"/>
          <w:sz w:val="24"/>
          <w:szCs w:val="24"/>
        </w:rPr>
        <w:t xml:space="preserve"> is, women are thought to be much less involved in offending. The quantity</w:t>
      </w:r>
      <w:r w:rsidR="00787DC2">
        <w:rPr>
          <w:rFonts w:ascii="Arial" w:hAnsi="Arial" w:cs="Arial"/>
          <w:sz w:val="24"/>
          <w:szCs w:val="24"/>
        </w:rPr>
        <w:t xml:space="preserve"> of women who have convictions would more than likely be lower at all ages than it would be for all men. (gov.uk</w:t>
      </w:r>
      <w:r w:rsidR="00F02802">
        <w:rPr>
          <w:rFonts w:ascii="Arial" w:hAnsi="Arial" w:cs="Arial"/>
          <w:sz w:val="24"/>
          <w:szCs w:val="24"/>
        </w:rPr>
        <w:t>). Accessed</w:t>
      </w:r>
      <w:r w:rsidR="00F87AC5">
        <w:rPr>
          <w:rFonts w:ascii="Arial" w:hAnsi="Arial" w:cs="Arial"/>
          <w:sz w:val="24"/>
          <w:szCs w:val="24"/>
        </w:rPr>
        <w:t xml:space="preserve"> (2022).</w:t>
      </w:r>
    </w:p>
    <w:p w14:paraId="5CF02DFF" w14:textId="5E981101" w:rsidR="00787DC2" w:rsidRDefault="00787DC2" w:rsidP="002135F5">
      <w:pPr>
        <w:spacing w:line="480" w:lineRule="auto"/>
        <w:rPr>
          <w:rFonts w:ascii="Arial" w:hAnsi="Arial" w:cs="Arial"/>
          <w:sz w:val="24"/>
          <w:szCs w:val="24"/>
        </w:rPr>
      </w:pPr>
      <w:r>
        <w:rPr>
          <w:rFonts w:ascii="Arial" w:hAnsi="Arial" w:cs="Arial"/>
          <w:sz w:val="24"/>
          <w:szCs w:val="24"/>
        </w:rPr>
        <w:t xml:space="preserve">The Home Office used data from people born in </w:t>
      </w:r>
      <w:r w:rsidR="00662687">
        <w:rPr>
          <w:rFonts w:ascii="Arial" w:hAnsi="Arial" w:cs="Arial"/>
          <w:sz w:val="24"/>
          <w:szCs w:val="24"/>
        </w:rPr>
        <w:t>1953 and</w:t>
      </w:r>
      <w:r>
        <w:rPr>
          <w:rFonts w:ascii="Arial" w:hAnsi="Arial" w:cs="Arial"/>
          <w:sz w:val="24"/>
          <w:szCs w:val="24"/>
        </w:rPr>
        <w:t xml:space="preserve"> went on to state that by the age of forty – six, at least thirty – three percent of males had one conviction which compared to nine percent of females. Move forward five years,</w:t>
      </w:r>
      <w:r w:rsidR="00662687">
        <w:rPr>
          <w:rFonts w:ascii="Arial" w:hAnsi="Arial" w:cs="Arial"/>
          <w:sz w:val="24"/>
          <w:szCs w:val="24"/>
        </w:rPr>
        <w:t xml:space="preserve"> to females born in 1958, and the nine percent of the women had gone on to receive a conviction by the age of forty, compared to the thirty – two percent of all men. In their mid-forties at least one percent of females will have encountered a prison sentence, males were seven percent. In the 1990s, it was said to be found over half of men and nearly one third of women between fourteen and twenty – five acknowledged to committing one or more offences within their </w:t>
      </w:r>
      <w:r w:rsidR="00CF7D6E">
        <w:rPr>
          <w:rFonts w:ascii="Arial" w:hAnsi="Arial" w:cs="Arial"/>
          <w:sz w:val="24"/>
          <w:szCs w:val="24"/>
        </w:rPr>
        <w:t>lifetime</w:t>
      </w:r>
      <w:r w:rsidR="00662687">
        <w:rPr>
          <w:rFonts w:ascii="Arial" w:hAnsi="Arial" w:cs="Arial"/>
          <w:sz w:val="24"/>
          <w:szCs w:val="24"/>
        </w:rPr>
        <w:t>.</w:t>
      </w:r>
      <w:r w:rsidR="00CF7D6E">
        <w:rPr>
          <w:rFonts w:ascii="Arial" w:hAnsi="Arial" w:cs="Arial"/>
          <w:sz w:val="24"/>
          <w:szCs w:val="24"/>
        </w:rPr>
        <w:t xml:space="preserve"> (gov.uk).</w:t>
      </w:r>
      <w:r w:rsidR="00F87AC5">
        <w:rPr>
          <w:rFonts w:ascii="Arial" w:hAnsi="Arial" w:cs="Arial"/>
          <w:sz w:val="24"/>
          <w:szCs w:val="24"/>
        </w:rPr>
        <w:t xml:space="preserve"> Accessed (2022).</w:t>
      </w:r>
    </w:p>
    <w:p w14:paraId="2972823E" w14:textId="492A2377" w:rsidR="0002290A" w:rsidRDefault="0002290A" w:rsidP="002135F5">
      <w:pPr>
        <w:spacing w:line="480" w:lineRule="auto"/>
        <w:rPr>
          <w:rFonts w:ascii="Arial" w:hAnsi="Arial" w:cs="Arial"/>
          <w:sz w:val="24"/>
          <w:szCs w:val="24"/>
        </w:rPr>
      </w:pPr>
      <w:r>
        <w:rPr>
          <w:rFonts w:ascii="Arial" w:hAnsi="Arial" w:cs="Arial"/>
          <w:sz w:val="24"/>
          <w:szCs w:val="24"/>
        </w:rPr>
        <w:t xml:space="preserve">This </w:t>
      </w:r>
      <w:proofErr w:type="gramStart"/>
      <w:r>
        <w:rPr>
          <w:rFonts w:ascii="Arial" w:hAnsi="Arial" w:cs="Arial"/>
          <w:sz w:val="24"/>
          <w:szCs w:val="24"/>
        </w:rPr>
        <w:t>particular trust</w:t>
      </w:r>
      <w:proofErr w:type="gramEnd"/>
      <w:r>
        <w:rPr>
          <w:rFonts w:ascii="Arial" w:hAnsi="Arial" w:cs="Arial"/>
          <w:sz w:val="24"/>
          <w:szCs w:val="24"/>
        </w:rPr>
        <w:t>, the Prison Reform Trust have long wanted there to be a reduction in the imprisonment of women in the United Kingdom and also how responsible the criminal justice system responds to the needs of women offenders.</w:t>
      </w:r>
    </w:p>
    <w:p w14:paraId="130EB7B5" w14:textId="30288ABD" w:rsidR="00C61EE8" w:rsidRDefault="0002290A" w:rsidP="002135F5">
      <w:pPr>
        <w:spacing w:line="480" w:lineRule="auto"/>
        <w:rPr>
          <w:rFonts w:ascii="Arial" w:hAnsi="Arial" w:cs="Arial"/>
          <w:sz w:val="24"/>
          <w:szCs w:val="24"/>
        </w:rPr>
      </w:pPr>
      <w:r>
        <w:rPr>
          <w:rFonts w:ascii="Arial" w:hAnsi="Arial" w:cs="Arial"/>
          <w:sz w:val="24"/>
          <w:szCs w:val="24"/>
        </w:rPr>
        <w:t xml:space="preserve">In 2001, after five years of funding from the National Lottery on Transforming Lives; reducing women’s imprisonment programme it came to an end. Even though this </w:t>
      </w:r>
      <w:r>
        <w:rPr>
          <w:rFonts w:ascii="Arial" w:hAnsi="Arial" w:cs="Arial"/>
          <w:sz w:val="24"/>
          <w:szCs w:val="24"/>
        </w:rPr>
        <w:lastRenderedPageBreak/>
        <w:t>programme had come to an end, the work continues to try and reduce women in prison. There are some signs that this is working, but more still needs to be done to improve this within the criminal justice system. On just over five thousand occasions in 2020, women were imprisoned on either remand or serving a sentence.</w:t>
      </w:r>
    </w:p>
    <w:p w14:paraId="6E45044E" w14:textId="62A4A821" w:rsidR="00B468E7" w:rsidRDefault="00732630" w:rsidP="002135F5">
      <w:pPr>
        <w:spacing w:line="480" w:lineRule="auto"/>
        <w:rPr>
          <w:rFonts w:ascii="Arial" w:hAnsi="Arial" w:cs="Arial"/>
          <w:sz w:val="24"/>
          <w:szCs w:val="24"/>
        </w:rPr>
      </w:pPr>
      <w:r>
        <w:rPr>
          <w:rFonts w:ascii="Arial" w:hAnsi="Arial" w:cs="Arial"/>
          <w:sz w:val="24"/>
          <w:szCs w:val="24"/>
        </w:rPr>
        <w:t>Whilst in prison, it is believed to be said that women tend to self – harm more than men. Women make up four percent of the population of the prison services, and in 2020 it is stated that twenty – two percent had caused self – harm to themselves. Women serve more sentences for theft than anything else, more than robbery, motoring offences or sexual offences to give just a small example. These women have also likely been victims as well as offenders and over half of the female prison population went on to report that they had suffered from domestic violence.</w:t>
      </w:r>
      <w:r w:rsidR="00B468E7">
        <w:rPr>
          <w:rFonts w:ascii="Arial" w:hAnsi="Arial" w:cs="Arial"/>
          <w:sz w:val="24"/>
          <w:szCs w:val="24"/>
        </w:rPr>
        <w:t xml:space="preserve"> Fifty – three percent of these women state that they have also experienced physical, emotional, or even sexual abuse as children. At least seventeen thousand children are affected every year by the fact their mothers are in prison. (Prison Reform Trust).</w:t>
      </w:r>
      <w:r w:rsidR="00F87AC5">
        <w:rPr>
          <w:rFonts w:ascii="Arial" w:hAnsi="Arial" w:cs="Arial"/>
          <w:sz w:val="24"/>
          <w:szCs w:val="24"/>
        </w:rPr>
        <w:t xml:space="preserve"> Accessed (2022).</w:t>
      </w:r>
    </w:p>
    <w:p w14:paraId="1B637A71" w14:textId="209FBE40" w:rsidR="00FC1D75" w:rsidRDefault="00FC1D75" w:rsidP="002135F5">
      <w:pPr>
        <w:spacing w:line="480" w:lineRule="auto"/>
        <w:rPr>
          <w:rFonts w:ascii="Arial" w:hAnsi="Arial" w:cs="Arial"/>
          <w:sz w:val="24"/>
          <w:szCs w:val="24"/>
        </w:rPr>
      </w:pPr>
      <w:r>
        <w:rPr>
          <w:rFonts w:ascii="Arial" w:hAnsi="Arial" w:cs="Arial"/>
          <w:sz w:val="24"/>
          <w:szCs w:val="24"/>
        </w:rPr>
        <w:t xml:space="preserve">In the year before a custody sentence, it looks like more women were to receive mental health treatment than men, a staggering ten percent difference between the sexes. The </w:t>
      </w:r>
      <w:proofErr w:type="gramStart"/>
      <w:r>
        <w:rPr>
          <w:rFonts w:ascii="Arial" w:hAnsi="Arial" w:cs="Arial"/>
          <w:sz w:val="24"/>
          <w:szCs w:val="24"/>
        </w:rPr>
        <w:t>general public</w:t>
      </w:r>
      <w:proofErr w:type="gramEnd"/>
      <w:r>
        <w:rPr>
          <w:rFonts w:ascii="Arial" w:hAnsi="Arial" w:cs="Arial"/>
          <w:sz w:val="24"/>
          <w:szCs w:val="24"/>
        </w:rPr>
        <w:t xml:space="preserve"> would tend to have about four percent of psychosis, whereas in prison it is fifteen percent for men and twenty – five percent for women. Plus, any self-inflicted deaths are likely to be just over eight and a half times more than within the </w:t>
      </w:r>
      <w:proofErr w:type="gramStart"/>
      <w:r>
        <w:rPr>
          <w:rFonts w:ascii="Arial" w:hAnsi="Arial" w:cs="Arial"/>
          <w:sz w:val="24"/>
          <w:szCs w:val="24"/>
        </w:rPr>
        <w:t>general public</w:t>
      </w:r>
      <w:proofErr w:type="gramEnd"/>
      <w:r>
        <w:rPr>
          <w:rFonts w:ascii="Arial" w:hAnsi="Arial" w:cs="Arial"/>
          <w:sz w:val="24"/>
          <w:szCs w:val="24"/>
        </w:rPr>
        <w:t xml:space="preserve">.  (Prison Reform </w:t>
      </w:r>
      <w:r w:rsidR="00740B88">
        <w:rPr>
          <w:rFonts w:ascii="Arial" w:hAnsi="Arial" w:cs="Arial"/>
          <w:sz w:val="24"/>
          <w:szCs w:val="24"/>
        </w:rPr>
        <w:t>Trust) Accessed (2022).</w:t>
      </w:r>
    </w:p>
    <w:p w14:paraId="3E626300" w14:textId="4CB6B964" w:rsidR="00FC1D75" w:rsidRDefault="00FC1D75" w:rsidP="002135F5">
      <w:pPr>
        <w:spacing w:line="480" w:lineRule="auto"/>
        <w:rPr>
          <w:rFonts w:ascii="Arial" w:hAnsi="Arial" w:cs="Arial"/>
          <w:sz w:val="24"/>
          <w:szCs w:val="24"/>
        </w:rPr>
      </w:pPr>
      <w:r>
        <w:rPr>
          <w:rFonts w:ascii="Arial" w:hAnsi="Arial" w:cs="Arial"/>
          <w:sz w:val="24"/>
          <w:szCs w:val="24"/>
        </w:rPr>
        <w:t xml:space="preserve">At least seventy percent of all prisoners who had taken </w:t>
      </w:r>
      <w:r w:rsidR="007C2653">
        <w:rPr>
          <w:rFonts w:ascii="Arial" w:hAnsi="Arial" w:cs="Arial"/>
          <w:sz w:val="24"/>
          <w:szCs w:val="24"/>
        </w:rPr>
        <w:t xml:space="preserve">their own lives were identified as having mental health issues. Only half of these people who were screened on entry to the prison service had been found to have any form of mental health issues. </w:t>
      </w:r>
      <w:r w:rsidR="007C2653">
        <w:rPr>
          <w:rFonts w:ascii="Arial" w:hAnsi="Arial" w:cs="Arial"/>
          <w:sz w:val="24"/>
          <w:szCs w:val="24"/>
        </w:rPr>
        <w:lastRenderedPageBreak/>
        <w:t xml:space="preserve">Five percent of those who had been diagnosed on entering the prison service had not received any care whatsoever from the mental health teams within the prison. Within the twenty – nine percent of prisoners who had self – inflicted deaths </w:t>
      </w:r>
      <w:proofErr w:type="gramStart"/>
      <w:r w:rsidR="007C2653">
        <w:rPr>
          <w:rFonts w:ascii="Arial" w:hAnsi="Arial" w:cs="Arial"/>
          <w:sz w:val="24"/>
          <w:szCs w:val="24"/>
        </w:rPr>
        <w:t>and also</w:t>
      </w:r>
      <w:proofErr w:type="gramEnd"/>
      <w:r w:rsidR="007C2653">
        <w:rPr>
          <w:rFonts w:ascii="Arial" w:hAnsi="Arial" w:cs="Arial"/>
          <w:sz w:val="24"/>
          <w:szCs w:val="24"/>
        </w:rPr>
        <w:t xml:space="preserve"> had mental health issues had not been referred for further help. In the years 2016 to 2017 forty percent of prisons which had been inspected had little or no training at all for prison officers to know when a prisoner needs a referral for support from the mental health team.</w:t>
      </w:r>
      <w:r w:rsidR="00740B88">
        <w:rPr>
          <w:rFonts w:ascii="Arial" w:hAnsi="Arial" w:cs="Arial"/>
          <w:sz w:val="24"/>
          <w:szCs w:val="24"/>
        </w:rPr>
        <w:t xml:space="preserve"> (Prison Reform Trust) Accessed (2022).</w:t>
      </w:r>
    </w:p>
    <w:p w14:paraId="18F30480" w14:textId="56C250C9" w:rsidR="00F02802" w:rsidRDefault="00F02802" w:rsidP="002135F5">
      <w:pPr>
        <w:spacing w:line="480" w:lineRule="auto"/>
        <w:rPr>
          <w:rFonts w:ascii="Arial" w:hAnsi="Arial" w:cs="Arial"/>
          <w:sz w:val="24"/>
          <w:szCs w:val="24"/>
        </w:rPr>
      </w:pPr>
      <w:r>
        <w:rPr>
          <w:rFonts w:ascii="Arial" w:hAnsi="Arial" w:cs="Arial"/>
          <w:sz w:val="24"/>
          <w:szCs w:val="24"/>
        </w:rPr>
        <w:t>In 1986 Eaton’s study of Justice for Women, Family, Court and Social Control was to document all the practices which were seen to be taking place</w:t>
      </w:r>
      <w:r w:rsidR="002A7AAE">
        <w:rPr>
          <w:rFonts w:ascii="Arial" w:hAnsi="Arial" w:cs="Arial"/>
          <w:sz w:val="24"/>
          <w:szCs w:val="24"/>
        </w:rPr>
        <w:t xml:space="preserve"> within the Magistrate’s court, this was to enable it to operate as a site of social control. The study went on to </w:t>
      </w:r>
      <w:proofErr w:type="gramStart"/>
      <w:r w:rsidR="002A7AAE">
        <w:rPr>
          <w:rFonts w:ascii="Arial" w:hAnsi="Arial" w:cs="Arial"/>
          <w:sz w:val="24"/>
          <w:szCs w:val="24"/>
        </w:rPr>
        <w:t>compare and contrast</w:t>
      </w:r>
      <w:proofErr w:type="gramEnd"/>
      <w:r w:rsidR="002A7AAE">
        <w:rPr>
          <w:rFonts w:ascii="Arial" w:hAnsi="Arial" w:cs="Arial"/>
          <w:sz w:val="24"/>
          <w:szCs w:val="24"/>
        </w:rPr>
        <w:t xml:space="preserve"> any of the experiences of the Magistrates court for both male and female </w:t>
      </w:r>
      <w:r w:rsidR="00CF6ED3">
        <w:rPr>
          <w:rFonts w:ascii="Arial" w:hAnsi="Arial" w:cs="Arial"/>
          <w:sz w:val="24"/>
          <w:szCs w:val="24"/>
        </w:rPr>
        <w:t>defendants</w:t>
      </w:r>
      <w:r w:rsidR="002A7AAE">
        <w:rPr>
          <w:rFonts w:ascii="Arial" w:hAnsi="Arial" w:cs="Arial"/>
          <w:sz w:val="24"/>
          <w:szCs w:val="24"/>
        </w:rPr>
        <w:t>.</w:t>
      </w:r>
      <w:r w:rsidR="00CF6ED3">
        <w:rPr>
          <w:rFonts w:ascii="Arial" w:hAnsi="Arial" w:cs="Arial"/>
          <w:sz w:val="24"/>
          <w:szCs w:val="24"/>
        </w:rPr>
        <w:t xml:space="preserve"> This is concerned in ways to document how the professionals would operate</w:t>
      </w:r>
      <w:r w:rsidR="004B306F">
        <w:rPr>
          <w:rFonts w:ascii="Arial" w:hAnsi="Arial" w:cs="Arial"/>
          <w:sz w:val="24"/>
          <w:szCs w:val="24"/>
        </w:rPr>
        <w:t xml:space="preserve"> within the Magistrates arena manage the site with the interest towards their clients. Eaton would go on to reveal all the ways in which the family and or the home are differently employed to portray both the circumstances and the character of both the male and female defendants in getting them to fully understand or to explain how they have broken the law.</w:t>
      </w:r>
    </w:p>
    <w:p w14:paraId="751D03BF" w14:textId="7525B157" w:rsidR="00F87AC5" w:rsidRDefault="00F87AC5" w:rsidP="002135F5">
      <w:pPr>
        <w:spacing w:line="480" w:lineRule="auto"/>
        <w:rPr>
          <w:rFonts w:ascii="Arial" w:hAnsi="Arial" w:cs="Arial"/>
          <w:sz w:val="24"/>
          <w:szCs w:val="24"/>
        </w:rPr>
      </w:pPr>
    </w:p>
    <w:p w14:paraId="535693C1" w14:textId="77777777" w:rsidR="00014C47" w:rsidRDefault="00F87AC5" w:rsidP="002135F5">
      <w:pPr>
        <w:spacing w:line="480" w:lineRule="auto"/>
        <w:rPr>
          <w:rFonts w:ascii="Arial" w:hAnsi="Arial" w:cs="Arial"/>
          <w:sz w:val="24"/>
          <w:szCs w:val="24"/>
        </w:rPr>
      </w:pPr>
      <w:r>
        <w:rPr>
          <w:rFonts w:ascii="Arial" w:hAnsi="Arial" w:cs="Arial"/>
          <w:sz w:val="24"/>
          <w:szCs w:val="24"/>
        </w:rPr>
        <w:t>This assignment was not as easy as it first looked.</w:t>
      </w:r>
      <w:r w:rsidR="004709F4">
        <w:rPr>
          <w:rFonts w:ascii="Arial" w:hAnsi="Arial" w:cs="Arial"/>
          <w:sz w:val="24"/>
          <w:szCs w:val="24"/>
        </w:rPr>
        <w:t xml:space="preserve"> The available information was found to be mostly statistics</w:t>
      </w:r>
      <w:r w:rsidR="00DA13B3">
        <w:rPr>
          <w:rFonts w:ascii="Arial" w:hAnsi="Arial" w:cs="Arial"/>
          <w:sz w:val="24"/>
          <w:szCs w:val="24"/>
        </w:rPr>
        <w:t xml:space="preserve"> and all female based. Lots of studies seem to have been undertaken and </w:t>
      </w:r>
      <w:proofErr w:type="gramStart"/>
      <w:r w:rsidR="00DA13B3">
        <w:rPr>
          <w:rFonts w:ascii="Arial" w:hAnsi="Arial" w:cs="Arial"/>
          <w:sz w:val="24"/>
          <w:szCs w:val="24"/>
        </w:rPr>
        <w:t>the majority of</w:t>
      </w:r>
      <w:proofErr w:type="gramEnd"/>
      <w:r w:rsidR="00DA13B3">
        <w:rPr>
          <w:rFonts w:ascii="Arial" w:hAnsi="Arial" w:cs="Arial"/>
          <w:sz w:val="24"/>
          <w:szCs w:val="24"/>
        </w:rPr>
        <w:t xml:space="preserve"> these studies have been completed with male and female offenders in question. Most people still believe that the male offender to be the one that tends to commit</w:t>
      </w:r>
      <w:r w:rsidR="007A08D4">
        <w:rPr>
          <w:rFonts w:ascii="Arial" w:hAnsi="Arial" w:cs="Arial"/>
          <w:sz w:val="24"/>
          <w:szCs w:val="24"/>
        </w:rPr>
        <w:t xml:space="preserve"> all crimes. This goes back centuries to Cesar </w:t>
      </w:r>
      <w:proofErr w:type="spellStart"/>
      <w:r w:rsidR="007A08D4">
        <w:rPr>
          <w:rFonts w:ascii="Arial" w:hAnsi="Arial" w:cs="Arial"/>
          <w:sz w:val="24"/>
          <w:szCs w:val="24"/>
        </w:rPr>
        <w:t>Lombrosso</w:t>
      </w:r>
      <w:proofErr w:type="spellEnd"/>
      <w:r w:rsidR="007A08D4">
        <w:rPr>
          <w:rFonts w:ascii="Arial" w:hAnsi="Arial" w:cs="Arial"/>
          <w:sz w:val="24"/>
          <w:szCs w:val="24"/>
        </w:rPr>
        <w:t xml:space="preserve"> and how the male population’s facial features are. Things like eyes too </w:t>
      </w:r>
      <w:r w:rsidR="007A08D4">
        <w:rPr>
          <w:rFonts w:ascii="Arial" w:hAnsi="Arial" w:cs="Arial"/>
          <w:sz w:val="24"/>
          <w:szCs w:val="24"/>
        </w:rPr>
        <w:lastRenderedPageBreak/>
        <w:t xml:space="preserve">close together or a long nose. This was associated mostly towards the male criminal. You may also need to </w:t>
      </w:r>
      <w:proofErr w:type="gramStart"/>
      <w:r w:rsidR="007A08D4">
        <w:rPr>
          <w:rFonts w:ascii="Arial" w:hAnsi="Arial" w:cs="Arial"/>
          <w:sz w:val="24"/>
          <w:szCs w:val="24"/>
        </w:rPr>
        <w:t>take into account</w:t>
      </w:r>
      <w:proofErr w:type="gramEnd"/>
      <w:r w:rsidR="007A08D4">
        <w:rPr>
          <w:rFonts w:ascii="Arial" w:hAnsi="Arial" w:cs="Arial"/>
          <w:sz w:val="24"/>
          <w:szCs w:val="24"/>
        </w:rPr>
        <w:t xml:space="preserve"> the person’s mental state so psychology would be needed to analyse the offenders in question. </w:t>
      </w:r>
      <w:r w:rsidR="00623659">
        <w:rPr>
          <w:rFonts w:ascii="Arial" w:hAnsi="Arial" w:cs="Arial"/>
          <w:sz w:val="24"/>
          <w:szCs w:val="24"/>
        </w:rPr>
        <w:t>When in prison, both male and female offenders should serve the same punishment regardless of the crimes that they have committed. Women campaigned for the same rights as man</w:t>
      </w:r>
      <w:r w:rsidR="006729F7">
        <w:rPr>
          <w:rFonts w:ascii="Arial" w:hAnsi="Arial" w:cs="Arial"/>
          <w:sz w:val="24"/>
          <w:szCs w:val="24"/>
        </w:rPr>
        <w:t xml:space="preserve"> himself, and eventually won these rights so should be treated in the manner as they campaigned towards.</w:t>
      </w:r>
      <w:r w:rsidR="007A08D4">
        <w:rPr>
          <w:rFonts w:ascii="Arial" w:hAnsi="Arial" w:cs="Arial"/>
          <w:sz w:val="24"/>
          <w:szCs w:val="24"/>
        </w:rPr>
        <w:t xml:space="preserve"> </w:t>
      </w:r>
    </w:p>
    <w:p w14:paraId="36133C2C" w14:textId="77777777" w:rsidR="00014C47" w:rsidRDefault="00014C47" w:rsidP="002135F5">
      <w:pPr>
        <w:spacing w:line="480" w:lineRule="auto"/>
        <w:rPr>
          <w:rFonts w:ascii="Arial" w:hAnsi="Arial" w:cs="Arial"/>
          <w:sz w:val="24"/>
          <w:szCs w:val="24"/>
        </w:rPr>
      </w:pPr>
    </w:p>
    <w:p w14:paraId="5DFE6763" w14:textId="77777777" w:rsidR="000735E8" w:rsidRDefault="00014C47" w:rsidP="002135F5">
      <w:pPr>
        <w:spacing w:line="480" w:lineRule="auto"/>
        <w:rPr>
          <w:rFonts w:ascii="Arial" w:hAnsi="Arial" w:cs="Arial"/>
          <w:sz w:val="24"/>
          <w:szCs w:val="24"/>
        </w:rPr>
      </w:pPr>
      <w:r>
        <w:rPr>
          <w:rFonts w:ascii="Arial" w:hAnsi="Arial" w:cs="Arial"/>
          <w:sz w:val="24"/>
          <w:szCs w:val="24"/>
        </w:rPr>
        <w:t xml:space="preserve">Newburn (2007), </w:t>
      </w:r>
      <w:r w:rsidR="00E14F6E">
        <w:rPr>
          <w:rFonts w:ascii="Arial" w:hAnsi="Arial" w:cs="Arial"/>
          <w:sz w:val="24"/>
          <w:szCs w:val="24"/>
        </w:rPr>
        <w:t>Criminology,</w:t>
      </w:r>
      <w:r w:rsidR="000735E8">
        <w:rPr>
          <w:rFonts w:ascii="Arial" w:hAnsi="Arial" w:cs="Arial"/>
          <w:sz w:val="24"/>
          <w:szCs w:val="24"/>
        </w:rPr>
        <w:t xml:space="preserve"> Devon, Willan Publishing.</w:t>
      </w:r>
    </w:p>
    <w:p w14:paraId="6B27E592" w14:textId="77777777" w:rsidR="000735E8" w:rsidRDefault="000735E8" w:rsidP="002135F5">
      <w:pPr>
        <w:spacing w:line="480" w:lineRule="auto"/>
        <w:rPr>
          <w:rFonts w:ascii="Arial" w:hAnsi="Arial" w:cs="Arial"/>
          <w:sz w:val="24"/>
          <w:szCs w:val="24"/>
        </w:rPr>
      </w:pPr>
      <w:r>
        <w:rPr>
          <w:rFonts w:ascii="Arial" w:hAnsi="Arial" w:cs="Arial"/>
          <w:sz w:val="24"/>
          <w:szCs w:val="24"/>
        </w:rPr>
        <w:t>Coleman &amp; Norris (2000), Introducing Criminology, Devon, Willan Publishing.</w:t>
      </w:r>
    </w:p>
    <w:p w14:paraId="528C8F07" w14:textId="77777777" w:rsidR="00A439A4" w:rsidRDefault="000735E8" w:rsidP="002135F5">
      <w:pPr>
        <w:spacing w:line="480" w:lineRule="auto"/>
        <w:rPr>
          <w:rFonts w:ascii="Arial" w:hAnsi="Arial" w:cs="Arial"/>
          <w:sz w:val="24"/>
          <w:szCs w:val="24"/>
        </w:rPr>
      </w:pPr>
      <w:proofErr w:type="spellStart"/>
      <w:r>
        <w:rPr>
          <w:rFonts w:ascii="Arial" w:hAnsi="Arial" w:cs="Arial"/>
          <w:sz w:val="24"/>
          <w:szCs w:val="24"/>
        </w:rPr>
        <w:t>Walklate</w:t>
      </w:r>
      <w:proofErr w:type="spellEnd"/>
      <w:r>
        <w:rPr>
          <w:rFonts w:ascii="Arial" w:hAnsi="Arial" w:cs="Arial"/>
          <w:sz w:val="24"/>
          <w:szCs w:val="24"/>
        </w:rPr>
        <w:t xml:space="preserve"> (20004), Gender, Crime and Criminal J</w:t>
      </w:r>
      <w:r w:rsidR="00A439A4">
        <w:rPr>
          <w:rFonts w:ascii="Arial" w:hAnsi="Arial" w:cs="Arial"/>
          <w:sz w:val="24"/>
          <w:szCs w:val="24"/>
        </w:rPr>
        <w:t>ustice, Devon, Willan Publishing.</w:t>
      </w:r>
    </w:p>
    <w:p w14:paraId="467D734D" w14:textId="77777777" w:rsidR="00A439A4" w:rsidRDefault="00A439A4" w:rsidP="002135F5">
      <w:pPr>
        <w:spacing w:line="480" w:lineRule="auto"/>
        <w:rPr>
          <w:rFonts w:ascii="Arial" w:hAnsi="Arial" w:cs="Arial"/>
          <w:sz w:val="24"/>
          <w:szCs w:val="24"/>
        </w:rPr>
      </w:pPr>
    </w:p>
    <w:p w14:paraId="2CD6FEB2" w14:textId="3BD3EC18" w:rsidR="00A439A4" w:rsidRDefault="00FD3CB1" w:rsidP="002135F5">
      <w:pPr>
        <w:spacing w:line="480" w:lineRule="auto"/>
        <w:rPr>
          <w:rFonts w:ascii="Arial" w:hAnsi="Arial" w:cs="Arial"/>
          <w:sz w:val="24"/>
          <w:szCs w:val="24"/>
        </w:rPr>
      </w:pPr>
      <w:r>
        <w:rPr>
          <w:rFonts w:ascii="Arial" w:hAnsi="Arial" w:cs="Arial"/>
          <w:sz w:val="24"/>
          <w:szCs w:val="24"/>
        </w:rPr>
        <w:t>Available</w:t>
      </w:r>
      <w:r w:rsidR="00A439A4">
        <w:rPr>
          <w:rFonts w:ascii="Arial" w:hAnsi="Arial" w:cs="Arial"/>
          <w:sz w:val="24"/>
          <w:szCs w:val="24"/>
        </w:rPr>
        <w:t xml:space="preserve"> at: </w:t>
      </w:r>
      <w:hyperlink r:id="rId7" w:history="1">
        <w:r w:rsidR="00A439A4" w:rsidRPr="00846950">
          <w:rPr>
            <w:rStyle w:val="Hyperlink"/>
            <w:rFonts w:ascii="Arial" w:hAnsi="Arial" w:cs="Arial"/>
            <w:sz w:val="24"/>
            <w:szCs w:val="24"/>
          </w:rPr>
          <w:t>https://www.gov.uk/government/statistics/women-and-the-criminal-justice-system-2019/women-an</w:t>
        </w:r>
      </w:hyperlink>
      <w:r w:rsidR="00A439A4">
        <w:rPr>
          <w:rFonts w:ascii="Arial" w:hAnsi="Arial" w:cs="Arial"/>
          <w:sz w:val="24"/>
          <w:szCs w:val="24"/>
        </w:rPr>
        <w:t>... (Accessed 07/04/2022)</w:t>
      </w:r>
    </w:p>
    <w:p w14:paraId="421159A8" w14:textId="19F7206E" w:rsidR="00F87AC5" w:rsidRDefault="00FD3CB1" w:rsidP="002135F5">
      <w:pPr>
        <w:spacing w:line="480" w:lineRule="auto"/>
        <w:rPr>
          <w:rFonts w:ascii="Arial" w:hAnsi="Arial" w:cs="Arial"/>
          <w:sz w:val="24"/>
          <w:szCs w:val="24"/>
        </w:rPr>
      </w:pPr>
      <w:r>
        <w:rPr>
          <w:rFonts w:ascii="Arial" w:hAnsi="Arial" w:cs="Arial"/>
          <w:sz w:val="24"/>
          <w:szCs w:val="24"/>
        </w:rPr>
        <w:t xml:space="preserve">Available at: </w:t>
      </w:r>
      <w:hyperlink r:id="rId8" w:history="1">
        <w:r w:rsidRPr="00846950">
          <w:rPr>
            <w:rStyle w:val="Hyperlink"/>
            <w:rFonts w:ascii="Arial" w:hAnsi="Arial" w:cs="Arial"/>
            <w:sz w:val="24"/>
            <w:szCs w:val="24"/>
          </w:rPr>
          <w:t>https://www.unodc.org/undoc/en/justice-and-prison-reform/cpcj-gender.html</w:t>
        </w:r>
      </w:hyperlink>
      <w:r>
        <w:rPr>
          <w:rFonts w:ascii="Arial" w:hAnsi="Arial" w:cs="Arial"/>
          <w:sz w:val="24"/>
          <w:szCs w:val="24"/>
        </w:rPr>
        <w:t xml:space="preserve">  (Accessed 07/04/2022)</w:t>
      </w:r>
    </w:p>
    <w:p w14:paraId="38A3EB9C" w14:textId="55989510" w:rsidR="00FD3CB1" w:rsidRDefault="00FD3CB1" w:rsidP="002135F5">
      <w:pPr>
        <w:spacing w:line="480" w:lineRule="auto"/>
        <w:rPr>
          <w:rFonts w:ascii="Arial" w:hAnsi="Arial" w:cs="Arial"/>
          <w:sz w:val="24"/>
          <w:szCs w:val="24"/>
        </w:rPr>
      </w:pPr>
      <w:r>
        <w:rPr>
          <w:rFonts w:ascii="Arial" w:hAnsi="Arial" w:cs="Arial"/>
          <w:sz w:val="24"/>
          <w:szCs w:val="24"/>
        </w:rPr>
        <w:t xml:space="preserve">Available at: </w:t>
      </w:r>
      <w:hyperlink r:id="rId9" w:history="1">
        <w:r w:rsidRPr="00846950">
          <w:rPr>
            <w:rStyle w:val="Hyperlink"/>
            <w:rFonts w:ascii="Arial" w:hAnsi="Arial" w:cs="Arial"/>
            <w:sz w:val="24"/>
            <w:szCs w:val="24"/>
          </w:rPr>
          <w:t>https://www.justiceinspectorates.gov.uk/hmiprobation/research/the-evidence-base-probation/specifi</w:t>
        </w:r>
      </w:hyperlink>
      <w:r>
        <w:rPr>
          <w:rFonts w:ascii="Arial" w:hAnsi="Arial" w:cs="Arial"/>
          <w:sz w:val="24"/>
          <w:szCs w:val="24"/>
        </w:rPr>
        <w:t>...  (Accessed 13/04/2022)</w:t>
      </w:r>
    </w:p>
    <w:p w14:paraId="599B5D51" w14:textId="7C5CEEE7" w:rsidR="00FD3CB1" w:rsidRDefault="00FD3CB1" w:rsidP="002135F5">
      <w:pPr>
        <w:spacing w:line="480" w:lineRule="auto"/>
        <w:rPr>
          <w:rFonts w:ascii="Arial" w:hAnsi="Arial" w:cs="Arial"/>
          <w:sz w:val="24"/>
          <w:szCs w:val="24"/>
        </w:rPr>
      </w:pPr>
      <w:r>
        <w:rPr>
          <w:rFonts w:ascii="Arial" w:hAnsi="Arial" w:cs="Arial"/>
          <w:sz w:val="24"/>
          <w:szCs w:val="24"/>
        </w:rPr>
        <w:t xml:space="preserve">Available at: </w:t>
      </w:r>
      <w:hyperlink r:id="rId10" w:history="1">
        <w:r w:rsidR="000B359C" w:rsidRPr="00846950">
          <w:rPr>
            <w:rStyle w:val="Hyperlink"/>
            <w:rFonts w:ascii="Arial" w:hAnsi="Arial" w:cs="Arial"/>
            <w:sz w:val="24"/>
            <w:szCs w:val="24"/>
          </w:rPr>
          <w:t>https://www.prisonreformtrust.org.uk/whatwedo/projectsresearch/women</w:t>
        </w:r>
      </w:hyperlink>
      <w:r w:rsidR="000B359C">
        <w:rPr>
          <w:rFonts w:ascii="Arial" w:hAnsi="Arial" w:cs="Arial"/>
          <w:sz w:val="24"/>
          <w:szCs w:val="24"/>
        </w:rPr>
        <w:t xml:space="preserve">  (Accessed 14/04/2022)</w:t>
      </w:r>
    </w:p>
    <w:p w14:paraId="1E5F34E0" w14:textId="4D55C3CA" w:rsidR="00732630" w:rsidRDefault="00B468E7" w:rsidP="002135F5">
      <w:pPr>
        <w:spacing w:line="480" w:lineRule="auto"/>
        <w:rPr>
          <w:rFonts w:ascii="Arial" w:hAnsi="Arial" w:cs="Arial"/>
          <w:sz w:val="24"/>
          <w:szCs w:val="24"/>
        </w:rPr>
      </w:pPr>
      <w:r>
        <w:rPr>
          <w:rFonts w:ascii="Arial" w:hAnsi="Arial" w:cs="Arial"/>
          <w:sz w:val="24"/>
          <w:szCs w:val="24"/>
        </w:rPr>
        <w:t xml:space="preserve"> </w:t>
      </w:r>
    </w:p>
    <w:p w14:paraId="725D81F0" w14:textId="1F5B77C6" w:rsidR="00CF7D6E" w:rsidRDefault="00C61EE8" w:rsidP="002135F5">
      <w:pPr>
        <w:spacing w:line="480" w:lineRule="auto"/>
        <w:rPr>
          <w:rFonts w:ascii="Arial" w:hAnsi="Arial" w:cs="Arial"/>
          <w:sz w:val="24"/>
          <w:szCs w:val="24"/>
        </w:rPr>
      </w:pPr>
      <w:r>
        <w:rPr>
          <w:rFonts w:ascii="Arial" w:hAnsi="Arial" w:cs="Arial"/>
          <w:sz w:val="24"/>
          <w:szCs w:val="24"/>
        </w:rPr>
        <w:lastRenderedPageBreak/>
        <w:t xml:space="preserve"> </w:t>
      </w:r>
    </w:p>
    <w:p w14:paraId="6C630F42" w14:textId="4EB1A963" w:rsidR="00213EA2" w:rsidRPr="002135F5" w:rsidRDefault="00213EA2" w:rsidP="002135F5">
      <w:pPr>
        <w:spacing w:line="480" w:lineRule="auto"/>
        <w:rPr>
          <w:rFonts w:ascii="Arial" w:hAnsi="Arial" w:cs="Arial"/>
          <w:sz w:val="24"/>
          <w:szCs w:val="24"/>
        </w:rPr>
      </w:pPr>
      <w:r>
        <w:rPr>
          <w:rFonts w:ascii="Arial" w:hAnsi="Arial" w:cs="Arial"/>
          <w:sz w:val="24"/>
          <w:szCs w:val="24"/>
        </w:rPr>
        <w:t xml:space="preserve"> </w:t>
      </w:r>
    </w:p>
    <w:sectPr w:rsidR="00213EA2" w:rsidRPr="002135F5" w:rsidSect="002135F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5F5"/>
    <w:rsid w:val="00014C47"/>
    <w:rsid w:val="0002290A"/>
    <w:rsid w:val="000735E8"/>
    <w:rsid w:val="000B359C"/>
    <w:rsid w:val="00160F9A"/>
    <w:rsid w:val="001F101A"/>
    <w:rsid w:val="002135F5"/>
    <w:rsid w:val="00213EA2"/>
    <w:rsid w:val="002471C0"/>
    <w:rsid w:val="002A7AAE"/>
    <w:rsid w:val="002E0973"/>
    <w:rsid w:val="00346FC0"/>
    <w:rsid w:val="003B1E4B"/>
    <w:rsid w:val="0041551D"/>
    <w:rsid w:val="00466FE7"/>
    <w:rsid w:val="004709F4"/>
    <w:rsid w:val="004B306F"/>
    <w:rsid w:val="005239CA"/>
    <w:rsid w:val="005833FC"/>
    <w:rsid w:val="00613D50"/>
    <w:rsid w:val="00623659"/>
    <w:rsid w:val="00662687"/>
    <w:rsid w:val="006729F7"/>
    <w:rsid w:val="00732630"/>
    <w:rsid w:val="00740B88"/>
    <w:rsid w:val="00787DC2"/>
    <w:rsid w:val="007A08D4"/>
    <w:rsid w:val="007C2653"/>
    <w:rsid w:val="009C0D9B"/>
    <w:rsid w:val="009C3C17"/>
    <w:rsid w:val="009E1FA7"/>
    <w:rsid w:val="00A27371"/>
    <w:rsid w:val="00A439A4"/>
    <w:rsid w:val="00B468E7"/>
    <w:rsid w:val="00B82A64"/>
    <w:rsid w:val="00BE34E3"/>
    <w:rsid w:val="00C61EE8"/>
    <w:rsid w:val="00CF6ED3"/>
    <w:rsid w:val="00CF7D6E"/>
    <w:rsid w:val="00CF7F69"/>
    <w:rsid w:val="00DA13B3"/>
    <w:rsid w:val="00E00BFA"/>
    <w:rsid w:val="00E14F6E"/>
    <w:rsid w:val="00F02802"/>
    <w:rsid w:val="00F87AC5"/>
    <w:rsid w:val="00FA630E"/>
    <w:rsid w:val="00FC1D75"/>
    <w:rsid w:val="00FD3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7E446"/>
  <w15:chartTrackingRefBased/>
  <w15:docId w15:val="{C63C0FDB-0751-4B43-9A05-CE71CD793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35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35F5"/>
    <w:rPr>
      <w:rFonts w:eastAsiaTheme="minorEastAsia"/>
      <w:lang w:val="en-US"/>
    </w:rPr>
  </w:style>
  <w:style w:type="character" w:styleId="Hyperlink">
    <w:name w:val="Hyperlink"/>
    <w:basedOn w:val="DefaultParagraphFont"/>
    <w:uiPriority w:val="99"/>
    <w:unhideWhenUsed/>
    <w:rsid w:val="00A439A4"/>
    <w:rPr>
      <w:color w:val="0563C1" w:themeColor="hyperlink"/>
      <w:u w:val="single"/>
    </w:rPr>
  </w:style>
  <w:style w:type="character" w:styleId="UnresolvedMention">
    <w:name w:val="Unresolved Mention"/>
    <w:basedOn w:val="DefaultParagraphFont"/>
    <w:uiPriority w:val="99"/>
    <w:semiHidden/>
    <w:unhideWhenUsed/>
    <w:rsid w:val="00A439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dc.org/undoc/en/justice-and-prison-reform/cpcj-gender.html" TargetMode="External"/><Relationship Id="rId3" Type="http://schemas.openxmlformats.org/officeDocument/2006/relationships/settings" Target="settings.xml"/><Relationship Id="rId7" Type="http://schemas.openxmlformats.org/officeDocument/2006/relationships/hyperlink" Target="https://www.gov.uk/government/statistics/women-and-the-criminal-justice-system-2019/women-a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gif"/><Relationship Id="rId10" Type="http://schemas.openxmlformats.org/officeDocument/2006/relationships/hyperlink" Target="https://www.prisonreformtrust.org.uk/whatwedo/projectsresearch/women" TargetMode="External"/><Relationship Id="rId4" Type="http://schemas.openxmlformats.org/officeDocument/2006/relationships/webSettings" Target="webSettings.xml"/><Relationship Id="rId9" Type="http://schemas.openxmlformats.org/officeDocument/2006/relationships/hyperlink" Target="https://www.justiceinspectorates.gov.uk/hmiprobation/research/the-evidence-base-probation/speci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2022-04-06T00:00:00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1870</Words>
  <Characters>10661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Understanding Crime, Justice and Punishment.</vt:lpstr>
    </vt:vector>
  </TitlesOfParts>
  <Company>BMLW5001.</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Crime, Justice and Punishment.</dc:title>
  <dc:subject/>
  <dc:creator>Mel Box (2003707)</dc:creator>
  <cp:keywords/>
  <dc:description/>
  <cp:lastModifiedBy>Mel Box (2003707)</cp:lastModifiedBy>
  <cp:revision>2</cp:revision>
  <dcterms:created xsi:type="dcterms:W3CDTF">2022-04-16T14:07:00Z</dcterms:created>
  <dcterms:modified xsi:type="dcterms:W3CDTF">2022-04-16T14:07:00Z</dcterms:modified>
</cp:coreProperties>
</file>