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7613E6" w14:textId="0D157E08" w:rsidR="371B20AB" w:rsidRDefault="371B20AB" w:rsidP="371B20AB">
      <w:pPr>
        <w:rPr>
          <w:b/>
          <w:bCs/>
          <w:sz w:val="28"/>
          <w:szCs w:val="28"/>
        </w:rPr>
      </w:pPr>
    </w:p>
    <w:p w14:paraId="392950B6" w14:textId="77777777" w:rsidR="00C96DB6" w:rsidRDefault="00C96DB6" w:rsidP="371B20AB">
      <w:pPr>
        <w:rPr>
          <w:rFonts w:ascii="Aptos" w:eastAsia="Aptos" w:hAnsi="Aptos" w:cs="Aptos"/>
          <w:color w:val="000000" w:themeColor="text1"/>
          <w:sz w:val="28"/>
          <w:szCs w:val="28"/>
        </w:rPr>
      </w:pPr>
    </w:p>
    <w:p w14:paraId="2A11042A" w14:textId="77777777" w:rsidR="00C96DB6" w:rsidRDefault="00C96DB6" w:rsidP="371B20AB">
      <w:pPr>
        <w:rPr>
          <w:rFonts w:ascii="Aptos" w:eastAsia="Aptos" w:hAnsi="Aptos" w:cs="Aptos"/>
          <w:color w:val="000000" w:themeColor="text1"/>
          <w:sz w:val="28"/>
          <w:szCs w:val="28"/>
        </w:rPr>
      </w:pPr>
    </w:p>
    <w:p w14:paraId="4F300A0C" w14:textId="77777777" w:rsidR="00DE2C28" w:rsidRDefault="00C96DB6" w:rsidP="371B20AB">
      <w:pPr>
        <w:rPr>
          <w:rStyle w:val="normaltextrun"/>
          <w:rFonts w:cs="Calibri"/>
          <w:b/>
          <w:bCs/>
          <w:color w:val="000000"/>
          <w:sz w:val="36"/>
          <w:szCs w:val="36"/>
          <w:bdr w:val="none" w:sz="0" w:space="0" w:color="auto" w:frame="1"/>
        </w:rPr>
      </w:pPr>
      <w:r w:rsidRPr="007F737A">
        <w:rPr>
          <w:rFonts w:ascii="Aptos" w:eastAsia="Aptos" w:hAnsi="Aptos" w:cs="Aptos"/>
          <w:b/>
          <w:bCs/>
          <w:color w:val="000000" w:themeColor="text1"/>
          <w:sz w:val="36"/>
          <w:szCs w:val="36"/>
        </w:rPr>
        <w:t>Module</w:t>
      </w:r>
      <w:r w:rsidR="007F737A">
        <w:rPr>
          <w:rFonts w:ascii="Aptos" w:eastAsia="Aptos" w:hAnsi="Aptos" w:cs="Aptos"/>
          <w:color w:val="000000" w:themeColor="text1"/>
          <w:sz w:val="36"/>
          <w:szCs w:val="36"/>
        </w:rPr>
        <w:t>:</w:t>
      </w:r>
      <w:r w:rsidRPr="007F737A">
        <w:rPr>
          <w:rFonts w:ascii="Aptos" w:eastAsia="Aptos" w:hAnsi="Aptos" w:cs="Aptos"/>
          <w:color w:val="000000" w:themeColor="text1"/>
          <w:sz w:val="36"/>
          <w:szCs w:val="36"/>
        </w:rPr>
        <w:t xml:space="preserve"> </w:t>
      </w:r>
      <w:r w:rsidR="007F737A" w:rsidRPr="007F737A">
        <w:rPr>
          <w:rStyle w:val="normaltextrun"/>
          <w:rFonts w:cs="Calibri"/>
          <w:b/>
          <w:bCs/>
          <w:color w:val="000000"/>
          <w:sz w:val="36"/>
          <w:szCs w:val="36"/>
          <w:bdr w:val="none" w:sz="0" w:space="0" w:color="auto" w:frame="1"/>
        </w:rPr>
        <w:t>ECDE7013</w:t>
      </w:r>
    </w:p>
    <w:p w14:paraId="59100591" w14:textId="59444228" w:rsidR="00C96DB6" w:rsidRDefault="00DE2C28" w:rsidP="371B20AB">
      <w:pPr>
        <w:rPr>
          <w:rStyle w:val="normaltextrun"/>
          <w:rFonts w:cs="Calibri"/>
          <w:b/>
          <w:bCs/>
          <w:color w:val="000000"/>
          <w:sz w:val="36"/>
          <w:szCs w:val="36"/>
          <w:bdr w:val="none" w:sz="0" w:space="0" w:color="auto" w:frame="1"/>
        </w:rPr>
      </w:pPr>
      <w:r>
        <w:rPr>
          <w:rStyle w:val="normaltextrun"/>
          <w:rFonts w:cs="Calibri"/>
          <w:b/>
          <w:bCs/>
          <w:color w:val="000000"/>
          <w:sz w:val="36"/>
          <w:szCs w:val="36"/>
          <w:bdr w:val="none" w:sz="0" w:space="0" w:color="auto" w:frame="1"/>
        </w:rPr>
        <w:t>Word Count: 11050</w:t>
      </w:r>
    </w:p>
    <w:p w14:paraId="7AB0A600" w14:textId="4CD33CA4" w:rsidR="00DE2C28" w:rsidRDefault="00DE2C28" w:rsidP="371B20AB">
      <w:pPr>
        <w:rPr>
          <w:rStyle w:val="normaltextrun"/>
          <w:rFonts w:cs="Calibri"/>
          <w:b/>
          <w:bCs/>
          <w:color w:val="000000"/>
          <w:sz w:val="36"/>
          <w:szCs w:val="36"/>
          <w:bdr w:val="none" w:sz="0" w:space="0" w:color="auto" w:frame="1"/>
        </w:rPr>
      </w:pPr>
      <w:r>
        <w:rPr>
          <w:rStyle w:val="normaltextrun"/>
          <w:rFonts w:cs="Calibri"/>
          <w:b/>
          <w:bCs/>
          <w:color w:val="000000"/>
          <w:sz w:val="36"/>
          <w:szCs w:val="36"/>
          <w:bdr w:val="none" w:sz="0" w:space="0" w:color="auto" w:frame="1"/>
        </w:rPr>
        <w:t>Student Number:1603276</w:t>
      </w:r>
    </w:p>
    <w:p w14:paraId="644A778A" w14:textId="77777777" w:rsidR="00DE2C28" w:rsidRPr="007F737A" w:rsidRDefault="00DE2C28" w:rsidP="371B20AB">
      <w:pPr>
        <w:rPr>
          <w:rFonts w:eastAsia="Aptos" w:cs="Aptos"/>
          <w:color w:val="000000" w:themeColor="text1"/>
          <w:sz w:val="36"/>
          <w:szCs w:val="36"/>
        </w:rPr>
      </w:pPr>
    </w:p>
    <w:p w14:paraId="00740073" w14:textId="77777777" w:rsidR="00C96DB6" w:rsidRDefault="00C96DB6" w:rsidP="371B20AB">
      <w:pPr>
        <w:rPr>
          <w:rFonts w:ascii="Aptos" w:eastAsia="Aptos" w:hAnsi="Aptos" w:cs="Aptos"/>
          <w:color w:val="000000" w:themeColor="text1"/>
          <w:sz w:val="28"/>
          <w:szCs w:val="28"/>
        </w:rPr>
      </w:pPr>
    </w:p>
    <w:p w14:paraId="633FC7E8" w14:textId="3FD404F6" w:rsidR="00C96DB6" w:rsidRPr="00C96DB6" w:rsidRDefault="00C96DB6" w:rsidP="371B20AB">
      <w:pPr>
        <w:rPr>
          <w:rFonts w:eastAsia="Aptos" w:cs="Aptos"/>
          <w:sz w:val="28"/>
          <w:szCs w:val="28"/>
        </w:rPr>
      </w:pPr>
      <w:r w:rsidRPr="00C96DB6">
        <w:rPr>
          <w:rFonts w:cs="Arial"/>
          <w:position w:val="1"/>
          <w:sz w:val="36"/>
          <w:szCs w:val="36"/>
          <w:shd w:val="clear" w:color="auto" w:fill="F5F5F5"/>
        </w:rPr>
        <w:t>An exploration of Early Years Practitioners’ understanding of the concept of the enabling adult within the curriculum for non-maintained nursery settings. </w:t>
      </w:r>
      <w:r w:rsidRPr="00C96DB6">
        <w:rPr>
          <w:rFonts w:ascii="Arial" w:hAnsi="Arial" w:cs="Arial"/>
          <w:sz w:val="36"/>
          <w:szCs w:val="36"/>
          <w:shd w:val="clear" w:color="auto" w:fill="F5F5F5"/>
        </w:rPr>
        <w:t>​</w:t>
      </w:r>
    </w:p>
    <w:p w14:paraId="0B87BCA4" w14:textId="77777777" w:rsidR="00C96DB6" w:rsidRDefault="00C96DB6" w:rsidP="371B20AB">
      <w:pPr>
        <w:rPr>
          <w:rFonts w:ascii="Aptos" w:eastAsia="Aptos" w:hAnsi="Aptos" w:cs="Aptos"/>
          <w:color w:val="000000" w:themeColor="text1"/>
          <w:sz w:val="28"/>
          <w:szCs w:val="28"/>
        </w:rPr>
      </w:pPr>
    </w:p>
    <w:p w14:paraId="0776D247" w14:textId="77777777" w:rsidR="00C96DB6" w:rsidRDefault="00C96DB6" w:rsidP="371B20AB">
      <w:pPr>
        <w:rPr>
          <w:rFonts w:ascii="Aptos" w:eastAsia="Aptos" w:hAnsi="Aptos" w:cs="Aptos"/>
          <w:color w:val="000000" w:themeColor="text1"/>
          <w:sz w:val="28"/>
          <w:szCs w:val="28"/>
        </w:rPr>
      </w:pPr>
    </w:p>
    <w:p w14:paraId="2F3D89CE" w14:textId="77777777" w:rsidR="00C96DB6" w:rsidRDefault="00C96DB6" w:rsidP="371B20AB">
      <w:pPr>
        <w:rPr>
          <w:rFonts w:ascii="Aptos" w:eastAsia="Aptos" w:hAnsi="Aptos" w:cs="Aptos"/>
          <w:color w:val="000000" w:themeColor="text1"/>
          <w:sz w:val="28"/>
          <w:szCs w:val="28"/>
        </w:rPr>
      </w:pPr>
    </w:p>
    <w:p w14:paraId="3297B57D" w14:textId="77777777" w:rsidR="00C96DB6" w:rsidRDefault="00C96DB6" w:rsidP="371B20AB">
      <w:pPr>
        <w:rPr>
          <w:rFonts w:ascii="Aptos" w:eastAsia="Aptos" w:hAnsi="Aptos" w:cs="Aptos"/>
          <w:color w:val="000000" w:themeColor="text1"/>
          <w:sz w:val="28"/>
          <w:szCs w:val="28"/>
        </w:rPr>
      </w:pPr>
    </w:p>
    <w:p w14:paraId="68100214" w14:textId="77777777" w:rsidR="00C96DB6" w:rsidRDefault="00C96DB6" w:rsidP="371B20AB">
      <w:pPr>
        <w:rPr>
          <w:rFonts w:ascii="Aptos" w:eastAsia="Aptos" w:hAnsi="Aptos" w:cs="Aptos"/>
          <w:color w:val="000000" w:themeColor="text1"/>
          <w:sz w:val="28"/>
          <w:szCs w:val="28"/>
        </w:rPr>
      </w:pPr>
    </w:p>
    <w:p w14:paraId="51392BBC" w14:textId="77777777" w:rsidR="00C96DB6" w:rsidRDefault="00C96DB6" w:rsidP="371B20AB">
      <w:pPr>
        <w:rPr>
          <w:rFonts w:ascii="Aptos" w:eastAsia="Aptos" w:hAnsi="Aptos" w:cs="Aptos"/>
          <w:color w:val="000000" w:themeColor="text1"/>
          <w:sz w:val="28"/>
          <w:szCs w:val="28"/>
        </w:rPr>
      </w:pPr>
    </w:p>
    <w:p w14:paraId="1DC7352D" w14:textId="77777777" w:rsidR="00C96DB6" w:rsidRDefault="00C96DB6" w:rsidP="371B20AB">
      <w:pPr>
        <w:rPr>
          <w:rFonts w:ascii="Aptos" w:eastAsia="Aptos" w:hAnsi="Aptos" w:cs="Aptos"/>
          <w:color w:val="000000" w:themeColor="text1"/>
          <w:sz w:val="28"/>
          <w:szCs w:val="28"/>
        </w:rPr>
      </w:pPr>
    </w:p>
    <w:p w14:paraId="54FBDE42" w14:textId="77777777" w:rsidR="00C96DB6" w:rsidRDefault="00C96DB6" w:rsidP="371B20AB">
      <w:pPr>
        <w:rPr>
          <w:rFonts w:ascii="Aptos" w:eastAsia="Aptos" w:hAnsi="Aptos" w:cs="Aptos"/>
          <w:color w:val="000000" w:themeColor="text1"/>
          <w:sz w:val="28"/>
          <w:szCs w:val="28"/>
        </w:rPr>
      </w:pPr>
    </w:p>
    <w:p w14:paraId="250C6D98" w14:textId="77777777" w:rsidR="00C96DB6" w:rsidRDefault="00C96DB6" w:rsidP="371B20AB">
      <w:pPr>
        <w:rPr>
          <w:rFonts w:ascii="Aptos" w:eastAsia="Aptos" w:hAnsi="Aptos" w:cs="Aptos"/>
          <w:color w:val="000000" w:themeColor="text1"/>
          <w:sz w:val="28"/>
          <w:szCs w:val="28"/>
        </w:rPr>
      </w:pPr>
    </w:p>
    <w:p w14:paraId="54DC7D3E" w14:textId="77777777" w:rsidR="00C96DB6" w:rsidRDefault="00C96DB6" w:rsidP="371B20AB">
      <w:pPr>
        <w:rPr>
          <w:rFonts w:ascii="Aptos" w:eastAsia="Aptos" w:hAnsi="Aptos" w:cs="Aptos"/>
          <w:color w:val="000000" w:themeColor="text1"/>
          <w:sz w:val="28"/>
          <w:szCs w:val="28"/>
        </w:rPr>
      </w:pPr>
    </w:p>
    <w:p w14:paraId="6BD8CCEF" w14:textId="77777777" w:rsidR="00C96DB6" w:rsidRDefault="00C96DB6" w:rsidP="371B20AB">
      <w:pPr>
        <w:rPr>
          <w:rFonts w:ascii="Aptos" w:eastAsia="Aptos" w:hAnsi="Aptos" w:cs="Aptos"/>
          <w:color w:val="000000" w:themeColor="text1"/>
          <w:sz w:val="28"/>
          <w:szCs w:val="28"/>
        </w:rPr>
      </w:pPr>
    </w:p>
    <w:p w14:paraId="25E6EDDE" w14:textId="77777777" w:rsidR="00C96DB6" w:rsidRDefault="00C96DB6" w:rsidP="371B20AB">
      <w:pPr>
        <w:rPr>
          <w:rFonts w:ascii="Aptos" w:eastAsia="Aptos" w:hAnsi="Aptos" w:cs="Aptos"/>
          <w:color w:val="000000" w:themeColor="text1"/>
          <w:sz w:val="28"/>
          <w:szCs w:val="28"/>
        </w:rPr>
      </w:pPr>
    </w:p>
    <w:p w14:paraId="62C368EE" w14:textId="77777777" w:rsidR="00C96DB6" w:rsidRDefault="00C96DB6" w:rsidP="371B20AB">
      <w:pPr>
        <w:rPr>
          <w:rFonts w:ascii="Aptos" w:eastAsia="Aptos" w:hAnsi="Aptos" w:cs="Aptos"/>
          <w:color w:val="000000" w:themeColor="text1"/>
          <w:sz w:val="28"/>
          <w:szCs w:val="28"/>
        </w:rPr>
      </w:pPr>
    </w:p>
    <w:p w14:paraId="1817658B" w14:textId="77777777" w:rsidR="00C96DB6" w:rsidRDefault="00C96DB6" w:rsidP="371B20AB">
      <w:pPr>
        <w:rPr>
          <w:rFonts w:ascii="Aptos" w:eastAsia="Aptos" w:hAnsi="Aptos" w:cs="Aptos"/>
          <w:color w:val="000000" w:themeColor="text1"/>
          <w:sz w:val="28"/>
          <w:szCs w:val="28"/>
        </w:rPr>
      </w:pPr>
    </w:p>
    <w:p w14:paraId="7B147D3B" w14:textId="77777777" w:rsidR="00C96DB6" w:rsidRDefault="00C96DB6" w:rsidP="371B20AB">
      <w:pPr>
        <w:rPr>
          <w:rFonts w:ascii="Aptos" w:eastAsia="Aptos" w:hAnsi="Aptos" w:cs="Aptos"/>
          <w:color w:val="000000" w:themeColor="text1"/>
          <w:sz w:val="28"/>
          <w:szCs w:val="28"/>
        </w:rPr>
      </w:pPr>
    </w:p>
    <w:p w14:paraId="4BF21F51" w14:textId="7A696813" w:rsidR="23CF76C6" w:rsidRDefault="23CF76C6" w:rsidP="371B20AB">
      <w:pPr>
        <w:rPr>
          <w:rFonts w:ascii="Aptos" w:eastAsia="Aptos" w:hAnsi="Aptos" w:cs="Aptos"/>
          <w:color w:val="000000" w:themeColor="text1"/>
          <w:sz w:val="28"/>
          <w:szCs w:val="28"/>
        </w:rPr>
      </w:pPr>
      <w:r w:rsidRPr="371B20AB">
        <w:rPr>
          <w:rFonts w:ascii="Aptos" w:eastAsia="Aptos" w:hAnsi="Aptos" w:cs="Aptos"/>
          <w:color w:val="000000" w:themeColor="text1"/>
          <w:sz w:val="28"/>
          <w:szCs w:val="28"/>
        </w:rPr>
        <w:t xml:space="preserve">Contents </w:t>
      </w:r>
    </w:p>
    <w:p w14:paraId="2B008269" w14:textId="2AB3DF6F" w:rsidR="23CF76C6" w:rsidRDefault="23CF76C6" w:rsidP="371B20AB">
      <w:pPr>
        <w:rPr>
          <w:rFonts w:ascii="Aptos" w:eastAsia="Aptos" w:hAnsi="Aptos" w:cs="Aptos"/>
          <w:color w:val="000000" w:themeColor="text1"/>
          <w:sz w:val="28"/>
          <w:szCs w:val="28"/>
        </w:rPr>
      </w:pPr>
      <w:r w:rsidRPr="371B20AB">
        <w:rPr>
          <w:rFonts w:ascii="Aptos" w:eastAsia="Aptos" w:hAnsi="Aptos" w:cs="Aptos"/>
          <w:color w:val="000000" w:themeColor="text1"/>
          <w:sz w:val="28"/>
          <w:szCs w:val="28"/>
        </w:rPr>
        <w:t>Introduction....................................</w:t>
      </w:r>
      <w:r w:rsidR="00494957">
        <w:rPr>
          <w:rFonts w:ascii="Aptos" w:eastAsia="Aptos" w:hAnsi="Aptos" w:cs="Aptos"/>
          <w:color w:val="000000" w:themeColor="text1"/>
          <w:sz w:val="28"/>
          <w:szCs w:val="28"/>
        </w:rPr>
        <w:t>.............................3</w:t>
      </w:r>
    </w:p>
    <w:p w14:paraId="11159E2C" w14:textId="05F203C2" w:rsidR="23CF76C6" w:rsidRDefault="23CF76C6" w:rsidP="371B20AB">
      <w:pPr>
        <w:rPr>
          <w:rFonts w:ascii="Aptos" w:eastAsia="Aptos" w:hAnsi="Aptos" w:cs="Aptos"/>
          <w:color w:val="000000" w:themeColor="text1"/>
          <w:sz w:val="28"/>
          <w:szCs w:val="28"/>
        </w:rPr>
      </w:pPr>
      <w:r w:rsidRPr="371B20AB">
        <w:rPr>
          <w:rFonts w:ascii="Aptos" w:eastAsia="Aptos" w:hAnsi="Aptos" w:cs="Aptos"/>
          <w:color w:val="000000" w:themeColor="text1"/>
          <w:sz w:val="28"/>
          <w:szCs w:val="28"/>
        </w:rPr>
        <w:t>Chapter 1. Literature Review....................................</w:t>
      </w:r>
      <w:r w:rsidR="007F737A">
        <w:rPr>
          <w:rFonts w:ascii="Aptos" w:eastAsia="Aptos" w:hAnsi="Aptos" w:cs="Aptos"/>
          <w:color w:val="000000" w:themeColor="text1"/>
          <w:sz w:val="28"/>
          <w:szCs w:val="28"/>
        </w:rPr>
        <w:t>.....</w:t>
      </w:r>
      <w:r w:rsidR="00494957">
        <w:rPr>
          <w:rFonts w:ascii="Aptos" w:eastAsia="Aptos" w:hAnsi="Aptos" w:cs="Aptos"/>
          <w:color w:val="000000" w:themeColor="text1"/>
          <w:sz w:val="28"/>
          <w:szCs w:val="28"/>
        </w:rPr>
        <w:t>4</w:t>
      </w:r>
    </w:p>
    <w:p w14:paraId="1AB30FDA" w14:textId="5F940E88" w:rsidR="23CF76C6" w:rsidRDefault="23CF76C6" w:rsidP="371B20AB">
      <w:pPr>
        <w:rPr>
          <w:rFonts w:ascii="Aptos" w:eastAsia="Aptos" w:hAnsi="Aptos" w:cs="Aptos"/>
          <w:color w:val="000000" w:themeColor="text1"/>
          <w:sz w:val="28"/>
          <w:szCs w:val="28"/>
        </w:rPr>
      </w:pPr>
      <w:r w:rsidRPr="371B20AB">
        <w:rPr>
          <w:rFonts w:ascii="Aptos" w:eastAsia="Aptos" w:hAnsi="Aptos" w:cs="Aptos"/>
          <w:color w:val="000000" w:themeColor="text1"/>
          <w:sz w:val="28"/>
          <w:szCs w:val="28"/>
        </w:rPr>
        <w:t xml:space="preserve">Chapter </w:t>
      </w:r>
      <w:r w:rsidR="00494957">
        <w:rPr>
          <w:rFonts w:ascii="Aptos" w:eastAsia="Aptos" w:hAnsi="Aptos" w:cs="Aptos"/>
          <w:color w:val="000000" w:themeColor="text1"/>
          <w:sz w:val="28"/>
          <w:szCs w:val="28"/>
        </w:rPr>
        <w:t>2</w:t>
      </w:r>
      <w:r w:rsidRPr="371B20AB">
        <w:rPr>
          <w:rFonts w:ascii="Aptos" w:eastAsia="Aptos" w:hAnsi="Aptos" w:cs="Aptos"/>
          <w:color w:val="000000" w:themeColor="text1"/>
          <w:sz w:val="28"/>
          <w:szCs w:val="28"/>
        </w:rPr>
        <w:t>. Methodology.......................................</w:t>
      </w:r>
      <w:r w:rsidR="00494957">
        <w:rPr>
          <w:rFonts w:ascii="Aptos" w:eastAsia="Aptos" w:hAnsi="Aptos" w:cs="Aptos"/>
          <w:color w:val="000000" w:themeColor="text1"/>
          <w:sz w:val="28"/>
          <w:szCs w:val="28"/>
        </w:rPr>
        <w:t>.........16</w:t>
      </w:r>
    </w:p>
    <w:p w14:paraId="3F55739E" w14:textId="3BC5FFC3" w:rsidR="23CF76C6" w:rsidRDefault="23CF76C6" w:rsidP="371B20AB">
      <w:pPr>
        <w:rPr>
          <w:rFonts w:ascii="Aptos" w:eastAsia="Aptos" w:hAnsi="Aptos" w:cs="Aptos"/>
          <w:color w:val="000000" w:themeColor="text1"/>
          <w:sz w:val="28"/>
          <w:szCs w:val="28"/>
        </w:rPr>
      </w:pPr>
      <w:r w:rsidRPr="371B20AB">
        <w:rPr>
          <w:rFonts w:ascii="Aptos" w:eastAsia="Aptos" w:hAnsi="Aptos" w:cs="Aptos"/>
          <w:color w:val="000000" w:themeColor="text1"/>
          <w:sz w:val="28"/>
          <w:szCs w:val="28"/>
        </w:rPr>
        <w:t xml:space="preserve">Chapter </w:t>
      </w:r>
      <w:r w:rsidR="00494957">
        <w:rPr>
          <w:rFonts w:ascii="Aptos" w:eastAsia="Aptos" w:hAnsi="Aptos" w:cs="Aptos"/>
          <w:color w:val="000000" w:themeColor="text1"/>
          <w:sz w:val="28"/>
          <w:szCs w:val="28"/>
        </w:rPr>
        <w:t>3</w:t>
      </w:r>
      <w:r w:rsidRPr="371B20AB">
        <w:rPr>
          <w:rFonts w:ascii="Aptos" w:eastAsia="Aptos" w:hAnsi="Aptos" w:cs="Aptos"/>
          <w:color w:val="000000" w:themeColor="text1"/>
          <w:sz w:val="28"/>
          <w:szCs w:val="28"/>
        </w:rPr>
        <w:t xml:space="preserve">. </w:t>
      </w:r>
      <w:r w:rsidR="00494957" w:rsidRPr="00494957">
        <w:rPr>
          <w:rFonts w:eastAsia="Calibri" w:cs="Calibri"/>
          <w:color w:val="000000" w:themeColor="text1"/>
          <w:sz w:val="28"/>
          <w:szCs w:val="28"/>
        </w:rPr>
        <w:t>Findings and Data Analysis.</w:t>
      </w:r>
      <w:r w:rsidRPr="00494957">
        <w:rPr>
          <w:rFonts w:eastAsia="Aptos" w:cs="Aptos"/>
          <w:color w:val="000000" w:themeColor="text1"/>
          <w:sz w:val="28"/>
          <w:szCs w:val="28"/>
        </w:rPr>
        <w:t>..........................</w:t>
      </w:r>
      <w:r w:rsidR="00494957">
        <w:rPr>
          <w:rFonts w:ascii="Aptos" w:eastAsia="Aptos" w:hAnsi="Aptos" w:cs="Aptos"/>
          <w:color w:val="000000" w:themeColor="text1"/>
          <w:sz w:val="28"/>
          <w:szCs w:val="28"/>
        </w:rPr>
        <w:t>30</w:t>
      </w:r>
    </w:p>
    <w:p w14:paraId="0B6A0CB1" w14:textId="1A0C281B" w:rsidR="23CF76C6" w:rsidRDefault="23CF76C6" w:rsidP="371B20AB">
      <w:pPr>
        <w:rPr>
          <w:rFonts w:ascii="Aptos" w:eastAsia="Aptos" w:hAnsi="Aptos" w:cs="Aptos"/>
          <w:color w:val="000000" w:themeColor="text1"/>
          <w:sz w:val="28"/>
          <w:szCs w:val="28"/>
        </w:rPr>
      </w:pPr>
      <w:r w:rsidRPr="371B20AB">
        <w:rPr>
          <w:rFonts w:ascii="Aptos" w:eastAsia="Aptos" w:hAnsi="Aptos" w:cs="Aptos"/>
          <w:color w:val="000000" w:themeColor="text1"/>
          <w:sz w:val="28"/>
          <w:szCs w:val="28"/>
        </w:rPr>
        <w:t xml:space="preserve">Chapter </w:t>
      </w:r>
      <w:r w:rsidR="00494957">
        <w:rPr>
          <w:rFonts w:ascii="Aptos" w:eastAsia="Aptos" w:hAnsi="Aptos" w:cs="Aptos"/>
          <w:color w:val="000000" w:themeColor="text1"/>
          <w:sz w:val="28"/>
          <w:szCs w:val="28"/>
        </w:rPr>
        <w:t>4</w:t>
      </w:r>
      <w:r w:rsidRPr="371B20AB">
        <w:rPr>
          <w:rFonts w:ascii="Aptos" w:eastAsia="Aptos" w:hAnsi="Aptos" w:cs="Aptos"/>
          <w:color w:val="000000" w:themeColor="text1"/>
          <w:sz w:val="28"/>
          <w:szCs w:val="28"/>
        </w:rPr>
        <w:t xml:space="preserve">. </w:t>
      </w:r>
      <w:r w:rsidR="00494957">
        <w:rPr>
          <w:rFonts w:ascii="Aptos" w:eastAsia="Aptos" w:hAnsi="Aptos" w:cs="Aptos"/>
          <w:color w:val="000000" w:themeColor="text1"/>
          <w:sz w:val="28"/>
          <w:szCs w:val="28"/>
        </w:rPr>
        <w:t>Conclusion</w:t>
      </w:r>
      <w:r w:rsidRPr="371B20AB">
        <w:rPr>
          <w:rFonts w:ascii="Aptos" w:eastAsia="Aptos" w:hAnsi="Aptos" w:cs="Aptos"/>
          <w:color w:val="000000" w:themeColor="text1"/>
          <w:sz w:val="28"/>
          <w:szCs w:val="28"/>
        </w:rPr>
        <w:t xml:space="preserve"> and Recommendations..............</w:t>
      </w:r>
      <w:r w:rsidR="00494957">
        <w:rPr>
          <w:rFonts w:ascii="Aptos" w:eastAsia="Aptos" w:hAnsi="Aptos" w:cs="Aptos"/>
          <w:color w:val="000000" w:themeColor="text1"/>
          <w:sz w:val="28"/>
          <w:szCs w:val="28"/>
        </w:rPr>
        <w:t>45</w:t>
      </w:r>
    </w:p>
    <w:p w14:paraId="7CD2635B" w14:textId="3632384C" w:rsidR="007F737A" w:rsidRDefault="007F737A" w:rsidP="371B20AB">
      <w:pPr>
        <w:rPr>
          <w:rFonts w:ascii="Aptos" w:eastAsia="Aptos" w:hAnsi="Aptos" w:cs="Aptos"/>
          <w:color w:val="000000" w:themeColor="text1"/>
          <w:sz w:val="28"/>
          <w:szCs w:val="28"/>
        </w:rPr>
      </w:pPr>
      <w:r>
        <w:rPr>
          <w:rFonts w:ascii="Aptos" w:eastAsia="Aptos" w:hAnsi="Aptos" w:cs="Aptos"/>
          <w:color w:val="000000" w:themeColor="text1"/>
          <w:sz w:val="28"/>
          <w:szCs w:val="28"/>
        </w:rPr>
        <w:t>References…………………………………………………………… 4</w:t>
      </w:r>
      <w:r w:rsidR="00494957">
        <w:rPr>
          <w:rFonts w:ascii="Aptos" w:eastAsia="Aptos" w:hAnsi="Aptos" w:cs="Aptos"/>
          <w:color w:val="000000" w:themeColor="text1"/>
          <w:sz w:val="28"/>
          <w:szCs w:val="28"/>
        </w:rPr>
        <w:t>8</w:t>
      </w:r>
    </w:p>
    <w:p w14:paraId="46EF761A" w14:textId="0E532CD1" w:rsidR="371B20AB" w:rsidRDefault="371B20AB" w:rsidP="371B20AB">
      <w:pPr>
        <w:rPr>
          <w:b/>
          <w:bCs/>
          <w:sz w:val="28"/>
          <w:szCs w:val="28"/>
        </w:rPr>
      </w:pPr>
    </w:p>
    <w:p w14:paraId="0B63C3D1" w14:textId="1077FE2C" w:rsidR="371B20AB" w:rsidRDefault="371B20AB" w:rsidP="371B20AB">
      <w:pPr>
        <w:rPr>
          <w:b/>
          <w:bCs/>
          <w:sz w:val="28"/>
          <w:szCs w:val="28"/>
        </w:rPr>
      </w:pPr>
    </w:p>
    <w:p w14:paraId="15052191" w14:textId="750CDDA7" w:rsidR="371B20AB" w:rsidRDefault="371B20AB" w:rsidP="371B20AB">
      <w:pPr>
        <w:rPr>
          <w:b/>
          <w:bCs/>
          <w:sz w:val="28"/>
          <w:szCs w:val="28"/>
        </w:rPr>
      </w:pPr>
    </w:p>
    <w:p w14:paraId="33B8E87C" w14:textId="38950178" w:rsidR="371B20AB" w:rsidRDefault="371B20AB" w:rsidP="371B20AB">
      <w:pPr>
        <w:rPr>
          <w:b/>
          <w:bCs/>
          <w:sz w:val="28"/>
          <w:szCs w:val="28"/>
        </w:rPr>
      </w:pPr>
    </w:p>
    <w:p w14:paraId="13D3166E" w14:textId="675CD165" w:rsidR="371B20AB" w:rsidRDefault="371B20AB" w:rsidP="371B20AB">
      <w:pPr>
        <w:rPr>
          <w:b/>
          <w:bCs/>
          <w:sz w:val="28"/>
          <w:szCs w:val="28"/>
        </w:rPr>
      </w:pPr>
    </w:p>
    <w:p w14:paraId="6C95CBF9" w14:textId="638E14D1" w:rsidR="371B20AB" w:rsidRDefault="371B20AB" w:rsidP="371B20AB">
      <w:pPr>
        <w:rPr>
          <w:b/>
          <w:bCs/>
          <w:sz w:val="28"/>
          <w:szCs w:val="28"/>
        </w:rPr>
      </w:pPr>
    </w:p>
    <w:p w14:paraId="7473D821" w14:textId="282C81DF" w:rsidR="371B20AB" w:rsidRDefault="371B20AB" w:rsidP="371B20AB">
      <w:pPr>
        <w:rPr>
          <w:b/>
          <w:bCs/>
          <w:sz w:val="28"/>
          <w:szCs w:val="28"/>
        </w:rPr>
      </w:pPr>
    </w:p>
    <w:p w14:paraId="014C6A6B" w14:textId="1FE0A2BD" w:rsidR="371B20AB" w:rsidRDefault="371B20AB" w:rsidP="371B20AB">
      <w:pPr>
        <w:rPr>
          <w:b/>
          <w:bCs/>
          <w:sz w:val="28"/>
          <w:szCs w:val="28"/>
        </w:rPr>
      </w:pPr>
    </w:p>
    <w:p w14:paraId="7E766460" w14:textId="52462C90" w:rsidR="371B20AB" w:rsidRDefault="371B20AB" w:rsidP="371B20AB">
      <w:pPr>
        <w:rPr>
          <w:b/>
          <w:bCs/>
          <w:sz w:val="28"/>
          <w:szCs w:val="28"/>
        </w:rPr>
      </w:pPr>
    </w:p>
    <w:p w14:paraId="0A38214A" w14:textId="77777777" w:rsidR="007F737A" w:rsidRDefault="007F737A" w:rsidP="007F737A">
      <w:pPr>
        <w:spacing w:after="0" w:line="240" w:lineRule="auto"/>
        <w:textAlignment w:val="baseline"/>
        <w:rPr>
          <w:rFonts w:ascii="Aptos" w:eastAsia="Times New Roman" w:hAnsi="Aptos" w:cs="Segoe UI"/>
          <w:sz w:val="28"/>
          <w:szCs w:val="28"/>
          <w:lang w:eastAsia="zh-CN"/>
        </w:rPr>
      </w:pPr>
      <w:r w:rsidRPr="007F737A">
        <w:rPr>
          <w:rFonts w:ascii="Aptos" w:eastAsia="Times New Roman" w:hAnsi="Aptos" w:cs="Segoe UI"/>
          <w:b/>
          <w:bCs/>
          <w:sz w:val="28"/>
          <w:szCs w:val="28"/>
          <w:lang w:eastAsia="zh-CN"/>
        </w:rPr>
        <w:t>Introduction.</w:t>
      </w:r>
      <w:r w:rsidRPr="007F737A">
        <w:rPr>
          <w:rFonts w:ascii="Aptos" w:eastAsia="Times New Roman" w:hAnsi="Aptos" w:cs="Segoe UI"/>
          <w:sz w:val="28"/>
          <w:szCs w:val="28"/>
          <w:lang w:eastAsia="zh-CN"/>
        </w:rPr>
        <w:t> </w:t>
      </w:r>
    </w:p>
    <w:p w14:paraId="683ED88D" w14:textId="77777777" w:rsidR="00494957" w:rsidRPr="007F737A" w:rsidRDefault="00494957" w:rsidP="007F737A">
      <w:pPr>
        <w:spacing w:after="0" w:line="240" w:lineRule="auto"/>
        <w:textAlignment w:val="baseline"/>
        <w:rPr>
          <w:rFonts w:ascii="Segoe UI" w:eastAsia="Times New Roman" w:hAnsi="Segoe UI" w:cs="Segoe UI"/>
          <w:sz w:val="18"/>
          <w:szCs w:val="18"/>
          <w:lang w:eastAsia="zh-CN"/>
        </w:rPr>
      </w:pPr>
    </w:p>
    <w:p w14:paraId="2661D526" w14:textId="77777777" w:rsidR="007F737A" w:rsidRPr="007F737A" w:rsidRDefault="007F737A" w:rsidP="00494957">
      <w:pPr>
        <w:spacing w:after="0" w:line="360" w:lineRule="auto"/>
        <w:textAlignment w:val="baseline"/>
        <w:rPr>
          <w:rFonts w:ascii="Segoe UI" w:eastAsia="Times New Roman" w:hAnsi="Segoe UI" w:cs="Segoe UI"/>
          <w:sz w:val="18"/>
          <w:szCs w:val="18"/>
          <w:lang w:eastAsia="zh-CN"/>
        </w:rPr>
      </w:pPr>
      <w:r w:rsidRPr="007F737A">
        <w:rPr>
          <w:rFonts w:ascii="Aptos" w:eastAsia="Times New Roman" w:hAnsi="Aptos" w:cs="Segoe UI"/>
          <w:sz w:val="28"/>
          <w:szCs w:val="28"/>
          <w:lang w:eastAsia="zh-CN"/>
        </w:rPr>
        <w:t>This research study aims to explore the experiences of early years practitioners around the implementation of the Curriculum for Non-</w:t>
      </w:r>
      <w:r w:rsidRPr="007F737A">
        <w:rPr>
          <w:rFonts w:ascii="Aptos" w:eastAsia="Times New Roman" w:hAnsi="Aptos" w:cs="Segoe UI"/>
          <w:sz w:val="28"/>
          <w:szCs w:val="28"/>
          <w:lang w:eastAsia="zh-CN"/>
        </w:rPr>
        <w:lastRenderedPageBreak/>
        <w:t>Maintained Nursery Settings. This curriculum offers significant change in early years education development and frames learning for young children. The initial literature review found limited research into the curriculum as it was only recently introduced to settings in Wales. However, there were strong links with existing literature around the philosophical and pedagogical principles of the curriculum.  </w:t>
      </w:r>
    </w:p>
    <w:p w14:paraId="123ACE4D" w14:textId="77777777" w:rsidR="007F737A" w:rsidRPr="007F737A" w:rsidRDefault="007F737A" w:rsidP="00494957">
      <w:pPr>
        <w:spacing w:after="0" w:line="360" w:lineRule="auto"/>
        <w:textAlignment w:val="baseline"/>
        <w:rPr>
          <w:rFonts w:ascii="Segoe UI" w:eastAsia="Times New Roman" w:hAnsi="Segoe UI" w:cs="Segoe UI"/>
          <w:sz w:val="18"/>
          <w:szCs w:val="18"/>
          <w:lang w:eastAsia="zh-CN"/>
        </w:rPr>
      </w:pPr>
      <w:r w:rsidRPr="007F737A">
        <w:rPr>
          <w:rFonts w:ascii="Aptos" w:eastAsia="Times New Roman" w:hAnsi="Aptos" w:cs="Segoe UI"/>
          <w:sz w:val="28"/>
          <w:szCs w:val="28"/>
          <w:lang w:eastAsia="zh-CN"/>
        </w:rPr>
        <w:t xml:space="preserve">The methodological framework of Hermeneutic Phenomenology was chosen as an effective ontological approach creating a rich interpretation of practitioner's experiences. The qualitative paradigmatic approach enabled the use of the practitioners' thoughts and feelings to create meaning. Focus groups were chosen as the most </w:t>
      </w:r>
      <w:proofErr w:type="spellStart"/>
      <w:r w:rsidRPr="007F737A">
        <w:rPr>
          <w:rFonts w:ascii="Aptos" w:eastAsia="Times New Roman" w:hAnsi="Aptos" w:cs="Segoe UI"/>
          <w:sz w:val="28"/>
          <w:szCs w:val="28"/>
          <w:lang w:eastAsia="zh-CN"/>
        </w:rPr>
        <w:t>effetctve</w:t>
      </w:r>
      <w:proofErr w:type="spellEnd"/>
      <w:r w:rsidRPr="007F737A">
        <w:rPr>
          <w:rFonts w:ascii="Aptos" w:eastAsia="Times New Roman" w:hAnsi="Aptos" w:cs="Segoe UI"/>
          <w:sz w:val="28"/>
          <w:szCs w:val="28"/>
          <w:lang w:eastAsia="zh-CN"/>
        </w:rPr>
        <w:t xml:space="preserve"> way of exploring experiences within a group context offering extension of concepts. Ultimately one focus group and one dyadic interview became the methods used. </w:t>
      </w:r>
    </w:p>
    <w:p w14:paraId="75091BFD" w14:textId="77777777" w:rsidR="007F737A" w:rsidRPr="007F737A" w:rsidRDefault="007F737A" w:rsidP="00494957">
      <w:pPr>
        <w:spacing w:after="0" w:line="360" w:lineRule="auto"/>
        <w:textAlignment w:val="baseline"/>
        <w:rPr>
          <w:rFonts w:ascii="Segoe UI" w:eastAsia="Times New Roman" w:hAnsi="Segoe UI" w:cs="Segoe UI"/>
          <w:sz w:val="18"/>
          <w:szCs w:val="18"/>
          <w:lang w:eastAsia="zh-CN"/>
        </w:rPr>
      </w:pPr>
      <w:r w:rsidRPr="007F737A">
        <w:rPr>
          <w:rFonts w:ascii="Aptos" w:eastAsia="Times New Roman" w:hAnsi="Aptos" w:cs="Segoe UI"/>
          <w:sz w:val="28"/>
          <w:szCs w:val="28"/>
          <w:lang w:eastAsia="zh-CN"/>
        </w:rPr>
        <w:t>The Focus groups offered a rich and diverse exploration of the practitioner's experiences as they shared experiences and affirmed one another to evoke deep qualitative data. What became apparent was that the curriculum enables practitioners to create strong supportive relationships with children and their families. The enabling adult was seen as a facilitator and co-creator of effective holistic learning environments, the key to the implementation of the whole curriculum.  </w:t>
      </w:r>
    </w:p>
    <w:p w14:paraId="185FD420" w14:textId="35F04C3A" w:rsidR="371B20AB" w:rsidRDefault="371B20AB" w:rsidP="00494957">
      <w:pPr>
        <w:spacing w:line="360" w:lineRule="auto"/>
        <w:rPr>
          <w:b/>
          <w:bCs/>
          <w:sz w:val="28"/>
          <w:szCs w:val="28"/>
        </w:rPr>
      </w:pPr>
    </w:p>
    <w:p w14:paraId="6E07DE77" w14:textId="77777777" w:rsidR="00494957" w:rsidRDefault="00494957" w:rsidP="371B20AB">
      <w:pPr>
        <w:rPr>
          <w:b/>
          <w:bCs/>
          <w:sz w:val="28"/>
          <w:szCs w:val="28"/>
        </w:rPr>
      </w:pPr>
    </w:p>
    <w:p w14:paraId="2C078E63" w14:textId="4E069827" w:rsidR="00FD4AD1" w:rsidRDefault="055A4572" w:rsidP="371B20AB">
      <w:pPr>
        <w:rPr>
          <w:b/>
          <w:bCs/>
          <w:sz w:val="28"/>
          <w:szCs w:val="28"/>
        </w:rPr>
      </w:pPr>
      <w:r w:rsidRPr="371B20AB">
        <w:rPr>
          <w:b/>
          <w:bCs/>
          <w:sz w:val="28"/>
          <w:szCs w:val="28"/>
        </w:rPr>
        <w:t xml:space="preserve">Chapter 1 </w:t>
      </w:r>
    </w:p>
    <w:p w14:paraId="1C2EACF5" w14:textId="36B01B5E" w:rsidR="4028B5EA" w:rsidRDefault="055A4572" w:rsidP="371B20AB">
      <w:pPr>
        <w:rPr>
          <w:b/>
          <w:bCs/>
          <w:sz w:val="28"/>
          <w:szCs w:val="28"/>
        </w:rPr>
      </w:pPr>
      <w:r w:rsidRPr="371B20AB">
        <w:rPr>
          <w:b/>
          <w:bCs/>
          <w:sz w:val="28"/>
          <w:szCs w:val="28"/>
        </w:rPr>
        <w:t>The Curriculum</w:t>
      </w:r>
    </w:p>
    <w:p w14:paraId="405F09FC" w14:textId="720685E4" w:rsidR="08DE9E12" w:rsidRDefault="71AF6A6B" w:rsidP="371B20AB">
      <w:pPr>
        <w:pStyle w:val="ListParagraph"/>
        <w:spacing w:line="360" w:lineRule="auto"/>
        <w:ind w:left="0"/>
        <w:rPr>
          <w:color w:val="111111"/>
          <w:sz w:val="28"/>
          <w:szCs w:val="28"/>
        </w:rPr>
      </w:pPr>
      <w:r w:rsidRPr="371B20AB">
        <w:rPr>
          <w:sz w:val="28"/>
          <w:szCs w:val="28"/>
        </w:rPr>
        <w:lastRenderedPageBreak/>
        <w:t xml:space="preserve">The Curriculum for Non-Maintained Settings (Welsh Government, 2022) has been introduced to enhance the learning and </w:t>
      </w:r>
      <w:r w:rsidR="4A39AA1B" w:rsidRPr="371B20AB">
        <w:rPr>
          <w:sz w:val="28"/>
          <w:szCs w:val="28"/>
        </w:rPr>
        <w:t>development</w:t>
      </w:r>
      <w:r w:rsidRPr="371B20AB">
        <w:rPr>
          <w:sz w:val="28"/>
          <w:szCs w:val="28"/>
        </w:rPr>
        <w:t xml:space="preserve"> of </w:t>
      </w:r>
      <w:r w:rsidR="493C457A" w:rsidRPr="371B20AB">
        <w:rPr>
          <w:sz w:val="28"/>
          <w:szCs w:val="28"/>
        </w:rPr>
        <w:t>children in</w:t>
      </w:r>
      <w:r w:rsidRPr="371B20AB">
        <w:rPr>
          <w:sz w:val="28"/>
          <w:szCs w:val="28"/>
        </w:rPr>
        <w:t xml:space="preserve"> </w:t>
      </w:r>
      <w:r w:rsidR="7A29E455" w:rsidRPr="371B20AB">
        <w:rPr>
          <w:sz w:val="28"/>
          <w:szCs w:val="28"/>
        </w:rPr>
        <w:t xml:space="preserve">nursery settings to support their holistic development.  </w:t>
      </w:r>
      <w:r w:rsidR="0FB42EBE" w:rsidRPr="371B20AB">
        <w:rPr>
          <w:sz w:val="28"/>
          <w:szCs w:val="28"/>
        </w:rPr>
        <w:t xml:space="preserve">Welsh curricular reform was initiated following Donaldson’s (2015) review of provision for children across Wales. </w:t>
      </w:r>
      <w:r w:rsidR="7A29E455" w:rsidRPr="371B20AB">
        <w:rPr>
          <w:sz w:val="28"/>
          <w:szCs w:val="28"/>
        </w:rPr>
        <w:t xml:space="preserve">The design follows the Welsh Governments guidance </w:t>
      </w:r>
      <w:r w:rsidR="44B15465" w:rsidRPr="371B20AB">
        <w:rPr>
          <w:sz w:val="28"/>
          <w:szCs w:val="28"/>
        </w:rPr>
        <w:t>for curriculum development (Welsh Government, 2020).</w:t>
      </w:r>
      <w:r w:rsidR="28C0A0D7" w:rsidRPr="371B20AB">
        <w:rPr>
          <w:sz w:val="28"/>
          <w:szCs w:val="28"/>
        </w:rPr>
        <w:t xml:space="preserve"> The four purposes of the curriculum for Wales aim to support learners to </w:t>
      </w:r>
      <w:r w:rsidR="3F1EBE8A" w:rsidRPr="371B20AB">
        <w:rPr>
          <w:sz w:val="28"/>
          <w:szCs w:val="28"/>
        </w:rPr>
        <w:t>become: -</w:t>
      </w:r>
      <w:r w:rsidR="07CE33DE" w:rsidRPr="371B20AB">
        <w:rPr>
          <w:sz w:val="28"/>
          <w:szCs w:val="28"/>
        </w:rPr>
        <w:t xml:space="preserve"> </w:t>
      </w:r>
    </w:p>
    <w:p w14:paraId="04871602" w14:textId="790799BB" w:rsidR="7E2E8F88" w:rsidRDefault="735AFC79" w:rsidP="371B20AB">
      <w:pPr>
        <w:pStyle w:val="ListParagraph"/>
        <w:spacing w:line="360" w:lineRule="auto"/>
        <w:ind w:left="0"/>
        <w:rPr>
          <w:rFonts w:ascii="Calibri" w:eastAsia="Calibri" w:hAnsi="Calibri" w:cs="Calibri"/>
          <w:color w:val="111111"/>
          <w:sz w:val="28"/>
          <w:szCs w:val="28"/>
        </w:rPr>
      </w:pPr>
      <w:r w:rsidRPr="371B20AB">
        <w:rPr>
          <w:rFonts w:ascii="Calibri" w:eastAsia="Calibri" w:hAnsi="Calibri" w:cs="Calibri"/>
          <w:b/>
          <w:bCs/>
          <w:color w:val="111111"/>
          <w:sz w:val="28"/>
          <w:szCs w:val="28"/>
        </w:rPr>
        <w:t>Ambitious, capable learners</w:t>
      </w:r>
      <w:r w:rsidRPr="371B20AB">
        <w:rPr>
          <w:rFonts w:ascii="Calibri" w:eastAsia="Calibri" w:hAnsi="Calibri" w:cs="Calibri"/>
          <w:color w:val="111111"/>
          <w:sz w:val="28"/>
          <w:szCs w:val="28"/>
        </w:rPr>
        <w:t xml:space="preserve"> who are ready to learn throughout their lives.</w:t>
      </w:r>
    </w:p>
    <w:p w14:paraId="400A7C61" w14:textId="11DEB31A" w:rsidR="7E2E8F88" w:rsidRDefault="735AFC79" w:rsidP="371B20AB">
      <w:pPr>
        <w:pStyle w:val="ListParagraph"/>
        <w:shd w:val="clear" w:color="auto" w:fill="FFFFFF" w:themeFill="background1"/>
        <w:spacing w:after="0" w:line="360" w:lineRule="auto"/>
        <w:ind w:left="0"/>
        <w:rPr>
          <w:rFonts w:ascii="Calibri" w:eastAsia="Calibri" w:hAnsi="Calibri" w:cs="Calibri"/>
          <w:color w:val="111111"/>
          <w:sz w:val="28"/>
          <w:szCs w:val="28"/>
        </w:rPr>
      </w:pPr>
      <w:r w:rsidRPr="371B20AB">
        <w:rPr>
          <w:rFonts w:ascii="Calibri" w:eastAsia="Calibri" w:hAnsi="Calibri" w:cs="Calibri"/>
          <w:b/>
          <w:bCs/>
          <w:color w:val="111111"/>
          <w:sz w:val="28"/>
          <w:szCs w:val="28"/>
        </w:rPr>
        <w:t>Enterprising, creative contributors</w:t>
      </w:r>
      <w:r w:rsidRPr="371B20AB">
        <w:rPr>
          <w:rFonts w:ascii="Calibri" w:eastAsia="Calibri" w:hAnsi="Calibri" w:cs="Calibri"/>
          <w:color w:val="111111"/>
          <w:sz w:val="28"/>
          <w:szCs w:val="28"/>
        </w:rPr>
        <w:t xml:space="preserve"> who are ready to play a full part in life and work.</w:t>
      </w:r>
    </w:p>
    <w:p w14:paraId="784377DE" w14:textId="221C5C9D" w:rsidR="7E2E8F88" w:rsidRDefault="735AFC79" w:rsidP="371B20AB">
      <w:pPr>
        <w:pStyle w:val="ListParagraph"/>
        <w:shd w:val="clear" w:color="auto" w:fill="FFFFFF" w:themeFill="background1"/>
        <w:spacing w:after="0" w:line="360" w:lineRule="auto"/>
        <w:ind w:left="0"/>
        <w:rPr>
          <w:rFonts w:ascii="Calibri" w:eastAsia="Calibri" w:hAnsi="Calibri" w:cs="Calibri"/>
          <w:color w:val="111111"/>
          <w:sz w:val="28"/>
          <w:szCs w:val="28"/>
        </w:rPr>
      </w:pPr>
      <w:r w:rsidRPr="371B20AB">
        <w:rPr>
          <w:rFonts w:ascii="Calibri" w:eastAsia="Calibri" w:hAnsi="Calibri" w:cs="Calibri"/>
          <w:b/>
          <w:bCs/>
          <w:color w:val="111111"/>
          <w:sz w:val="28"/>
          <w:szCs w:val="28"/>
        </w:rPr>
        <w:t>Ethical, informed citizens</w:t>
      </w:r>
      <w:r w:rsidRPr="371B20AB">
        <w:rPr>
          <w:rFonts w:ascii="Calibri" w:eastAsia="Calibri" w:hAnsi="Calibri" w:cs="Calibri"/>
          <w:color w:val="111111"/>
          <w:sz w:val="28"/>
          <w:szCs w:val="28"/>
        </w:rPr>
        <w:t xml:space="preserve"> who are ready to be citizens of Wales and the world.</w:t>
      </w:r>
    </w:p>
    <w:p w14:paraId="089E4E64" w14:textId="0379F4F7" w:rsidR="7E2E8F88" w:rsidRDefault="735AFC79" w:rsidP="371B20AB">
      <w:pPr>
        <w:pStyle w:val="ListParagraph"/>
        <w:shd w:val="clear" w:color="auto" w:fill="FFFFFF" w:themeFill="background1"/>
        <w:spacing w:after="0" w:line="360" w:lineRule="auto"/>
        <w:ind w:left="0"/>
        <w:rPr>
          <w:rFonts w:ascii="Calibri" w:eastAsia="Calibri" w:hAnsi="Calibri" w:cs="Calibri"/>
          <w:color w:val="111111"/>
          <w:sz w:val="28"/>
          <w:szCs w:val="28"/>
        </w:rPr>
      </w:pPr>
      <w:r w:rsidRPr="371B20AB">
        <w:rPr>
          <w:rFonts w:ascii="Calibri" w:eastAsia="Calibri" w:hAnsi="Calibri" w:cs="Calibri"/>
          <w:b/>
          <w:bCs/>
          <w:color w:val="111111"/>
          <w:sz w:val="28"/>
          <w:szCs w:val="28"/>
        </w:rPr>
        <w:t>Healthy, confident individuals</w:t>
      </w:r>
      <w:r w:rsidR="2F1D6A47" w:rsidRPr="371B20AB">
        <w:rPr>
          <w:rFonts w:ascii="Calibri" w:eastAsia="Calibri" w:hAnsi="Calibri" w:cs="Calibri"/>
          <w:b/>
          <w:bCs/>
          <w:color w:val="111111"/>
          <w:sz w:val="28"/>
          <w:szCs w:val="28"/>
        </w:rPr>
        <w:t xml:space="preserve"> </w:t>
      </w:r>
      <w:r w:rsidR="2F1D6A47" w:rsidRPr="371B20AB">
        <w:rPr>
          <w:rFonts w:ascii="Calibri" w:eastAsia="Calibri" w:hAnsi="Calibri" w:cs="Calibri"/>
          <w:color w:val="111111"/>
          <w:sz w:val="28"/>
          <w:szCs w:val="28"/>
        </w:rPr>
        <w:t>(</w:t>
      </w:r>
      <w:r w:rsidR="1111B06D" w:rsidRPr="371B20AB">
        <w:rPr>
          <w:rFonts w:ascii="Calibri" w:eastAsia="Calibri" w:hAnsi="Calibri" w:cs="Calibri"/>
          <w:color w:val="111111"/>
          <w:sz w:val="28"/>
          <w:szCs w:val="28"/>
        </w:rPr>
        <w:t xml:space="preserve">Donaldson, 2015, p31; </w:t>
      </w:r>
      <w:r w:rsidR="2F1D6A47" w:rsidRPr="371B20AB">
        <w:rPr>
          <w:rFonts w:ascii="Calibri" w:eastAsia="Calibri" w:hAnsi="Calibri" w:cs="Calibri"/>
          <w:color w:val="111111"/>
          <w:sz w:val="28"/>
          <w:szCs w:val="28"/>
        </w:rPr>
        <w:t>Welsh Government, 2020).</w:t>
      </w:r>
    </w:p>
    <w:p w14:paraId="434C744D" w14:textId="55BAAED1" w:rsidR="2A05DF5F" w:rsidRDefault="0B54369C" w:rsidP="371B20AB">
      <w:pPr>
        <w:pStyle w:val="ListParagraph"/>
        <w:shd w:val="clear" w:color="auto" w:fill="FFFFFF" w:themeFill="background1"/>
        <w:spacing w:after="0" w:line="360" w:lineRule="auto"/>
        <w:ind w:left="0"/>
        <w:rPr>
          <w:rFonts w:ascii="Calibri" w:eastAsia="Calibri" w:hAnsi="Calibri" w:cs="Calibri"/>
          <w:color w:val="222222"/>
          <w:sz w:val="28"/>
          <w:szCs w:val="28"/>
        </w:rPr>
      </w:pPr>
      <w:r w:rsidRPr="371B20AB">
        <w:rPr>
          <w:rFonts w:ascii="Calibri" w:eastAsia="Calibri" w:hAnsi="Calibri" w:cs="Calibri"/>
          <w:color w:val="111111"/>
          <w:sz w:val="28"/>
          <w:szCs w:val="28"/>
        </w:rPr>
        <w:t>The four purposes offer an ‘aims based’ curriculum which aspires to enable children</w:t>
      </w:r>
      <w:r w:rsidR="728E1047" w:rsidRPr="371B20AB">
        <w:rPr>
          <w:rFonts w:ascii="Calibri" w:eastAsia="Calibri" w:hAnsi="Calibri" w:cs="Calibri"/>
          <w:color w:val="111111"/>
          <w:sz w:val="28"/>
          <w:szCs w:val="28"/>
        </w:rPr>
        <w:t xml:space="preserve"> </w:t>
      </w:r>
      <w:r w:rsidR="02D38439" w:rsidRPr="371B20AB">
        <w:rPr>
          <w:rFonts w:ascii="Calibri" w:eastAsia="Calibri" w:hAnsi="Calibri" w:cs="Calibri"/>
          <w:color w:val="111111"/>
          <w:sz w:val="28"/>
          <w:szCs w:val="28"/>
        </w:rPr>
        <w:t xml:space="preserve">to </w:t>
      </w:r>
      <w:r w:rsidR="728E1047" w:rsidRPr="371B20AB">
        <w:rPr>
          <w:rFonts w:ascii="Calibri" w:eastAsia="Calibri" w:hAnsi="Calibri" w:cs="Calibri"/>
          <w:color w:val="111111"/>
          <w:sz w:val="28"/>
          <w:szCs w:val="28"/>
        </w:rPr>
        <w:t>progress</w:t>
      </w:r>
      <w:r w:rsidRPr="371B20AB">
        <w:rPr>
          <w:rFonts w:ascii="Calibri" w:eastAsia="Calibri" w:hAnsi="Calibri" w:cs="Calibri"/>
          <w:color w:val="111111"/>
          <w:sz w:val="28"/>
          <w:szCs w:val="28"/>
        </w:rPr>
        <w:t xml:space="preserve"> to live </w:t>
      </w:r>
      <w:r w:rsidR="1A1E8B1C" w:rsidRPr="371B20AB">
        <w:rPr>
          <w:rFonts w:ascii="Calibri" w:eastAsia="Calibri" w:hAnsi="Calibri" w:cs="Calibri"/>
          <w:color w:val="111111"/>
          <w:sz w:val="28"/>
          <w:szCs w:val="28"/>
        </w:rPr>
        <w:t xml:space="preserve">purposeful social, </w:t>
      </w:r>
      <w:proofErr w:type="gramStart"/>
      <w:r w:rsidR="1A1E8B1C" w:rsidRPr="371B20AB">
        <w:rPr>
          <w:rFonts w:ascii="Calibri" w:eastAsia="Calibri" w:hAnsi="Calibri" w:cs="Calibri"/>
          <w:color w:val="111111"/>
          <w:sz w:val="28"/>
          <w:szCs w:val="28"/>
        </w:rPr>
        <w:t>relational</w:t>
      </w:r>
      <w:proofErr w:type="gramEnd"/>
      <w:r w:rsidR="1A1E8B1C" w:rsidRPr="371B20AB">
        <w:rPr>
          <w:rFonts w:ascii="Calibri" w:eastAsia="Calibri" w:hAnsi="Calibri" w:cs="Calibri"/>
          <w:color w:val="111111"/>
          <w:sz w:val="28"/>
          <w:szCs w:val="28"/>
        </w:rPr>
        <w:t xml:space="preserve"> and professional lives (</w:t>
      </w:r>
      <w:r w:rsidR="3596B6CD" w:rsidRPr="371B20AB">
        <w:rPr>
          <w:rFonts w:ascii="Calibri" w:eastAsia="Calibri" w:hAnsi="Calibri" w:cs="Calibri"/>
          <w:color w:val="111111"/>
          <w:sz w:val="28"/>
          <w:szCs w:val="28"/>
        </w:rPr>
        <w:t>Gatley, 2020).  These aims are well suited to key ideas and concepts that cre</w:t>
      </w:r>
      <w:r w:rsidR="1B4FC339" w:rsidRPr="371B20AB">
        <w:rPr>
          <w:rFonts w:ascii="Calibri" w:eastAsia="Calibri" w:hAnsi="Calibri" w:cs="Calibri"/>
          <w:color w:val="111111"/>
          <w:sz w:val="28"/>
          <w:szCs w:val="28"/>
        </w:rPr>
        <w:t xml:space="preserve">ate the foundation of early years professional practice including </w:t>
      </w:r>
      <w:r w:rsidR="0024B93A" w:rsidRPr="371B20AB">
        <w:rPr>
          <w:rFonts w:ascii="Calibri" w:eastAsia="Calibri" w:hAnsi="Calibri" w:cs="Calibri"/>
          <w:color w:val="111111"/>
          <w:sz w:val="28"/>
          <w:szCs w:val="28"/>
        </w:rPr>
        <w:t>Maslow's (1943)</w:t>
      </w:r>
      <w:r w:rsidR="1B4FC339" w:rsidRPr="371B20AB">
        <w:rPr>
          <w:rFonts w:ascii="Calibri" w:eastAsia="Calibri" w:hAnsi="Calibri" w:cs="Calibri"/>
          <w:color w:val="111111"/>
          <w:sz w:val="28"/>
          <w:szCs w:val="28"/>
        </w:rPr>
        <w:t xml:space="preserve"> hierarchy of needs</w:t>
      </w:r>
      <w:r w:rsidR="01D461A9" w:rsidRPr="371B20AB">
        <w:rPr>
          <w:rFonts w:ascii="Calibri" w:eastAsia="Calibri" w:hAnsi="Calibri" w:cs="Calibri"/>
          <w:color w:val="111111"/>
          <w:sz w:val="28"/>
          <w:szCs w:val="28"/>
        </w:rPr>
        <w:t xml:space="preserve">.  The dimensions of this model frame the holistic needs of children and the supportive nature of </w:t>
      </w:r>
      <w:r w:rsidR="048CFFB8" w:rsidRPr="371B20AB">
        <w:rPr>
          <w:rFonts w:ascii="Calibri" w:eastAsia="Calibri" w:hAnsi="Calibri" w:cs="Calibri"/>
          <w:color w:val="111111"/>
          <w:sz w:val="28"/>
          <w:szCs w:val="28"/>
        </w:rPr>
        <w:t>early</w:t>
      </w:r>
      <w:r w:rsidR="01D461A9" w:rsidRPr="371B20AB">
        <w:rPr>
          <w:rFonts w:ascii="Calibri" w:eastAsia="Calibri" w:hAnsi="Calibri" w:cs="Calibri"/>
          <w:color w:val="111111"/>
          <w:sz w:val="28"/>
          <w:szCs w:val="28"/>
        </w:rPr>
        <w:t xml:space="preserve"> years education to </w:t>
      </w:r>
      <w:r w:rsidR="3E43A0A6" w:rsidRPr="371B20AB">
        <w:rPr>
          <w:rFonts w:ascii="Calibri" w:eastAsia="Calibri" w:hAnsi="Calibri" w:cs="Calibri"/>
          <w:color w:val="111111"/>
          <w:sz w:val="28"/>
          <w:szCs w:val="28"/>
        </w:rPr>
        <w:t>facilitate holistic development</w:t>
      </w:r>
      <w:r w:rsidR="04265A41" w:rsidRPr="371B20AB">
        <w:rPr>
          <w:rFonts w:ascii="Calibri" w:eastAsia="Calibri" w:hAnsi="Calibri" w:cs="Calibri"/>
          <w:color w:val="111111"/>
          <w:sz w:val="28"/>
          <w:szCs w:val="28"/>
        </w:rPr>
        <w:t xml:space="preserve"> (</w:t>
      </w:r>
      <w:r w:rsidR="04265A41" w:rsidRPr="371B20AB">
        <w:rPr>
          <w:rFonts w:ascii="Calibri" w:eastAsia="Calibri" w:hAnsi="Calibri" w:cs="Calibri"/>
          <w:color w:val="222222"/>
          <w:sz w:val="28"/>
          <w:szCs w:val="28"/>
        </w:rPr>
        <w:t xml:space="preserve">Medcalf, Hoffman and Boatwright, 2013). </w:t>
      </w:r>
      <w:r w:rsidR="77B1530E" w:rsidRPr="371B20AB">
        <w:rPr>
          <w:rFonts w:ascii="Calibri" w:eastAsia="Calibri" w:hAnsi="Calibri" w:cs="Calibri"/>
          <w:color w:val="222222"/>
          <w:sz w:val="28"/>
          <w:szCs w:val="28"/>
        </w:rPr>
        <w:t xml:space="preserve"> </w:t>
      </w:r>
    </w:p>
    <w:p w14:paraId="5155743E" w14:textId="5EB18AE2" w:rsidR="371B20AB" w:rsidRDefault="371B20AB" w:rsidP="371B20AB">
      <w:pPr>
        <w:pStyle w:val="ListParagraph"/>
        <w:shd w:val="clear" w:color="auto" w:fill="FFFFFF" w:themeFill="background1"/>
        <w:spacing w:after="0" w:line="360" w:lineRule="auto"/>
        <w:ind w:left="0"/>
        <w:rPr>
          <w:rFonts w:ascii="Calibri" w:eastAsia="Calibri" w:hAnsi="Calibri" w:cs="Calibri"/>
          <w:color w:val="111111"/>
          <w:sz w:val="28"/>
          <w:szCs w:val="28"/>
        </w:rPr>
      </w:pPr>
    </w:p>
    <w:p w14:paraId="573D6366" w14:textId="4146141A" w:rsidR="2B10D14D" w:rsidRDefault="1C5CC659" w:rsidP="371B20AB">
      <w:pPr>
        <w:pStyle w:val="ListParagraph"/>
        <w:shd w:val="clear" w:color="auto" w:fill="FFFFFF" w:themeFill="background1"/>
        <w:spacing w:after="0" w:line="360" w:lineRule="auto"/>
        <w:ind w:left="0"/>
        <w:rPr>
          <w:rFonts w:ascii="Calibri" w:eastAsia="Calibri" w:hAnsi="Calibri" w:cs="Calibri"/>
          <w:color w:val="111111"/>
          <w:sz w:val="28"/>
          <w:szCs w:val="28"/>
        </w:rPr>
      </w:pPr>
      <w:r w:rsidRPr="371B20AB">
        <w:rPr>
          <w:rFonts w:ascii="Calibri" w:eastAsia="Calibri" w:hAnsi="Calibri" w:cs="Calibri"/>
          <w:color w:val="111111"/>
          <w:sz w:val="28"/>
          <w:szCs w:val="28"/>
        </w:rPr>
        <w:t xml:space="preserve">Whilst the implementation of this curriculum is currently ongoing, there is little research available to </w:t>
      </w:r>
      <w:r w:rsidR="494FBB78" w:rsidRPr="371B20AB">
        <w:rPr>
          <w:rFonts w:ascii="Calibri" w:eastAsia="Calibri" w:hAnsi="Calibri" w:cs="Calibri"/>
          <w:color w:val="111111"/>
          <w:sz w:val="28"/>
          <w:szCs w:val="28"/>
        </w:rPr>
        <w:t xml:space="preserve">evaluate the efficacy of the new pedagogical approaches which support the content.  </w:t>
      </w:r>
      <w:r w:rsidR="58795A4C" w:rsidRPr="371B20AB">
        <w:rPr>
          <w:rFonts w:ascii="Calibri" w:eastAsia="Calibri" w:hAnsi="Calibri" w:cs="Calibri"/>
          <w:color w:val="111111"/>
          <w:sz w:val="28"/>
          <w:szCs w:val="28"/>
        </w:rPr>
        <w:t xml:space="preserve">However, the principles that guide the curriculum have been taken from well-established philosophical, </w:t>
      </w:r>
      <w:proofErr w:type="gramStart"/>
      <w:r w:rsidR="58795A4C" w:rsidRPr="371B20AB">
        <w:rPr>
          <w:rFonts w:ascii="Calibri" w:eastAsia="Calibri" w:hAnsi="Calibri" w:cs="Calibri"/>
          <w:color w:val="111111"/>
          <w:sz w:val="28"/>
          <w:szCs w:val="28"/>
        </w:rPr>
        <w:t>theoretical</w:t>
      </w:r>
      <w:proofErr w:type="gramEnd"/>
      <w:r w:rsidR="58795A4C" w:rsidRPr="371B20AB">
        <w:rPr>
          <w:rFonts w:ascii="Calibri" w:eastAsia="Calibri" w:hAnsi="Calibri" w:cs="Calibri"/>
          <w:color w:val="111111"/>
          <w:sz w:val="28"/>
          <w:szCs w:val="28"/>
        </w:rPr>
        <w:t xml:space="preserve"> and pedagogical </w:t>
      </w:r>
      <w:r w:rsidR="3CEA0B6E" w:rsidRPr="371B20AB">
        <w:rPr>
          <w:rFonts w:ascii="Calibri" w:eastAsia="Calibri" w:hAnsi="Calibri" w:cs="Calibri"/>
          <w:color w:val="111111"/>
          <w:sz w:val="28"/>
          <w:szCs w:val="28"/>
        </w:rPr>
        <w:t xml:space="preserve">approaches which underpin the knowledge and values of early years practice </w:t>
      </w:r>
      <w:r w:rsidR="70120802" w:rsidRPr="371B20AB">
        <w:rPr>
          <w:rFonts w:ascii="Calibri" w:eastAsia="Calibri" w:hAnsi="Calibri" w:cs="Calibri"/>
          <w:color w:val="111111"/>
          <w:sz w:val="28"/>
          <w:szCs w:val="28"/>
        </w:rPr>
        <w:lastRenderedPageBreak/>
        <w:t>internationally.</w:t>
      </w:r>
      <w:r w:rsidR="3CEA0B6E" w:rsidRPr="371B20AB">
        <w:rPr>
          <w:rFonts w:ascii="Calibri" w:eastAsia="Calibri" w:hAnsi="Calibri" w:cs="Calibri"/>
          <w:color w:val="111111"/>
          <w:sz w:val="28"/>
          <w:szCs w:val="28"/>
        </w:rPr>
        <w:t xml:space="preserve">  </w:t>
      </w:r>
      <w:r w:rsidR="4D4B7125" w:rsidRPr="371B20AB">
        <w:rPr>
          <w:rFonts w:ascii="Calibri" w:eastAsia="Calibri" w:hAnsi="Calibri" w:cs="Calibri"/>
          <w:color w:val="111111"/>
          <w:sz w:val="28"/>
          <w:szCs w:val="28"/>
        </w:rPr>
        <w:t>Therefore,</w:t>
      </w:r>
      <w:r w:rsidR="3CEA0B6E" w:rsidRPr="371B20AB">
        <w:rPr>
          <w:rFonts w:ascii="Calibri" w:eastAsia="Calibri" w:hAnsi="Calibri" w:cs="Calibri"/>
          <w:color w:val="111111"/>
          <w:sz w:val="28"/>
          <w:szCs w:val="28"/>
        </w:rPr>
        <w:t xml:space="preserve"> the premise of the literature review will be to explore the key themes </w:t>
      </w:r>
      <w:r w:rsidR="6627C336" w:rsidRPr="371B20AB">
        <w:rPr>
          <w:rFonts w:ascii="Calibri" w:eastAsia="Calibri" w:hAnsi="Calibri" w:cs="Calibri"/>
          <w:color w:val="111111"/>
          <w:sz w:val="28"/>
          <w:szCs w:val="28"/>
        </w:rPr>
        <w:t>of the research question</w:t>
      </w:r>
      <w:r w:rsidR="1549C9A0" w:rsidRPr="371B20AB">
        <w:rPr>
          <w:rFonts w:ascii="Calibri" w:eastAsia="Calibri" w:hAnsi="Calibri" w:cs="Calibri"/>
          <w:color w:val="111111"/>
          <w:sz w:val="28"/>
          <w:szCs w:val="28"/>
        </w:rPr>
        <w:t>,</w:t>
      </w:r>
      <w:r w:rsidR="6627C336" w:rsidRPr="371B20AB">
        <w:rPr>
          <w:rFonts w:ascii="Calibri" w:eastAsia="Calibri" w:hAnsi="Calibri" w:cs="Calibri"/>
          <w:color w:val="111111"/>
          <w:sz w:val="28"/>
          <w:szCs w:val="28"/>
        </w:rPr>
        <w:t xml:space="preserve"> which is to understand the experiences of early years practitioners in </w:t>
      </w:r>
      <w:r w:rsidR="7D684143" w:rsidRPr="371B20AB">
        <w:rPr>
          <w:rFonts w:ascii="Calibri" w:eastAsia="Calibri" w:hAnsi="Calibri" w:cs="Calibri"/>
          <w:color w:val="111111"/>
          <w:sz w:val="28"/>
          <w:szCs w:val="28"/>
        </w:rPr>
        <w:t>implementing</w:t>
      </w:r>
      <w:r w:rsidR="6627C336" w:rsidRPr="371B20AB">
        <w:rPr>
          <w:rFonts w:ascii="Calibri" w:eastAsia="Calibri" w:hAnsi="Calibri" w:cs="Calibri"/>
          <w:color w:val="111111"/>
          <w:sz w:val="28"/>
          <w:szCs w:val="28"/>
        </w:rPr>
        <w:t xml:space="preserve"> this curriculum.  </w:t>
      </w:r>
      <w:r w:rsidR="4ECE49E6" w:rsidRPr="371B20AB">
        <w:rPr>
          <w:rFonts w:ascii="Calibri" w:eastAsia="Calibri" w:hAnsi="Calibri" w:cs="Calibri"/>
          <w:color w:val="111111"/>
          <w:sz w:val="28"/>
          <w:szCs w:val="28"/>
        </w:rPr>
        <w:t>It is hoped that this enquiry will illuminate the lived experiences of pra</w:t>
      </w:r>
      <w:r w:rsidR="03005EDC" w:rsidRPr="371B20AB">
        <w:rPr>
          <w:rFonts w:ascii="Calibri" w:eastAsia="Calibri" w:hAnsi="Calibri" w:cs="Calibri"/>
          <w:color w:val="111111"/>
          <w:sz w:val="28"/>
          <w:szCs w:val="28"/>
        </w:rPr>
        <w:t>ctitioners</w:t>
      </w:r>
      <w:r w:rsidR="4ECE49E6" w:rsidRPr="371B20AB">
        <w:rPr>
          <w:rFonts w:ascii="Calibri" w:eastAsia="Calibri" w:hAnsi="Calibri" w:cs="Calibri"/>
          <w:color w:val="111111"/>
          <w:sz w:val="28"/>
          <w:szCs w:val="28"/>
        </w:rPr>
        <w:t xml:space="preserve"> and highlight the strengths and challenges of develo</w:t>
      </w:r>
      <w:r w:rsidR="7381EA1F" w:rsidRPr="371B20AB">
        <w:rPr>
          <w:rFonts w:ascii="Calibri" w:eastAsia="Calibri" w:hAnsi="Calibri" w:cs="Calibri"/>
          <w:color w:val="111111"/>
          <w:sz w:val="28"/>
          <w:szCs w:val="28"/>
        </w:rPr>
        <w:t xml:space="preserve">ping a curriculum for very young children. </w:t>
      </w:r>
    </w:p>
    <w:p w14:paraId="4DDB254C" w14:textId="6BE5149E" w:rsidR="5320034B" w:rsidRDefault="71EE0D60" w:rsidP="50C2E9C8">
      <w:pPr>
        <w:pStyle w:val="ListParagraph"/>
        <w:shd w:val="clear" w:color="auto" w:fill="FFFFFF" w:themeFill="background1"/>
        <w:spacing w:after="0" w:line="360" w:lineRule="auto"/>
        <w:ind w:left="0"/>
        <w:rPr>
          <w:rFonts w:ascii="Calibri" w:eastAsia="Calibri" w:hAnsi="Calibri" w:cs="Calibri"/>
          <w:sz w:val="28"/>
          <w:szCs w:val="28"/>
        </w:rPr>
      </w:pPr>
      <w:r w:rsidRPr="371B20AB">
        <w:rPr>
          <w:rFonts w:ascii="Calibri" w:eastAsia="Calibri" w:hAnsi="Calibri" w:cs="Calibri"/>
          <w:color w:val="111111"/>
          <w:sz w:val="28"/>
          <w:szCs w:val="28"/>
        </w:rPr>
        <w:t>A key aspect of the Curriculum is the development of the role of the enabling adult (Welsh Government, 2021).</w:t>
      </w:r>
      <w:r w:rsidR="39C8684E" w:rsidRPr="371B20AB">
        <w:rPr>
          <w:rFonts w:ascii="Calibri" w:eastAsia="Calibri" w:hAnsi="Calibri" w:cs="Calibri"/>
          <w:color w:val="111111"/>
          <w:sz w:val="28"/>
          <w:szCs w:val="28"/>
        </w:rPr>
        <w:t xml:space="preserve">  This concept also builds upon the knowledge base of early years professional practice.</w:t>
      </w:r>
      <w:r w:rsidR="7E3DE725" w:rsidRPr="371B20AB">
        <w:rPr>
          <w:rFonts w:ascii="Calibri" w:eastAsia="Calibri" w:hAnsi="Calibri" w:cs="Calibri"/>
          <w:color w:val="111111"/>
          <w:sz w:val="28"/>
          <w:szCs w:val="28"/>
        </w:rPr>
        <w:t xml:space="preserve">  The complexity of supporting and facilitating (enabling) children's learning </w:t>
      </w:r>
      <w:r w:rsidR="36E36883" w:rsidRPr="371B20AB">
        <w:rPr>
          <w:rFonts w:ascii="Calibri" w:eastAsia="Calibri" w:hAnsi="Calibri" w:cs="Calibri"/>
          <w:color w:val="111111"/>
          <w:sz w:val="28"/>
          <w:szCs w:val="28"/>
        </w:rPr>
        <w:t xml:space="preserve">and development entails </w:t>
      </w:r>
      <w:r w:rsidR="521C1BA1" w:rsidRPr="371B20AB">
        <w:rPr>
          <w:rFonts w:ascii="Calibri" w:eastAsia="Calibri" w:hAnsi="Calibri" w:cs="Calibri"/>
          <w:color w:val="111111"/>
          <w:sz w:val="28"/>
          <w:szCs w:val="28"/>
        </w:rPr>
        <w:t>an</w:t>
      </w:r>
      <w:r w:rsidR="36E36883" w:rsidRPr="371B20AB">
        <w:rPr>
          <w:rFonts w:ascii="Calibri" w:eastAsia="Calibri" w:hAnsi="Calibri" w:cs="Calibri"/>
          <w:color w:val="111111"/>
          <w:sz w:val="28"/>
          <w:szCs w:val="28"/>
        </w:rPr>
        <w:t xml:space="preserve"> understanding of the complex nature of child development and </w:t>
      </w:r>
      <w:r w:rsidR="26E3394E" w:rsidRPr="371B20AB">
        <w:rPr>
          <w:rFonts w:ascii="Calibri" w:eastAsia="Calibri" w:hAnsi="Calibri" w:cs="Calibri"/>
          <w:color w:val="111111"/>
          <w:sz w:val="28"/>
          <w:szCs w:val="28"/>
        </w:rPr>
        <w:t>recognizing the holistic nature of this process</w:t>
      </w:r>
      <w:r w:rsidR="745EDA02" w:rsidRPr="371B20AB">
        <w:rPr>
          <w:rFonts w:ascii="Calibri" w:eastAsia="Calibri" w:hAnsi="Calibri" w:cs="Calibri"/>
          <w:color w:val="111111"/>
          <w:sz w:val="28"/>
          <w:szCs w:val="28"/>
        </w:rPr>
        <w:t xml:space="preserve"> (</w:t>
      </w:r>
      <w:r w:rsidR="745EDA02" w:rsidRPr="371B20AB">
        <w:rPr>
          <w:rFonts w:ascii="Calibri" w:eastAsia="Calibri" w:hAnsi="Calibri" w:cs="Calibri"/>
          <w:sz w:val="28"/>
          <w:szCs w:val="28"/>
        </w:rPr>
        <w:t>Murphy and Conn, 2022;</w:t>
      </w:r>
      <w:r w:rsidR="53D8DE6B" w:rsidRPr="371B20AB">
        <w:rPr>
          <w:rFonts w:ascii="Calibri" w:eastAsia="Calibri" w:hAnsi="Calibri" w:cs="Calibri"/>
          <w:sz w:val="28"/>
          <w:szCs w:val="28"/>
        </w:rPr>
        <w:t xml:space="preserve"> Waters-Davies, 2023).</w:t>
      </w:r>
    </w:p>
    <w:p w14:paraId="7DAE9D73" w14:textId="3321FAC1" w:rsidR="66C60ECF" w:rsidRDefault="121AC516" w:rsidP="50C2E9C8">
      <w:pPr>
        <w:shd w:val="clear" w:color="auto" w:fill="FFFFFF" w:themeFill="background1"/>
        <w:spacing w:after="0" w:line="360" w:lineRule="auto"/>
        <w:rPr>
          <w:rFonts w:ascii="Calibri" w:eastAsia="Calibri" w:hAnsi="Calibri" w:cs="Calibri"/>
          <w:sz w:val="28"/>
          <w:szCs w:val="28"/>
        </w:rPr>
      </w:pPr>
      <w:r w:rsidRPr="371B20AB">
        <w:rPr>
          <w:rFonts w:ascii="Calibri" w:eastAsia="Calibri" w:hAnsi="Calibri" w:cs="Calibri"/>
          <w:sz w:val="28"/>
          <w:szCs w:val="28"/>
        </w:rPr>
        <w:t xml:space="preserve">The literature review will explore key themes that traditionally underpin learning and development within the early years and link these to the new curriculum.  This will be followed by the development of the concept of the enabling adult, these concepts will be framed within the </w:t>
      </w:r>
      <w:r w:rsidR="33C986DA" w:rsidRPr="371B20AB">
        <w:rPr>
          <w:rFonts w:ascii="Calibri" w:eastAsia="Calibri" w:hAnsi="Calibri" w:cs="Calibri"/>
          <w:sz w:val="28"/>
          <w:szCs w:val="28"/>
        </w:rPr>
        <w:t xml:space="preserve">implementation of a curriculum for the early years and the significance of the enabling adult within this context. </w:t>
      </w:r>
    </w:p>
    <w:p w14:paraId="4CDB5C44" w14:textId="287B9456" w:rsidR="22F0D2EE" w:rsidRDefault="22F0D2EE" w:rsidP="50C2E9C8">
      <w:pPr>
        <w:spacing w:line="360" w:lineRule="auto"/>
        <w:rPr>
          <w:rFonts w:ascii="Calibri" w:eastAsia="Calibri" w:hAnsi="Calibri" w:cs="Calibri"/>
          <w:sz w:val="28"/>
          <w:szCs w:val="28"/>
        </w:rPr>
      </w:pPr>
    </w:p>
    <w:p w14:paraId="09625108" w14:textId="3FB1A221" w:rsidR="4EBEFE0F" w:rsidRDefault="5E0F7FCE" w:rsidP="50C2E9C8">
      <w:pPr>
        <w:spacing w:line="360" w:lineRule="auto"/>
        <w:rPr>
          <w:rFonts w:ascii="Calibri" w:eastAsia="Calibri" w:hAnsi="Calibri" w:cs="Calibri"/>
          <w:sz w:val="28"/>
          <w:szCs w:val="28"/>
        </w:rPr>
      </w:pPr>
      <w:r w:rsidRPr="371B20AB">
        <w:rPr>
          <w:rFonts w:ascii="Calibri" w:eastAsia="Calibri" w:hAnsi="Calibri" w:cs="Calibri"/>
          <w:sz w:val="28"/>
          <w:szCs w:val="28"/>
        </w:rPr>
        <w:t>The foundational significance of the earliest years of life h</w:t>
      </w:r>
      <w:r w:rsidR="3EA6A9E7" w:rsidRPr="371B20AB">
        <w:rPr>
          <w:rFonts w:ascii="Calibri" w:eastAsia="Calibri" w:hAnsi="Calibri" w:cs="Calibri"/>
          <w:sz w:val="28"/>
          <w:szCs w:val="28"/>
        </w:rPr>
        <w:t xml:space="preserve">as been explored and </w:t>
      </w:r>
      <w:r w:rsidR="290B18B3" w:rsidRPr="371B20AB">
        <w:rPr>
          <w:rFonts w:ascii="Calibri" w:eastAsia="Calibri" w:hAnsi="Calibri" w:cs="Calibri"/>
          <w:sz w:val="28"/>
          <w:szCs w:val="28"/>
        </w:rPr>
        <w:t xml:space="preserve">debated throughout successive generations.  </w:t>
      </w:r>
      <w:r w:rsidR="059E8855" w:rsidRPr="371B20AB">
        <w:rPr>
          <w:rFonts w:ascii="Calibri" w:eastAsia="Calibri" w:hAnsi="Calibri" w:cs="Calibri"/>
          <w:sz w:val="28"/>
          <w:szCs w:val="28"/>
        </w:rPr>
        <w:t>From the earl</w:t>
      </w:r>
      <w:r w:rsidR="1625DA9C" w:rsidRPr="371B20AB">
        <w:rPr>
          <w:rFonts w:ascii="Calibri" w:eastAsia="Calibri" w:hAnsi="Calibri" w:cs="Calibri"/>
          <w:sz w:val="28"/>
          <w:szCs w:val="28"/>
        </w:rPr>
        <w:t>iest</w:t>
      </w:r>
      <w:r w:rsidR="059E8855" w:rsidRPr="371B20AB">
        <w:rPr>
          <w:rFonts w:ascii="Calibri" w:eastAsia="Calibri" w:hAnsi="Calibri" w:cs="Calibri"/>
          <w:sz w:val="28"/>
          <w:szCs w:val="28"/>
        </w:rPr>
        <w:t xml:space="preserve"> writings of Rousseau</w:t>
      </w:r>
      <w:r w:rsidR="05341473" w:rsidRPr="371B20AB">
        <w:rPr>
          <w:rFonts w:ascii="Calibri" w:eastAsia="Calibri" w:hAnsi="Calibri" w:cs="Calibri"/>
          <w:sz w:val="28"/>
          <w:szCs w:val="28"/>
        </w:rPr>
        <w:t xml:space="preserve">, </w:t>
      </w:r>
      <w:proofErr w:type="gramStart"/>
      <w:r w:rsidR="05341473" w:rsidRPr="371B20AB">
        <w:rPr>
          <w:rFonts w:ascii="Calibri" w:eastAsia="Calibri" w:hAnsi="Calibri" w:cs="Calibri"/>
          <w:sz w:val="28"/>
          <w:szCs w:val="28"/>
        </w:rPr>
        <w:t>Froebel</w:t>
      </w:r>
      <w:proofErr w:type="gramEnd"/>
      <w:r w:rsidR="05341473" w:rsidRPr="371B20AB">
        <w:rPr>
          <w:rFonts w:ascii="Calibri" w:eastAsia="Calibri" w:hAnsi="Calibri" w:cs="Calibri"/>
          <w:sz w:val="28"/>
          <w:szCs w:val="28"/>
        </w:rPr>
        <w:t xml:space="preserve"> and </w:t>
      </w:r>
      <w:r w:rsidR="019A7851" w:rsidRPr="371B20AB">
        <w:rPr>
          <w:rFonts w:ascii="Calibri" w:eastAsia="Calibri" w:hAnsi="Calibri" w:cs="Calibri"/>
          <w:sz w:val="28"/>
          <w:szCs w:val="28"/>
        </w:rPr>
        <w:t>Steiner,</w:t>
      </w:r>
      <w:r w:rsidR="059E8855" w:rsidRPr="371B20AB">
        <w:rPr>
          <w:rFonts w:ascii="Calibri" w:eastAsia="Calibri" w:hAnsi="Calibri" w:cs="Calibri"/>
          <w:sz w:val="28"/>
          <w:szCs w:val="28"/>
        </w:rPr>
        <w:t xml:space="preserve"> who </w:t>
      </w:r>
      <w:proofErr w:type="spellStart"/>
      <w:r w:rsidR="5B863897" w:rsidRPr="371B20AB">
        <w:rPr>
          <w:rFonts w:ascii="Calibri" w:eastAsia="Calibri" w:hAnsi="Calibri" w:cs="Calibri"/>
          <w:sz w:val="28"/>
          <w:szCs w:val="28"/>
        </w:rPr>
        <w:t>recogni</w:t>
      </w:r>
      <w:r w:rsidR="25B830A1" w:rsidRPr="371B20AB">
        <w:rPr>
          <w:rFonts w:ascii="Calibri" w:eastAsia="Calibri" w:hAnsi="Calibri" w:cs="Calibri"/>
          <w:sz w:val="28"/>
          <w:szCs w:val="28"/>
        </w:rPr>
        <w:t>s</w:t>
      </w:r>
      <w:r w:rsidR="5B863897" w:rsidRPr="371B20AB">
        <w:rPr>
          <w:rFonts w:ascii="Calibri" w:eastAsia="Calibri" w:hAnsi="Calibri" w:cs="Calibri"/>
          <w:sz w:val="28"/>
          <w:szCs w:val="28"/>
        </w:rPr>
        <w:t>ed</w:t>
      </w:r>
      <w:proofErr w:type="spellEnd"/>
      <w:r w:rsidR="5B863897" w:rsidRPr="371B20AB">
        <w:rPr>
          <w:rFonts w:ascii="Calibri" w:eastAsia="Calibri" w:hAnsi="Calibri" w:cs="Calibri"/>
          <w:sz w:val="28"/>
          <w:szCs w:val="28"/>
        </w:rPr>
        <w:t xml:space="preserve"> the significance of childhood as a distinctive developmental</w:t>
      </w:r>
      <w:r w:rsidR="1B1FCA6D" w:rsidRPr="371B20AB">
        <w:rPr>
          <w:rFonts w:ascii="Calibri" w:eastAsia="Calibri" w:hAnsi="Calibri" w:cs="Calibri"/>
          <w:sz w:val="28"/>
          <w:szCs w:val="28"/>
        </w:rPr>
        <w:t xml:space="preserve"> period</w:t>
      </w:r>
      <w:r w:rsidR="643BFB54" w:rsidRPr="371B20AB">
        <w:rPr>
          <w:rFonts w:ascii="Calibri" w:eastAsia="Calibri" w:hAnsi="Calibri" w:cs="Calibri"/>
          <w:sz w:val="28"/>
          <w:szCs w:val="28"/>
        </w:rPr>
        <w:t>.</w:t>
      </w:r>
      <w:r w:rsidR="1B1FCA6D" w:rsidRPr="371B20AB">
        <w:rPr>
          <w:rFonts w:ascii="Calibri" w:eastAsia="Calibri" w:hAnsi="Calibri" w:cs="Calibri"/>
          <w:sz w:val="28"/>
          <w:szCs w:val="28"/>
        </w:rPr>
        <w:t xml:space="preserve"> </w:t>
      </w:r>
      <w:r w:rsidR="18655BC3" w:rsidRPr="371B20AB">
        <w:rPr>
          <w:rFonts w:ascii="Calibri" w:eastAsia="Calibri" w:hAnsi="Calibri" w:cs="Calibri"/>
          <w:sz w:val="28"/>
          <w:szCs w:val="28"/>
        </w:rPr>
        <w:t>E</w:t>
      </w:r>
      <w:r w:rsidR="1B1FCA6D" w:rsidRPr="371B20AB">
        <w:rPr>
          <w:rFonts w:ascii="Calibri" w:eastAsia="Calibri" w:hAnsi="Calibri" w:cs="Calibri"/>
          <w:sz w:val="28"/>
          <w:szCs w:val="28"/>
        </w:rPr>
        <w:t xml:space="preserve">arly childhood theories have </w:t>
      </w:r>
      <w:r w:rsidR="537A812C" w:rsidRPr="371B20AB">
        <w:rPr>
          <w:rFonts w:ascii="Calibri" w:eastAsia="Calibri" w:hAnsi="Calibri" w:cs="Calibri"/>
          <w:sz w:val="28"/>
          <w:szCs w:val="28"/>
        </w:rPr>
        <w:t>emphasized</w:t>
      </w:r>
      <w:r w:rsidR="1B1FCA6D" w:rsidRPr="371B20AB">
        <w:rPr>
          <w:rFonts w:ascii="Calibri" w:eastAsia="Calibri" w:hAnsi="Calibri" w:cs="Calibri"/>
          <w:sz w:val="28"/>
          <w:szCs w:val="28"/>
        </w:rPr>
        <w:t xml:space="preserve"> the whole child</w:t>
      </w:r>
      <w:r w:rsidR="13563C3F" w:rsidRPr="371B20AB">
        <w:rPr>
          <w:rFonts w:ascii="Calibri" w:eastAsia="Calibri" w:hAnsi="Calibri" w:cs="Calibri"/>
          <w:sz w:val="28"/>
          <w:szCs w:val="28"/>
        </w:rPr>
        <w:t xml:space="preserve">, rather than focusing </w:t>
      </w:r>
      <w:r w:rsidR="088BE4FF" w:rsidRPr="371B20AB">
        <w:rPr>
          <w:rFonts w:ascii="Calibri" w:eastAsia="Calibri" w:hAnsi="Calibri" w:cs="Calibri"/>
          <w:sz w:val="28"/>
          <w:szCs w:val="28"/>
        </w:rPr>
        <w:t>on</w:t>
      </w:r>
      <w:r w:rsidR="13563C3F" w:rsidRPr="371B20AB">
        <w:rPr>
          <w:rFonts w:ascii="Calibri" w:eastAsia="Calibri" w:hAnsi="Calibri" w:cs="Calibri"/>
          <w:sz w:val="28"/>
          <w:szCs w:val="28"/>
        </w:rPr>
        <w:t xml:space="preserve"> academic achievement alone</w:t>
      </w:r>
      <w:r w:rsidR="4692CDCF" w:rsidRPr="371B20AB">
        <w:rPr>
          <w:rFonts w:ascii="Calibri" w:eastAsia="Calibri" w:hAnsi="Calibri" w:cs="Calibri"/>
          <w:sz w:val="28"/>
          <w:szCs w:val="28"/>
        </w:rPr>
        <w:t xml:space="preserve"> (Jalongo, 2010)</w:t>
      </w:r>
      <w:r w:rsidR="13563C3F" w:rsidRPr="371B20AB">
        <w:rPr>
          <w:rFonts w:ascii="Calibri" w:eastAsia="Calibri" w:hAnsi="Calibri" w:cs="Calibri"/>
          <w:sz w:val="28"/>
          <w:szCs w:val="28"/>
        </w:rPr>
        <w:t>.</w:t>
      </w:r>
      <w:r w:rsidR="5B863897" w:rsidRPr="371B20AB">
        <w:rPr>
          <w:rFonts w:ascii="Calibri" w:eastAsia="Calibri" w:hAnsi="Calibri" w:cs="Calibri"/>
          <w:sz w:val="28"/>
          <w:szCs w:val="28"/>
        </w:rPr>
        <w:t xml:space="preserve"> </w:t>
      </w:r>
      <w:r w:rsidR="26CD11B3" w:rsidRPr="371B20AB">
        <w:rPr>
          <w:rFonts w:ascii="Calibri" w:eastAsia="Calibri" w:hAnsi="Calibri" w:cs="Calibri"/>
          <w:sz w:val="28"/>
          <w:szCs w:val="28"/>
        </w:rPr>
        <w:t>This theme is continued by</w:t>
      </w:r>
      <w:r w:rsidR="24DA1E75" w:rsidRPr="371B20AB">
        <w:rPr>
          <w:rFonts w:ascii="Calibri" w:eastAsia="Calibri" w:hAnsi="Calibri" w:cs="Calibri"/>
          <w:sz w:val="28"/>
          <w:szCs w:val="28"/>
        </w:rPr>
        <w:t xml:space="preserve"> Marmot </w:t>
      </w:r>
      <w:r w:rsidR="634EA701" w:rsidRPr="371B20AB">
        <w:rPr>
          <w:rFonts w:ascii="Calibri" w:eastAsia="Calibri" w:hAnsi="Calibri" w:cs="Calibri"/>
          <w:sz w:val="28"/>
          <w:szCs w:val="28"/>
        </w:rPr>
        <w:t>(</w:t>
      </w:r>
      <w:r w:rsidR="24DA1E75" w:rsidRPr="371B20AB">
        <w:rPr>
          <w:rFonts w:ascii="Calibri" w:eastAsia="Calibri" w:hAnsi="Calibri" w:cs="Calibri"/>
          <w:sz w:val="28"/>
          <w:szCs w:val="28"/>
        </w:rPr>
        <w:t>20</w:t>
      </w:r>
      <w:r w:rsidR="57C3FBBC" w:rsidRPr="371B20AB">
        <w:rPr>
          <w:rFonts w:ascii="Calibri" w:eastAsia="Calibri" w:hAnsi="Calibri" w:cs="Calibri"/>
          <w:sz w:val="28"/>
          <w:szCs w:val="28"/>
        </w:rPr>
        <w:t>10</w:t>
      </w:r>
      <w:r w:rsidR="562A2957" w:rsidRPr="371B20AB">
        <w:rPr>
          <w:rFonts w:ascii="Calibri" w:eastAsia="Calibri" w:hAnsi="Calibri" w:cs="Calibri"/>
          <w:sz w:val="28"/>
          <w:szCs w:val="28"/>
        </w:rPr>
        <w:t>)</w:t>
      </w:r>
      <w:r w:rsidR="24DA1E75" w:rsidRPr="371B20AB">
        <w:rPr>
          <w:rFonts w:ascii="Calibri" w:eastAsia="Calibri" w:hAnsi="Calibri" w:cs="Calibri"/>
          <w:sz w:val="28"/>
          <w:szCs w:val="28"/>
        </w:rPr>
        <w:t xml:space="preserve"> who </w:t>
      </w:r>
      <w:r w:rsidR="52CD41C6" w:rsidRPr="371B20AB">
        <w:rPr>
          <w:rFonts w:ascii="Calibri" w:eastAsia="Calibri" w:hAnsi="Calibri" w:cs="Calibri"/>
          <w:sz w:val="28"/>
          <w:szCs w:val="28"/>
        </w:rPr>
        <w:t xml:space="preserve">tells us that every aspect of human development is established in </w:t>
      </w:r>
      <w:r w:rsidR="7F1BD2F3" w:rsidRPr="371B20AB">
        <w:rPr>
          <w:rFonts w:ascii="Calibri" w:eastAsia="Calibri" w:hAnsi="Calibri" w:cs="Calibri"/>
          <w:sz w:val="28"/>
          <w:szCs w:val="28"/>
        </w:rPr>
        <w:t xml:space="preserve">the early years.  It is the experiences </w:t>
      </w:r>
      <w:r w:rsidR="7F1BD2F3" w:rsidRPr="371B20AB">
        <w:rPr>
          <w:rFonts w:ascii="Calibri" w:eastAsia="Calibri" w:hAnsi="Calibri" w:cs="Calibri"/>
          <w:sz w:val="28"/>
          <w:szCs w:val="28"/>
        </w:rPr>
        <w:lastRenderedPageBreak/>
        <w:t xml:space="preserve">encountered here that frame </w:t>
      </w:r>
      <w:r w:rsidR="3C4E74B4" w:rsidRPr="371B20AB">
        <w:rPr>
          <w:rFonts w:ascii="Calibri" w:eastAsia="Calibri" w:hAnsi="Calibri" w:cs="Calibri"/>
          <w:sz w:val="28"/>
          <w:szCs w:val="28"/>
        </w:rPr>
        <w:t xml:space="preserve">the trajectory of </w:t>
      </w:r>
      <w:r w:rsidR="5C7D541B" w:rsidRPr="371B20AB">
        <w:rPr>
          <w:rFonts w:ascii="Calibri" w:eastAsia="Calibri" w:hAnsi="Calibri" w:cs="Calibri"/>
          <w:sz w:val="28"/>
          <w:szCs w:val="28"/>
        </w:rPr>
        <w:t>children's</w:t>
      </w:r>
      <w:r w:rsidR="3C4E74B4" w:rsidRPr="371B20AB">
        <w:rPr>
          <w:rFonts w:ascii="Calibri" w:eastAsia="Calibri" w:hAnsi="Calibri" w:cs="Calibri"/>
          <w:sz w:val="28"/>
          <w:szCs w:val="28"/>
        </w:rPr>
        <w:t xml:space="preserve"> lives, physically emotionally and intellectually (</w:t>
      </w:r>
      <w:r w:rsidR="33FF5FE6" w:rsidRPr="371B20AB">
        <w:rPr>
          <w:rFonts w:ascii="Calibri" w:eastAsia="Calibri" w:hAnsi="Calibri" w:cs="Calibri"/>
          <w:sz w:val="28"/>
          <w:szCs w:val="28"/>
        </w:rPr>
        <w:t>Marmot, 2010).</w:t>
      </w:r>
    </w:p>
    <w:p w14:paraId="57504ACC" w14:textId="4C275B43" w:rsidR="0023040D" w:rsidRDefault="6496138A" w:rsidP="371B20AB">
      <w:pPr>
        <w:spacing w:line="360" w:lineRule="auto"/>
        <w:rPr>
          <w:rFonts w:ascii="Calibri" w:eastAsia="Calibri" w:hAnsi="Calibri" w:cs="Calibri"/>
          <w:sz w:val="28"/>
          <w:szCs w:val="28"/>
        </w:rPr>
      </w:pPr>
      <w:r w:rsidRPr="371B20AB">
        <w:rPr>
          <w:rFonts w:ascii="Calibri" w:eastAsia="Calibri" w:hAnsi="Calibri" w:cs="Calibri"/>
          <w:sz w:val="28"/>
          <w:szCs w:val="28"/>
        </w:rPr>
        <w:t xml:space="preserve">What is </w:t>
      </w:r>
      <w:r w:rsidR="7D91F1FA" w:rsidRPr="371B20AB">
        <w:rPr>
          <w:rFonts w:ascii="Calibri" w:eastAsia="Calibri" w:hAnsi="Calibri" w:cs="Calibri"/>
          <w:sz w:val="28"/>
          <w:szCs w:val="28"/>
        </w:rPr>
        <w:t>significant</w:t>
      </w:r>
      <w:r w:rsidR="248A58C0" w:rsidRPr="371B20AB">
        <w:rPr>
          <w:rFonts w:ascii="Calibri" w:eastAsia="Calibri" w:hAnsi="Calibri" w:cs="Calibri"/>
          <w:sz w:val="28"/>
          <w:szCs w:val="28"/>
        </w:rPr>
        <w:t xml:space="preserve"> here</w:t>
      </w:r>
      <w:r w:rsidR="7D91F1FA" w:rsidRPr="371B20AB">
        <w:rPr>
          <w:rFonts w:ascii="Calibri" w:eastAsia="Calibri" w:hAnsi="Calibri" w:cs="Calibri"/>
          <w:sz w:val="28"/>
          <w:szCs w:val="28"/>
        </w:rPr>
        <w:t xml:space="preserve"> is</w:t>
      </w:r>
      <w:r w:rsidR="05631E64" w:rsidRPr="371B20AB">
        <w:rPr>
          <w:rFonts w:ascii="Calibri" w:eastAsia="Calibri" w:hAnsi="Calibri" w:cs="Calibri"/>
          <w:sz w:val="28"/>
          <w:szCs w:val="28"/>
        </w:rPr>
        <w:t xml:space="preserve"> that a holistic understanding of the child is </w:t>
      </w:r>
      <w:r w:rsidR="711D8F6A" w:rsidRPr="371B20AB">
        <w:rPr>
          <w:rFonts w:ascii="Calibri" w:eastAsia="Calibri" w:hAnsi="Calibri" w:cs="Calibri"/>
          <w:sz w:val="28"/>
          <w:szCs w:val="28"/>
        </w:rPr>
        <w:t>helpful</w:t>
      </w:r>
      <w:r w:rsidR="05631E64" w:rsidRPr="371B20AB">
        <w:rPr>
          <w:rFonts w:ascii="Calibri" w:eastAsia="Calibri" w:hAnsi="Calibri" w:cs="Calibri"/>
          <w:sz w:val="28"/>
          <w:szCs w:val="28"/>
        </w:rPr>
        <w:t xml:space="preserve"> to enable</w:t>
      </w:r>
      <w:r w:rsidR="65E74864" w:rsidRPr="371B20AB">
        <w:rPr>
          <w:rFonts w:ascii="Calibri" w:eastAsia="Calibri" w:hAnsi="Calibri" w:cs="Calibri"/>
          <w:sz w:val="28"/>
          <w:szCs w:val="28"/>
        </w:rPr>
        <w:t xml:space="preserve"> early years practitioners</w:t>
      </w:r>
      <w:r w:rsidR="38DB5C04" w:rsidRPr="371B20AB">
        <w:rPr>
          <w:rFonts w:ascii="Calibri" w:eastAsia="Calibri" w:hAnsi="Calibri" w:cs="Calibri"/>
          <w:sz w:val="28"/>
          <w:szCs w:val="28"/>
        </w:rPr>
        <w:t xml:space="preserve"> to understand</w:t>
      </w:r>
      <w:r w:rsidR="54FAC3F1" w:rsidRPr="371B20AB">
        <w:rPr>
          <w:rFonts w:ascii="Calibri" w:eastAsia="Calibri" w:hAnsi="Calibri" w:cs="Calibri"/>
          <w:sz w:val="28"/>
          <w:szCs w:val="28"/>
        </w:rPr>
        <w:t xml:space="preserve"> the needs of a developing child. </w:t>
      </w:r>
      <w:r w:rsidR="2B5D9184" w:rsidRPr="371B20AB">
        <w:rPr>
          <w:rFonts w:ascii="Calibri" w:eastAsia="Calibri" w:hAnsi="Calibri" w:cs="Calibri"/>
          <w:sz w:val="28"/>
          <w:szCs w:val="28"/>
        </w:rPr>
        <w:t xml:space="preserve"> </w:t>
      </w:r>
      <w:r w:rsidR="5806CA2D" w:rsidRPr="371B20AB">
        <w:rPr>
          <w:rFonts w:ascii="Calibri" w:eastAsia="Calibri" w:hAnsi="Calibri" w:cs="Calibri"/>
          <w:sz w:val="28"/>
          <w:szCs w:val="28"/>
        </w:rPr>
        <w:t xml:space="preserve">Holistic can be defined as </w:t>
      </w:r>
      <w:r w:rsidR="7342149A" w:rsidRPr="371B20AB">
        <w:rPr>
          <w:rFonts w:ascii="Calibri" w:eastAsia="Calibri" w:hAnsi="Calibri" w:cs="Calibri"/>
          <w:sz w:val="28"/>
          <w:szCs w:val="28"/>
        </w:rPr>
        <w:t xml:space="preserve">understanding the whole, even if the whole can be subdivided into separate parts. </w:t>
      </w:r>
      <w:r w:rsidR="05469458" w:rsidRPr="371B20AB">
        <w:rPr>
          <w:rFonts w:ascii="Calibri" w:eastAsia="Calibri" w:hAnsi="Calibri" w:cs="Calibri"/>
          <w:sz w:val="28"/>
          <w:szCs w:val="28"/>
        </w:rPr>
        <w:t xml:space="preserve">Holistic development is when </w:t>
      </w:r>
      <w:r w:rsidR="107A21AE" w:rsidRPr="371B20AB">
        <w:rPr>
          <w:rFonts w:ascii="Calibri" w:eastAsia="Calibri" w:hAnsi="Calibri" w:cs="Calibri"/>
          <w:sz w:val="28"/>
          <w:szCs w:val="28"/>
        </w:rPr>
        <w:t xml:space="preserve">social, </w:t>
      </w:r>
      <w:proofErr w:type="gramStart"/>
      <w:r w:rsidR="107A21AE" w:rsidRPr="371B20AB">
        <w:rPr>
          <w:rFonts w:ascii="Calibri" w:eastAsia="Calibri" w:hAnsi="Calibri" w:cs="Calibri"/>
          <w:sz w:val="28"/>
          <w:szCs w:val="28"/>
        </w:rPr>
        <w:t>physical</w:t>
      </w:r>
      <w:proofErr w:type="gramEnd"/>
      <w:r w:rsidR="107A21AE" w:rsidRPr="371B20AB">
        <w:rPr>
          <w:rFonts w:ascii="Calibri" w:eastAsia="Calibri" w:hAnsi="Calibri" w:cs="Calibri"/>
          <w:sz w:val="28"/>
          <w:szCs w:val="28"/>
        </w:rPr>
        <w:t xml:space="preserve"> and intellectual areas of learning are interconnected (</w:t>
      </w:r>
      <w:r w:rsidR="2019E223" w:rsidRPr="371B20AB">
        <w:rPr>
          <w:rFonts w:ascii="Calibri" w:eastAsia="Calibri" w:hAnsi="Calibri" w:cs="Calibri"/>
          <w:sz w:val="28"/>
          <w:szCs w:val="28"/>
        </w:rPr>
        <w:t xml:space="preserve">Wall, </w:t>
      </w:r>
      <w:proofErr w:type="spellStart"/>
      <w:r w:rsidR="2019E223" w:rsidRPr="371B20AB">
        <w:rPr>
          <w:rFonts w:ascii="Calibri" w:eastAsia="Calibri" w:hAnsi="Calibri" w:cs="Calibri"/>
          <w:sz w:val="28"/>
          <w:szCs w:val="28"/>
        </w:rPr>
        <w:t>Litjens</w:t>
      </w:r>
      <w:proofErr w:type="spellEnd"/>
      <w:r w:rsidR="2019E223" w:rsidRPr="371B20AB">
        <w:rPr>
          <w:rFonts w:ascii="Calibri" w:eastAsia="Calibri" w:hAnsi="Calibri" w:cs="Calibri"/>
          <w:sz w:val="28"/>
          <w:szCs w:val="28"/>
        </w:rPr>
        <w:t xml:space="preserve"> and </w:t>
      </w:r>
      <w:proofErr w:type="spellStart"/>
      <w:r w:rsidR="2019E223" w:rsidRPr="371B20AB">
        <w:rPr>
          <w:rFonts w:ascii="Calibri" w:eastAsia="Calibri" w:hAnsi="Calibri" w:cs="Calibri"/>
          <w:sz w:val="28"/>
          <w:szCs w:val="28"/>
        </w:rPr>
        <w:t>Taguma</w:t>
      </w:r>
      <w:proofErr w:type="spellEnd"/>
      <w:r w:rsidR="2019E223" w:rsidRPr="371B20AB">
        <w:rPr>
          <w:rFonts w:ascii="Calibri" w:eastAsia="Calibri" w:hAnsi="Calibri" w:cs="Calibri"/>
          <w:sz w:val="28"/>
          <w:szCs w:val="28"/>
        </w:rPr>
        <w:t xml:space="preserve">, 2015).  </w:t>
      </w:r>
    </w:p>
    <w:p w14:paraId="25FC175A" w14:textId="60FD23EF" w:rsidR="278AB5AA" w:rsidRDefault="2A72F422" w:rsidP="371B20AB">
      <w:pPr>
        <w:spacing w:line="360" w:lineRule="auto"/>
        <w:rPr>
          <w:rFonts w:ascii="Calibri" w:eastAsia="Calibri" w:hAnsi="Calibri" w:cs="Calibri"/>
          <w:sz w:val="28"/>
          <w:szCs w:val="28"/>
        </w:rPr>
      </w:pPr>
      <w:r w:rsidRPr="371B20AB">
        <w:rPr>
          <w:rFonts w:ascii="Calibri" w:eastAsia="Calibri" w:hAnsi="Calibri" w:cs="Calibri"/>
          <w:sz w:val="28"/>
          <w:szCs w:val="28"/>
        </w:rPr>
        <w:t xml:space="preserve">This can be seen clearly in international curricula and pedagogical principles such as </w:t>
      </w:r>
      <w:proofErr w:type="spellStart"/>
      <w:r w:rsidRPr="371B20AB">
        <w:rPr>
          <w:rFonts w:ascii="Calibri" w:eastAsia="Calibri" w:hAnsi="Calibri" w:cs="Calibri"/>
          <w:sz w:val="28"/>
          <w:szCs w:val="28"/>
        </w:rPr>
        <w:t>T</w:t>
      </w:r>
      <w:r w:rsidR="201028F4" w:rsidRPr="371B20AB">
        <w:rPr>
          <w:rFonts w:ascii="Calibri" w:eastAsia="Calibri" w:hAnsi="Calibri" w:cs="Calibri"/>
          <w:sz w:val="28"/>
          <w:szCs w:val="28"/>
        </w:rPr>
        <w:t>e</w:t>
      </w:r>
      <w:proofErr w:type="spellEnd"/>
      <w:r w:rsidRPr="371B20AB">
        <w:rPr>
          <w:rFonts w:ascii="Calibri" w:eastAsia="Calibri" w:hAnsi="Calibri" w:cs="Calibri"/>
          <w:sz w:val="28"/>
          <w:szCs w:val="28"/>
        </w:rPr>
        <w:t xml:space="preserve"> </w:t>
      </w:r>
      <w:proofErr w:type="spellStart"/>
      <w:r w:rsidRPr="371B20AB">
        <w:rPr>
          <w:rFonts w:ascii="Calibri" w:eastAsia="Calibri" w:hAnsi="Calibri" w:cs="Calibri"/>
          <w:sz w:val="28"/>
          <w:szCs w:val="28"/>
        </w:rPr>
        <w:t>Whariki</w:t>
      </w:r>
      <w:proofErr w:type="spellEnd"/>
      <w:r w:rsidRPr="371B20AB">
        <w:rPr>
          <w:rFonts w:ascii="Calibri" w:eastAsia="Calibri" w:hAnsi="Calibri" w:cs="Calibri"/>
          <w:sz w:val="28"/>
          <w:szCs w:val="28"/>
        </w:rPr>
        <w:t xml:space="preserve"> and Reggio Emilia</w:t>
      </w:r>
      <w:r w:rsidR="667D750B" w:rsidRPr="371B20AB">
        <w:rPr>
          <w:rFonts w:ascii="Calibri" w:eastAsia="Calibri" w:hAnsi="Calibri" w:cs="Calibri"/>
          <w:sz w:val="28"/>
          <w:szCs w:val="28"/>
        </w:rPr>
        <w:t xml:space="preserve">. </w:t>
      </w:r>
      <w:proofErr w:type="spellStart"/>
      <w:r w:rsidR="667D750B" w:rsidRPr="371B20AB">
        <w:rPr>
          <w:rFonts w:ascii="Calibri" w:eastAsia="Calibri" w:hAnsi="Calibri" w:cs="Calibri"/>
          <w:sz w:val="28"/>
          <w:szCs w:val="28"/>
        </w:rPr>
        <w:t>T</w:t>
      </w:r>
      <w:r w:rsidR="30701EBE" w:rsidRPr="371B20AB">
        <w:rPr>
          <w:rFonts w:ascii="Calibri" w:eastAsia="Calibri" w:hAnsi="Calibri" w:cs="Calibri"/>
          <w:sz w:val="28"/>
          <w:szCs w:val="28"/>
        </w:rPr>
        <w:t>e</w:t>
      </w:r>
      <w:proofErr w:type="spellEnd"/>
      <w:r w:rsidR="30701EBE" w:rsidRPr="371B20AB">
        <w:rPr>
          <w:rFonts w:ascii="Calibri" w:eastAsia="Calibri" w:hAnsi="Calibri" w:cs="Calibri"/>
          <w:sz w:val="28"/>
          <w:szCs w:val="28"/>
        </w:rPr>
        <w:t xml:space="preserve"> </w:t>
      </w:r>
      <w:proofErr w:type="spellStart"/>
      <w:r w:rsidR="667D750B" w:rsidRPr="371B20AB">
        <w:rPr>
          <w:rFonts w:ascii="Calibri" w:eastAsia="Calibri" w:hAnsi="Calibri" w:cs="Calibri"/>
          <w:sz w:val="28"/>
          <w:szCs w:val="28"/>
        </w:rPr>
        <w:t>Whariki</w:t>
      </w:r>
      <w:proofErr w:type="spellEnd"/>
      <w:r w:rsidR="667D750B" w:rsidRPr="371B20AB">
        <w:rPr>
          <w:rFonts w:ascii="Calibri" w:eastAsia="Calibri" w:hAnsi="Calibri" w:cs="Calibri"/>
          <w:sz w:val="28"/>
          <w:szCs w:val="28"/>
        </w:rPr>
        <w:t xml:space="preserve"> </w:t>
      </w:r>
      <w:r w:rsidR="60058FA4" w:rsidRPr="371B20AB">
        <w:rPr>
          <w:rFonts w:ascii="Calibri" w:eastAsia="Calibri" w:hAnsi="Calibri" w:cs="Calibri"/>
          <w:sz w:val="28"/>
          <w:szCs w:val="28"/>
        </w:rPr>
        <w:t xml:space="preserve">translates to ‘woven mat’ illustrating the interconnected nature of the </w:t>
      </w:r>
      <w:r w:rsidR="233A81FC" w:rsidRPr="371B20AB">
        <w:rPr>
          <w:rFonts w:ascii="Calibri" w:eastAsia="Calibri" w:hAnsi="Calibri" w:cs="Calibri"/>
          <w:sz w:val="28"/>
          <w:szCs w:val="28"/>
        </w:rPr>
        <w:t>child's</w:t>
      </w:r>
      <w:r w:rsidR="60058FA4" w:rsidRPr="371B20AB">
        <w:rPr>
          <w:rFonts w:ascii="Calibri" w:eastAsia="Calibri" w:hAnsi="Calibri" w:cs="Calibri"/>
          <w:sz w:val="28"/>
          <w:szCs w:val="28"/>
        </w:rPr>
        <w:t xml:space="preserve"> world</w:t>
      </w:r>
      <w:r w:rsidR="09DFD9FA" w:rsidRPr="371B20AB">
        <w:rPr>
          <w:rFonts w:ascii="Calibri" w:eastAsia="Calibri" w:hAnsi="Calibri" w:cs="Calibri"/>
          <w:sz w:val="28"/>
          <w:szCs w:val="28"/>
        </w:rPr>
        <w:t xml:space="preserve"> (Pakai, 2007).  Reggio Emilia uses the metaphor of the hundred languages of children </w:t>
      </w:r>
      <w:r w:rsidR="362BB00B" w:rsidRPr="371B20AB">
        <w:rPr>
          <w:rFonts w:ascii="Calibri" w:eastAsia="Calibri" w:hAnsi="Calibri" w:cs="Calibri"/>
          <w:sz w:val="28"/>
          <w:szCs w:val="28"/>
        </w:rPr>
        <w:t xml:space="preserve">to explore the multiplicity of a </w:t>
      </w:r>
      <w:r w:rsidR="076E9561" w:rsidRPr="371B20AB">
        <w:rPr>
          <w:rFonts w:ascii="Calibri" w:eastAsia="Calibri" w:hAnsi="Calibri" w:cs="Calibri"/>
          <w:sz w:val="28"/>
          <w:szCs w:val="28"/>
        </w:rPr>
        <w:t>child's</w:t>
      </w:r>
      <w:r w:rsidR="362BB00B" w:rsidRPr="371B20AB">
        <w:rPr>
          <w:rFonts w:ascii="Calibri" w:eastAsia="Calibri" w:hAnsi="Calibri" w:cs="Calibri"/>
          <w:sz w:val="28"/>
          <w:szCs w:val="28"/>
        </w:rPr>
        <w:t xml:space="preserve"> </w:t>
      </w:r>
      <w:r w:rsidR="0B86651B" w:rsidRPr="371B20AB">
        <w:rPr>
          <w:rFonts w:ascii="Calibri" w:eastAsia="Calibri" w:hAnsi="Calibri" w:cs="Calibri"/>
          <w:sz w:val="28"/>
          <w:szCs w:val="28"/>
        </w:rPr>
        <w:t>knowledge,</w:t>
      </w:r>
      <w:r w:rsidR="362BB00B" w:rsidRPr="371B20AB">
        <w:rPr>
          <w:rFonts w:ascii="Calibri" w:eastAsia="Calibri" w:hAnsi="Calibri" w:cs="Calibri"/>
          <w:sz w:val="28"/>
          <w:szCs w:val="28"/>
        </w:rPr>
        <w:t xml:space="preserve"> understanding and curiosity towards their world.  </w:t>
      </w:r>
      <w:r w:rsidR="02D6A92B" w:rsidRPr="371B20AB">
        <w:rPr>
          <w:rFonts w:ascii="Calibri" w:eastAsia="Calibri" w:hAnsi="Calibri" w:cs="Calibri"/>
          <w:sz w:val="28"/>
          <w:szCs w:val="28"/>
        </w:rPr>
        <w:t>Within this p</w:t>
      </w:r>
      <w:r w:rsidR="65127632" w:rsidRPr="371B20AB">
        <w:rPr>
          <w:rFonts w:ascii="Calibri" w:eastAsia="Calibri" w:hAnsi="Calibri" w:cs="Calibri"/>
          <w:sz w:val="28"/>
          <w:szCs w:val="28"/>
        </w:rPr>
        <w:t>edagogical</w:t>
      </w:r>
      <w:r w:rsidR="02D6A92B" w:rsidRPr="371B20AB">
        <w:rPr>
          <w:rFonts w:ascii="Calibri" w:eastAsia="Calibri" w:hAnsi="Calibri" w:cs="Calibri"/>
          <w:sz w:val="28"/>
          <w:szCs w:val="28"/>
        </w:rPr>
        <w:t xml:space="preserve"> framework educators are</w:t>
      </w:r>
      <w:r w:rsidR="7CFF93DF" w:rsidRPr="371B20AB">
        <w:rPr>
          <w:rFonts w:ascii="Calibri" w:eastAsia="Calibri" w:hAnsi="Calibri" w:cs="Calibri"/>
          <w:sz w:val="28"/>
          <w:szCs w:val="28"/>
        </w:rPr>
        <w:t xml:space="preserve"> </w:t>
      </w:r>
      <w:r w:rsidR="6C0E64E4" w:rsidRPr="371B20AB">
        <w:rPr>
          <w:rFonts w:ascii="Calibri" w:eastAsia="Calibri" w:hAnsi="Calibri" w:cs="Calibri"/>
          <w:sz w:val="28"/>
          <w:szCs w:val="28"/>
        </w:rPr>
        <w:t xml:space="preserve">researchers gathering evidence of children's learning and </w:t>
      </w:r>
      <w:r w:rsidR="7E479D02" w:rsidRPr="371B20AB">
        <w:rPr>
          <w:rFonts w:ascii="Calibri" w:eastAsia="Calibri" w:hAnsi="Calibri" w:cs="Calibri"/>
          <w:sz w:val="28"/>
          <w:szCs w:val="28"/>
        </w:rPr>
        <w:t>progression (Seipel and Seeger, 2024)</w:t>
      </w:r>
      <w:r w:rsidR="434051D7" w:rsidRPr="371B20AB">
        <w:rPr>
          <w:rFonts w:ascii="Calibri" w:eastAsia="Calibri" w:hAnsi="Calibri" w:cs="Calibri"/>
          <w:sz w:val="28"/>
          <w:szCs w:val="28"/>
        </w:rPr>
        <w:t>.</w:t>
      </w:r>
      <w:r w:rsidR="6C0E64E4" w:rsidRPr="371B20AB">
        <w:rPr>
          <w:rFonts w:ascii="Calibri" w:eastAsia="Calibri" w:hAnsi="Calibri" w:cs="Calibri"/>
          <w:sz w:val="28"/>
          <w:szCs w:val="28"/>
        </w:rPr>
        <w:t xml:space="preserve"> </w:t>
      </w:r>
      <w:r w:rsidR="5891556C" w:rsidRPr="371B20AB">
        <w:rPr>
          <w:rFonts w:ascii="Calibri" w:eastAsia="Calibri" w:hAnsi="Calibri" w:cs="Calibri"/>
          <w:sz w:val="28"/>
          <w:szCs w:val="28"/>
        </w:rPr>
        <w:t xml:space="preserve"> </w:t>
      </w:r>
    </w:p>
    <w:p w14:paraId="264927A6" w14:textId="2F89F97B" w:rsidR="21966D41" w:rsidRDefault="558F14C5" w:rsidP="371B20AB">
      <w:pPr>
        <w:spacing w:line="360" w:lineRule="auto"/>
        <w:rPr>
          <w:rFonts w:ascii="Calibri" w:eastAsia="Calibri" w:hAnsi="Calibri" w:cs="Calibri"/>
          <w:color w:val="444444"/>
          <w:sz w:val="28"/>
          <w:szCs w:val="28"/>
        </w:rPr>
      </w:pPr>
      <w:r w:rsidRPr="371B20AB">
        <w:rPr>
          <w:rFonts w:ascii="Calibri" w:eastAsia="Calibri" w:hAnsi="Calibri" w:cs="Calibri"/>
          <w:sz w:val="28"/>
          <w:szCs w:val="28"/>
        </w:rPr>
        <w:t xml:space="preserve">Research conducted by Siraj Blatchford </w:t>
      </w:r>
      <w:r w:rsidRPr="371B20AB">
        <w:rPr>
          <w:rFonts w:ascii="Calibri" w:eastAsia="Calibri" w:hAnsi="Calibri" w:cs="Calibri"/>
          <w:i/>
          <w:iCs/>
          <w:sz w:val="28"/>
          <w:szCs w:val="28"/>
        </w:rPr>
        <w:t>et al.</w:t>
      </w:r>
      <w:r w:rsidRPr="371B20AB">
        <w:rPr>
          <w:rFonts w:ascii="Calibri" w:eastAsia="Calibri" w:hAnsi="Calibri" w:cs="Calibri"/>
          <w:sz w:val="28"/>
          <w:szCs w:val="28"/>
        </w:rPr>
        <w:t xml:space="preserve"> (2002</w:t>
      </w:r>
      <w:r w:rsidR="7933CA63" w:rsidRPr="371B20AB">
        <w:rPr>
          <w:rFonts w:ascii="Calibri" w:eastAsia="Calibri" w:hAnsi="Calibri" w:cs="Calibri"/>
          <w:sz w:val="28"/>
          <w:szCs w:val="28"/>
        </w:rPr>
        <w:t>) highlighted</w:t>
      </w:r>
      <w:r w:rsidRPr="371B20AB">
        <w:rPr>
          <w:rFonts w:ascii="Calibri" w:eastAsia="Calibri" w:hAnsi="Calibri" w:cs="Calibri"/>
          <w:sz w:val="28"/>
          <w:szCs w:val="28"/>
        </w:rPr>
        <w:t xml:space="preserve"> the </w:t>
      </w:r>
      <w:r w:rsidR="5292730D" w:rsidRPr="371B20AB">
        <w:rPr>
          <w:rFonts w:ascii="Calibri" w:eastAsia="Calibri" w:hAnsi="Calibri" w:cs="Calibri"/>
          <w:sz w:val="28"/>
          <w:szCs w:val="28"/>
        </w:rPr>
        <w:t xml:space="preserve">positive </w:t>
      </w:r>
      <w:r w:rsidR="6C530935" w:rsidRPr="371B20AB">
        <w:rPr>
          <w:rFonts w:ascii="Calibri" w:eastAsia="Calibri" w:hAnsi="Calibri" w:cs="Calibri"/>
          <w:sz w:val="28"/>
          <w:szCs w:val="28"/>
        </w:rPr>
        <w:t xml:space="preserve">impact that effective preschool provision had on the educational outcomes of </w:t>
      </w:r>
      <w:r w:rsidR="08892FEA" w:rsidRPr="371B20AB">
        <w:rPr>
          <w:rFonts w:ascii="Calibri" w:eastAsia="Calibri" w:hAnsi="Calibri" w:cs="Calibri"/>
          <w:sz w:val="28"/>
          <w:szCs w:val="28"/>
        </w:rPr>
        <w:t>children</w:t>
      </w:r>
      <w:r w:rsidR="6C530935" w:rsidRPr="371B20AB">
        <w:rPr>
          <w:rFonts w:ascii="Calibri" w:eastAsia="Calibri" w:hAnsi="Calibri" w:cs="Calibri"/>
          <w:sz w:val="28"/>
          <w:szCs w:val="28"/>
        </w:rPr>
        <w:t xml:space="preserve"> in the United Kingdom. </w:t>
      </w:r>
      <w:r w:rsidR="69DFD5FE" w:rsidRPr="371B20AB">
        <w:rPr>
          <w:rFonts w:ascii="Calibri" w:eastAsia="Calibri" w:hAnsi="Calibri" w:cs="Calibri"/>
          <w:sz w:val="28"/>
          <w:szCs w:val="28"/>
        </w:rPr>
        <w:t xml:space="preserve"> </w:t>
      </w:r>
      <w:r w:rsidR="2CED86E2" w:rsidRPr="371B20AB">
        <w:rPr>
          <w:rFonts w:ascii="Calibri" w:eastAsia="Calibri" w:hAnsi="Calibri" w:cs="Calibri"/>
          <w:sz w:val="28"/>
          <w:szCs w:val="28"/>
        </w:rPr>
        <w:t xml:space="preserve">Key factors that were </w:t>
      </w:r>
      <w:proofErr w:type="spellStart"/>
      <w:r w:rsidR="2CED86E2" w:rsidRPr="371B20AB">
        <w:rPr>
          <w:rFonts w:ascii="Calibri" w:eastAsia="Calibri" w:hAnsi="Calibri" w:cs="Calibri"/>
          <w:sz w:val="28"/>
          <w:szCs w:val="28"/>
        </w:rPr>
        <w:t>recognised</w:t>
      </w:r>
      <w:proofErr w:type="spellEnd"/>
      <w:r w:rsidR="2CED86E2" w:rsidRPr="371B20AB">
        <w:rPr>
          <w:rFonts w:ascii="Calibri" w:eastAsia="Calibri" w:hAnsi="Calibri" w:cs="Calibri"/>
          <w:sz w:val="28"/>
          <w:szCs w:val="28"/>
        </w:rPr>
        <w:t xml:space="preserve"> in effective educational outcomes were linked to a </w:t>
      </w:r>
      <w:r w:rsidR="269CADEF" w:rsidRPr="371B20AB">
        <w:rPr>
          <w:rFonts w:ascii="Calibri" w:eastAsia="Calibri" w:hAnsi="Calibri" w:cs="Calibri"/>
          <w:sz w:val="28"/>
          <w:szCs w:val="28"/>
        </w:rPr>
        <w:t>play-based</w:t>
      </w:r>
      <w:r w:rsidR="2CED86E2" w:rsidRPr="371B20AB">
        <w:rPr>
          <w:rFonts w:ascii="Calibri" w:eastAsia="Calibri" w:hAnsi="Calibri" w:cs="Calibri"/>
          <w:sz w:val="28"/>
          <w:szCs w:val="28"/>
        </w:rPr>
        <w:t xml:space="preserve"> pedagogy</w:t>
      </w:r>
      <w:r w:rsidR="7E9E8C5C" w:rsidRPr="371B20AB">
        <w:rPr>
          <w:rFonts w:ascii="Calibri" w:eastAsia="Calibri" w:hAnsi="Calibri" w:cs="Calibri"/>
          <w:sz w:val="28"/>
          <w:szCs w:val="28"/>
        </w:rPr>
        <w:t xml:space="preserve">, </w:t>
      </w:r>
      <w:r w:rsidR="2852E7D4" w:rsidRPr="371B20AB">
        <w:rPr>
          <w:rFonts w:ascii="Calibri" w:eastAsia="Calibri" w:hAnsi="Calibri" w:cs="Calibri"/>
          <w:sz w:val="28"/>
          <w:szCs w:val="28"/>
        </w:rPr>
        <w:t xml:space="preserve">effective relationships, and an effective learning environment created by </w:t>
      </w:r>
      <w:r w:rsidR="6D2DF0EE" w:rsidRPr="371B20AB">
        <w:rPr>
          <w:rFonts w:ascii="Calibri" w:eastAsia="Calibri" w:hAnsi="Calibri" w:cs="Calibri"/>
          <w:sz w:val="28"/>
          <w:szCs w:val="28"/>
        </w:rPr>
        <w:t xml:space="preserve">knowledgeable practitioners. </w:t>
      </w:r>
      <w:r w:rsidR="627A0F5C" w:rsidRPr="371B20AB">
        <w:rPr>
          <w:rFonts w:ascii="Calibri" w:eastAsia="Calibri" w:hAnsi="Calibri" w:cs="Calibri"/>
          <w:sz w:val="28"/>
          <w:szCs w:val="28"/>
        </w:rPr>
        <w:t>These key themes can be seen in the new curriculum as fram</w:t>
      </w:r>
      <w:r w:rsidR="280FE9CF" w:rsidRPr="371B20AB">
        <w:rPr>
          <w:rFonts w:ascii="Calibri" w:eastAsia="Calibri" w:hAnsi="Calibri" w:cs="Calibri"/>
          <w:sz w:val="28"/>
          <w:szCs w:val="28"/>
        </w:rPr>
        <w:t>i</w:t>
      </w:r>
      <w:r w:rsidR="627A0F5C" w:rsidRPr="371B20AB">
        <w:rPr>
          <w:rFonts w:ascii="Calibri" w:eastAsia="Calibri" w:hAnsi="Calibri" w:cs="Calibri"/>
          <w:sz w:val="28"/>
          <w:szCs w:val="28"/>
        </w:rPr>
        <w:t xml:space="preserve">ng the pedagogical principles underpinning this document. </w:t>
      </w:r>
      <w:r w:rsidR="55153871" w:rsidRPr="371B20AB">
        <w:rPr>
          <w:rFonts w:ascii="Calibri" w:eastAsia="Calibri" w:hAnsi="Calibri" w:cs="Calibri"/>
          <w:sz w:val="28"/>
          <w:szCs w:val="28"/>
        </w:rPr>
        <w:t>Further research suggests that more formal teacher led tasks lead to frustration and anxiety in children (</w:t>
      </w:r>
      <w:r w:rsidR="3CAC45C8" w:rsidRPr="371B20AB">
        <w:rPr>
          <w:rFonts w:ascii="Calibri" w:eastAsia="Calibri" w:hAnsi="Calibri" w:cs="Calibri"/>
          <w:sz w:val="28"/>
          <w:szCs w:val="28"/>
        </w:rPr>
        <w:t>Siraj-Blatchford and Sylva, 2004</w:t>
      </w:r>
      <w:r w:rsidR="1C6A97C0" w:rsidRPr="371B20AB">
        <w:rPr>
          <w:rFonts w:ascii="Calibri" w:eastAsia="Calibri" w:hAnsi="Calibri" w:cs="Calibri"/>
          <w:sz w:val="28"/>
          <w:szCs w:val="28"/>
        </w:rPr>
        <w:t xml:space="preserve">; </w:t>
      </w:r>
      <w:r w:rsidR="1F23DB1E" w:rsidRPr="371B20AB">
        <w:rPr>
          <w:rFonts w:ascii="Calibri" w:eastAsia="Calibri" w:hAnsi="Calibri" w:cs="Calibri"/>
          <w:sz w:val="28"/>
          <w:szCs w:val="28"/>
        </w:rPr>
        <w:t xml:space="preserve">Sproule, </w:t>
      </w:r>
      <w:proofErr w:type="gramStart"/>
      <w:r w:rsidR="1F23DB1E" w:rsidRPr="371B20AB">
        <w:rPr>
          <w:rFonts w:ascii="Calibri" w:eastAsia="Calibri" w:hAnsi="Calibri" w:cs="Calibri"/>
          <w:sz w:val="28"/>
          <w:szCs w:val="28"/>
        </w:rPr>
        <w:t>Walsh</w:t>
      </w:r>
      <w:proofErr w:type="gramEnd"/>
      <w:r w:rsidR="1F23DB1E" w:rsidRPr="371B20AB">
        <w:rPr>
          <w:rFonts w:ascii="Calibri" w:eastAsia="Calibri" w:hAnsi="Calibri" w:cs="Calibri"/>
          <w:sz w:val="28"/>
          <w:szCs w:val="28"/>
        </w:rPr>
        <w:t xml:space="preserve"> and McGuinness, 2019</w:t>
      </w:r>
      <w:r w:rsidR="3CAC45C8" w:rsidRPr="371B20AB">
        <w:rPr>
          <w:rFonts w:ascii="Calibri" w:eastAsia="Calibri" w:hAnsi="Calibri" w:cs="Calibri"/>
          <w:sz w:val="28"/>
          <w:szCs w:val="28"/>
        </w:rPr>
        <w:t>).</w:t>
      </w:r>
      <w:r w:rsidR="4B4517EC" w:rsidRPr="371B20AB">
        <w:rPr>
          <w:rFonts w:ascii="Calibri" w:eastAsia="Calibri" w:hAnsi="Calibri" w:cs="Calibri"/>
          <w:sz w:val="28"/>
          <w:szCs w:val="28"/>
        </w:rPr>
        <w:t xml:space="preserve"> This approach is </w:t>
      </w:r>
      <w:proofErr w:type="spellStart"/>
      <w:r w:rsidR="4B4517EC" w:rsidRPr="371B20AB">
        <w:rPr>
          <w:rFonts w:ascii="Calibri" w:eastAsia="Calibri" w:hAnsi="Calibri" w:cs="Calibri"/>
          <w:sz w:val="28"/>
          <w:szCs w:val="28"/>
        </w:rPr>
        <w:t>recognised</w:t>
      </w:r>
      <w:proofErr w:type="spellEnd"/>
      <w:r w:rsidR="4B4517EC" w:rsidRPr="371B20AB">
        <w:rPr>
          <w:rFonts w:ascii="Calibri" w:eastAsia="Calibri" w:hAnsi="Calibri" w:cs="Calibri"/>
          <w:sz w:val="28"/>
          <w:szCs w:val="28"/>
        </w:rPr>
        <w:t xml:space="preserve"> by Welsh Government (2022) who state that </w:t>
      </w:r>
      <w:r w:rsidR="4B4517EC" w:rsidRPr="371B20AB">
        <w:rPr>
          <w:rFonts w:ascii="Calibri" w:eastAsia="Calibri" w:hAnsi="Calibri" w:cs="Calibri"/>
          <w:color w:val="444444"/>
          <w:sz w:val="28"/>
          <w:szCs w:val="28"/>
        </w:rPr>
        <w:t xml:space="preserve">“There is </w:t>
      </w:r>
      <w:r w:rsidR="4B4517EC" w:rsidRPr="371B20AB">
        <w:rPr>
          <w:rFonts w:ascii="Calibri" w:eastAsia="Calibri" w:hAnsi="Calibri" w:cs="Calibri"/>
          <w:color w:val="444444"/>
          <w:sz w:val="28"/>
          <w:szCs w:val="28"/>
        </w:rPr>
        <w:lastRenderedPageBreak/>
        <w:t xml:space="preserve">mounting evidence that high-quality early </w:t>
      </w:r>
      <w:proofErr w:type="gramStart"/>
      <w:r w:rsidR="4B4517EC" w:rsidRPr="371B20AB">
        <w:rPr>
          <w:rFonts w:ascii="Calibri" w:eastAsia="Calibri" w:hAnsi="Calibri" w:cs="Calibri"/>
          <w:color w:val="444444"/>
          <w:sz w:val="28"/>
          <w:szCs w:val="28"/>
        </w:rPr>
        <w:t>years</w:t>
      </w:r>
      <w:proofErr w:type="gramEnd"/>
      <w:r w:rsidR="4B4517EC" w:rsidRPr="371B20AB">
        <w:rPr>
          <w:rFonts w:ascii="Calibri" w:eastAsia="Calibri" w:hAnsi="Calibri" w:cs="Calibri"/>
          <w:color w:val="444444"/>
          <w:sz w:val="28"/>
          <w:szCs w:val="28"/>
        </w:rPr>
        <w:t xml:space="preserve"> provision can have lasting positive effects, not only on the children who participate, but on society overall” (Welsh Government, 2022</w:t>
      </w:r>
      <w:r w:rsidR="1C09C77B" w:rsidRPr="371B20AB">
        <w:rPr>
          <w:rFonts w:ascii="Calibri" w:eastAsia="Calibri" w:hAnsi="Calibri" w:cs="Calibri"/>
          <w:color w:val="444444"/>
          <w:sz w:val="28"/>
          <w:szCs w:val="28"/>
        </w:rPr>
        <w:t>, p4</w:t>
      </w:r>
      <w:r w:rsidR="4B4517EC" w:rsidRPr="371B20AB">
        <w:rPr>
          <w:rFonts w:ascii="Calibri" w:eastAsia="Calibri" w:hAnsi="Calibri" w:cs="Calibri"/>
          <w:color w:val="444444"/>
          <w:sz w:val="28"/>
          <w:szCs w:val="28"/>
        </w:rPr>
        <w:t>)</w:t>
      </w:r>
    </w:p>
    <w:p w14:paraId="48AA970C" w14:textId="14D7F5C9" w:rsidR="0DD511AD" w:rsidRDefault="03B91475" w:rsidP="50C2E9C8">
      <w:pPr>
        <w:spacing w:line="360" w:lineRule="auto"/>
        <w:rPr>
          <w:rFonts w:ascii="Calibri" w:eastAsia="Calibri" w:hAnsi="Calibri" w:cs="Calibri"/>
          <w:sz w:val="28"/>
          <w:szCs w:val="28"/>
        </w:rPr>
      </w:pPr>
      <w:r w:rsidRPr="371B20AB">
        <w:rPr>
          <w:rFonts w:ascii="Calibri" w:eastAsia="Calibri" w:hAnsi="Calibri" w:cs="Calibri"/>
          <w:sz w:val="28"/>
          <w:szCs w:val="28"/>
        </w:rPr>
        <w:t>Therefore, the framing of the concept of pedagogy is key in supporting the curriculum's content.</w:t>
      </w:r>
      <w:r w:rsidR="784D0921" w:rsidRPr="371B20AB">
        <w:rPr>
          <w:rFonts w:ascii="Calibri" w:eastAsia="Calibri" w:hAnsi="Calibri" w:cs="Calibri"/>
          <w:sz w:val="28"/>
          <w:szCs w:val="28"/>
        </w:rPr>
        <w:t xml:space="preserve"> </w:t>
      </w:r>
      <w:r w:rsidR="4BD5C021" w:rsidRPr="371B20AB">
        <w:rPr>
          <w:rFonts w:ascii="Calibri" w:eastAsia="Calibri" w:hAnsi="Calibri" w:cs="Calibri"/>
          <w:sz w:val="28"/>
          <w:szCs w:val="28"/>
        </w:rPr>
        <w:t xml:space="preserve">  A playful pedagogical approach is highlighted as an important aspect of the learning process for young children</w:t>
      </w:r>
      <w:r w:rsidR="6A03A751" w:rsidRPr="371B20AB">
        <w:rPr>
          <w:rFonts w:ascii="Calibri" w:eastAsia="Calibri" w:hAnsi="Calibri" w:cs="Calibri"/>
          <w:sz w:val="28"/>
          <w:szCs w:val="28"/>
        </w:rPr>
        <w:t xml:space="preserve"> (</w:t>
      </w:r>
      <w:proofErr w:type="spellStart"/>
      <w:r w:rsidR="6A03A751" w:rsidRPr="371B20AB">
        <w:rPr>
          <w:rFonts w:ascii="Calibri" w:eastAsia="Calibri" w:hAnsi="Calibri" w:cs="Calibri"/>
          <w:sz w:val="28"/>
          <w:szCs w:val="28"/>
        </w:rPr>
        <w:t>Barblett</w:t>
      </w:r>
      <w:proofErr w:type="spellEnd"/>
      <w:r w:rsidR="6A03A751" w:rsidRPr="371B20AB">
        <w:rPr>
          <w:rFonts w:ascii="Calibri" w:eastAsia="Calibri" w:hAnsi="Calibri" w:cs="Calibri"/>
          <w:sz w:val="28"/>
          <w:szCs w:val="28"/>
        </w:rPr>
        <w:t xml:space="preserve">, Knaus and Barratt-Pugh, 2016) The curriculum itself is </w:t>
      </w:r>
      <w:r w:rsidR="10CEAC79" w:rsidRPr="371B20AB">
        <w:rPr>
          <w:rFonts w:ascii="Calibri" w:eastAsia="Calibri" w:hAnsi="Calibri" w:cs="Calibri"/>
          <w:sz w:val="28"/>
          <w:szCs w:val="28"/>
        </w:rPr>
        <w:t>underpinned</w:t>
      </w:r>
      <w:r w:rsidR="6A03A751" w:rsidRPr="371B20AB">
        <w:rPr>
          <w:rFonts w:ascii="Calibri" w:eastAsia="Calibri" w:hAnsi="Calibri" w:cs="Calibri"/>
          <w:sz w:val="28"/>
          <w:szCs w:val="28"/>
        </w:rPr>
        <w:t xml:space="preserve"> by four pedagogical principles. </w:t>
      </w:r>
    </w:p>
    <w:p w14:paraId="7241CA0A" w14:textId="405787DD" w:rsidR="0DD511AD" w:rsidRDefault="5C59E0A7" w:rsidP="371B20AB">
      <w:pPr>
        <w:pStyle w:val="ListParagraph"/>
        <w:numPr>
          <w:ilvl w:val="0"/>
          <w:numId w:val="9"/>
        </w:numPr>
        <w:spacing w:line="360" w:lineRule="auto"/>
        <w:rPr>
          <w:rFonts w:ascii="Calibri" w:eastAsia="Calibri" w:hAnsi="Calibri" w:cs="Calibri"/>
          <w:b/>
          <w:bCs/>
          <w:sz w:val="28"/>
          <w:szCs w:val="28"/>
        </w:rPr>
      </w:pPr>
      <w:r w:rsidRPr="371B20AB">
        <w:rPr>
          <w:rFonts w:ascii="Calibri" w:eastAsia="Calibri" w:hAnsi="Calibri" w:cs="Calibri"/>
          <w:b/>
          <w:bCs/>
          <w:sz w:val="28"/>
          <w:szCs w:val="28"/>
        </w:rPr>
        <w:t xml:space="preserve">Play and play-based </w:t>
      </w:r>
      <w:proofErr w:type="gramStart"/>
      <w:r w:rsidRPr="371B20AB">
        <w:rPr>
          <w:rFonts w:ascii="Calibri" w:eastAsia="Calibri" w:hAnsi="Calibri" w:cs="Calibri"/>
          <w:b/>
          <w:bCs/>
          <w:sz w:val="28"/>
          <w:szCs w:val="28"/>
        </w:rPr>
        <w:t>learning</w:t>
      </w:r>
      <w:proofErr w:type="gramEnd"/>
    </w:p>
    <w:p w14:paraId="62675CCA" w14:textId="5DA41C59" w:rsidR="0DD511AD" w:rsidRDefault="6E28CF7E" w:rsidP="50C2E9C8">
      <w:pPr>
        <w:spacing w:line="360" w:lineRule="auto"/>
        <w:rPr>
          <w:rFonts w:ascii="Calibri" w:eastAsia="Calibri" w:hAnsi="Calibri" w:cs="Calibri"/>
          <w:sz w:val="28"/>
          <w:szCs w:val="28"/>
        </w:rPr>
      </w:pPr>
      <w:r w:rsidRPr="371B20AB">
        <w:rPr>
          <w:rFonts w:ascii="Calibri" w:eastAsia="Calibri" w:hAnsi="Calibri" w:cs="Calibri"/>
          <w:sz w:val="28"/>
          <w:szCs w:val="28"/>
        </w:rPr>
        <w:t xml:space="preserve">The United Nations Convention on the Rights of the Child (UNCRC) is a comprehensive </w:t>
      </w:r>
      <w:r w:rsidR="76CC8A3C" w:rsidRPr="371B20AB">
        <w:rPr>
          <w:rFonts w:ascii="Calibri" w:eastAsia="Calibri" w:hAnsi="Calibri" w:cs="Calibri"/>
          <w:sz w:val="28"/>
          <w:szCs w:val="28"/>
        </w:rPr>
        <w:t>statement regarding the rights of children globally (</w:t>
      </w:r>
      <w:r w:rsidR="4ED9E0B7" w:rsidRPr="371B20AB">
        <w:rPr>
          <w:rFonts w:ascii="Calibri" w:eastAsia="Calibri" w:hAnsi="Calibri" w:cs="Calibri"/>
          <w:sz w:val="28"/>
          <w:szCs w:val="28"/>
        </w:rPr>
        <w:t>UNICEF, No Date).  Within these rights</w:t>
      </w:r>
      <w:r w:rsidR="0A592775" w:rsidRPr="371B20AB">
        <w:rPr>
          <w:rFonts w:ascii="Calibri" w:eastAsia="Calibri" w:hAnsi="Calibri" w:cs="Calibri"/>
          <w:sz w:val="28"/>
          <w:szCs w:val="28"/>
        </w:rPr>
        <w:t>,</w:t>
      </w:r>
      <w:r w:rsidR="4ED9E0B7" w:rsidRPr="371B20AB">
        <w:rPr>
          <w:rFonts w:ascii="Calibri" w:eastAsia="Calibri" w:hAnsi="Calibri" w:cs="Calibri"/>
          <w:sz w:val="28"/>
          <w:szCs w:val="28"/>
        </w:rPr>
        <w:t xml:space="preserve"> the right to play is </w:t>
      </w:r>
      <w:proofErr w:type="spellStart"/>
      <w:r w:rsidR="4ED9E0B7" w:rsidRPr="371B20AB">
        <w:rPr>
          <w:rFonts w:ascii="Calibri" w:eastAsia="Calibri" w:hAnsi="Calibri" w:cs="Calibri"/>
          <w:sz w:val="28"/>
          <w:szCs w:val="28"/>
        </w:rPr>
        <w:t>recognised</w:t>
      </w:r>
      <w:proofErr w:type="spellEnd"/>
      <w:r w:rsidR="4ED9E0B7" w:rsidRPr="371B20AB">
        <w:rPr>
          <w:rFonts w:ascii="Calibri" w:eastAsia="Calibri" w:hAnsi="Calibri" w:cs="Calibri"/>
          <w:sz w:val="28"/>
          <w:szCs w:val="28"/>
        </w:rPr>
        <w:t xml:space="preserve"> a</w:t>
      </w:r>
      <w:r w:rsidR="5C967365" w:rsidRPr="371B20AB">
        <w:rPr>
          <w:rFonts w:ascii="Calibri" w:eastAsia="Calibri" w:hAnsi="Calibri" w:cs="Calibri"/>
          <w:sz w:val="28"/>
          <w:szCs w:val="28"/>
        </w:rPr>
        <w:t>s</w:t>
      </w:r>
      <w:r w:rsidR="4ED9E0B7" w:rsidRPr="371B20AB">
        <w:rPr>
          <w:rFonts w:ascii="Calibri" w:eastAsia="Calibri" w:hAnsi="Calibri" w:cs="Calibri"/>
          <w:sz w:val="28"/>
          <w:szCs w:val="28"/>
        </w:rPr>
        <w:t xml:space="preserve"> significant in the h</w:t>
      </w:r>
      <w:r w:rsidR="5F86750C" w:rsidRPr="371B20AB">
        <w:rPr>
          <w:rFonts w:ascii="Calibri" w:eastAsia="Calibri" w:hAnsi="Calibri" w:cs="Calibri"/>
          <w:sz w:val="28"/>
          <w:szCs w:val="28"/>
        </w:rPr>
        <w:t xml:space="preserve">olistic </w:t>
      </w:r>
      <w:r w:rsidR="39D2622C" w:rsidRPr="371B20AB">
        <w:rPr>
          <w:rFonts w:ascii="Calibri" w:eastAsia="Calibri" w:hAnsi="Calibri" w:cs="Calibri"/>
          <w:sz w:val="28"/>
          <w:szCs w:val="28"/>
        </w:rPr>
        <w:t>development</w:t>
      </w:r>
      <w:r w:rsidR="18960034" w:rsidRPr="371B20AB">
        <w:rPr>
          <w:rFonts w:ascii="Calibri" w:eastAsia="Calibri" w:hAnsi="Calibri" w:cs="Calibri"/>
          <w:sz w:val="28"/>
          <w:szCs w:val="28"/>
        </w:rPr>
        <w:t xml:space="preserve"> of children. </w:t>
      </w:r>
      <w:r w:rsidR="2C583989" w:rsidRPr="371B20AB">
        <w:rPr>
          <w:rFonts w:ascii="Calibri" w:eastAsia="Calibri" w:hAnsi="Calibri" w:cs="Calibri"/>
          <w:sz w:val="28"/>
          <w:szCs w:val="28"/>
        </w:rPr>
        <w:t>This is reinforced within the pedagogical principles of the curriculum which states that “</w:t>
      </w:r>
      <w:r w:rsidR="5F90BC4A" w:rsidRPr="371B20AB">
        <w:rPr>
          <w:rFonts w:ascii="Calibri" w:eastAsia="Calibri" w:hAnsi="Calibri" w:cs="Calibri"/>
          <w:sz w:val="28"/>
          <w:szCs w:val="28"/>
        </w:rPr>
        <w:t xml:space="preserve">Play is a fundamental right for all children. They have a strong intrinsic need to play. Through play and playful experiences, children find ways to explore a range of emotions and learn about the world they inhabit with others” (Welsh </w:t>
      </w:r>
      <w:r w:rsidR="5EC4ECFA" w:rsidRPr="371B20AB">
        <w:rPr>
          <w:rFonts w:ascii="Calibri" w:eastAsia="Calibri" w:hAnsi="Calibri" w:cs="Calibri"/>
          <w:sz w:val="28"/>
          <w:szCs w:val="28"/>
        </w:rPr>
        <w:t>Government</w:t>
      </w:r>
      <w:r w:rsidR="5F90BC4A" w:rsidRPr="371B20AB">
        <w:rPr>
          <w:rFonts w:ascii="Calibri" w:eastAsia="Calibri" w:hAnsi="Calibri" w:cs="Calibri"/>
          <w:sz w:val="28"/>
          <w:szCs w:val="28"/>
        </w:rPr>
        <w:t>, 2022, p. 15).</w:t>
      </w:r>
      <w:r w:rsidR="154207B9" w:rsidRPr="371B20AB">
        <w:rPr>
          <w:rFonts w:ascii="Calibri" w:eastAsia="Calibri" w:hAnsi="Calibri" w:cs="Calibri"/>
          <w:sz w:val="28"/>
          <w:szCs w:val="28"/>
        </w:rPr>
        <w:t xml:space="preserve">  Playful learning therefore is a key factor in the successful implementation of this curriculum. </w:t>
      </w:r>
    </w:p>
    <w:p w14:paraId="2BC1E2B0" w14:textId="4E9947C2" w:rsidR="0DD511AD" w:rsidRDefault="1BA98EFE" w:rsidP="50C2E9C8">
      <w:pPr>
        <w:spacing w:line="360" w:lineRule="auto"/>
        <w:rPr>
          <w:rFonts w:ascii="Calibri" w:eastAsia="Calibri" w:hAnsi="Calibri" w:cs="Calibri"/>
          <w:sz w:val="28"/>
          <w:szCs w:val="28"/>
        </w:rPr>
      </w:pPr>
      <w:r w:rsidRPr="371B20AB">
        <w:rPr>
          <w:rFonts w:ascii="Calibri" w:eastAsia="Calibri" w:hAnsi="Calibri" w:cs="Calibri"/>
          <w:sz w:val="28"/>
          <w:szCs w:val="28"/>
        </w:rPr>
        <w:t>There is some evidence to suggest that there are barriers to practitioners developing a playful approach to learning</w:t>
      </w:r>
      <w:r w:rsidR="7769AB2F" w:rsidRPr="371B20AB">
        <w:rPr>
          <w:rFonts w:ascii="Calibri" w:eastAsia="Calibri" w:hAnsi="Calibri" w:cs="Calibri"/>
          <w:sz w:val="28"/>
          <w:szCs w:val="28"/>
        </w:rPr>
        <w:t xml:space="preserve">. </w:t>
      </w:r>
      <w:r w:rsidR="54AC9C3D" w:rsidRPr="371B20AB">
        <w:rPr>
          <w:rFonts w:ascii="Calibri" w:eastAsia="Calibri" w:hAnsi="Calibri" w:cs="Calibri"/>
          <w:sz w:val="28"/>
          <w:szCs w:val="28"/>
        </w:rPr>
        <w:t xml:space="preserve">Pyle et al. (2020) suggest practitioners have limited understanding of learning through play.  </w:t>
      </w:r>
      <w:r w:rsidR="6D06EE0C" w:rsidRPr="371B20AB">
        <w:rPr>
          <w:rFonts w:ascii="Calibri" w:eastAsia="Calibri" w:hAnsi="Calibri" w:cs="Calibri"/>
          <w:sz w:val="28"/>
          <w:szCs w:val="28"/>
        </w:rPr>
        <w:t>McInnes</w:t>
      </w:r>
      <w:r w:rsidR="09C6A71F" w:rsidRPr="371B20AB">
        <w:rPr>
          <w:rFonts w:ascii="Calibri" w:eastAsia="Calibri" w:hAnsi="Calibri" w:cs="Calibri"/>
          <w:sz w:val="28"/>
          <w:szCs w:val="28"/>
        </w:rPr>
        <w:t xml:space="preserve"> </w:t>
      </w:r>
      <w:r w:rsidR="09C6A71F" w:rsidRPr="371B20AB">
        <w:rPr>
          <w:rFonts w:ascii="Calibri" w:eastAsia="Calibri" w:hAnsi="Calibri" w:cs="Calibri"/>
          <w:i/>
          <w:iCs/>
          <w:sz w:val="28"/>
          <w:szCs w:val="28"/>
        </w:rPr>
        <w:t>et al</w:t>
      </w:r>
      <w:r w:rsidR="389D83B8" w:rsidRPr="371B20AB">
        <w:rPr>
          <w:rFonts w:ascii="Calibri" w:eastAsia="Calibri" w:hAnsi="Calibri" w:cs="Calibri"/>
          <w:i/>
          <w:iCs/>
          <w:sz w:val="28"/>
          <w:szCs w:val="28"/>
        </w:rPr>
        <w:t xml:space="preserve">. </w:t>
      </w:r>
      <w:r w:rsidR="389D83B8" w:rsidRPr="371B20AB">
        <w:rPr>
          <w:rFonts w:ascii="Calibri" w:eastAsia="Calibri" w:hAnsi="Calibri" w:cs="Calibri"/>
          <w:sz w:val="28"/>
          <w:szCs w:val="28"/>
        </w:rPr>
        <w:t>(2013)</w:t>
      </w:r>
      <w:r w:rsidR="389D83B8" w:rsidRPr="371B20AB">
        <w:rPr>
          <w:rFonts w:ascii="Calibri" w:eastAsia="Calibri" w:hAnsi="Calibri" w:cs="Calibri"/>
          <w:i/>
          <w:iCs/>
          <w:sz w:val="28"/>
          <w:szCs w:val="28"/>
        </w:rPr>
        <w:t xml:space="preserve"> </w:t>
      </w:r>
      <w:r w:rsidR="09C6A71F" w:rsidRPr="371B20AB">
        <w:rPr>
          <w:rFonts w:ascii="Calibri" w:eastAsia="Calibri" w:hAnsi="Calibri" w:cs="Calibri"/>
          <w:sz w:val="28"/>
          <w:szCs w:val="28"/>
        </w:rPr>
        <w:t xml:space="preserve">further </w:t>
      </w:r>
      <w:r w:rsidR="5E6A52A2" w:rsidRPr="371B20AB">
        <w:rPr>
          <w:rFonts w:ascii="Calibri" w:eastAsia="Calibri" w:hAnsi="Calibri" w:cs="Calibri"/>
          <w:sz w:val="28"/>
          <w:szCs w:val="28"/>
        </w:rPr>
        <w:t>developed</w:t>
      </w:r>
      <w:r w:rsidR="09C6A71F" w:rsidRPr="371B20AB">
        <w:rPr>
          <w:rFonts w:ascii="Calibri" w:eastAsia="Calibri" w:hAnsi="Calibri" w:cs="Calibri"/>
          <w:sz w:val="28"/>
          <w:szCs w:val="28"/>
        </w:rPr>
        <w:t xml:space="preserve"> </w:t>
      </w:r>
      <w:r w:rsidR="6C7A328B" w:rsidRPr="371B20AB">
        <w:rPr>
          <w:rFonts w:ascii="Calibri" w:eastAsia="Calibri" w:hAnsi="Calibri" w:cs="Calibri"/>
          <w:sz w:val="28"/>
          <w:szCs w:val="28"/>
        </w:rPr>
        <w:t>these points</w:t>
      </w:r>
      <w:r w:rsidR="09C6A71F" w:rsidRPr="371B20AB">
        <w:rPr>
          <w:rFonts w:ascii="Calibri" w:eastAsia="Calibri" w:hAnsi="Calibri" w:cs="Calibri"/>
          <w:sz w:val="28"/>
          <w:szCs w:val="28"/>
        </w:rPr>
        <w:t xml:space="preserve"> and discovered </w:t>
      </w:r>
      <w:r w:rsidR="173BFB89" w:rsidRPr="371B20AB">
        <w:rPr>
          <w:rFonts w:ascii="Calibri" w:eastAsia="Calibri" w:hAnsi="Calibri" w:cs="Calibri"/>
          <w:sz w:val="28"/>
          <w:szCs w:val="28"/>
        </w:rPr>
        <w:t>that</w:t>
      </w:r>
      <w:r w:rsidR="09C6A71F" w:rsidRPr="371B20AB">
        <w:rPr>
          <w:rFonts w:ascii="Calibri" w:eastAsia="Calibri" w:hAnsi="Calibri" w:cs="Calibri"/>
          <w:sz w:val="28"/>
          <w:szCs w:val="28"/>
        </w:rPr>
        <w:t xml:space="preserve"> </w:t>
      </w:r>
      <w:r w:rsidR="2629386C" w:rsidRPr="371B20AB">
        <w:rPr>
          <w:rFonts w:ascii="Calibri" w:eastAsia="Calibri" w:hAnsi="Calibri" w:cs="Calibri"/>
          <w:sz w:val="28"/>
          <w:szCs w:val="28"/>
        </w:rPr>
        <w:t>practitioners</w:t>
      </w:r>
      <w:r w:rsidR="09C6A71F" w:rsidRPr="371B20AB">
        <w:rPr>
          <w:rFonts w:ascii="Calibri" w:eastAsia="Calibri" w:hAnsi="Calibri" w:cs="Calibri"/>
          <w:sz w:val="28"/>
          <w:szCs w:val="28"/>
        </w:rPr>
        <w:t xml:space="preserve"> </w:t>
      </w:r>
      <w:r w:rsidR="138807E4" w:rsidRPr="371B20AB">
        <w:rPr>
          <w:rFonts w:ascii="Calibri" w:eastAsia="Calibri" w:hAnsi="Calibri" w:cs="Calibri"/>
          <w:sz w:val="28"/>
          <w:szCs w:val="28"/>
        </w:rPr>
        <w:t>differentiated</w:t>
      </w:r>
      <w:r w:rsidR="09C6A71F" w:rsidRPr="371B20AB">
        <w:rPr>
          <w:rFonts w:ascii="Calibri" w:eastAsia="Calibri" w:hAnsi="Calibri" w:cs="Calibri"/>
          <w:sz w:val="28"/>
          <w:szCs w:val="28"/>
        </w:rPr>
        <w:t xml:space="preserve"> between work and </w:t>
      </w:r>
      <w:r w:rsidR="100992B9" w:rsidRPr="371B20AB">
        <w:rPr>
          <w:rFonts w:ascii="Calibri" w:eastAsia="Calibri" w:hAnsi="Calibri" w:cs="Calibri"/>
          <w:sz w:val="28"/>
          <w:szCs w:val="28"/>
        </w:rPr>
        <w:t>play</w:t>
      </w:r>
      <w:r w:rsidR="09C6A71F" w:rsidRPr="371B20AB">
        <w:rPr>
          <w:rFonts w:ascii="Calibri" w:eastAsia="Calibri" w:hAnsi="Calibri" w:cs="Calibri"/>
          <w:sz w:val="28"/>
          <w:szCs w:val="28"/>
        </w:rPr>
        <w:t xml:space="preserve">, with play being offered as the reward for hard work. </w:t>
      </w:r>
      <w:r w:rsidR="5119C1FE" w:rsidRPr="371B20AB">
        <w:rPr>
          <w:rFonts w:ascii="Calibri" w:eastAsia="Calibri" w:hAnsi="Calibri" w:cs="Calibri"/>
          <w:sz w:val="28"/>
          <w:szCs w:val="28"/>
        </w:rPr>
        <w:t xml:space="preserve"> </w:t>
      </w:r>
      <w:r w:rsidR="5119C1FE" w:rsidRPr="371B20AB">
        <w:rPr>
          <w:rFonts w:ascii="Calibri" w:eastAsia="Calibri" w:hAnsi="Calibri" w:cs="Calibri"/>
          <w:sz w:val="28"/>
          <w:szCs w:val="28"/>
        </w:rPr>
        <w:lastRenderedPageBreak/>
        <w:t>Moyles (2010) advises that practitioners should be moving away fr</w:t>
      </w:r>
      <w:r w:rsidR="5D0BDB9A" w:rsidRPr="371B20AB">
        <w:rPr>
          <w:rFonts w:ascii="Calibri" w:eastAsia="Calibri" w:hAnsi="Calibri" w:cs="Calibri"/>
          <w:sz w:val="28"/>
          <w:szCs w:val="28"/>
        </w:rPr>
        <w:t>o</w:t>
      </w:r>
      <w:r w:rsidR="5119C1FE" w:rsidRPr="371B20AB">
        <w:rPr>
          <w:rFonts w:ascii="Calibri" w:eastAsia="Calibri" w:hAnsi="Calibri" w:cs="Calibri"/>
          <w:sz w:val="28"/>
          <w:szCs w:val="28"/>
        </w:rPr>
        <w:t xml:space="preserve">m a formal approach to teaching and integrating a </w:t>
      </w:r>
      <w:r w:rsidR="4FC8B9DE" w:rsidRPr="371B20AB">
        <w:rPr>
          <w:rFonts w:ascii="Calibri" w:eastAsia="Calibri" w:hAnsi="Calibri" w:cs="Calibri"/>
          <w:sz w:val="28"/>
          <w:szCs w:val="28"/>
        </w:rPr>
        <w:t>play-based</w:t>
      </w:r>
      <w:r w:rsidR="5119C1FE" w:rsidRPr="371B20AB">
        <w:rPr>
          <w:rFonts w:ascii="Calibri" w:eastAsia="Calibri" w:hAnsi="Calibri" w:cs="Calibri"/>
          <w:sz w:val="28"/>
          <w:szCs w:val="28"/>
        </w:rPr>
        <w:t xml:space="preserve"> pedagogy in all are</w:t>
      </w:r>
      <w:r w:rsidR="088E2721" w:rsidRPr="371B20AB">
        <w:rPr>
          <w:rFonts w:ascii="Calibri" w:eastAsia="Calibri" w:hAnsi="Calibri" w:cs="Calibri"/>
          <w:sz w:val="28"/>
          <w:szCs w:val="28"/>
        </w:rPr>
        <w:t xml:space="preserve">as of </w:t>
      </w:r>
      <w:r w:rsidR="1920D04E" w:rsidRPr="371B20AB">
        <w:rPr>
          <w:rFonts w:ascii="Calibri" w:eastAsia="Calibri" w:hAnsi="Calibri" w:cs="Calibri"/>
          <w:sz w:val="28"/>
          <w:szCs w:val="28"/>
        </w:rPr>
        <w:t>learning</w:t>
      </w:r>
      <w:r w:rsidR="088E2721" w:rsidRPr="371B20AB">
        <w:rPr>
          <w:rFonts w:ascii="Calibri" w:eastAsia="Calibri" w:hAnsi="Calibri" w:cs="Calibri"/>
          <w:sz w:val="28"/>
          <w:szCs w:val="28"/>
        </w:rPr>
        <w:t xml:space="preserve">. </w:t>
      </w:r>
      <w:r w:rsidR="7EB802CC" w:rsidRPr="371B20AB">
        <w:rPr>
          <w:rFonts w:ascii="Calibri" w:eastAsia="Calibri" w:hAnsi="Calibri" w:cs="Calibri"/>
          <w:sz w:val="28"/>
          <w:szCs w:val="28"/>
        </w:rPr>
        <w:t xml:space="preserve"> </w:t>
      </w:r>
      <w:r w:rsidR="7AD0037C" w:rsidRPr="371B20AB">
        <w:rPr>
          <w:rFonts w:ascii="Calibri" w:eastAsia="Calibri" w:hAnsi="Calibri" w:cs="Calibri"/>
          <w:sz w:val="28"/>
          <w:szCs w:val="28"/>
        </w:rPr>
        <w:t>These challenges will be explored within the research questions</w:t>
      </w:r>
      <w:r w:rsidR="6680230F" w:rsidRPr="371B20AB">
        <w:rPr>
          <w:rFonts w:ascii="Calibri" w:eastAsia="Calibri" w:hAnsi="Calibri" w:cs="Calibri"/>
          <w:sz w:val="28"/>
          <w:szCs w:val="28"/>
        </w:rPr>
        <w:t xml:space="preserve"> in the proposed focus groups, the challenges posed by developing a playful pedagogy will be illustrated by the </w:t>
      </w:r>
      <w:r w:rsidR="47A1A987" w:rsidRPr="371B20AB">
        <w:rPr>
          <w:rFonts w:ascii="Calibri" w:eastAsia="Calibri" w:hAnsi="Calibri" w:cs="Calibri"/>
          <w:sz w:val="28"/>
          <w:szCs w:val="28"/>
        </w:rPr>
        <w:t>practitioner's</w:t>
      </w:r>
      <w:r w:rsidR="6680230F" w:rsidRPr="371B20AB">
        <w:rPr>
          <w:rFonts w:ascii="Calibri" w:eastAsia="Calibri" w:hAnsi="Calibri" w:cs="Calibri"/>
          <w:sz w:val="28"/>
          <w:szCs w:val="28"/>
        </w:rPr>
        <w:t xml:space="preserve"> exp</w:t>
      </w:r>
      <w:r w:rsidR="10E545C3" w:rsidRPr="371B20AB">
        <w:rPr>
          <w:rFonts w:ascii="Calibri" w:eastAsia="Calibri" w:hAnsi="Calibri" w:cs="Calibri"/>
          <w:sz w:val="28"/>
          <w:szCs w:val="28"/>
        </w:rPr>
        <w:t xml:space="preserve">eriences </w:t>
      </w:r>
      <w:r w:rsidR="4FBDE181" w:rsidRPr="371B20AB">
        <w:rPr>
          <w:rFonts w:ascii="Calibri" w:eastAsia="Calibri" w:hAnsi="Calibri" w:cs="Calibri"/>
          <w:sz w:val="28"/>
          <w:szCs w:val="28"/>
        </w:rPr>
        <w:t>of</w:t>
      </w:r>
      <w:r w:rsidR="10E545C3" w:rsidRPr="371B20AB">
        <w:rPr>
          <w:rFonts w:ascii="Calibri" w:eastAsia="Calibri" w:hAnsi="Calibri" w:cs="Calibri"/>
          <w:sz w:val="28"/>
          <w:szCs w:val="28"/>
        </w:rPr>
        <w:t xml:space="preserve"> integrating the new curriculum into </w:t>
      </w:r>
      <w:r w:rsidR="096772C2" w:rsidRPr="371B20AB">
        <w:rPr>
          <w:rFonts w:ascii="Calibri" w:eastAsia="Calibri" w:hAnsi="Calibri" w:cs="Calibri"/>
          <w:sz w:val="28"/>
          <w:szCs w:val="28"/>
        </w:rPr>
        <w:t>their</w:t>
      </w:r>
      <w:r w:rsidR="10E545C3" w:rsidRPr="371B20AB">
        <w:rPr>
          <w:rFonts w:ascii="Calibri" w:eastAsia="Calibri" w:hAnsi="Calibri" w:cs="Calibri"/>
          <w:sz w:val="28"/>
          <w:szCs w:val="28"/>
        </w:rPr>
        <w:t xml:space="preserve"> settings.</w:t>
      </w:r>
    </w:p>
    <w:p w14:paraId="7D6D8E84" w14:textId="20C43285" w:rsidR="0DD511AD" w:rsidRDefault="5C59E0A7" w:rsidP="371B20AB">
      <w:pPr>
        <w:pStyle w:val="ListParagraph"/>
        <w:numPr>
          <w:ilvl w:val="0"/>
          <w:numId w:val="9"/>
        </w:numPr>
        <w:spacing w:line="360" w:lineRule="auto"/>
        <w:rPr>
          <w:rFonts w:ascii="Calibri" w:eastAsia="Calibri" w:hAnsi="Calibri" w:cs="Calibri"/>
          <w:b/>
          <w:bCs/>
          <w:sz w:val="28"/>
          <w:szCs w:val="28"/>
        </w:rPr>
      </w:pPr>
      <w:r w:rsidRPr="371B20AB">
        <w:rPr>
          <w:rFonts w:ascii="Calibri" w:eastAsia="Calibri" w:hAnsi="Calibri" w:cs="Calibri"/>
          <w:b/>
          <w:bCs/>
          <w:sz w:val="28"/>
          <w:szCs w:val="28"/>
        </w:rPr>
        <w:t xml:space="preserve">Being outdoors </w:t>
      </w:r>
    </w:p>
    <w:p w14:paraId="1E7ACB1C" w14:textId="0E1667A6" w:rsidR="0DD511AD" w:rsidRDefault="32A86F3B" w:rsidP="50C2E9C8">
      <w:pPr>
        <w:spacing w:line="360" w:lineRule="auto"/>
        <w:rPr>
          <w:rFonts w:ascii="Calibri" w:eastAsia="Calibri" w:hAnsi="Calibri" w:cs="Calibri"/>
          <w:sz w:val="28"/>
          <w:szCs w:val="28"/>
        </w:rPr>
      </w:pPr>
      <w:r w:rsidRPr="371B20AB">
        <w:rPr>
          <w:rFonts w:ascii="Calibri" w:eastAsia="Calibri" w:hAnsi="Calibri" w:cs="Calibri"/>
          <w:sz w:val="28"/>
          <w:szCs w:val="28"/>
        </w:rPr>
        <w:t>The opportun</w:t>
      </w:r>
      <w:r w:rsidR="3B5C3ED9" w:rsidRPr="371B20AB">
        <w:rPr>
          <w:rFonts w:ascii="Calibri" w:eastAsia="Calibri" w:hAnsi="Calibri" w:cs="Calibri"/>
          <w:sz w:val="28"/>
          <w:szCs w:val="28"/>
        </w:rPr>
        <w:t>ity</w:t>
      </w:r>
      <w:r w:rsidRPr="371B20AB">
        <w:rPr>
          <w:rFonts w:ascii="Calibri" w:eastAsia="Calibri" w:hAnsi="Calibri" w:cs="Calibri"/>
          <w:sz w:val="28"/>
          <w:szCs w:val="28"/>
        </w:rPr>
        <w:t xml:space="preserve"> to experience the outdoor</w:t>
      </w:r>
      <w:r w:rsidR="367E535E" w:rsidRPr="371B20AB">
        <w:rPr>
          <w:rFonts w:ascii="Calibri" w:eastAsia="Calibri" w:hAnsi="Calibri" w:cs="Calibri"/>
          <w:sz w:val="28"/>
          <w:szCs w:val="28"/>
        </w:rPr>
        <w:t>s</w:t>
      </w:r>
      <w:r w:rsidRPr="371B20AB">
        <w:rPr>
          <w:rFonts w:ascii="Calibri" w:eastAsia="Calibri" w:hAnsi="Calibri" w:cs="Calibri"/>
          <w:sz w:val="28"/>
          <w:szCs w:val="28"/>
        </w:rPr>
        <w:t xml:space="preserve"> regularly enables children to develop a sense of awe and wonder</w:t>
      </w:r>
      <w:r w:rsidR="35B3BB53" w:rsidRPr="371B20AB">
        <w:rPr>
          <w:rFonts w:ascii="Calibri" w:eastAsia="Calibri" w:hAnsi="Calibri" w:cs="Calibri"/>
          <w:sz w:val="28"/>
          <w:szCs w:val="28"/>
        </w:rPr>
        <w:t>,</w:t>
      </w:r>
      <w:r w:rsidR="34138F1A" w:rsidRPr="371B20AB">
        <w:rPr>
          <w:rFonts w:ascii="Calibri" w:eastAsia="Calibri" w:hAnsi="Calibri" w:cs="Calibri"/>
          <w:sz w:val="28"/>
          <w:szCs w:val="28"/>
        </w:rPr>
        <w:t xml:space="preserve"> </w:t>
      </w:r>
      <w:r w:rsidR="5A384DF2" w:rsidRPr="371B20AB">
        <w:rPr>
          <w:rFonts w:ascii="Calibri" w:eastAsia="Calibri" w:hAnsi="Calibri" w:cs="Calibri"/>
          <w:sz w:val="28"/>
          <w:szCs w:val="28"/>
        </w:rPr>
        <w:t>facilitating</w:t>
      </w:r>
      <w:r w:rsidR="34138F1A" w:rsidRPr="371B20AB">
        <w:rPr>
          <w:rFonts w:ascii="Calibri" w:eastAsia="Calibri" w:hAnsi="Calibri" w:cs="Calibri"/>
          <w:sz w:val="28"/>
          <w:szCs w:val="28"/>
        </w:rPr>
        <w:t xml:space="preserve"> physical, emotional, </w:t>
      </w:r>
      <w:proofErr w:type="gramStart"/>
      <w:r w:rsidR="4AFA8F45" w:rsidRPr="371B20AB">
        <w:rPr>
          <w:rFonts w:ascii="Calibri" w:eastAsia="Calibri" w:hAnsi="Calibri" w:cs="Calibri"/>
          <w:sz w:val="28"/>
          <w:szCs w:val="28"/>
        </w:rPr>
        <w:t>spiritual</w:t>
      </w:r>
      <w:proofErr w:type="gramEnd"/>
      <w:r w:rsidR="34138F1A" w:rsidRPr="371B20AB">
        <w:rPr>
          <w:rFonts w:ascii="Calibri" w:eastAsia="Calibri" w:hAnsi="Calibri" w:cs="Calibri"/>
          <w:sz w:val="28"/>
          <w:szCs w:val="28"/>
        </w:rPr>
        <w:t xml:space="preserve"> and </w:t>
      </w:r>
      <w:r w:rsidR="26FF7D7C" w:rsidRPr="371B20AB">
        <w:rPr>
          <w:rFonts w:ascii="Calibri" w:eastAsia="Calibri" w:hAnsi="Calibri" w:cs="Calibri"/>
          <w:sz w:val="28"/>
          <w:szCs w:val="28"/>
        </w:rPr>
        <w:t xml:space="preserve">social development (Welsh Government, 2022). </w:t>
      </w:r>
      <w:r w:rsidR="6BC6FDF9" w:rsidRPr="371B20AB">
        <w:rPr>
          <w:rFonts w:ascii="Calibri" w:eastAsia="Calibri" w:hAnsi="Calibri" w:cs="Calibri"/>
          <w:sz w:val="28"/>
          <w:szCs w:val="28"/>
        </w:rPr>
        <w:t xml:space="preserve">Tinney </w:t>
      </w:r>
      <w:r w:rsidR="5ABE3043" w:rsidRPr="371B20AB">
        <w:rPr>
          <w:rFonts w:ascii="Calibri" w:eastAsia="Calibri" w:hAnsi="Calibri" w:cs="Calibri"/>
          <w:sz w:val="28"/>
          <w:szCs w:val="28"/>
        </w:rPr>
        <w:t>(2023) explores the significance of outdoor learning in the early yea</w:t>
      </w:r>
      <w:r w:rsidR="027AADE9" w:rsidRPr="371B20AB">
        <w:rPr>
          <w:rFonts w:ascii="Calibri" w:eastAsia="Calibri" w:hAnsi="Calibri" w:cs="Calibri"/>
          <w:sz w:val="28"/>
          <w:szCs w:val="28"/>
        </w:rPr>
        <w:t xml:space="preserve">rs and the importance of practitioner involvement.  </w:t>
      </w:r>
      <w:r w:rsidR="52BA94C6" w:rsidRPr="371B20AB">
        <w:rPr>
          <w:rFonts w:ascii="Calibri" w:eastAsia="Calibri" w:hAnsi="Calibri" w:cs="Calibri"/>
          <w:sz w:val="28"/>
          <w:szCs w:val="28"/>
        </w:rPr>
        <w:t>However,</w:t>
      </w:r>
      <w:r w:rsidR="027AADE9" w:rsidRPr="371B20AB">
        <w:rPr>
          <w:rFonts w:ascii="Calibri" w:eastAsia="Calibri" w:hAnsi="Calibri" w:cs="Calibri"/>
          <w:sz w:val="28"/>
          <w:szCs w:val="28"/>
        </w:rPr>
        <w:t xml:space="preserve"> discussions with practitioners highlight </w:t>
      </w:r>
      <w:r w:rsidR="752095CA" w:rsidRPr="371B20AB">
        <w:rPr>
          <w:rFonts w:ascii="Calibri" w:eastAsia="Calibri" w:hAnsi="Calibri" w:cs="Calibri"/>
          <w:sz w:val="28"/>
          <w:szCs w:val="28"/>
        </w:rPr>
        <w:t>similar</w:t>
      </w:r>
      <w:r w:rsidR="027AADE9" w:rsidRPr="371B20AB">
        <w:rPr>
          <w:rFonts w:ascii="Calibri" w:eastAsia="Calibri" w:hAnsi="Calibri" w:cs="Calibri"/>
          <w:sz w:val="28"/>
          <w:szCs w:val="28"/>
        </w:rPr>
        <w:t xml:space="preserve"> knowledge </w:t>
      </w:r>
      <w:r w:rsidR="3BB51FC8" w:rsidRPr="371B20AB">
        <w:rPr>
          <w:rFonts w:ascii="Calibri" w:eastAsia="Calibri" w:hAnsi="Calibri" w:cs="Calibri"/>
          <w:sz w:val="28"/>
          <w:szCs w:val="28"/>
        </w:rPr>
        <w:t>deficits</w:t>
      </w:r>
      <w:r w:rsidR="027AADE9" w:rsidRPr="371B20AB">
        <w:rPr>
          <w:rFonts w:ascii="Calibri" w:eastAsia="Calibri" w:hAnsi="Calibri" w:cs="Calibri"/>
          <w:sz w:val="28"/>
          <w:szCs w:val="28"/>
        </w:rPr>
        <w:t xml:space="preserve"> that have been discussed with </w:t>
      </w:r>
      <w:r w:rsidR="059692D2" w:rsidRPr="371B20AB">
        <w:rPr>
          <w:rFonts w:ascii="Calibri" w:eastAsia="Calibri" w:hAnsi="Calibri" w:cs="Calibri"/>
          <w:sz w:val="28"/>
          <w:szCs w:val="28"/>
        </w:rPr>
        <w:t xml:space="preserve">that of a playful pedagogy. </w:t>
      </w:r>
      <w:r w:rsidR="3077DC97" w:rsidRPr="371B20AB">
        <w:rPr>
          <w:rFonts w:ascii="Calibri" w:eastAsia="Calibri" w:hAnsi="Calibri" w:cs="Calibri"/>
          <w:sz w:val="28"/>
          <w:szCs w:val="28"/>
        </w:rPr>
        <w:t xml:space="preserve"> </w:t>
      </w:r>
      <w:r w:rsidR="16838B20" w:rsidRPr="371B20AB">
        <w:rPr>
          <w:rFonts w:ascii="Calibri" w:eastAsia="Calibri" w:hAnsi="Calibri" w:cs="Calibri"/>
          <w:sz w:val="28"/>
          <w:szCs w:val="28"/>
        </w:rPr>
        <w:t>Practitioners'</w:t>
      </w:r>
      <w:r w:rsidR="5BC8D92C" w:rsidRPr="371B20AB">
        <w:rPr>
          <w:rFonts w:ascii="Calibri" w:eastAsia="Calibri" w:hAnsi="Calibri" w:cs="Calibri"/>
          <w:sz w:val="28"/>
          <w:szCs w:val="28"/>
        </w:rPr>
        <w:t xml:space="preserve"> p</w:t>
      </w:r>
      <w:r w:rsidR="3077DC97" w:rsidRPr="371B20AB">
        <w:rPr>
          <w:rFonts w:ascii="Calibri" w:eastAsia="Calibri" w:hAnsi="Calibri" w:cs="Calibri"/>
          <w:sz w:val="28"/>
          <w:szCs w:val="28"/>
        </w:rPr>
        <w:t>erception</w:t>
      </w:r>
      <w:r w:rsidR="581F4663" w:rsidRPr="371B20AB">
        <w:rPr>
          <w:rFonts w:ascii="Calibri" w:eastAsia="Calibri" w:hAnsi="Calibri" w:cs="Calibri"/>
          <w:sz w:val="28"/>
          <w:szCs w:val="28"/>
        </w:rPr>
        <w:t>s</w:t>
      </w:r>
      <w:r w:rsidR="3077DC97" w:rsidRPr="371B20AB">
        <w:rPr>
          <w:rFonts w:ascii="Calibri" w:eastAsia="Calibri" w:hAnsi="Calibri" w:cs="Calibri"/>
          <w:sz w:val="28"/>
          <w:szCs w:val="28"/>
        </w:rPr>
        <w:t xml:space="preserve"> of outdoor play </w:t>
      </w:r>
      <w:r w:rsidR="4C21F0D9" w:rsidRPr="371B20AB">
        <w:rPr>
          <w:rFonts w:ascii="Calibri" w:eastAsia="Calibri" w:hAnsi="Calibri" w:cs="Calibri"/>
          <w:sz w:val="28"/>
          <w:szCs w:val="28"/>
        </w:rPr>
        <w:t>have</w:t>
      </w:r>
      <w:r w:rsidR="3077DC97" w:rsidRPr="371B20AB">
        <w:rPr>
          <w:rFonts w:ascii="Calibri" w:eastAsia="Calibri" w:hAnsi="Calibri" w:cs="Calibri"/>
          <w:sz w:val="28"/>
          <w:szCs w:val="28"/>
        </w:rPr>
        <w:t xml:space="preserve"> been linked to forest schools</w:t>
      </w:r>
      <w:r w:rsidR="1D553147" w:rsidRPr="371B20AB">
        <w:rPr>
          <w:rFonts w:ascii="Calibri" w:eastAsia="Calibri" w:hAnsi="Calibri" w:cs="Calibri"/>
          <w:sz w:val="28"/>
          <w:szCs w:val="28"/>
        </w:rPr>
        <w:t xml:space="preserve"> requiring specialist knowledge and training. </w:t>
      </w:r>
      <w:r w:rsidR="3077DC97" w:rsidRPr="371B20AB">
        <w:rPr>
          <w:rFonts w:ascii="Calibri" w:eastAsia="Calibri" w:hAnsi="Calibri" w:cs="Calibri"/>
          <w:sz w:val="28"/>
          <w:szCs w:val="28"/>
        </w:rPr>
        <w:t xml:space="preserve"> </w:t>
      </w:r>
      <w:r w:rsidR="1D343235" w:rsidRPr="371B20AB">
        <w:rPr>
          <w:rFonts w:ascii="Calibri" w:eastAsia="Calibri" w:hAnsi="Calibri" w:cs="Calibri"/>
          <w:sz w:val="28"/>
          <w:szCs w:val="28"/>
        </w:rPr>
        <w:t>However,</w:t>
      </w:r>
      <w:r w:rsidR="3077DC97" w:rsidRPr="371B20AB">
        <w:rPr>
          <w:rFonts w:ascii="Calibri" w:eastAsia="Calibri" w:hAnsi="Calibri" w:cs="Calibri"/>
          <w:sz w:val="28"/>
          <w:szCs w:val="28"/>
        </w:rPr>
        <w:t xml:space="preserve"> Tinney (2023) describes outdoor learning as a walk in the park </w:t>
      </w:r>
      <w:r w:rsidR="4D0C7C48" w:rsidRPr="371B20AB">
        <w:rPr>
          <w:rFonts w:ascii="Calibri" w:eastAsia="Calibri" w:hAnsi="Calibri" w:cs="Calibri"/>
          <w:sz w:val="28"/>
          <w:szCs w:val="28"/>
        </w:rPr>
        <w:t xml:space="preserve">or </w:t>
      </w:r>
      <w:r w:rsidR="4A2A79BA" w:rsidRPr="371B20AB">
        <w:rPr>
          <w:rFonts w:ascii="Calibri" w:eastAsia="Calibri" w:hAnsi="Calibri" w:cs="Calibri"/>
          <w:sz w:val="28"/>
          <w:szCs w:val="28"/>
        </w:rPr>
        <w:t xml:space="preserve">playing in the school yard.  Once again it is recommended that to fully enable effective outdoor learning practitioners require training and development. </w:t>
      </w:r>
      <w:r w:rsidR="33A1BE40" w:rsidRPr="371B20AB">
        <w:rPr>
          <w:rFonts w:ascii="Calibri" w:eastAsia="Calibri" w:hAnsi="Calibri" w:cs="Calibri"/>
          <w:sz w:val="28"/>
          <w:szCs w:val="28"/>
        </w:rPr>
        <w:t xml:space="preserve"> Ernst (2014) supports this view, describing the outdoor environment as offering endless </w:t>
      </w:r>
      <w:r w:rsidR="307D5825" w:rsidRPr="371B20AB">
        <w:rPr>
          <w:rFonts w:ascii="Calibri" w:eastAsia="Calibri" w:hAnsi="Calibri" w:cs="Calibri"/>
          <w:sz w:val="28"/>
          <w:szCs w:val="28"/>
        </w:rPr>
        <w:t>possibilities</w:t>
      </w:r>
      <w:r w:rsidR="33A1BE40" w:rsidRPr="371B20AB">
        <w:rPr>
          <w:rFonts w:ascii="Calibri" w:eastAsia="Calibri" w:hAnsi="Calibri" w:cs="Calibri"/>
          <w:sz w:val="28"/>
          <w:szCs w:val="28"/>
        </w:rPr>
        <w:t xml:space="preserve"> for</w:t>
      </w:r>
      <w:r w:rsidR="3D751DB4" w:rsidRPr="371B20AB">
        <w:rPr>
          <w:rFonts w:ascii="Calibri" w:eastAsia="Calibri" w:hAnsi="Calibri" w:cs="Calibri"/>
          <w:sz w:val="28"/>
          <w:szCs w:val="28"/>
        </w:rPr>
        <w:t xml:space="preserve"> learning and development, however this environment is not fully realized in early years </w:t>
      </w:r>
      <w:r w:rsidR="67F4DC76" w:rsidRPr="371B20AB">
        <w:rPr>
          <w:rFonts w:ascii="Calibri" w:eastAsia="Calibri" w:hAnsi="Calibri" w:cs="Calibri"/>
          <w:sz w:val="28"/>
          <w:szCs w:val="28"/>
        </w:rPr>
        <w:t>settings</w:t>
      </w:r>
      <w:r w:rsidR="3D751DB4" w:rsidRPr="371B20AB">
        <w:rPr>
          <w:rFonts w:ascii="Calibri" w:eastAsia="Calibri" w:hAnsi="Calibri" w:cs="Calibri"/>
          <w:sz w:val="28"/>
          <w:szCs w:val="28"/>
        </w:rPr>
        <w:t>.</w:t>
      </w:r>
      <w:r w:rsidR="104AF596" w:rsidRPr="371B20AB">
        <w:rPr>
          <w:rFonts w:ascii="Calibri" w:eastAsia="Calibri" w:hAnsi="Calibri" w:cs="Calibri"/>
          <w:sz w:val="28"/>
          <w:szCs w:val="28"/>
        </w:rPr>
        <w:t xml:space="preserve"> </w:t>
      </w:r>
      <w:r w:rsidR="206D08BB" w:rsidRPr="371B20AB">
        <w:rPr>
          <w:rFonts w:ascii="Calibri" w:eastAsia="Calibri" w:hAnsi="Calibri" w:cs="Calibri"/>
          <w:sz w:val="28"/>
          <w:szCs w:val="28"/>
        </w:rPr>
        <w:t xml:space="preserve"> Rekers and Waters-Davies (2021) further describe this a</w:t>
      </w:r>
      <w:r w:rsidR="6F04178C" w:rsidRPr="371B20AB">
        <w:rPr>
          <w:rFonts w:ascii="Calibri" w:eastAsia="Calibri" w:hAnsi="Calibri" w:cs="Calibri"/>
          <w:sz w:val="28"/>
          <w:szCs w:val="28"/>
        </w:rPr>
        <w:t>s</w:t>
      </w:r>
      <w:r w:rsidR="206D08BB" w:rsidRPr="371B20AB">
        <w:rPr>
          <w:rFonts w:ascii="Calibri" w:eastAsia="Calibri" w:hAnsi="Calibri" w:cs="Calibri"/>
          <w:sz w:val="28"/>
          <w:szCs w:val="28"/>
        </w:rPr>
        <w:t xml:space="preserve"> conflict within early years practice highlighting the sig</w:t>
      </w:r>
      <w:r w:rsidR="7C1278A6" w:rsidRPr="371B20AB">
        <w:rPr>
          <w:rFonts w:ascii="Calibri" w:eastAsia="Calibri" w:hAnsi="Calibri" w:cs="Calibri"/>
          <w:sz w:val="28"/>
          <w:szCs w:val="28"/>
        </w:rPr>
        <w:t>nificance of supporting practitioners to integrate the outdoors int</w:t>
      </w:r>
      <w:r w:rsidR="3C5660DA" w:rsidRPr="371B20AB">
        <w:rPr>
          <w:rFonts w:ascii="Calibri" w:eastAsia="Calibri" w:hAnsi="Calibri" w:cs="Calibri"/>
          <w:sz w:val="28"/>
          <w:szCs w:val="28"/>
        </w:rPr>
        <w:t>o</w:t>
      </w:r>
      <w:r w:rsidR="7C1278A6" w:rsidRPr="371B20AB">
        <w:rPr>
          <w:rFonts w:ascii="Calibri" w:eastAsia="Calibri" w:hAnsi="Calibri" w:cs="Calibri"/>
          <w:sz w:val="28"/>
          <w:szCs w:val="28"/>
        </w:rPr>
        <w:t xml:space="preserve"> their pedagogical philosophy.</w:t>
      </w:r>
    </w:p>
    <w:p w14:paraId="5DC2D282" w14:textId="08392C31" w:rsidR="371B20AB" w:rsidRDefault="371B20AB" w:rsidP="371B20AB">
      <w:pPr>
        <w:spacing w:line="360" w:lineRule="auto"/>
        <w:rPr>
          <w:rFonts w:ascii="Calibri" w:eastAsia="Calibri" w:hAnsi="Calibri" w:cs="Calibri"/>
          <w:sz w:val="28"/>
          <w:szCs w:val="28"/>
        </w:rPr>
      </w:pPr>
    </w:p>
    <w:p w14:paraId="30051C24" w14:textId="6F27D952" w:rsidR="0DD511AD" w:rsidRDefault="5C59E0A7" w:rsidP="371B20AB">
      <w:pPr>
        <w:pStyle w:val="ListParagraph"/>
        <w:numPr>
          <w:ilvl w:val="0"/>
          <w:numId w:val="9"/>
        </w:numPr>
        <w:spacing w:line="360" w:lineRule="auto"/>
        <w:rPr>
          <w:rFonts w:ascii="Calibri" w:eastAsia="Calibri" w:hAnsi="Calibri" w:cs="Calibri"/>
          <w:b/>
          <w:bCs/>
          <w:sz w:val="28"/>
          <w:szCs w:val="28"/>
        </w:rPr>
      </w:pPr>
      <w:r w:rsidRPr="371B20AB">
        <w:rPr>
          <w:rFonts w:ascii="Calibri" w:eastAsia="Calibri" w:hAnsi="Calibri" w:cs="Calibri"/>
          <w:b/>
          <w:bCs/>
          <w:sz w:val="28"/>
          <w:szCs w:val="28"/>
        </w:rPr>
        <w:lastRenderedPageBreak/>
        <w:t xml:space="preserve">Authentic and purposeful learning </w:t>
      </w:r>
    </w:p>
    <w:p w14:paraId="0B7B17A4" w14:textId="2B83093D" w:rsidR="0DD511AD" w:rsidRDefault="3C5A312A" w:rsidP="50C2E9C8">
      <w:pPr>
        <w:spacing w:line="360" w:lineRule="auto"/>
        <w:rPr>
          <w:rFonts w:ascii="Calibri" w:eastAsia="Calibri" w:hAnsi="Calibri" w:cs="Calibri"/>
          <w:sz w:val="28"/>
          <w:szCs w:val="28"/>
        </w:rPr>
      </w:pPr>
      <w:r w:rsidRPr="371B20AB">
        <w:rPr>
          <w:rFonts w:ascii="Calibri" w:eastAsia="Calibri" w:hAnsi="Calibri" w:cs="Calibri"/>
          <w:sz w:val="28"/>
          <w:szCs w:val="28"/>
        </w:rPr>
        <w:t>The curriculum states that “Relevant and meaningful experiences that are rooted in real-life contexts will enable children to make connections, apply knowledge and consolidate skills</w:t>
      </w:r>
      <w:r w:rsidR="64AF52F1" w:rsidRPr="371B20AB">
        <w:rPr>
          <w:rFonts w:ascii="Calibri" w:eastAsia="Calibri" w:hAnsi="Calibri" w:cs="Calibri"/>
          <w:sz w:val="28"/>
          <w:szCs w:val="28"/>
        </w:rPr>
        <w:t>”</w:t>
      </w:r>
      <w:r w:rsidRPr="371B20AB">
        <w:rPr>
          <w:rFonts w:ascii="Calibri" w:eastAsia="Calibri" w:hAnsi="Calibri" w:cs="Calibri"/>
          <w:sz w:val="28"/>
          <w:szCs w:val="28"/>
        </w:rPr>
        <w:t xml:space="preserve"> (Welsh Government, 2022</w:t>
      </w:r>
      <w:r w:rsidR="215F0BEC" w:rsidRPr="371B20AB">
        <w:rPr>
          <w:rFonts w:ascii="Calibri" w:eastAsia="Calibri" w:hAnsi="Calibri" w:cs="Calibri"/>
          <w:sz w:val="28"/>
          <w:szCs w:val="28"/>
        </w:rPr>
        <w:t xml:space="preserve"> p. 17</w:t>
      </w:r>
      <w:r w:rsidRPr="371B20AB">
        <w:rPr>
          <w:rFonts w:ascii="Calibri" w:eastAsia="Calibri" w:hAnsi="Calibri" w:cs="Calibri"/>
          <w:sz w:val="28"/>
          <w:szCs w:val="28"/>
        </w:rPr>
        <w:t>)</w:t>
      </w:r>
      <w:r w:rsidR="427B872A" w:rsidRPr="371B20AB">
        <w:rPr>
          <w:rFonts w:ascii="Calibri" w:eastAsia="Calibri" w:hAnsi="Calibri" w:cs="Calibri"/>
          <w:sz w:val="28"/>
          <w:szCs w:val="28"/>
        </w:rPr>
        <w:t>.</w:t>
      </w:r>
      <w:r w:rsidRPr="371B20AB">
        <w:rPr>
          <w:rFonts w:ascii="Calibri" w:eastAsia="Calibri" w:hAnsi="Calibri" w:cs="Calibri"/>
          <w:sz w:val="28"/>
          <w:szCs w:val="28"/>
        </w:rPr>
        <w:t xml:space="preserve">   What is</w:t>
      </w:r>
      <w:r w:rsidR="00422AC2" w:rsidRPr="371B20AB">
        <w:rPr>
          <w:rFonts w:ascii="Calibri" w:eastAsia="Calibri" w:hAnsi="Calibri" w:cs="Calibri"/>
          <w:sz w:val="28"/>
          <w:szCs w:val="28"/>
        </w:rPr>
        <w:t xml:space="preserve"> needed</w:t>
      </w:r>
      <w:r w:rsidRPr="371B20AB">
        <w:rPr>
          <w:rFonts w:ascii="Calibri" w:eastAsia="Calibri" w:hAnsi="Calibri" w:cs="Calibri"/>
          <w:sz w:val="28"/>
          <w:szCs w:val="28"/>
        </w:rPr>
        <w:t xml:space="preserve"> </w:t>
      </w:r>
      <w:r w:rsidR="252B5632" w:rsidRPr="371B20AB">
        <w:rPr>
          <w:rFonts w:ascii="Calibri" w:eastAsia="Calibri" w:hAnsi="Calibri" w:cs="Calibri"/>
          <w:sz w:val="28"/>
          <w:szCs w:val="28"/>
        </w:rPr>
        <w:t xml:space="preserve">here is an exploration of practitioners understanding of the concept of authentic and purposeful learning. </w:t>
      </w:r>
      <w:r w:rsidR="197F02D6" w:rsidRPr="371B20AB">
        <w:rPr>
          <w:rFonts w:ascii="Calibri" w:eastAsia="Calibri" w:hAnsi="Calibri" w:cs="Calibri"/>
          <w:sz w:val="28"/>
          <w:szCs w:val="28"/>
        </w:rPr>
        <w:t xml:space="preserve"> </w:t>
      </w:r>
      <w:r w:rsidR="6B29AD67" w:rsidRPr="371B20AB">
        <w:rPr>
          <w:rFonts w:ascii="Calibri" w:eastAsia="Calibri" w:hAnsi="Calibri" w:cs="Calibri"/>
          <w:sz w:val="28"/>
          <w:szCs w:val="28"/>
        </w:rPr>
        <w:t xml:space="preserve">Foote, </w:t>
      </w:r>
      <w:proofErr w:type="gramStart"/>
      <w:r w:rsidR="6B29AD67" w:rsidRPr="371B20AB">
        <w:rPr>
          <w:rFonts w:ascii="Calibri" w:eastAsia="Calibri" w:hAnsi="Calibri" w:cs="Calibri"/>
          <w:sz w:val="28"/>
          <w:szCs w:val="28"/>
        </w:rPr>
        <w:t>Smith</w:t>
      </w:r>
      <w:proofErr w:type="gramEnd"/>
      <w:r w:rsidR="27465490" w:rsidRPr="371B20AB">
        <w:rPr>
          <w:rFonts w:ascii="Calibri" w:eastAsia="Calibri" w:hAnsi="Calibri" w:cs="Calibri"/>
          <w:sz w:val="28"/>
          <w:szCs w:val="28"/>
        </w:rPr>
        <w:t xml:space="preserve"> and Ellis, (2004) describe the challenge of educators </w:t>
      </w:r>
      <w:r w:rsidR="00694F1B" w:rsidRPr="371B20AB">
        <w:rPr>
          <w:rFonts w:ascii="Calibri" w:eastAsia="Calibri" w:hAnsi="Calibri" w:cs="Calibri"/>
          <w:sz w:val="28"/>
          <w:szCs w:val="28"/>
        </w:rPr>
        <w:t>engaging</w:t>
      </w:r>
      <w:r w:rsidR="27465490" w:rsidRPr="371B20AB">
        <w:rPr>
          <w:rFonts w:ascii="Calibri" w:eastAsia="Calibri" w:hAnsi="Calibri" w:cs="Calibri"/>
          <w:sz w:val="28"/>
          <w:szCs w:val="28"/>
        </w:rPr>
        <w:t xml:space="preserve"> in </w:t>
      </w:r>
      <w:r w:rsidR="34D41626" w:rsidRPr="371B20AB">
        <w:rPr>
          <w:rFonts w:ascii="Calibri" w:eastAsia="Calibri" w:hAnsi="Calibri" w:cs="Calibri"/>
          <w:sz w:val="28"/>
          <w:szCs w:val="28"/>
        </w:rPr>
        <w:t>purposeful</w:t>
      </w:r>
      <w:r w:rsidR="3328C7DB" w:rsidRPr="371B20AB">
        <w:rPr>
          <w:rFonts w:ascii="Calibri" w:eastAsia="Calibri" w:hAnsi="Calibri" w:cs="Calibri"/>
          <w:sz w:val="28"/>
          <w:szCs w:val="28"/>
        </w:rPr>
        <w:t xml:space="preserve"> </w:t>
      </w:r>
      <w:r w:rsidR="2284F848" w:rsidRPr="371B20AB">
        <w:rPr>
          <w:rFonts w:ascii="Calibri" w:eastAsia="Calibri" w:hAnsi="Calibri" w:cs="Calibri"/>
          <w:sz w:val="28"/>
          <w:szCs w:val="28"/>
        </w:rPr>
        <w:t>learning</w:t>
      </w:r>
      <w:r w:rsidR="3328C7DB" w:rsidRPr="371B20AB">
        <w:rPr>
          <w:rFonts w:ascii="Calibri" w:eastAsia="Calibri" w:hAnsi="Calibri" w:cs="Calibri"/>
          <w:sz w:val="28"/>
          <w:szCs w:val="28"/>
        </w:rPr>
        <w:t xml:space="preserve"> with young children and literacy development.  Bringing text to life and offering alternative ways of exploring literature such as dramatic art, role </w:t>
      </w:r>
      <w:r w:rsidR="6ED5BA6A" w:rsidRPr="371B20AB">
        <w:rPr>
          <w:rFonts w:ascii="Calibri" w:eastAsia="Calibri" w:hAnsi="Calibri" w:cs="Calibri"/>
          <w:sz w:val="28"/>
          <w:szCs w:val="28"/>
        </w:rPr>
        <w:t>play,</w:t>
      </w:r>
      <w:r w:rsidR="3328C7DB" w:rsidRPr="371B20AB">
        <w:rPr>
          <w:rFonts w:ascii="Calibri" w:eastAsia="Calibri" w:hAnsi="Calibri" w:cs="Calibri"/>
          <w:sz w:val="28"/>
          <w:szCs w:val="28"/>
        </w:rPr>
        <w:t xml:space="preserve"> and </w:t>
      </w:r>
      <w:r w:rsidR="7C9834B7" w:rsidRPr="371B20AB">
        <w:rPr>
          <w:rFonts w:ascii="Calibri" w:eastAsia="Calibri" w:hAnsi="Calibri" w:cs="Calibri"/>
          <w:sz w:val="28"/>
          <w:szCs w:val="28"/>
        </w:rPr>
        <w:t>storytelling</w:t>
      </w:r>
      <w:r w:rsidR="3328C7DB" w:rsidRPr="371B20AB">
        <w:rPr>
          <w:rFonts w:ascii="Calibri" w:eastAsia="Calibri" w:hAnsi="Calibri" w:cs="Calibri"/>
          <w:sz w:val="28"/>
          <w:szCs w:val="28"/>
        </w:rPr>
        <w:t xml:space="preserve"> are included as ways of enha</w:t>
      </w:r>
      <w:r w:rsidR="24741B22" w:rsidRPr="371B20AB">
        <w:rPr>
          <w:rFonts w:ascii="Calibri" w:eastAsia="Calibri" w:hAnsi="Calibri" w:cs="Calibri"/>
          <w:sz w:val="28"/>
          <w:szCs w:val="28"/>
        </w:rPr>
        <w:t xml:space="preserve">ncing the development of language and </w:t>
      </w:r>
      <w:r w:rsidR="65C13ECB" w:rsidRPr="371B20AB">
        <w:rPr>
          <w:rFonts w:ascii="Calibri" w:eastAsia="Calibri" w:hAnsi="Calibri" w:cs="Calibri"/>
          <w:sz w:val="28"/>
          <w:szCs w:val="28"/>
        </w:rPr>
        <w:t>literacy</w:t>
      </w:r>
      <w:r w:rsidR="24741B22" w:rsidRPr="371B20AB">
        <w:rPr>
          <w:rFonts w:ascii="Calibri" w:eastAsia="Calibri" w:hAnsi="Calibri" w:cs="Calibri"/>
          <w:sz w:val="28"/>
          <w:szCs w:val="28"/>
        </w:rPr>
        <w:t xml:space="preserve"> in the </w:t>
      </w:r>
      <w:r w:rsidR="51366282" w:rsidRPr="371B20AB">
        <w:rPr>
          <w:rFonts w:ascii="Calibri" w:eastAsia="Calibri" w:hAnsi="Calibri" w:cs="Calibri"/>
          <w:sz w:val="28"/>
          <w:szCs w:val="28"/>
        </w:rPr>
        <w:t>early</w:t>
      </w:r>
      <w:r w:rsidR="24741B22" w:rsidRPr="371B20AB">
        <w:rPr>
          <w:rFonts w:ascii="Calibri" w:eastAsia="Calibri" w:hAnsi="Calibri" w:cs="Calibri"/>
          <w:sz w:val="28"/>
          <w:szCs w:val="28"/>
        </w:rPr>
        <w:t xml:space="preserve"> years.  </w:t>
      </w:r>
      <w:r w:rsidR="589B98F5" w:rsidRPr="371B20AB">
        <w:rPr>
          <w:rFonts w:ascii="Calibri" w:eastAsia="Calibri" w:hAnsi="Calibri" w:cs="Calibri"/>
          <w:sz w:val="28"/>
          <w:szCs w:val="28"/>
        </w:rPr>
        <w:t>However,</w:t>
      </w:r>
      <w:r w:rsidR="7876044B" w:rsidRPr="371B20AB">
        <w:rPr>
          <w:rFonts w:ascii="Calibri" w:eastAsia="Calibri" w:hAnsi="Calibri" w:cs="Calibri"/>
          <w:sz w:val="28"/>
          <w:szCs w:val="28"/>
        </w:rPr>
        <w:t xml:space="preserve"> th</w:t>
      </w:r>
      <w:r w:rsidR="7481590E" w:rsidRPr="371B20AB">
        <w:rPr>
          <w:rFonts w:ascii="Calibri" w:eastAsia="Calibri" w:hAnsi="Calibri" w:cs="Calibri"/>
          <w:sz w:val="28"/>
          <w:szCs w:val="28"/>
        </w:rPr>
        <w:t xml:space="preserve">eir qualitative study revealed that educators struggle with developing this type of learning experience.  </w:t>
      </w:r>
    </w:p>
    <w:p w14:paraId="5E59B1EB" w14:textId="6F00334B" w:rsidR="0DD511AD" w:rsidRDefault="7DC86367" w:rsidP="50C2E9C8">
      <w:pPr>
        <w:spacing w:line="360" w:lineRule="auto"/>
        <w:rPr>
          <w:rFonts w:ascii="Calibri" w:eastAsia="Calibri" w:hAnsi="Calibri" w:cs="Calibri"/>
          <w:sz w:val="28"/>
          <w:szCs w:val="28"/>
        </w:rPr>
      </w:pPr>
      <w:r w:rsidRPr="371B20AB">
        <w:rPr>
          <w:rFonts w:ascii="Calibri" w:eastAsia="Calibri" w:hAnsi="Calibri" w:cs="Calibri"/>
          <w:sz w:val="28"/>
          <w:szCs w:val="28"/>
        </w:rPr>
        <w:t>This pedagogical approach requires the engagement</w:t>
      </w:r>
      <w:r w:rsidR="19B5EA04" w:rsidRPr="371B20AB">
        <w:rPr>
          <w:rFonts w:ascii="Calibri" w:eastAsia="Calibri" w:hAnsi="Calibri" w:cs="Calibri"/>
          <w:sz w:val="28"/>
          <w:szCs w:val="28"/>
        </w:rPr>
        <w:t xml:space="preserve"> of practitioners</w:t>
      </w:r>
      <w:r w:rsidRPr="371B20AB">
        <w:rPr>
          <w:rFonts w:ascii="Calibri" w:eastAsia="Calibri" w:hAnsi="Calibri" w:cs="Calibri"/>
          <w:sz w:val="28"/>
          <w:szCs w:val="28"/>
        </w:rPr>
        <w:t xml:space="preserve"> in learning and full participation with children, following their interests and enabling creative and purposeful </w:t>
      </w:r>
      <w:r w:rsidR="6E532B60" w:rsidRPr="371B20AB">
        <w:rPr>
          <w:rFonts w:ascii="Calibri" w:eastAsia="Calibri" w:hAnsi="Calibri" w:cs="Calibri"/>
          <w:sz w:val="28"/>
          <w:szCs w:val="28"/>
        </w:rPr>
        <w:t xml:space="preserve">learning (Waters-Davies, Tyrie, Chicken, </w:t>
      </w:r>
      <w:proofErr w:type="gramStart"/>
      <w:r w:rsidR="6E532B60" w:rsidRPr="371B20AB">
        <w:rPr>
          <w:rFonts w:ascii="Calibri" w:eastAsia="Calibri" w:hAnsi="Calibri" w:cs="Calibri"/>
          <w:sz w:val="28"/>
          <w:szCs w:val="28"/>
        </w:rPr>
        <w:t>Knight</w:t>
      </w:r>
      <w:proofErr w:type="gramEnd"/>
      <w:r w:rsidR="6E532B60" w:rsidRPr="371B20AB">
        <w:rPr>
          <w:rFonts w:ascii="Calibri" w:eastAsia="Calibri" w:hAnsi="Calibri" w:cs="Calibri"/>
          <w:sz w:val="28"/>
          <w:szCs w:val="28"/>
        </w:rPr>
        <w:t xml:space="preserve"> </w:t>
      </w:r>
      <w:r w:rsidR="290F42D4" w:rsidRPr="371B20AB">
        <w:rPr>
          <w:rFonts w:ascii="Calibri" w:eastAsia="Calibri" w:hAnsi="Calibri" w:cs="Calibri"/>
          <w:sz w:val="28"/>
          <w:szCs w:val="28"/>
        </w:rPr>
        <w:t>and</w:t>
      </w:r>
      <w:r w:rsidR="6E532B60" w:rsidRPr="371B20AB">
        <w:rPr>
          <w:rFonts w:ascii="Calibri" w:eastAsia="Calibri" w:hAnsi="Calibri" w:cs="Calibri"/>
          <w:sz w:val="28"/>
          <w:szCs w:val="28"/>
        </w:rPr>
        <w:t xml:space="preserve"> </w:t>
      </w:r>
      <w:r w:rsidR="17F25E50" w:rsidRPr="371B20AB">
        <w:rPr>
          <w:rFonts w:ascii="Calibri" w:eastAsia="Calibri" w:hAnsi="Calibri" w:cs="Calibri"/>
          <w:sz w:val="28"/>
          <w:szCs w:val="28"/>
        </w:rPr>
        <w:t>Grout, 2023</w:t>
      </w:r>
      <w:r w:rsidR="6E532B60" w:rsidRPr="371B20AB">
        <w:rPr>
          <w:rFonts w:ascii="Calibri" w:eastAsia="Calibri" w:hAnsi="Calibri" w:cs="Calibri"/>
          <w:sz w:val="28"/>
          <w:szCs w:val="28"/>
        </w:rPr>
        <w:t xml:space="preserve">). </w:t>
      </w:r>
      <w:r w:rsidR="35E871B2" w:rsidRPr="371B20AB">
        <w:rPr>
          <w:rFonts w:ascii="Calibri" w:eastAsia="Calibri" w:hAnsi="Calibri" w:cs="Calibri"/>
          <w:sz w:val="28"/>
          <w:szCs w:val="28"/>
        </w:rPr>
        <w:t xml:space="preserve">This pedagogical style is widely evidenced in practitioners from the Reggio Emilia philosophy. </w:t>
      </w:r>
      <w:r w:rsidR="57421694" w:rsidRPr="371B20AB">
        <w:rPr>
          <w:rFonts w:ascii="Calibri" w:eastAsia="Calibri" w:hAnsi="Calibri" w:cs="Calibri"/>
          <w:sz w:val="28"/>
          <w:szCs w:val="28"/>
        </w:rPr>
        <w:t xml:space="preserve">This understanding is key to the </w:t>
      </w:r>
      <w:r w:rsidR="07E4D289" w:rsidRPr="371B20AB">
        <w:rPr>
          <w:rFonts w:ascii="Calibri" w:eastAsia="Calibri" w:hAnsi="Calibri" w:cs="Calibri"/>
          <w:sz w:val="28"/>
          <w:szCs w:val="28"/>
        </w:rPr>
        <w:t>curriculum's</w:t>
      </w:r>
      <w:r w:rsidR="57421694" w:rsidRPr="371B20AB">
        <w:rPr>
          <w:rFonts w:ascii="Calibri" w:eastAsia="Calibri" w:hAnsi="Calibri" w:cs="Calibri"/>
          <w:sz w:val="28"/>
          <w:szCs w:val="28"/>
        </w:rPr>
        <w:t xml:space="preserve"> implementation and will be explored in the focus groups.</w:t>
      </w:r>
      <w:r w:rsidR="58F9C1BC" w:rsidRPr="371B20AB">
        <w:rPr>
          <w:rFonts w:ascii="Calibri" w:eastAsia="Calibri" w:hAnsi="Calibri" w:cs="Calibri"/>
          <w:sz w:val="28"/>
          <w:szCs w:val="28"/>
        </w:rPr>
        <w:t xml:space="preserve">  The Vygotskian concept of tools of the mind can be used to support the use of real experiences, enabling the foundation of pr</w:t>
      </w:r>
      <w:r w:rsidR="7545B647" w:rsidRPr="371B20AB">
        <w:rPr>
          <w:rFonts w:ascii="Calibri" w:eastAsia="Calibri" w:hAnsi="Calibri" w:cs="Calibri"/>
          <w:sz w:val="28"/>
          <w:szCs w:val="28"/>
        </w:rPr>
        <w:t>oblem solving and creativity linked to authentic experiences</w:t>
      </w:r>
      <w:r w:rsidR="4B713A68" w:rsidRPr="371B20AB">
        <w:rPr>
          <w:rFonts w:ascii="Calibri" w:eastAsia="Calibri" w:hAnsi="Calibri" w:cs="Calibri"/>
          <w:color w:val="222222"/>
          <w:sz w:val="28"/>
          <w:szCs w:val="28"/>
        </w:rPr>
        <w:t xml:space="preserve"> (</w:t>
      </w:r>
      <w:proofErr w:type="spellStart"/>
      <w:r w:rsidR="4B713A68" w:rsidRPr="371B20AB">
        <w:rPr>
          <w:rFonts w:ascii="Calibri" w:eastAsia="Calibri" w:hAnsi="Calibri" w:cs="Calibri"/>
          <w:color w:val="222222"/>
          <w:sz w:val="28"/>
          <w:szCs w:val="28"/>
        </w:rPr>
        <w:t>Bodrova</w:t>
      </w:r>
      <w:proofErr w:type="spellEnd"/>
      <w:r w:rsidR="4B713A68" w:rsidRPr="371B20AB">
        <w:rPr>
          <w:rFonts w:ascii="Calibri" w:eastAsia="Calibri" w:hAnsi="Calibri" w:cs="Calibri"/>
          <w:color w:val="222222"/>
          <w:sz w:val="28"/>
          <w:szCs w:val="28"/>
        </w:rPr>
        <w:t xml:space="preserve"> and Leong, 2007)</w:t>
      </w:r>
      <w:r w:rsidR="7545B647" w:rsidRPr="371B20AB">
        <w:rPr>
          <w:rFonts w:ascii="Calibri" w:eastAsia="Calibri" w:hAnsi="Calibri" w:cs="Calibri"/>
          <w:sz w:val="28"/>
          <w:szCs w:val="28"/>
        </w:rPr>
        <w:t xml:space="preserve">. </w:t>
      </w:r>
    </w:p>
    <w:p w14:paraId="5FF31AB2" w14:textId="2DFFCB2C" w:rsidR="0DD511AD" w:rsidRDefault="0DD511AD" w:rsidP="50C2E9C8">
      <w:pPr>
        <w:spacing w:line="360" w:lineRule="auto"/>
        <w:rPr>
          <w:rFonts w:ascii="Calibri" w:eastAsia="Calibri" w:hAnsi="Calibri" w:cs="Calibri"/>
          <w:sz w:val="28"/>
          <w:szCs w:val="28"/>
        </w:rPr>
      </w:pPr>
    </w:p>
    <w:p w14:paraId="2EC5DC36" w14:textId="0F2257BD" w:rsidR="0DD511AD" w:rsidRDefault="0DD511AD" w:rsidP="50C2E9C8">
      <w:pPr>
        <w:spacing w:line="360" w:lineRule="auto"/>
        <w:rPr>
          <w:rFonts w:ascii="Calibri" w:eastAsia="Calibri" w:hAnsi="Calibri" w:cs="Calibri"/>
          <w:sz w:val="28"/>
          <w:szCs w:val="28"/>
        </w:rPr>
      </w:pPr>
    </w:p>
    <w:p w14:paraId="2335827D" w14:textId="5E170218" w:rsidR="0DD511AD" w:rsidRDefault="5C59E0A7" w:rsidP="371B20AB">
      <w:pPr>
        <w:pStyle w:val="ListParagraph"/>
        <w:numPr>
          <w:ilvl w:val="0"/>
          <w:numId w:val="9"/>
        </w:numPr>
        <w:spacing w:line="360" w:lineRule="auto"/>
        <w:rPr>
          <w:rFonts w:ascii="Calibri" w:eastAsia="Calibri" w:hAnsi="Calibri" w:cs="Calibri"/>
          <w:b/>
          <w:bCs/>
          <w:sz w:val="28"/>
          <w:szCs w:val="28"/>
        </w:rPr>
      </w:pPr>
      <w:r w:rsidRPr="371B20AB">
        <w:rPr>
          <w:rFonts w:ascii="Calibri" w:eastAsia="Calibri" w:hAnsi="Calibri" w:cs="Calibri"/>
          <w:b/>
          <w:bCs/>
          <w:sz w:val="28"/>
          <w:szCs w:val="28"/>
        </w:rPr>
        <w:lastRenderedPageBreak/>
        <w:t>Physical literacy</w:t>
      </w:r>
    </w:p>
    <w:p w14:paraId="23F3065A" w14:textId="790405B2" w:rsidR="0DD511AD" w:rsidRDefault="57909480" w:rsidP="50C2E9C8">
      <w:pPr>
        <w:spacing w:line="360" w:lineRule="auto"/>
        <w:rPr>
          <w:rFonts w:ascii="Calibri" w:eastAsia="Calibri" w:hAnsi="Calibri" w:cs="Calibri"/>
          <w:sz w:val="28"/>
          <w:szCs w:val="28"/>
        </w:rPr>
      </w:pPr>
      <w:r w:rsidRPr="371B20AB">
        <w:rPr>
          <w:rFonts w:ascii="Calibri" w:eastAsia="Calibri" w:hAnsi="Calibri" w:cs="Calibri"/>
          <w:sz w:val="28"/>
          <w:szCs w:val="28"/>
        </w:rPr>
        <w:t>“Children need opportunities to develop a wide range of fundamental movement skills, which are the basis for moving with competence and confidence in everyday life</w:t>
      </w:r>
      <w:r w:rsidR="02DD66E8" w:rsidRPr="371B20AB">
        <w:rPr>
          <w:rFonts w:ascii="Calibri" w:eastAsia="Calibri" w:hAnsi="Calibri" w:cs="Calibri"/>
          <w:sz w:val="28"/>
          <w:szCs w:val="28"/>
        </w:rPr>
        <w:t>”</w:t>
      </w:r>
      <w:r w:rsidRPr="371B20AB">
        <w:rPr>
          <w:rFonts w:ascii="Calibri" w:eastAsia="Calibri" w:hAnsi="Calibri" w:cs="Calibri"/>
          <w:sz w:val="28"/>
          <w:szCs w:val="28"/>
        </w:rPr>
        <w:t xml:space="preserve"> (Welsh Government, 2022). </w:t>
      </w:r>
      <w:r w:rsidR="27E0DE55" w:rsidRPr="371B20AB">
        <w:rPr>
          <w:rFonts w:ascii="Calibri" w:eastAsia="Calibri" w:hAnsi="Calibri" w:cs="Calibri"/>
          <w:sz w:val="28"/>
          <w:szCs w:val="28"/>
        </w:rPr>
        <w:t>Embodied learning is when the child incorporates cognitive and physical abilities to understand concepts</w:t>
      </w:r>
      <w:r w:rsidR="3119B028" w:rsidRPr="371B20AB">
        <w:rPr>
          <w:rFonts w:ascii="Calibri" w:eastAsia="Calibri" w:hAnsi="Calibri" w:cs="Calibri"/>
          <w:color w:val="222222"/>
          <w:sz w:val="28"/>
          <w:szCs w:val="28"/>
        </w:rPr>
        <w:t xml:space="preserve"> (Hanzel, 2024).  Physical literacy enables the child to explore the environment </w:t>
      </w:r>
      <w:r w:rsidR="699DEC35" w:rsidRPr="371B20AB">
        <w:rPr>
          <w:rFonts w:ascii="Calibri" w:eastAsia="Calibri" w:hAnsi="Calibri" w:cs="Calibri"/>
          <w:color w:val="222222"/>
          <w:sz w:val="28"/>
          <w:szCs w:val="28"/>
        </w:rPr>
        <w:t>learning</w:t>
      </w:r>
      <w:r w:rsidR="65DE6458" w:rsidRPr="371B20AB">
        <w:rPr>
          <w:rFonts w:ascii="Calibri" w:eastAsia="Calibri" w:hAnsi="Calibri" w:cs="Calibri"/>
          <w:color w:val="222222"/>
          <w:sz w:val="28"/>
          <w:szCs w:val="28"/>
        </w:rPr>
        <w:t>,</w:t>
      </w:r>
      <w:r w:rsidR="699DEC35" w:rsidRPr="371B20AB">
        <w:rPr>
          <w:rFonts w:ascii="Calibri" w:eastAsia="Calibri" w:hAnsi="Calibri" w:cs="Calibri"/>
          <w:color w:val="222222"/>
          <w:sz w:val="28"/>
          <w:szCs w:val="28"/>
        </w:rPr>
        <w:t xml:space="preserve"> through</w:t>
      </w:r>
      <w:r w:rsidR="699DEC35" w:rsidRPr="371B20AB">
        <w:rPr>
          <w:rFonts w:ascii="Calibri" w:eastAsia="Calibri" w:hAnsi="Calibri" w:cs="Calibri"/>
          <w:sz w:val="28"/>
          <w:szCs w:val="28"/>
        </w:rPr>
        <w:t xml:space="preserve"> direct engagement with their senses, it is more than physicality, it is the recognition that young children learn with their whole bodies. </w:t>
      </w:r>
      <w:r w:rsidR="712D409F" w:rsidRPr="371B20AB">
        <w:rPr>
          <w:rFonts w:ascii="Calibri" w:eastAsia="Calibri" w:hAnsi="Calibri" w:cs="Calibri"/>
          <w:sz w:val="28"/>
          <w:szCs w:val="28"/>
        </w:rPr>
        <w:t xml:space="preserve">Physical literacy can be incorporated into all </w:t>
      </w:r>
      <w:r w:rsidR="17182062" w:rsidRPr="371B20AB">
        <w:rPr>
          <w:rFonts w:ascii="Calibri" w:eastAsia="Calibri" w:hAnsi="Calibri" w:cs="Calibri"/>
          <w:sz w:val="28"/>
          <w:szCs w:val="28"/>
        </w:rPr>
        <w:t>areas</w:t>
      </w:r>
      <w:r w:rsidR="712D409F" w:rsidRPr="371B20AB">
        <w:rPr>
          <w:rFonts w:ascii="Calibri" w:eastAsia="Calibri" w:hAnsi="Calibri" w:cs="Calibri"/>
          <w:sz w:val="28"/>
          <w:szCs w:val="28"/>
        </w:rPr>
        <w:t xml:space="preserve"> of learn</w:t>
      </w:r>
      <w:r w:rsidR="019BACF5" w:rsidRPr="371B20AB">
        <w:rPr>
          <w:rFonts w:ascii="Calibri" w:eastAsia="Calibri" w:hAnsi="Calibri" w:cs="Calibri"/>
          <w:sz w:val="28"/>
          <w:szCs w:val="28"/>
        </w:rPr>
        <w:t>in</w:t>
      </w:r>
      <w:r w:rsidR="712D409F" w:rsidRPr="371B20AB">
        <w:rPr>
          <w:rFonts w:ascii="Calibri" w:eastAsia="Calibri" w:hAnsi="Calibri" w:cs="Calibri"/>
          <w:sz w:val="28"/>
          <w:szCs w:val="28"/>
        </w:rPr>
        <w:t xml:space="preserve">g, for example engaging in </w:t>
      </w:r>
      <w:r w:rsidR="073F5279" w:rsidRPr="371B20AB">
        <w:rPr>
          <w:rFonts w:ascii="Calibri" w:eastAsia="Calibri" w:hAnsi="Calibri" w:cs="Calibri"/>
          <w:sz w:val="28"/>
          <w:szCs w:val="28"/>
        </w:rPr>
        <w:t>dramatic</w:t>
      </w:r>
      <w:r w:rsidR="712D409F" w:rsidRPr="371B20AB">
        <w:rPr>
          <w:rFonts w:ascii="Calibri" w:eastAsia="Calibri" w:hAnsi="Calibri" w:cs="Calibri"/>
          <w:sz w:val="28"/>
          <w:szCs w:val="28"/>
        </w:rPr>
        <w:t xml:space="preserve"> role play to develop language and literacy skills and understanding</w:t>
      </w:r>
      <w:r w:rsidR="5B02CCD7" w:rsidRPr="371B20AB">
        <w:rPr>
          <w:rFonts w:ascii="Calibri" w:eastAsia="Calibri" w:hAnsi="Calibri" w:cs="Calibri"/>
          <w:sz w:val="28"/>
          <w:szCs w:val="28"/>
        </w:rPr>
        <w:t xml:space="preserve"> (</w:t>
      </w:r>
      <w:r w:rsidR="439B23B7" w:rsidRPr="371B20AB">
        <w:rPr>
          <w:rFonts w:ascii="Calibri" w:eastAsia="Calibri" w:hAnsi="Calibri" w:cs="Calibri"/>
          <w:sz w:val="28"/>
          <w:szCs w:val="28"/>
        </w:rPr>
        <w:t xml:space="preserve">Bernstein </w:t>
      </w:r>
      <w:r w:rsidR="439B23B7" w:rsidRPr="371B20AB">
        <w:rPr>
          <w:rFonts w:ascii="Calibri" w:eastAsia="Calibri" w:hAnsi="Calibri" w:cs="Calibri"/>
          <w:i/>
          <w:iCs/>
          <w:sz w:val="28"/>
          <w:szCs w:val="28"/>
        </w:rPr>
        <w:t>et al</w:t>
      </w:r>
      <w:r w:rsidR="439B23B7" w:rsidRPr="371B20AB">
        <w:rPr>
          <w:rFonts w:ascii="Calibri" w:eastAsia="Calibri" w:hAnsi="Calibri" w:cs="Calibri"/>
          <w:sz w:val="28"/>
          <w:szCs w:val="28"/>
        </w:rPr>
        <w:t>. 2024).</w:t>
      </w:r>
      <w:r w:rsidR="712D409F" w:rsidRPr="371B20AB">
        <w:rPr>
          <w:rFonts w:ascii="Calibri" w:eastAsia="Calibri" w:hAnsi="Calibri" w:cs="Calibri"/>
          <w:sz w:val="28"/>
          <w:szCs w:val="28"/>
        </w:rPr>
        <w:t xml:space="preserve"> </w:t>
      </w:r>
      <w:r w:rsidR="7D0CFCB6" w:rsidRPr="371B20AB">
        <w:rPr>
          <w:rFonts w:ascii="Calibri" w:eastAsia="Calibri" w:hAnsi="Calibri" w:cs="Calibri"/>
          <w:sz w:val="28"/>
          <w:szCs w:val="28"/>
        </w:rPr>
        <w:t xml:space="preserve"> </w:t>
      </w:r>
      <w:r w:rsidR="7F27690B" w:rsidRPr="371B20AB">
        <w:rPr>
          <w:rFonts w:ascii="Calibri" w:eastAsia="Calibri" w:hAnsi="Calibri" w:cs="Calibri"/>
          <w:sz w:val="28"/>
          <w:szCs w:val="28"/>
        </w:rPr>
        <w:t>Physical literacy can be used through playful learning, enabling authentic and purposeful engagement with the child's senses to create a meaningful understanding of their world</w:t>
      </w:r>
      <w:r w:rsidR="7AA86728" w:rsidRPr="371B20AB">
        <w:rPr>
          <w:rFonts w:ascii="Calibri" w:eastAsia="Calibri" w:hAnsi="Calibri" w:cs="Calibri"/>
          <w:sz w:val="28"/>
          <w:szCs w:val="28"/>
        </w:rPr>
        <w:t xml:space="preserve"> (</w:t>
      </w:r>
      <w:proofErr w:type="spellStart"/>
      <w:r w:rsidR="7AA86728" w:rsidRPr="371B20AB">
        <w:rPr>
          <w:rFonts w:ascii="Calibri" w:eastAsia="Calibri" w:hAnsi="Calibri" w:cs="Calibri"/>
          <w:sz w:val="28"/>
          <w:szCs w:val="28"/>
        </w:rPr>
        <w:t>Carpendale</w:t>
      </w:r>
      <w:proofErr w:type="spellEnd"/>
      <w:r w:rsidR="7AA86728" w:rsidRPr="371B20AB">
        <w:rPr>
          <w:rFonts w:ascii="Calibri" w:eastAsia="Calibri" w:hAnsi="Calibri" w:cs="Calibri"/>
          <w:sz w:val="28"/>
          <w:szCs w:val="28"/>
        </w:rPr>
        <w:t>, Lewis and Muller, 2008)</w:t>
      </w:r>
      <w:r w:rsidR="7F27690B" w:rsidRPr="371B20AB">
        <w:rPr>
          <w:rFonts w:ascii="Calibri" w:eastAsia="Calibri" w:hAnsi="Calibri" w:cs="Calibri"/>
          <w:sz w:val="28"/>
          <w:szCs w:val="28"/>
        </w:rPr>
        <w:t>.</w:t>
      </w:r>
      <w:r w:rsidR="7FF2EDE5" w:rsidRPr="371B20AB">
        <w:rPr>
          <w:rFonts w:ascii="Calibri" w:eastAsia="Calibri" w:hAnsi="Calibri" w:cs="Calibri"/>
          <w:sz w:val="28"/>
          <w:szCs w:val="28"/>
        </w:rPr>
        <w:t xml:space="preserve">  </w:t>
      </w:r>
      <w:r w:rsidR="3D5C3C91" w:rsidRPr="371B20AB">
        <w:rPr>
          <w:rFonts w:ascii="Calibri" w:eastAsia="Calibri" w:hAnsi="Calibri" w:cs="Calibri"/>
          <w:sz w:val="28"/>
          <w:szCs w:val="28"/>
        </w:rPr>
        <w:t>The significance</w:t>
      </w:r>
      <w:r w:rsidR="4AC736B0" w:rsidRPr="371B20AB">
        <w:rPr>
          <w:rFonts w:ascii="Calibri" w:eastAsia="Calibri" w:hAnsi="Calibri" w:cs="Calibri"/>
          <w:sz w:val="28"/>
          <w:szCs w:val="28"/>
        </w:rPr>
        <w:t xml:space="preserve"> </w:t>
      </w:r>
      <w:r w:rsidR="3D5C3C91" w:rsidRPr="371B20AB">
        <w:rPr>
          <w:rFonts w:ascii="Calibri" w:eastAsia="Calibri" w:hAnsi="Calibri" w:cs="Calibri"/>
          <w:sz w:val="28"/>
          <w:szCs w:val="28"/>
        </w:rPr>
        <w:t xml:space="preserve">of this </w:t>
      </w:r>
      <w:r w:rsidR="4CFE1772" w:rsidRPr="371B20AB">
        <w:rPr>
          <w:rFonts w:ascii="Calibri" w:eastAsia="Calibri" w:hAnsi="Calibri" w:cs="Calibri"/>
          <w:sz w:val="28"/>
          <w:szCs w:val="28"/>
        </w:rPr>
        <w:t>pedagogical</w:t>
      </w:r>
      <w:r w:rsidR="3D5C3C91" w:rsidRPr="371B20AB">
        <w:rPr>
          <w:rFonts w:ascii="Calibri" w:eastAsia="Calibri" w:hAnsi="Calibri" w:cs="Calibri"/>
          <w:sz w:val="28"/>
          <w:szCs w:val="28"/>
        </w:rPr>
        <w:t xml:space="preserve"> principle will be explored within the focus </w:t>
      </w:r>
      <w:r w:rsidR="1F4362F3" w:rsidRPr="371B20AB">
        <w:rPr>
          <w:rFonts w:ascii="Calibri" w:eastAsia="Calibri" w:hAnsi="Calibri" w:cs="Calibri"/>
          <w:sz w:val="28"/>
          <w:szCs w:val="28"/>
        </w:rPr>
        <w:t>groups</w:t>
      </w:r>
      <w:r w:rsidR="3D5C3C91" w:rsidRPr="371B20AB">
        <w:rPr>
          <w:rFonts w:ascii="Calibri" w:eastAsia="Calibri" w:hAnsi="Calibri" w:cs="Calibri"/>
          <w:sz w:val="28"/>
          <w:szCs w:val="28"/>
        </w:rPr>
        <w:t>.  It is interesting to note that e</w:t>
      </w:r>
      <w:r w:rsidR="217FD9E2" w:rsidRPr="371B20AB">
        <w:rPr>
          <w:rFonts w:ascii="Calibri" w:eastAsia="Calibri" w:hAnsi="Calibri" w:cs="Calibri"/>
          <w:sz w:val="28"/>
          <w:szCs w:val="28"/>
        </w:rPr>
        <w:t>a</w:t>
      </w:r>
      <w:r w:rsidR="3D5C3C91" w:rsidRPr="371B20AB">
        <w:rPr>
          <w:rFonts w:ascii="Calibri" w:eastAsia="Calibri" w:hAnsi="Calibri" w:cs="Calibri"/>
          <w:sz w:val="28"/>
          <w:szCs w:val="28"/>
        </w:rPr>
        <w:t xml:space="preserve">ch of the </w:t>
      </w:r>
      <w:r w:rsidR="68E9622A" w:rsidRPr="371B20AB">
        <w:rPr>
          <w:rFonts w:ascii="Calibri" w:eastAsia="Calibri" w:hAnsi="Calibri" w:cs="Calibri"/>
          <w:sz w:val="28"/>
          <w:szCs w:val="28"/>
        </w:rPr>
        <w:t>pedagogical</w:t>
      </w:r>
      <w:r w:rsidR="3D5C3C91" w:rsidRPr="371B20AB">
        <w:rPr>
          <w:rFonts w:ascii="Calibri" w:eastAsia="Calibri" w:hAnsi="Calibri" w:cs="Calibri"/>
          <w:sz w:val="28"/>
          <w:szCs w:val="28"/>
        </w:rPr>
        <w:t xml:space="preserve"> </w:t>
      </w:r>
      <w:r w:rsidR="21B1FA5D" w:rsidRPr="371B20AB">
        <w:rPr>
          <w:rFonts w:ascii="Calibri" w:eastAsia="Calibri" w:hAnsi="Calibri" w:cs="Calibri"/>
          <w:sz w:val="28"/>
          <w:szCs w:val="28"/>
        </w:rPr>
        <w:t>principles</w:t>
      </w:r>
      <w:r w:rsidR="3D5C3C91" w:rsidRPr="371B20AB">
        <w:rPr>
          <w:rFonts w:ascii="Calibri" w:eastAsia="Calibri" w:hAnsi="Calibri" w:cs="Calibri"/>
          <w:sz w:val="28"/>
          <w:szCs w:val="28"/>
        </w:rPr>
        <w:t xml:space="preserve"> are in</w:t>
      </w:r>
      <w:r w:rsidR="2BE6A080" w:rsidRPr="371B20AB">
        <w:rPr>
          <w:rFonts w:ascii="Calibri" w:eastAsia="Calibri" w:hAnsi="Calibri" w:cs="Calibri"/>
          <w:sz w:val="28"/>
          <w:szCs w:val="28"/>
        </w:rPr>
        <w:t xml:space="preserve">terconnected and require the </w:t>
      </w:r>
      <w:r w:rsidR="34967F24" w:rsidRPr="371B20AB">
        <w:rPr>
          <w:rFonts w:ascii="Calibri" w:eastAsia="Calibri" w:hAnsi="Calibri" w:cs="Calibri"/>
          <w:sz w:val="28"/>
          <w:szCs w:val="28"/>
        </w:rPr>
        <w:t>understanding</w:t>
      </w:r>
      <w:r w:rsidR="2BE6A080" w:rsidRPr="371B20AB">
        <w:rPr>
          <w:rFonts w:ascii="Calibri" w:eastAsia="Calibri" w:hAnsi="Calibri" w:cs="Calibri"/>
          <w:sz w:val="28"/>
          <w:szCs w:val="28"/>
        </w:rPr>
        <w:t xml:space="preserve"> of holistic child development and the underpinning theoretical frameworks that support them.  This will be an aspect of the enquiry with t</w:t>
      </w:r>
      <w:r w:rsidR="5ED6B4A1" w:rsidRPr="371B20AB">
        <w:rPr>
          <w:rFonts w:ascii="Calibri" w:eastAsia="Calibri" w:hAnsi="Calibri" w:cs="Calibri"/>
          <w:sz w:val="28"/>
          <w:szCs w:val="28"/>
        </w:rPr>
        <w:t xml:space="preserve">he research participants that interests me greatly. </w:t>
      </w:r>
    </w:p>
    <w:p w14:paraId="1B31EA6B" w14:textId="59A7CF0E" w:rsidR="50C2E9C8" w:rsidRDefault="4931601E" w:rsidP="371B20AB">
      <w:pPr>
        <w:spacing w:line="360" w:lineRule="auto"/>
        <w:rPr>
          <w:rFonts w:ascii="Calibri" w:eastAsia="Calibri" w:hAnsi="Calibri" w:cs="Calibri"/>
          <w:b/>
          <w:bCs/>
          <w:i/>
          <w:iCs/>
          <w:sz w:val="28"/>
          <w:szCs w:val="28"/>
        </w:rPr>
      </w:pPr>
      <w:r w:rsidRPr="371B20AB">
        <w:rPr>
          <w:rFonts w:ascii="Calibri" w:eastAsia="Calibri" w:hAnsi="Calibri" w:cs="Calibri"/>
          <w:b/>
          <w:bCs/>
          <w:i/>
          <w:iCs/>
          <w:sz w:val="28"/>
          <w:szCs w:val="28"/>
        </w:rPr>
        <w:t>Developmental Pathways.</w:t>
      </w:r>
    </w:p>
    <w:p w14:paraId="33A5F7D2" w14:textId="02AA470B" w:rsidR="252E7FB3" w:rsidRDefault="252E7FB3" w:rsidP="371B20AB">
      <w:pPr>
        <w:spacing w:line="360" w:lineRule="auto"/>
        <w:rPr>
          <w:rFonts w:ascii="Calibri" w:eastAsia="Calibri" w:hAnsi="Calibri" w:cs="Calibri"/>
          <w:sz w:val="28"/>
          <w:szCs w:val="28"/>
        </w:rPr>
      </w:pPr>
      <w:r w:rsidRPr="371B20AB">
        <w:rPr>
          <w:rFonts w:ascii="Calibri" w:eastAsia="Calibri" w:hAnsi="Calibri" w:cs="Calibri"/>
          <w:sz w:val="28"/>
          <w:szCs w:val="28"/>
        </w:rPr>
        <w:t xml:space="preserve">Five developmental pathways are included within the curriculum and described by Welsh Government (2023) as </w:t>
      </w:r>
      <w:r w:rsidR="34BB4076" w:rsidRPr="371B20AB">
        <w:rPr>
          <w:rFonts w:ascii="Calibri" w:eastAsia="Calibri" w:hAnsi="Calibri" w:cs="Calibri"/>
          <w:sz w:val="28"/>
          <w:szCs w:val="28"/>
        </w:rPr>
        <w:t xml:space="preserve">interdependent and equally valuable in supporting holistic child development.  </w:t>
      </w:r>
      <w:r w:rsidR="1C8C2355" w:rsidRPr="371B20AB">
        <w:rPr>
          <w:rFonts w:ascii="Calibri" w:eastAsia="Calibri" w:hAnsi="Calibri" w:cs="Calibri"/>
          <w:sz w:val="28"/>
          <w:szCs w:val="28"/>
        </w:rPr>
        <w:t xml:space="preserve">They depend on practitioners creating effective relationships with children and effective learning environments based on </w:t>
      </w:r>
      <w:r w:rsidR="1C8C2355" w:rsidRPr="371B20AB">
        <w:rPr>
          <w:rFonts w:ascii="Calibri" w:eastAsia="Calibri" w:hAnsi="Calibri" w:cs="Calibri"/>
          <w:sz w:val="28"/>
          <w:szCs w:val="28"/>
        </w:rPr>
        <w:lastRenderedPageBreak/>
        <w:t>the individual needs of children (Welsh Government, 2022).</w:t>
      </w:r>
      <w:r w:rsidR="72EED2E7" w:rsidRPr="371B20AB">
        <w:rPr>
          <w:rFonts w:ascii="Calibri" w:eastAsia="Calibri" w:hAnsi="Calibri" w:cs="Calibri"/>
          <w:sz w:val="28"/>
          <w:szCs w:val="28"/>
        </w:rPr>
        <w:t xml:space="preserve"> </w:t>
      </w:r>
      <w:r w:rsidR="57297D74" w:rsidRPr="371B20AB">
        <w:rPr>
          <w:rFonts w:ascii="Calibri" w:eastAsia="Calibri" w:hAnsi="Calibri" w:cs="Calibri"/>
          <w:sz w:val="28"/>
          <w:szCs w:val="28"/>
        </w:rPr>
        <w:t xml:space="preserve"> The developmental pathways are </w:t>
      </w:r>
      <w:r w:rsidR="5F899F34" w:rsidRPr="371B20AB">
        <w:rPr>
          <w:rFonts w:ascii="Calibri" w:eastAsia="Calibri" w:hAnsi="Calibri" w:cs="Calibri"/>
          <w:sz w:val="28"/>
          <w:szCs w:val="28"/>
        </w:rPr>
        <w:t>as follows.</w:t>
      </w:r>
    </w:p>
    <w:p w14:paraId="7725C105" w14:textId="3A7D85CC" w:rsidR="5F899F34" w:rsidRDefault="5F899F34" w:rsidP="371B20AB">
      <w:pPr>
        <w:spacing w:line="360" w:lineRule="auto"/>
        <w:rPr>
          <w:rFonts w:ascii="Calibri" w:eastAsia="Calibri" w:hAnsi="Calibri" w:cs="Calibri"/>
          <w:b/>
          <w:bCs/>
          <w:i/>
          <w:iCs/>
          <w:sz w:val="28"/>
          <w:szCs w:val="28"/>
        </w:rPr>
      </w:pPr>
      <w:r w:rsidRPr="371B20AB">
        <w:rPr>
          <w:rFonts w:ascii="Calibri" w:eastAsia="Calibri" w:hAnsi="Calibri" w:cs="Calibri"/>
          <w:b/>
          <w:bCs/>
          <w:i/>
          <w:iCs/>
          <w:sz w:val="28"/>
          <w:szCs w:val="28"/>
        </w:rPr>
        <w:t>Belonging.</w:t>
      </w:r>
    </w:p>
    <w:p w14:paraId="25E75B73" w14:textId="09541899" w:rsidR="1090480C" w:rsidRDefault="1090480C" w:rsidP="371B20AB">
      <w:pPr>
        <w:spacing w:line="360" w:lineRule="auto"/>
        <w:rPr>
          <w:rFonts w:ascii="Calibri" w:eastAsia="Calibri" w:hAnsi="Calibri" w:cs="Calibri"/>
          <w:sz w:val="28"/>
          <w:szCs w:val="28"/>
        </w:rPr>
      </w:pPr>
      <w:r w:rsidRPr="371B20AB">
        <w:rPr>
          <w:rFonts w:ascii="Calibri" w:eastAsia="Calibri" w:hAnsi="Calibri" w:cs="Calibri"/>
          <w:sz w:val="28"/>
          <w:szCs w:val="28"/>
        </w:rPr>
        <w:t>Belonging is an essential factor in the child developing a positive sense of wellbeing</w:t>
      </w:r>
      <w:r w:rsidR="23F97AA8" w:rsidRPr="371B20AB">
        <w:rPr>
          <w:rFonts w:ascii="Calibri" w:eastAsia="Calibri" w:hAnsi="Calibri" w:cs="Calibri"/>
          <w:sz w:val="28"/>
          <w:szCs w:val="28"/>
        </w:rPr>
        <w:t xml:space="preserve">, </w:t>
      </w:r>
      <w:proofErr w:type="spellStart"/>
      <w:r w:rsidR="23F97AA8" w:rsidRPr="371B20AB">
        <w:rPr>
          <w:rFonts w:ascii="Calibri" w:eastAsia="Calibri" w:hAnsi="Calibri" w:cs="Calibri"/>
          <w:sz w:val="28"/>
          <w:szCs w:val="28"/>
        </w:rPr>
        <w:t>recognising</w:t>
      </w:r>
      <w:proofErr w:type="spellEnd"/>
      <w:r w:rsidR="23F97AA8" w:rsidRPr="371B20AB">
        <w:rPr>
          <w:rFonts w:ascii="Calibri" w:eastAsia="Calibri" w:hAnsi="Calibri" w:cs="Calibri"/>
          <w:sz w:val="28"/>
          <w:szCs w:val="28"/>
        </w:rPr>
        <w:t xml:space="preserve"> where they fit in and feeling valued, this is supported by the development of strong relationships </w:t>
      </w:r>
      <w:r w:rsidR="5079CBBD" w:rsidRPr="371B20AB">
        <w:rPr>
          <w:rFonts w:ascii="Calibri" w:eastAsia="Calibri" w:hAnsi="Calibri" w:cs="Calibri"/>
          <w:sz w:val="28"/>
          <w:szCs w:val="28"/>
        </w:rPr>
        <w:t xml:space="preserve">with practitioners (Welsh Government, 2022). </w:t>
      </w:r>
      <w:r w:rsidR="10A2A86A" w:rsidRPr="371B20AB">
        <w:rPr>
          <w:rFonts w:ascii="Calibri" w:eastAsia="Calibri" w:hAnsi="Calibri" w:cs="Calibri"/>
          <w:sz w:val="28"/>
          <w:szCs w:val="28"/>
        </w:rPr>
        <w:t xml:space="preserve"> The need for love and belonging is </w:t>
      </w:r>
      <w:proofErr w:type="spellStart"/>
      <w:r w:rsidR="10A2A86A" w:rsidRPr="371B20AB">
        <w:rPr>
          <w:rFonts w:ascii="Calibri" w:eastAsia="Calibri" w:hAnsi="Calibri" w:cs="Calibri"/>
          <w:sz w:val="28"/>
          <w:szCs w:val="28"/>
        </w:rPr>
        <w:t>reconised</w:t>
      </w:r>
      <w:proofErr w:type="spellEnd"/>
      <w:r w:rsidR="10A2A86A" w:rsidRPr="371B20AB">
        <w:rPr>
          <w:rFonts w:ascii="Calibri" w:eastAsia="Calibri" w:hAnsi="Calibri" w:cs="Calibri"/>
          <w:sz w:val="28"/>
          <w:szCs w:val="28"/>
        </w:rPr>
        <w:t xml:space="preserve"> in Maslow's (1943) Hierarchy of Needs, feeling t</w:t>
      </w:r>
      <w:r w:rsidR="444E14E7" w:rsidRPr="371B20AB">
        <w:rPr>
          <w:rFonts w:ascii="Calibri" w:eastAsia="Calibri" w:hAnsi="Calibri" w:cs="Calibri"/>
          <w:sz w:val="28"/>
          <w:szCs w:val="28"/>
        </w:rPr>
        <w:t xml:space="preserve">his sense of belonging creates a positive sense of self and enhances self-esteem. </w:t>
      </w:r>
      <w:r w:rsidR="59BDE55A" w:rsidRPr="371B20AB">
        <w:rPr>
          <w:rFonts w:ascii="Calibri" w:eastAsia="Calibri" w:hAnsi="Calibri" w:cs="Calibri"/>
          <w:sz w:val="28"/>
          <w:szCs w:val="28"/>
        </w:rPr>
        <w:t xml:space="preserve"> Experiencing a sense of belonging in settings creates security and the opportunity to develop positive wellbeing (</w:t>
      </w:r>
      <w:r w:rsidR="79141AA7" w:rsidRPr="371B20AB">
        <w:rPr>
          <w:rFonts w:ascii="Calibri" w:eastAsia="Calibri" w:hAnsi="Calibri" w:cs="Calibri"/>
          <w:sz w:val="28"/>
          <w:szCs w:val="28"/>
        </w:rPr>
        <w:t>Peckham, 2024), in</w:t>
      </w:r>
      <w:r w:rsidR="6D02E02C" w:rsidRPr="371B20AB">
        <w:rPr>
          <w:rFonts w:ascii="Calibri" w:eastAsia="Calibri" w:hAnsi="Calibri" w:cs="Calibri"/>
          <w:sz w:val="28"/>
          <w:szCs w:val="28"/>
        </w:rPr>
        <w:t xml:space="preserve"> a</w:t>
      </w:r>
      <w:r w:rsidR="79141AA7" w:rsidRPr="371B20AB">
        <w:rPr>
          <w:rFonts w:ascii="Calibri" w:eastAsia="Calibri" w:hAnsi="Calibri" w:cs="Calibri"/>
          <w:sz w:val="28"/>
          <w:szCs w:val="28"/>
        </w:rPr>
        <w:t xml:space="preserve"> sense feeling loved and valued by the practitioners within the setting</w:t>
      </w:r>
      <w:r w:rsidR="55524A72" w:rsidRPr="371B20AB">
        <w:rPr>
          <w:rFonts w:ascii="Calibri" w:eastAsia="Calibri" w:hAnsi="Calibri" w:cs="Calibri"/>
          <w:sz w:val="28"/>
          <w:szCs w:val="28"/>
        </w:rPr>
        <w:t xml:space="preserve"> (Page, </w:t>
      </w:r>
      <w:r w:rsidR="310A7EC4" w:rsidRPr="371B20AB">
        <w:rPr>
          <w:rFonts w:ascii="Calibri" w:eastAsia="Calibri" w:hAnsi="Calibri" w:cs="Calibri"/>
          <w:sz w:val="28"/>
          <w:szCs w:val="28"/>
        </w:rPr>
        <w:t xml:space="preserve">2018; Grimmer 2021).  The idea of a loving </w:t>
      </w:r>
      <w:r w:rsidR="675C4DC1" w:rsidRPr="371B20AB">
        <w:rPr>
          <w:rFonts w:ascii="Calibri" w:eastAsia="Calibri" w:hAnsi="Calibri" w:cs="Calibri"/>
          <w:sz w:val="28"/>
          <w:szCs w:val="28"/>
        </w:rPr>
        <w:t>pedagogy</w:t>
      </w:r>
      <w:r w:rsidR="310A7EC4" w:rsidRPr="371B20AB">
        <w:rPr>
          <w:rFonts w:ascii="Calibri" w:eastAsia="Calibri" w:hAnsi="Calibri" w:cs="Calibri"/>
          <w:sz w:val="28"/>
          <w:szCs w:val="28"/>
        </w:rPr>
        <w:t xml:space="preserve"> has been </w:t>
      </w:r>
      <w:r w:rsidR="2A6E7553" w:rsidRPr="371B20AB">
        <w:rPr>
          <w:rFonts w:ascii="Calibri" w:eastAsia="Calibri" w:hAnsi="Calibri" w:cs="Calibri"/>
          <w:sz w:val="28"/>
          <w:szCs w:val="28"/>
        </w:rPr>
        <w:t>explored by Page (2018)</w:t>
      </w:r>
      <w:r w:rsidR="021B8360" w:rsidRPr="371B20AB">
        <w:rPr>
          <w:rFonts w:ascii="Calibri" w:eastAsia="Calibri" w:hAnsi="Calibri" w:cs="Calibri"/>
          <w:sz w:val="28"/>
          <w:szCs w:val="28"/>
        </w:rPr>
        <w:t xml:space="preserve">, framing the term professional love in the practitioner's relationship with the children in their care.  </w:t>
      </w:r>
    </w:p>
    <w:p w14:paraId="42C03238" w14:textId="73A71E69" w:rsidR="021B8360" w:rsidRDefault="021B8360" w:rsidP="371B20AB">
      <w:pPr>
        <w:spacing w:line="360" w:lineRule="auto"/>
        <w:rPr>
          <w:rFonts w:ascii="Calibri" w:eastAsia="Calibri" w:hAnsi="Calibri" w:cs="Calibri"/>
          <w:sz w:val="28"/>
          <w:szCs w:val="28"/>
        </w:rPr>
      </w:pPr>
      <w:r w:rsidRPr="371B20AB">
        <w:rPr>
          <w:rFonts w:ascii="Calibri" w:eastAsia="Calibri" w:hAnsi="Calibri" w:cs="Calibri"/>
          <w:sz w:val="28"/>
          <w:szCs w:val="28"/>
        </w:rPr>
        <w:t xml:space="preserve">This approach may not fit with traditional neo-liberal approaches to education which call for conformity and competition, however the inclusion of </w:t>
      </w:r>
      <w:r w:rsidR="7B44AF6A" w:rsidRPr="371B20AB">
        <w:rPr>
          <w:rFonts w:ascii="Calibri" w:eastAsia="Calibri" w:hAnsi="Calibri" w:cs="Calibri"/>
          <w:sz w:val="28"/>
          <w:szCs w:val="28"/>
        </w:rPr>
        <w:t xml:space="preserve">belonging as a key developmental pathway may enable professional conversations about the use of this unconventional language. </w:t>
      </w:r>
      <w:r w:rsidR="7C0E0E89" w:rsidRPr="371B20AB">
        <w:rPr>
          <w:rFonts w:ascii="Calibri" w:eastAsia="Calibri" w:hAnsi="Calibri" w:cs="Calibri"/>
          <w:sz w:val="28"/>
          <w:szCs w:val="28"/>
        </w:rPr>
        <w:t>The term's use in early years education is supported by a wide range of recent educational research (Page, 2018; Grimmer, 2021; Aslanian, 2018), supporting the nurturing nature of early years education and care.</w:t>
      </w:r>
    </w:p>
    <w:p w14:paraId="4DF66049" w14:textId="77777777" w:rsidR="007F737A" w:rsidRDefault="007F737A" w:rsidP="371B20AB">
      <w:pPr>
        <w:spacing w:line="360" w:lineRule="auto"/>
        <w:rPr>
          <w:rFonts w:ascii="Calibri" w:eastAsia="Calibri" w:hAnsi="Calibri" w:cs="Calibri"/>
          <w:b/>
          <w:bCs/>
          <w:i/>
          <w:iCs/>
          <w:sz w:val="28"/>
          <w:szCs w:val="28"/>
        </w:rPr>
      </w:pPr>
    </w:p>
    <w:p w14:paraId="3554655F" w14:textId="77777777" w:rsidR="007F737A" w:rsidRDefault="007F737A" w:rsidP="371B20AB">
      <w:pPr>
        <w:spacing w:line="360" w:lineRule="auto"/>
        <w:rPr>
          <w:rFonts w:ascii="Calibri" w:eastAsia="Calibri" w:hAnsi="Calibri" w:cs="Calibri"/>
          <w:b/>
          <w:bCs/>
          <w:i/>
          <w:iCs/>
          <w:sz w:val="28"/>
          <w:szCs w:val="28"/>
        </w:rPr>
      </w:pPr>
    </w:p>
    <w:p w14:paraId="3A1868CF" w14:textId="7FD8A58F" w:rsidR="7C0E0E89" w:rsidRDefault="7C0E0E89" w:rsidP="371B20AB">
      <w:pPr>
        <w:spacing w:line="360" w:lineRule="auto"/>
        <w:rPr>
          <w:rFonts w:ascii="Calibri" w:eastAsia="Calibri" w:hAnsi="Calibri" w:cs="Calibri"/>
          <w:b/>
          <w:bCs/>
          <w:i/>
          <w:iCs/>
          <w:sz w:val="28"/>
          <w:szCs w:val="28"/>
        </w:rPr>
      </w:pPr>
      <w:r w:rsidRPr="371B20AB">
        <w:rPr>
          <w:rFonts w:ascii="Calibri" w:eastAsia="Calibri" w:hAnsi="Calibri" w:cs="Calibri"/>
          <w:b/>
          <w:bCs/>
          <w:i/>
          <w:iCs/>
          <w:sz w:val="28"/>
          <w:szCs w:val="28"/>
        </w:rPr>
        <w:lastRenderedPageBreak/>
        <w:t>Wellbeing.</w:t>
      </w:r>
    </w:p>
    <w:p w14:paraId="7F57F4A6" w14:textId="4A8248EA" w:rsidR="0E384E8D" w:rsidRDefault="0E384E8D" w:rsidP="371B20AB">
      <w:pPr>
        <w:spacing w:line="360" w:lineRule="auto"/>
        <w:rPr>
          <w:rFonts w:ascii="Calibri" w:eastAsia="Calibri" w:hAnsi="Calibri" w:cs="Calibri"/>
          <w:sz w:val="28"/>
          <w:szCs w:val="28"/>
        </w:rPr>
      </w:pPr>
      <w:r w:rsidRPr="371B20AB">
        <w:rPr>
          <w:rFonts w:ascii="Calibri" w:eastAsia="Calibri" w:hAnsi="Calibri" w:cs="Calibri"/>
          <w:sz w:val="28"/>
          <w:szCs w:val="28"/>
        </w:rPr>
        <w:t>As already noted, the developmental pathways are interconnected, already when discussi</w:t>
      </w:r>
      <w:r w:rsidR="40BEC4F8" w:rsidRPr="371B20AB">
        <w:rPr>
          <w:rFonts w:ascii="Calibri" w:eastAsia="Calibri" w:hAnsi="Calibri" w:cs="Calibri"/>
          <w:sz w:val="28"/>
          <w:szCs w:val="28"/>
        </w:rPr>
        <w:t>ng</w:t>
      </w:r>
      <w:r w:rsidRPr="371B20AB">
        <w:rPr>
          <w:rFonts w:ascii="Calibri" w:eastAsia="Calibri" w:hAnsi="Calibri" w:cs="Calibri"/>
          <w:sz w:val="28"/>
          <w:szCs w:val="28"/>
        </w:rPr>
        <w:t xml:space="preserve"> belonging</w:t>
      </w:r>
      <w:r w:rsidR="2AC8F187" w:rsidRPr="371B20AB">
        <w:rPr>
          <w:rFonts w:ascii="Calibri" w:eastAsia="Calibri" w:hAnsi="Calibri" w:cs="Calibri"/>
          <w:sz w:val="28"/>
          <w:szCs w:val="28"/>
        </w:rPr>
        <w:t>,</w:t>
      </w:r>
      <w:r w:rsidRPr="371B20AB">
        <w:rPr>
          <w:rFonts w:ascii="Calibri" w:eastAsia="Calibri" w:hAnsi="Calibri" w:cs="Calibri"/>
          <w:sz w:val="28"/>
          <w:szCs w:val="28"/>
        </w:rPr>
        <w:t xml:space="preserve"> wellbeing is </w:t>
      </w:r>
      <w:r w:rsidR="4DF28289" w:rsidRPr="371B20AB">
        <w:rPr>
          <w:rFonts w:ascii="Calibri" w:eastAsia="Calibri" w:hAnsi="Calibri" w:cs="Calibri"/>
          <w:sz w:val="28"/>
          <w:szCs w:val="28"/>
        </w:rPr>
        <w:t xml:space="preserve">described as a resultant factor. </w:t>
      </w:r>
      <w:r w:rsidR="0AC389D3" w:rsidRPr="371B20AB">
        <w:rPr>
          <w:rFonts w:ascii="Calibri" w:eastAsia="Calibri" w:hAnsi="Calibri" w:cs="Calibri"/>
          <w:sz w:val="28"/>
          <w:szCs w:val="28"/>
        </w:rPr>
        <w:t xml:space="preserve">Feeling safe secure and connected are key descriptors in the </w:t>
      </w:r>
      <w:r w:rsidR="57AC504C" w:rsidRPr="371B20AB">
        <w:rPr>
          <w:rFonts w:ascii="Calibri" w:eastAsia="Calibri" w:hAnsi="Calibri" w:cs="Calibri"/>
          <w:sz w:val="28"/>
          <w:szCs w:val="28"/>
        </w:rPr>
        <w:t>curriculum's</w:t>
      </w:r>
      <w:r w:rsidR="0AC389D3" w:rsidRPr="371B20AB">
        <w:rPr>
          <w:rFonts w:ascii="Calibri" w:eastAsia="Calibri" w:hAnsi="Calibri" w:cs="Calibri"/>
          <w:sz w:val="28"/>
          <w:szCs w:val="28"/>
        </w:rPr>
        <w:t xml:space="preserve"> guidance for promoting </w:t>
      </w:r>
      <w:r w:rsidR="73A02673" w:rsidRPr="371B20AB">
        <w:rPr>
          <w:rFonts w:ascii="Calibri" w:eastAsia="Calibri" w:hAnsi="Calibri" w:cs="Calibri"/>
          <w:sz w:val="28"/>
          <w:szCs w:val="28"/>
        </w:rPr>
        <w:t>wellbeing</w:t>
      </w:r>
      <w:r w:rsidR="0AC389D3" w:rsidRPr="371B20AB">
        <w:rPr>
          <w:rFonts w:ascii="Calibri" w:eastAsia="Calibri" w:hAnsi="Calibri" w:cs="Calibri"/>
          <w:sz w:val="28"/>
          <w:szCs w:val="28"/>
        </w:rPr>
        <w:t xml:space="preserve"> (Welsh </w:t>
      </w:r>
      <w:r w:rsidR="509181AC" w:rsidRPr="371B20AB">
        <w:rPr>
          <w:rFonts w:ascii="Calibri" w:eastAsia="Calibri" w:hAnsi="Calibri" w:cs="Calibri"/>
          <w:sz w:val="28"/>
          <w:szCs w:val="28"/>
        </w:rPr>
        <w:t>Government</w:t>
      </w:r>
      <w:r w:rsidR="0AC389D3" w:rsidRPr="371B20AB">
        <w:rPr>
          <w:rFonts w:ascii="Calibri" w:eastAsia="Calibri" w:hAnsi="Calibri" w:cs="Calibri"/>
          <w:sz w:val="28"/>
          <w:szCs w:val="28"/>
        </w:rPr>
        <w:t>, 2022)</w:t>
      </w:r>
      <w:r w:rsidR="5FA4EA4D" w:rsidRPr="371B20AB">
        <w:rPr>
          <w:rFonts w:ascii="Calibri" w:eastAsia="Calibri" w:hAnsi="Calibri" w:cs="Calibri"/>
          <w:sz w:val="28"/>
          <w:szCs w:val="28"/>
        </w:rPr>
        <w:t>.</w:t>
      </w:r>
      <w:r w:rsidR="13A06286" w:rsidRPr="371B20AB">
        <w:rPr>
          <w:rFonts w:ascii="Calibri" w:eastAsia="Calibri" w:hAnsi="Calibri" w:cs="Calibri"/>
          <w:sz w:val="28"/>
          <w:szCs w:val="28"/>
        </w:rPr>
        <w:t xml:space="preserve"> </w:t>
      </w:r>
      <w:r w:rsidR="783544A9" w:rsidRPr="371B20AB">
        <w:rPr>
          <w:rFonts w:ascii="Calibri" w:eastAsia="Calibri" w:hAnsi="Calibri" w:cs="Calibri"/>
          <w:sz w:val="28"/>
          <w:szCs w:val="28"/>
        </w:rPr>
        <w:t xml:space="preserve"> Manning Morton (2014) describes children with a </w:t>
      </w:r>
      <w:r w:rsidR="42929F94" w:rsidRPr="371B20AB">
        <w:rPr>
          <w:rFonts w:ascii="Calibri" w:eastAsia="Calibri" w:hAnsi="Calibri" w:cs="Calibri"/>
          <w:sz w:val="28"/>
          <w:szCs w:val="28"/>
        </w:rPr>
        <w:t>positive</w:t>
      </w:r>
      <w:r w:rsidR="783544A9" w:rsidRPr="371B20AB">
        <w:rPr>
          <w:rFonts w:ascii="Calibri" w:eastAsia="Calibri" w:hAnsi="Calibri" w:cs="Calibri"/>
          <w:sz w:val="28"/>
          <w:szCs w:val="28"/>
        </w:rPr>
        <w:t xml:space="preserve"> sense of </w:t>
      </w:r>
      <w:r w:rsidR="4C438CD8" w:rsidRPr="371B20AB">
        <w:rPr>
          <w:rFonts w:ascii="Calibri" w:eastAsia="Calibri" w:hAnsi="Calibri" w:cs="Calibri"/>
          <w:sz w:val="28"/>
          <w:szCs w:val="28"/>
        </w:rPr>
        <w:t>well-being</w:t>
      </w:r>
      <w:r w:rsidR="783544A9" w:rsidRPr="371B20AB">
        <w:rPr>
          <w:rFonts w:ascii="Calibri" w:eastAsia="Calibri" w:hAnsi="Calibri" w:cs="Calibri"/>
          <w:sz w:val="28"/>
          <w:szCs w:val="28"/>
        </w:rPr>
        <w:t xml:space="preserve"> as </w:t>
      </w:r>
      <w:r w:rsidR="5E435D47" w:rsidRPr="371B20AB">
        <w:rPr>
          <w:rFonts w:ascii="Calibri" w:eastAsia="Calibri" w:hAnsi="Calibri" w:cs="Calibri"/>
          <w:sz w:val="28"/>
          <w:szCs w:val="28"/>
        </w:rPr>
        <w:t>enthusiastic,</w:t>
      </w:r>
      <w:r w:rsidR="783544A9" w:rsidRPr="371B20AB">
        <w:rPr>
          <w:rFonts w:ascii="Calibri" w:eastAsia="Calibri" w:hAnsi="Calibri" w:cs="Calibri"/>
          <w:sz w:val="28"/>
          <w:szCs w:val="28"/>
        </w:rPr>
        <w:t xml:space="preserve"> </w:t>
      </w:r>
      <w:proofErr w:type="gramStart"/>
      <w:r w:rsidR="583D91A7" w:rsidRPr="371B20AB">
        <w:rPr>
          <w:rFonts w:ascii="Calibri" w:eastAsia="Calibri" w:hAnsi="Calibri" w:cs="Calibri"/>
          <w:sz w:val="28"/>
          <w:szCs w:val="28"/>
        </w:rPr>
        <w:t>engaged</w:t>
      </w:r>
      <w:proofErr w:type="gramEnd"/>
      <w:r w:rsidR="783544A9" w:rsidRPr="371B20AB">
        <w:rPr>
          <w:rFonts w:ascii="Calibri" w:eastAsia="Calibri" w:hAnsi="Calibri" w:cs="Calibri"/>
          <w:sz w:val="28"/>
          <w:szCs w:val="28"/>
        </w:rPr>
        <w:t xml:space="preserve"> and effective </w:t>
      </w:r>
      <w:r w:rsidR="5F90C4DB" w:rsidRPr="371B20AB">
        <w:rPr>
          <w:rFonts w:ascii="Calibri" w:eastAsia="Calibri" w:hAnsi="Calibri" w:cs="Calibri"/>
          <w:sz w:val="28"/>
          <w:szCs w:val="28"/>
        </w:rPr>
        <w:t>communicators</w:t>
      </w:r>
      <w:r w:rsidR="783544A9" w:rsidRPr="371B20AB">
        <w:rPr>
          <w:rFonts w:ascii="Calibri" w:eastAsia="Calibri" w:hAnsi="Calibri" w:cs="Calibri"/>
          <w:sz w:val="28"/>
          <w:szCs w:val="28"/>
        </w:rPr>
        <w:t xml:space="preserve">, allowing them to regulate their </w:t>
      </w:r>
      <w:r w:rsidR="763ED85A" w:rsidRPr="371B20AB">
        <w:rPr>
          <w:rFonts w:ascii="Calibri" w:eastAsia="Calibri" w:hAnsi="Calibri" w:cs="Calibri"/>
          <w:sz w:val="28"/>
          <w:szCs w:val="28"/>
        </w:rPr>
        <w:t>emotions</w:t>
      </w:r>
      <w:r w:rsidR="258E4F2F" w:rsidRPr="371B20AB">
        <w:rPr>
          <w:rFonts w:ascii="Calibri" w:eastAsia="Calibri" w:hAnsi="Calibri" w:cs="Calibri"/>
          <w:sz w:val="28"/>
          <w:szCs w:val="28"/>
        </w:rPr>
        <w:t xml:space="preserve"> and develop positive relationships.  </w:t>
      </w:r>
      <w:r w:rsidR="30B5E991" w:rsidRPr="371B20AB">
        <w:rPr>
          <w:rFonts w:ascii="Calibri" w:eastAsia="Calibri" w:hAnsi="Calibri" w:cs="Calibri"/>
          <w:sz w:val="28"/>
          <w:szCs w:val="28"/>
        </w:rPr>
        <w:t xml:space="preserve">Relationships appear to be </w:t>
      </w:r>
      <w:proofErr w:type="spellStart"/>
      <w:r w:rsidR="30B5E991" w:rsidRPr="371B20AB">
        <w:rPr>
          <w:rFonts w:ascii="Calibri" w:eastAsia="Calibri" w:hAnsi="Calibri" w:cs="Calibri"/>
          <w:sz w:val="28"/>
          <w:szCs w:val="28"/>
        </w:rPr>
        <w:t>cental</w:t>
      </w:r>
      <w:proofErr w:type="spellEnd"/>
      <w:r w:rsidR="30B5E991" w:rsidRPr="371B20AB">
        <w:rPr>
          <w:rFonts w:ascii="Calibri" w:eastAsia="Calibri" w:hAnsi="Calibri" w:cs="Calibri"/>
          <w:sz w:val="28"/>
          <w:szCs w:val="28"/>
        </w:rPr>
        <w:t xml:space="preserve"> to the development of a sense of well-being in young children</w:t>
      </w:r>
      <w:r w:rsidR="1259A7D2" w:rsidRPr="371B20AB">
        <w:rPr>
          <w:rFonts w:ascii="Calibri" w:eastAsia="Calibri" w:hAnsi="Calibri" w:cs="Calibri"/>
          <w:sz w:val="28"/>
          <w:szCs w:val="28"/>
        </w:rPr>
        <w:t xml:space="preserve">, this can be linked to the role of the enabling adult. </w:t>
      </w:r>
    </w:p>
    <w:p w14:paraId="6D118846" w14:textId="747C138F" w:rsidR="30B5E991" w:rsidRDefault="30B5E991" w:rsidP="371B20AB">
      <w:pPr>
        <w:spacing w:line="360" w:lineRule="auto"/>
        <w:rPr>
          <w:rFonts w:ascii="Calibri" w:eastAsia="Calibri" w:hAnsi="Calibri" w:cs="Calibri"/>
          <w:b/>
          <w:bCs/>
          <w:i/>
          <w:iCs/>
          <w:sz w:val="28"/>
          <w:szCs w:val="28"/>
        </w:rPr>
      </w:pPr>
      <w:r w:rsidRPr="371B20AB">
        <w:rPr>
          <w:rFonts w:ascii="Calibri" w:eastAsia="Calibri" w:hAnsi="Calibri" w:cs="Calibri"/>
          <w:b/>
          <w:bCs/>
          <w:i/>
          <w:iCs/>
          <w:sz w:val="28"/>
          <w:szCs w:val="28"/>
        </w:rPr>
        <w:t>Communication.</w:t>
      </w:r>
    </w:p>
    <w:p w14:paraId="01D5F58D" w14:textId="6F55A756" w:rsidR="08B25E83" w:rsidRDefault="08B25E83" w:rsidP="5D241894">
      <w:pPr>
        <w:spacing w:line="360" w:lineRule="auto"/>
        <w:rPr>
          <w:rFonts w:ascii="Calibri" w:eastAsia="Calibri" w:hAnsi="Calibri" w:cs="Calibri"/>
          <w:sz w:val="28"/>
          <w:szCs w:val="28"/>
        </w:rPr>
      </w:pPr>
      <w:r w:rsidRPr="371B20AB">
        <w:rPr>
          <w:rFonts w:ascii="Calibri" w:eastAsia="Calibri" w:hAnsi="Calibri" w:cs="Calibri"/>
          <w:sz w:val="28"/>
          <w:szCs w:val="28"/>
        </w:rPr>
        <w:t>“Communication is fundamental to children’s development; it is vital to the foundation of relationships and essential for learning, play and social interaction” (Welsh Government, 2022).  The central role of communication i</w:t>
      </w:r>
      <w:r w:rsidR="578C47ED" w:rsidRPr="371B20AB">
        <w:rPr>
          <w:rFonts w:ascii="Calibri" w:eastAsia="Calibri" w:hAnsi="Calibri" w:cs="Calibri"/>
          <w:sz w:val="28"/>
          <w:szCs w:val="28"/>
        </w:rPr>
        <w:t>n</w:t>
      </w:r>
      <w:r w:rsidRPr="371B20AB">
        <w:rPr>
          <w:rFonts w:ascii="Calibri" w:eastAsia="Calibri" w:hAnsi="Calibri" w:cs="Calibri"/>
          <w:sz w:val="28"/>
          <w:szCs w:val="28"/>
        </w:rPr>
        <w:t xml:space="preserve"> achieving success in all the developmental pathways </w:t>
      </w:r>
      <w:r w:rsidR="66F5EB45" w:rsidRPr="371B20AB">
        <w:rPr>
          <w:rFonts w:ascii="Calibri" w:eastAsia="Calibri" w:hAnsi="Calibri" w:cs="Calibri"/>
          <w:sz w:val="28"/>
          <w:szCs w:val="28"/>
        </w:rPr>
        <w:t xml:space="preserve">is clear.  Relationships, </w:t>
      </w:r>
      <w:proofErr w:type="gramStart"/>
      <w:r w:rsidR="66F5EB45" w:rsidRPr="371B20AB">
        <w:rPr>
          <w:rFonts w:ascii="Calibri" w:eastAsia="Calibri" w:hAnsi="Calibri" w:cs="Calibri"/>
          <w:sz w:val="28"/>
          <w:szCs w:val="28"/>
        </w:rPr>
        <w:t>role</w:t>
      </w:r>
      <w:r w:rsidR="1C88188C" w:rsidRPr="371B20AB">
        <w:rPr>
          <w:rFonts w:ascii="Calibri" w:eastAsia="Calibri" w:hAnsi="Calibri" w:cs="Calibri"/>
          <w:sz w:val="28"/>
          <w:szCs w:val="28"/>
        </w:rPr>
        <w:t>s</w:t>
      </w:r>
      <w:proofErr w:type="gramEnd"/>
      <w:r w:rsidR="66F5EB45" w:rsidRPr="371B20AB">
        <w:rPr>
          <w:rFonts w:ascii="Calibri" w:eastAsia="Calibri" w:hAnsi="Calibri" w:cs="Calibri"/>
          <w:sz w:val="28"/>
          <w:szCs w:val="28"/>
        </w:rPr>
        <w:t xml:space="preserve"> and identity are perceived by a child's experience and </w:t>
      </w:r>
      <w:r w:rsidR="7B486A9F" w:rsidRPr="371B20AB">
        <w:rPr>
          <w:rFonts w:ascii="Calibri" w:eastAsia="Calibri" w:hAnsi="Calibri" w:cs="Calibri"/>
          <w:sz w:val="28"/>
          <w:szCs w:val="28"/>
        </w:rPr>
        <w:t>effective interactions with others</w:t>
      </w:r>
      <w:r w:rsidR="6578C2A4" w:rsidRPr="371B20AB">
        <w:rPr>
          <w:rFonts w:ascii="Calibri" w:eastAsia="Calibri" w:hAnsi="Calibri" w:cs="Calibri"/>
          <w:sz w:val="28"/>
          <w:szCs w:val="28"/>
        </w:rPr>
        <w:t>.</w:t>
      </w:r>
      <w:r w:rsidR="36FB0633" w:rsidRPr="371B20AB">
        <w:rPr>
          <w:rFonts w:ascii="Calibri" w:eastAsia="Calibri" w:hAnsi="Calibri" w:cs="Calibri"/>
          <w:sz w:val="28"/>
          <w:szCs w:val="28"/>
        </w:rPr>
        <w:t xml:space="preserve">  The significance of reciprocity and effective adult interactions to create effective holistic development is e</w:t>
      </w:r>
      <w:r w:rsidR="657C439A" w:rsidRPr="371B20AB">
        <w:rPr>
          <w:rFonts w:ascii="Calibri" w:eastAsia="Calibri" w:hAnsi="Calibri" w:cs="Calibri"/>
          <w:sz w:val="28"/>
          <w:szCs w:val="28"/>
        </w:rPr>
        <w:t xml:space="preserve">xplored extensively by </w:t>
      </w:r>
      <w:r w:rsidR="691F6ACE" w:rsidRPr="371B20AB">
        <w:rPr>
          <w:rFonts w:ascii="Calibri" w:eastAsia="Calibri" w:hAnsi="Calibri" w:cs="Calibri"/>
          <w:sz w:val="28"/>
          <w:szCs w:val="28"/>
        </w:rPr>
        <w:t xml:space="preserve">the Center on the Developing Child </w:t>
      </w:r>
      <w:r w:rsidR="1D0EE5BA" w:rsidRPr="371B20AB">
        <w:rPr>
          <w:rFonts w:ascii="Calibri" w:eastAsia="Calibri" w:hAnsi="Calibri" w:cs="Calibri"/>
          <w:sz w:val="28"/>
          <w:szCs w:val="28"/>
        </w:rPr>
        <w:t>(</w:t>
      </w:r>
      <w:r w:rsidR="7228FB7F" w:rsidRPr="371B20AB">
        <w:rPr>
          <w:rFonts w:ascii="Calibri" w:eastAsia="Calibri" w:hAnsi="Calibri" w:cs="Calibri"/>
          <w:sz w:val="28"/>
          <w:szCs w:val="28"/>
        </w:rPr>
        <w:t>Harvard University, no date)</w:t>
      </w:r>
      <w:r w:rsidR="691F6ACE" w:rsidRPr="371B20AB">
        <w:rPr>
          <w:rFonts w:ascii="Calibri" w:eastAsia="Calibri" w:hAnsi="Calibri" w:cs="Calibri"/>
          <w:sz w:val="28"/>
          <w:szCs w:val="28"/>
        </w:rPr>
        <w:t xml:space="preserve">.  </w:t>
      </w:r>
      <w:r w:rsidR="433259D9" w:rsidRPr="371B20AB">
        <w:rPr>
          <w:rFonts w:ascii="Calibri" w:eastAsia="Calibri" w:hAnsi="Calibri" w:cs="Calibri"/>
          <w:sz w:val="28"/>
          <w:szCs w:val="28"/>
        </w:rPr>
        <w:t>It is through the development of effective communication that practitioners can address the holistic development of the child.</w:t>
      </w:r>
    </w:p>
    <w:p w14:paraId="61E30844" w14:textId="5EE71587" w:rsidR="7A652324" w:rsidRDefault="7A652324" w:rsidP="371B20AB">
      <w:pPr>
        <w:spacing w:line="360" w:lineRule="auto"/>
        <w:rPr>
          <w:rFonts w:ascii="Calibri" w:eastAsia="Calibri" w:hAnsi="Calibri" w:cs="Calibri"/>
          <w:b/>
          <w:bCs/>
          <w:i/>
          <w:iCs/>
          <w:sz w:val="28"/>
          <w:szCs w:val="28"/>
        </w:rPr>
      </w:pPr>
      <w:r w:rsidRPr="371B20AB">
        <w:rPr>
          <w:rFonts w:ascii="Calibri" w:eastAsia="Calibri" w:hAnsi="Calibri" w:cs="Calibri"/>
          <w:b/>
          <w:bCs/>
          <w:i/>
          <w:iCs/>
          <w:sz w:val="28"/>
          <w:szCs w:val="28"/>
        </w:rPr>
        <w:t>Exploration.</w:t>
      </w:r>
    </w:p>
    <w:p w14:paraId="67F065BA" w14:textId="0D747577" w:rsidR="5CE583AB" w:rsidRDefault="5CE583AB" w:rsidP="371B20AB">
      <w:pPr>
        <w:spacing w:line="360" w:lineRule="auto"/>
        <w:rPr>
          <w:sz w:val="28"/>
          <w:szCs w:val="28"/>
        </w:rPr>
      </w:pPr>
      <w:r w:rsidRPr="371B20AB">
        <w:rPr>
          <w:sz w:val="28"/>
          <w:szCs w:val="28"/>
        </w:rPr>
        <w:t xml:space="preserve">Exploration as a pedagogical principle is supported within the curriculum and is closely linked with the </w:t>
      </w:r>
      <w:r w:rsidR="6E625480" w:rsidRPr="371B20AB">
        <w:rPr>
          <w:sz w:val="28"/>
          <w:szCs w:val="28"/>
        </w:rPr>
        <w:t xml:space="preserve">values and knowledge supporting early years </w:t>
      </w:r>
      <w:r w:rsidR="6E625480" w:rsidRPr="371B20AB">
        <w:rPr>
          <w:sz w:val="28"/>
          <w:szCs w:val="28"/>
        </w:rPr>
        <w:lastRenderedPageBreak/>
        <w:t>professional practice.  The enabling adult is responsible for creating effec</w:t>
      </w:r>
      <w:r w:rsidR="78F5396D" w:rsidRPr="371B20AB">
        <w:rPr>
          <w:sz w:val="28"/>
          <w:szCs w:val="28"/>
        </w:rPr>
        <w:t xml:space="preserve">tive environments and engaging experiences which </w:t>
      </w:r>
      <w:r w:rsidR="26416192" w:rsidRPr="371B20AB">
        <w:rPr>
          <w:sz w:val="28"/>
          <w:szCs w:val="28"/>
        </w:rPr>
        <w:t xml:space="preserve">challenge and evoke curiosity in children (Welsh Government, 2022; </w:t>
      </w:r>
      <w:r w:rsidR="02500491" w:rsidRPr="371B20AB">
        <w:rPr>
          <w:color w:val="3A3A3A" w:themeColor="background2" w:themeShade="40"/>
          <w:sz w:val="28"/>
          <w:szCs w:val="28"/>
          <w:lang w:val="en-GB"/>
        </w:rPr>
        <w:t xml:space="preserve">Wickstrom and Pyle, 2023).  </w:t>
      </w:r>
    </w:p>
    <w:p w14:paraId="61655D7D" w14:textId="39EB87C8" w:rsidR="371B20AB" w:rsidRDefault="371B20AB" w:rsidP="371B20AB">
      <w:pPr>
        <w:spacing w:line="360" w:lineRule="auto"/>
        <w:rPr>
          <w:sz w:val="28"/>
          <w:szCs w:val="28"/>
        </w:rPr>
      </w:pPr>
    </w:p>
    <w:p w14:paraId="3445B390" w14:textId="614A83BC" w:rsidR="663CF8D3" w:rsidRDefault="663CF8D3" w:rsidP="371B20AB">
      <w:pPr>
        <w:spacing w:line="360" w:lineRule="auto"/>
        <w:rPr>
          <w:b/>
          <w:bCs/>
          <w:i/>
          <w:iCs/>
          <w:sz w:val="28"/>
          <w:szCs w:val="28"/>
        </w:rPr>
      </w:pPr>
      <w:r w:rsidRPr="371B20AB">
        <w:rPr>
          <w:b/>
          <w:bCs/>
          <w:i/>
          <w:iCs/>
          <w:sz w:val="28"/>
          <w:szCs w:val="28"/>
        </w:rPr>
        <w:t>Physical Development.</w:t>
      </w:r>
    </w:p>
    <w:p w14:paraId="0356262D" w14:textId="102978DE" w:rsidR="0DD511AD" w:rsidRDefault="7BA49F9E" w:rsidP="371B20AB">
      <w:pPr>
        <w:spacing w:line="360" w:lineRule="auto"/>
        <w:rPr>
          <w:color w:val="000000" w:themeColor="text1"/>
          <w:sz w:val="28"/>
          <w:szCs w:val="28"/>
          <w:lang w:val="en-GB"/>
        </w:rPr>
      </w:pPr>
      <w:r w:rsidRPr="371B20AB">
        <w:rPr>
          <w:sz w:val="28"/>
          <w:szCs w:val="28"/>
        </w:rPr>
        <w:t>Physical de</w:t>
      </w:r>
      <w:r w:rsidR="455F7786" w:rsidRPr="371B20AB">
        <w:rPr>
          <w:sz w:val="28"/>
          <w:szCs w:val="28"/>
        </w:rPr>
        <w:t>velopment and physical literacy</w:t>
      </w:r>
      <w:r w:rsidR="08159DE0" w:rsidRPr="371B20AB">
        <w:rPr>
          <w:sz w:val="28"/>
          <w:szCs w:val="28"/>
        </w:rPr>
        <w:t xml:space="preserve"> are key to early learning,</w:t>
      </w:r>
      <w:r w:rsidR="4FFB9EE6" w:rsidRPr="371B20AB">
        <w:rPr>
          <w:sz w:val="28"/>
          <w:szCs w:val="28"/>
        </w:rPr>
        <w:t xml:space="preserve"> “m</w:t>
      </w:r>
      <w:r w:rsidR="2CC72243" w:rsidRPr="371B20AB">
        <w:rPr>
          <w:sz w:val="28"/>
          <w:szCs w:val="28"/>
        </w:rPr>
        <w:t>ovement is linked to cognition and learning, and engaging in physical activities can enhance children’s sense of belonging and well-being</w:t>
      </w:r>
      <w:r w:rsidR="1F2C14AA" w:rsidRPr="371B20AB">
        <w:rPr>
          <w:sz w:val="28"/>
          <w:szCs w:val="28"/>
        </w:rPr>
        <w:t xml:space="preserve"> (Welsh Government, 2022 p. 33).  Opportunities for freedom of movement within early</w:t>
      </w:r>
      <w:r w:rsidR="4129E0CE" w:rsidRPr="371B20AB">
        <w:rPr>
          <w:sz w:val="28"/>
          <w:szCs w:val="28"/>
        </w:rPr>
        <w:t xml:space="preserve"> years settings provide </w:t>
      </w:r>
      <w:r w:rsidR="389115F3" w:rsidRPr="371B20AB">
        <w:rPr>
          <w:sz w:val="28"/>
          <w:szCs w:val="28"/>
        </w:rPr>
        <w:t>children with a sense of competence and challenge</w:t>
      </w:r>
      <w:r w:rsidR="29149B71" w:rsidRPr="371B20AB">
        <w:rPr>
          <w:sz w:val="28"/>
          <w:szCs w:val="28"/>
        </w:rPr>
        <w:t xml:space="preserve"> (</w:t>
      </w:r>
      <w:r w:rsidR="29149B71" w:rsidRPr="371B20AB">
        <w:rPr>
          <w:color w:val="000000" w:themeColor="text1"/>
          <w:sz w:val="28"/>
          <w:szCs w:val="28"/>
          <w:lang w:val="en-GB"/>
        </w:rPr>
        <w:t xml:space="preserve">Seitz, 2007).  </w:t>
      </w:r>
      <w:r w:rsidR="25C67586" w:rsidRPr="371B20AB">
        <w:rPr>
          <w:color w:val="000000" w:themeColor="text1"/>
          <w:sz w:val="28"/>
          <w:szCs w:val="28"/>
          <w:lang w:val="en-GB"/>
        </w:rPr>
        <w:t>The ability of the practitioner to understand the child needs within this context is significant and requires effective observation and assessment</w:t>
      </w:r>
      <w:r w:rsidR="5A9C7657" w:rsidRPr="371B20AB">
        <w:rPr>
          <w:color w:val="000000" w:themeColor="text1"/>
          <w:sz w:val="28"/>
          <w:szCs w:val="28"/>
          <w:lang w:val="en-GB"/>
        </w:rPr>
        <w:t xml:space="preserve">, to create effective learning experiences Waters and Macdonald, 2022; Waters </w:t>
      </w:r>
      <w:r w:rsidR="78F7FE3D" w:rsidRPr="371B20AB">
        <w:rPr>
          <w:color w:val="000000" w:themeColor="text1"/>
          <w:sz w:val="28"/>
          <w:szCs w:val="28"/>
          <w:lang w:val="en-GB"/>
        </w:rPr>
        <w:t>et al. 2023).</w:t>
      </w:r>
    </w:p>
    <w:p w14:paraId="15F0CF16" w14:textId="598FA961" w:rsidR="0DD511AD" w:rsidRDefault="592D32F3" w:rsidP="371B20AB">
      <w:pPr>
        <w:spacing w:line="360" w:lineRule="auto"/>
        <w:rPr>
          <w:rFonts w:ascii="Calibri" w:eastAsia="Calibri" w:hAnsi="Calibri" w:cs="Calibri"/>
          <w:b/>
          <w:bCs/>
          <w:i/>
          <w:iCs/>
          <w:sz w:val="28"/>
          <w:szCs w:val="28"/>
        </w:rPr>
      </w:pPr>
      <w:r w:rsidRPr="371B20AB">
        <w:rPr>
          <w:rFonts w:ascii="Calibri" w:eastAsia="Calibri" w:hAnsi="Calibri" w:cs="Calibri"/>
          <w:b/>
          <w:bCs/>
          <w:i/>
          <w:iCs/>
          <w:sz w:val="28"/>
          <w:szCs w:val="28"/>
        </w:rPr>
        <w:t xml:space="preserve">Enabling Adults. </w:t>
      </w:r>
    </w:p>
    <w:p w14:paraId="64E186F3" w14:textId="325E2223" w:rsidR="0DD511AD" w:rsidRDefault="1DD18AF4" w:rsidP="50C2E9C8">
      <w:pPr>
        <w:spacing w:line="360" w:lineRule="auto"/>
        <w:rPr>
          <w:rFonts w:ascii="Calibri" w:eastAsia="Calibri" w:hAnsi="Calibri" w:cs="Calibri"/>
          <w:sz w:val="28"/>
          <w:szCs w:val="28"/>
        </w:rPr>
      </w:pPr>
      <w:r w:rsidRPr="371B20AB">
        <w:rPr>
          <w:rFonts w:ascii="Calibri" w:eastAsia="Calibri" w:hAnsi="Calibri" w:cs="Calibri"/>
          <w:sz w:val="28"/>
          <w:szCs w:val="28"/>
        </w:rPr>
        <w:t>The enabling adult is the term used by the Welsh Government (2022) to define</w:t>
      </w:r>
      <w:r w:rsidR="593611D1" w:rsidRPr="371B20AB">
        <w:rPr>
          <w:rFonts w:ascii="Calibri" w:eastAsia="Calibri" w:hAnsi="Calibri" w:cs="Calibri"/>
          <w:sz w:val="28"/>
          <w:szCs w:val="28"/>
        </w:rPr>
        <w:t xml:space="preserve"> the</w:t>
      </w:r>
      <w:r w:rsidRPr="371B20AB">
        <w:rPr>
          <w:rFonts w:ascii="Calibri" w:eastAsia="Calibri" w:hAnsi="Calibri" w:cs="Calibri"/>
          <w:sz w:val="28"/>
          <w:szCs w:val="28"/>
        </w:rPr>
        <w:t xml:space="preserve"> practitioners' role in the curriculum.</w:t>
      </w:r>
      <w:r w:rsidR="4FD1D4B2" w:rsidRPr="371B20AB">
        <w:rPr>
          <w:rFonts w:ascii="Calibri" w:eastAsia="Calibri" w:hAnsi="Calibri" w:cs="Calibri"/>
          <w:sz w:val="28"/>
          <w:szCs w:val="28"/>
        </w:rPr>
        <w:t xml:space="preserve">  The </w:t>
      </w:r>
      <w:r w:rsidR="674C335B" w:rsidRPr="371B20AB">
        <w:rPr>
          <w:rFonts w:ascii="Calibri" w:eastAsia="Calibri" w:hAnsi="Calibri" w:cs="Calibri"/>
          <w:sz w:val="28"/>
          <w:szCs w:val="28"/>
        </w:rPr>
        <w:t>enabling</w:t>
      </w:r>
      <w:r w:rsidR="4FD1D4B2" w:rsidRPr="371B20AB">
        <w:rPr>
          <w:rFonts w:ascii="Calibri" w:eastAsia="Calibri" w:hAnsi="Calibri" w:cs="Calibri"/>
          <w:sz w:val="28"/>
          <w:szCs w:val="28"/>
        </w:rPr>
        <w:t xml:space="preserve"> adult </w:t>
      </w:r>
      <w:r w:rsidR="303E82E3" w:rsidRPr="371B20AB">
        <w:rPr>
          <w:rFonts w:ascii="Calibri" w:eastAsia="Calibri" w:hAnsi="Calibri" w:cs="Calibri"/>
          <w:sz w:val="28"/>
          <w:szCs w:val="28"/>
        </w:rPr>
        <w:t>is the creator of</w:t>
      </w:r>
      <w:r w:rsidR="69420071" w:rsidRPr="371B20AB">
        <w:rPr>
          <w:rFonts w:ascii="Calibri" w:eastAsia="Calibri" w:hAnsi="Calibri" w:cs="Calibri"/>
          <w:sz w:val="28"/>
          <w:szCs w:val="28"/>
        </w:rPr>
        <w:t xml:space="preserve"> effective environments and engaging experiences central to the learning and progression of children within their settings. </w:t>
      </w:r>
      <w:r w:rsidR="303E82E3" w:rsidRPr="371B20AB">
        <w:rPr>
          <w:rFonts w:ascii="Calibri" w:eastAsia="Calibri" w:hAnsi="Calibri" w:cs="Calibri"/>
          <w:sz w:val="28"/>
          <w:szCs w:val="28"/>
        </w:rPr>
        <w:t xml:space="preserve"> </w:t>
      </w:r>
      <w:r w:rsidR="1F58EBB6" w:rsidRPr="371B20AB">
        <w:rPr>
          <w:rFonts w:ascii="Calibri" w:eastAsia="Calibri" w:hAnsi="Calibri" w:cs="Calibri"/>
          <w:sz w:val="28"/>
          <w:szCs w:val="28"/>
        </w:rPr>
        <w:t xml:space="preserve">The practitioner is expected to take the pedagogical principles and apply them to the learning environment facilitating holistic development. </w:t>
      </w:r>
      <w:r w:rsidR="040CCE4D" w:rsidRPr="371B20AB">
        <w:rPr>
          <w:rFonts w:ascii="Calibri" w:eastAsia="Calibri" w:hAnsi="Calibri" w:cs="Calibri"/>
          <w:sz w:val="28"/>
          <w:szCs w:val="28"/>
        </w:rPr>
        <w:t xml:space="preserve">Some attributes assigned to this role are responsive interpreters of </w:t>
      </w:r>
      <w:r w:rsidR="133BE9C0" w:rsidRPr="371B20AB">
        <w:rPr>
          <w:rFonts w:ascii="Calibri" w:eastAsia="Calibri" w:hAnsi="Calibri" w:cs="Calibri"/>
          <w:sz w:val="28"/>
          <w:szCs w:val="28"/>
        </w:rPr>
        <w:t>children's</w:t>
      </w:r>
      <w:r w:rsidR="040CCE4D" w:rsidRPr="371B20AB">
        <w:rPr>
          <w:rFonts w:ascii="Calibri" w:eastAsia="Calibri" w:hAnsi="Calibri" w:cs="Calibri"/>
          <w:sz w:val="28"/>
          <w:szCs w:val="28"/>
        </w:rPr>
        <w:t xml:space="preserve"> developmental needs, effective communicators, experts in child </w:t>
      </w:r>
      <w:r w:rsidR="301AF6D4" w:rsidRPr="371B20AB">
        <w:rPr>
          <w:rFonts w:ascii="Calibri" w:eastAsia="Calibri" w:hAnsi="Calibri" w:cs="Calibri"/>
          <w:sz w:val="28"/>
          <w:szCs w:val="28"/>
        </w:rPr>
        <w:t>development</w:t>
      </w:r>
      <w:r w:rsidR="0C3F34DB" w:rsidRPr="371B20AB">
        <w:rPr>
          <w:rFonts w:ascii="Calibri" w:eastAsia="Calibri" w:hAnsi="Calibri" w:cs="Calibri"/>
          <w:sz w:val="28"/>
          <w:szCs w:val="28"/>
        </w:rPr>
        <w:t xml:space="preserve"> (Welsh Government, 2021).</w:t>
      </w:r>
      <w:r w:rsidR="040CCE4D" w:rsidRPr="371B20AB">
        <w:rPr>
          <w:rFonts w:ascii="Calibri" w:eastAsia="Calibri" w:hAnsi="Calibri" w:cs="Calibri"/>
          <w:sz w:val="28"/>
          <w:szCs w:val="28"/>
        </w:rPr>
        <w:t xml:space="preserve"> </w:t>
      </w:r>
    </w:p>
    <w:p w14:paraId="2ED66AAF" w14:textId="091C8733" w:rsidR="0DD511AD" w:rsidRDefault="2C364CA3" w:rsidP="50C2E9C8">
      <w:pPr>
        <w:spacing w:line="360" w:lineRule="auto"/>
        <w:rPr>
          <w:rFonts w:ascii="Calibri" w:eastAsia="Calibri" w:hAnsi="Calibri" w:cs="Calibri"/>
          <w:color w:val="333333"/>
          <w:sz w:val="28"/>
          <w:szCs w:val="28"/>
        </w:rPr>
      </w:pPr>
      <w:r w:rsidRPr="371B20AB">
        <w:rPr>
          <w:rFonts w:ascii="Calibri" w:eastAsia="Calibri" w:hAnsi="Calibri" w:cs="Calibri"/>
          <w:sz w:val="28"/>
          <w:szCs w:val="28"/>
        </w:rPr>
        <w:lastRenderedPageBreak/>
        <w:t>Early years, professional practice is based on knowledge, skills and values which support the holistic development of children.</w:t>
      </w:r>
      <w:r w:rsidR="7C57585F" w:rsidRPr="371B20AB">
        <w:rPr>
          <w:rFonts w:ascii="Calibri" w:eastAsia="Calibri" w:hAnsi="Calibri" w:cs="Calibri"/>
          <w:sz w:val="28"/>
          <w:szCs w:val="28"/>
        </w:rPr>
        <w:t xml:space="preserve">  Also recognizing that the early years of a </w:t>
      </w:r>
      <w:r w:rsidR="197047F4" w:rsidRPr="371B20AB">
        <w:rPr>
          <w:rFonts w:ascii="Calibri" w:eastAsia="Calibri" w:hAnsi="Calibri" w:cs="Calibri"/>
          <w:sz w:val="28"/>
          <w:szCs w:val="28"/>
        </w:rPr>
        <w:t>child's</w:t>
      </w:r>
      <w:r w:rsidR="7C57585F" w:rsidRPr="371B20AB">
        <w:rPr>
          <w:rFonts w:ascii="Calibri" w:eastAsia="Calibri" w:hAnsi="Calibri" w:cs="Calibri"/>
          <w:sz w:val="28"/>
          <w:szCs w:val="28"/>
        </w:rPr>
        <w:t xml:space="preserve"> life are foundational to their learning and development </w:t>
      </w:r>
      <w:r w:rsidR="29E3E942" w:rsidRPr="371B20AB">
        <w:rPr>
          <w:rFonts w:ascii="Calibri" w:eastAsia="Calibri" w:hAnsi="Calibri" w:cs="Calibri"/>
          <w:sz w:val="28"/>
          <w:szCs w:val="28"/>
        </w:rPr>
        <w:t>(</w:t>
      </w:r>
      <w:r w:rsidR="29E3E942" w:rsidRPr="371B20AB">
        <w:rPr>
          <w:rFonts w:ascii="Calibri" w:eastAsia="Calibri" w:hAnsi="Calibri" w:cs="Calibri"/>
          <w:color w:val="000000" w:themeColor="text1"/>
          <w:sz w:val="28"/>
          <w:szCs w:val="28"/>
        </w:rPr>
        <w:t>Early Years Work Force Commission, 2021</w:t>
      </w:r>
      <w:r w:rsidR="29E3E942" w:rsidRPr="371B20AB">
        <w:rPr>
          <w:rFonts w:ascii="Calibri" w:eastAsia="Calibri" w:hAnsi="Calibri" w:cs="Calibri"/>
          <w:i/>
          <w:iCs/>
          <w:color w:val="000000" w:themeColor="text1"/>
          <w:sz w:val="28"/>
          <w:szCs w:val="28"/>
        </w:rPr>
        <w:t xml:space="preserve">). </w:t>
      </w:r>
      <w:r w:rsidR="6A9444CB" w:rsidRPr="371B20AB">
        <w:rPr>
          <w:rFonts w:ascii="Calibri" w:eastAsia="Calibri" w:hAnsi="Calibri" w:cs="Calibri"/>
          <w:color w:val="000000" w:themeColor="text1"/>
          <w:sz w:val="28"/>
          <w:szCs w:val="28"/>
        </w:rPr>
        <w:t xml:space="preserve">The early years environment is often </w:t>
      </w:r>
      <w:r w:rsidR="1A4674BC" w:rsidRPr="371B20AB">
        <w:rPr>
          <w:rFonts w:ascii="Calibri" w:eastAsia="Calibri" w:hAnsi="Calibri" w:cs="Calibri"/>
          <w:color w:val="000000" w:themeColor="text1"/>
          <w:sz w:val="28"/>
          <w:szCs w:val="28"/>
        </w:rPr>
        <w:t>lively</w:t>
      </w:r>
      <w:r w:rsidR="6A9444CB" w:rsidRPr="371B20AB">
        <w:rPr>
          <w:rFonts w:ascii="Calibri" w:eastAsia="Calibri" w:hAnsi="Calibri" w:cs="Calibri"/>
          <w:color w:val="000000" w:themeColor="text1"/>
          <w:sz w:val="28"/>
          <w:szCs w:val="28"/>
        </w:rPr>
        <w:t xml:space="preserve">, </w:t>
      </w:r>
      <w:r w:rsidR="7C905C6A" w:rsidRPr="371B20AB">
        <w:rPr>
          <w:rFonts w:ascii="Calibri" w:eastAsia="Calibri" w:hAnsi="Calibri" w:cs="Calibri"/>
          <w:color w:val="000000" w:themeColor="text1"/>
          <w:sz w:val="28"/>
          <w:szCs w:val="28"/>
        </w:rPr>
        <w:t xml:space="preserve">fast moving, </w:t>
      </w:r>
      <w:r w:rsidR="6A9444CB" w:rsidRPr="371B20AB">
        <w:rPr>
          <w:rFonts w:ascii="Calibri" w:eastAsia="Calibri" w:hAnsi="Calibri" w:cs="Calibri"/>
          <w:color w:val="000000" w:themeColor="text1"/>
          <w:sz w:val="28"/>
          <w:szCs w:val="28"/>
        </w:rPr>
        <w:t xml:space="preserve">and challenging, requiring the full </w:t>
      </w:r>
      <w:r w:rsidR="1327F8F3" w:rsidRPr="371B20AB">
        <w:rPr>
          <w:rFonts w:ascii="Calibri" w:eastAsia="Calibri" w:hAnsi="Calibri" w:cs="Calibri"/>
          <w:color w:val="000000" w:themeColor="text1"/>
          <w:sz w:val="28"/>
          <w:szCs w:val="28"/>
        </w:rPr>
        <w:t>engagement</w:t>
      </w:r>
      <w:r w:rsidR="6A9444CB" w:rsidRPr="371B20AB">
        <w:rPr>
          <w:rFonts w:ascii="Calibri" w:eastAsia="Calibri" w:hAnsi="Calibri" w:cs="Calibri"/>
          <w:color w:val="000000" w:themeColor="text1"/>
          <w:sz w:val="28"/>
          <w:szCs w:val="28"/>
        </w:rPr>
        <w:t xml:space="preserve"> </w:t>
      </w:r>
      <w:r w:rsidR="5ADBCB8A" w:rsidRPr="371B20AB">
        <w:rPr>
          <w:rFonts w:ascii="Calibri" w:eastAsia="Calibri" w:hAnsi="Calibri" w:cs="Calibri"/>
          <w:color w:val="000000" w:themeColor="text1"/>
          <w:sz w:val="28"/>
          <w:szCs w:val="28"/>
        </w:rPr>
        <w:t>of</w:t>
      </w:r>
      <w:r w:rsidR="6A9444CB" w:rsidRPr="371B20AB">
        <w:rPr>
          <w:rFonts w:ascii="Calibri" w:eastAsia="Calibri" w:hAnsi="Calibri" w:cs="Calibri"/>
          <w:color w:val="000000" w:themeColor="text1"/>
          <w:sz w:val="28"/>
          <w:szCs w:val="28"/>
        </w:rPr>
        <w:t xml:space="preserve"> </w:t>
      </w:r>
      <w:r w:rsidR="0FAEB012" w:rsidRPr="371B20AB">
        <w:rPr>
          <w:rFonts w:ascii="Calibri" w:eastAsia="Calibri" w:hAnsi="Calibri" w:cs="Calibri"/>
          <w:color w:val="000000" w:themeColor="text1"/>
          <w:sz w:val="28"/>
          <w:szCs w:val="28"/>
        </w:rPr>
        <w:t xml:space="preserve">practitioners in creating environments that enable authentic </w:t>
      </w:r>
      <w:r w:rsidR="258A1AC0" w:rsidRPr="371B20AB">
        <w:rPr>
          <w:rFonts w:ascii="Calibri" w:eastAsia="Calibri" w:hAnsi="Calibri" w:cs="Calibri"/>
          <w:color w:val="000000" w:themeColor="text1"/>
          <w:sz w:val="28"/>
          <w:szCs w:val="28"/>
        </w:rPr>
        <w:t>learning</w:t>
      </w:r>
      <w:r w:rsidR="0FAEB012" w:rsidRPr="371B20AB">
        <w:rPr>
          <w:rFonts w:ascii="Calibri" w:eastAsia="Calibri" w:hAnsi="Calibri" w:cs="Calibri"/>
          <w:color w:val="000000" w:themeColor="text1"/>
          <w:sz w:val="28"/>
          <w:szCs w:val="28"/>
        </w:rPr>
        <w:t xml:space="preserve"> and </w:t>
      </w:r>
      <w:r w:rsidR="3C6E4691" w:rsidRPr="371B20AB">
        <w:rPr>
          <w:rFonts w:ascii="Calibri" w:eastAsia="Calibri" w:hAnsi="Calibri" w:cs="Calibri"/>
          <w:color w:val="000000" w:themeColor="text1"/>
          <w:sz w:val="28"/>
          <w:szCs w:val="28"/>
        </w:rPr>
        <w:t xml:space="preserve">engaging </w:t>
      </w:r>
      <w:r w:rsidR="0FAEB012" w:rsidRPr="371B20AB">
        <w:rPr>
          <w:rFonts w:ascii="Calibri" w:eastAsia="Calibri" w:hAnsi="Calibri" w:cs="Calibri"/>
          <w:color w:val="000000" w:themeColor="text1"/>
          <w:sz w:val="28"/>
          <w:szCs w:val="28"/>
        </w:rPr>
        <w:t>experiences</w:t>
      </w:r>
      <w:r w:rsidR="40C8604D" w:rsidRPr="371B20AB">
        <w:rPr>
          <w:rFonts w:ascii="Calibri" w:eastAsia="Calibri" w:hAnsi="Calibri" w:cs="Calibri"/>
          <w:color w:val="333333"/>
          <w:sz w:val="28"/>
          <w:szCs w:val="28"/>
        </w:rPr>
        <w:t xml:space="preserve"> </w:t>
      </w:r>
      <w:r w:rsidR="40C8604D" w:rsidRPr="371B20AB">
        <w:rPr>
          <w:rFonts w:ascii="Calibri" w:eastAsia="Calibri" w:hAnsi="Calibri" w:cs="Calibri"/>
          <w:sz w:val="28"/>
          <w:szCs w:val="28"/>
        </w:rPr>
        <w:t xml:space="preserve">(Hyson, and Tomlinson, 2014). </w:t>
      </w:r>
      <w:r w:rsidR="40C8604D" w:rsidRPr="371B20AB">
        <w:rPr>
          <w:rFonts w:ascii="Calibri" w:eastAsia="Calibri" w:hAnsi="Calibri" w:cs="Calibri"/>
          <w:color w:val="333333"/>
          <w:sz w:val="28"/>
          <w:szCs w:val="28"/>
        </w:rPr>
        <w:t xml:space="preserve"> </w:t>
      </w:r>
      <w:r w:rsidR="2E44D1A6" w:rsidRPr="371B20AB">
        <w:rPr>
          <w:rFonts w:ascii="Calibri" w:eastAsia="Calibri" w:hAnsi="Calibri" w:cs="Calibri"/>
          <w:color w:val="333333"/>
          <w:sz w:val="28"/>
          <w:szCs w:val="28"/>
        </w:rPr>
        <w:t>This holistic understanding of the child supports the practitioner's ability to effectively create an environment that supports the curriculum's pedagogical principles.</w:t>
      </w:r>
      <w:r w:rsidR="2152CAF9" w:rsidRPr="371B20AB">
        <w:rPr>
          <w:rFonts w:ascii="Calibri" w:eastAsia="Calibri" w:hAnsi="Calibri" w:cs="Calibri"/>
          <w:color w:val="333333"/>
          <w:sz w:val="28"/>
          <w:szCs w:val="28"/>
        </w:rPr>
        <w:t xml:space="preserve"> Gasper (2014) </w:t>
      </w:r>
      <w:r w:rsidR="5A5D397E" w:rsidRPr="371B20AB">
        <w:rPr>
          <w:rFonts w:ascii="Calibri" w:eastAsia="Calibri" w:hAnsi="Calibri" w:cs="Calibri"/>
          <w:color w:val="333333"/>
          <w:sz w:val="28"/>
          <w:szCs w:val="28"/>
        </w:rPr>
        <w:t xml:space="preserve">describes this as a </w:t>
      </w:r>
      <w:r w:rsidR="36ECF2E4" w:rsidRPr="371B20AB">
        <w:rPr>
          <w:rFonts w:ascii="Calibri" w:eastAsia="Calibri" w:hAnsi="Calibri" w:cs="Calibri"/>
          <w:color w:val="333333"/>
          <w:sz w:val="28"/>
          <w:szCs w:val="28"/>
        </w:rPr>
        <w:t>professional</w:t>
      </w:r>
      <w:r w:rsidR="5A5D397E" w:rsidRPr="371B20AB">
        <w:rPr>
          <w:rFonts w:ascii="Calibri" w:eastAsia="Calibri" w:hAnsi="Calibri" w:cs="Calibri"/>
          <w:color w:val="333333"/>
          <w:sz w:val="28"/>
          <w:szCs w:val="28"/>
        </w:rPr>
        <w:t xml:space="preserve"> who combines a theoretical </w:t>
      </w:r>
      <w:r w:rsidR="15DB8E3F" w:rsidRPr="371B20AB">
        <w:rPr>
          <w:rFonts w:ascii="Calibri" w:eastAsia="Calibri" w:hAnsi="Calibri" w:cs="Calibri"/>
          <w:color w:val="333333"/>
          <w:sz w:val="28"/>
          <w:szCs w:val="28"/>
        </w:rPr>
        <w:t>understanding</w:t>
      </w:r>
      <w:r w:rsidR="5A5D397E" w:rsidRPr="371B20AB">
        <w:rPr>
          <w:rFonts w:ascii="Calibri" w:eastAsia="Calibri" w:hAnsi="Calibri" w:cs="Calibri"/>
          <w:color w:val="333333"/>
          <w:sz w:val="28"/>
          <w:szCs w:val="28"/>
        </w:rPr>
        <w:t xml:space="preserve"> of the child with </w:t>
      </w:r>
      <w:r w:rsidR="79A879FE" w:rsidRPr="371B20AB">
        <w:rPr>
          <w:rFonts w:ascii="Calibri" w:eastAsia="Calibri" w:hAnsi="Calibri" w:cs="Calibri"/>
          <w:color w:val="333333"/>
          <w:sz w:val="28"/>
          <w:szCs w:val="28"/>
        </w:rPr>
        <w:t>application</w:t>
      </w:r>
      <w:r w:rsidR="5A5D397E" w:rsidRPr="371B20AB">
        <w:rPr>
          <w:rFonts w:ascii="Calibri" w:eastAsia="Calibri" w:hAnsi="Calibri" w:cs="Calibri"/>
          <w:color w:val="333333"/>
          <w:sz w:val="28"/>
          <w:szCs w:val="28"/>
        </w:rPr>
        <w:t xml:space="preserve"> to practice in a refle</w:t>
      </w:r>
      <w:r w:rsidR="0899ABE2" w:rsidRPr="371B20AB">
        <w:rPr>
          <w:rFonts w:ascii="Calibri" w:eastAsia="Calibri" w:hAnsi="Calibri" w:cs="Calibri"/>
          <w:color w:val="333333"/>
          <w:sz w:val="28"/>
          <w:szCs w:val="28"/>
        </w:rPr>
        <w:t xml:space="preserve">ctive way to consistently innovate </w:t>
      </w:r>
      <w:r w:rsidR="0C7531A4" w:rsidRPr="371B20AB">
        <w:rPr>
          <w:rFonts w:ascii="Calibri" w:eastAsia="Calibri" w:hAnsi="Calibri" w:cs="Calibri"/>
          <w:color w:val="333333"/>
          <w:sz w:val="28"/>
          <w:szCs w:val="28"/>
        </w:rPr>
        <w:t>an</w:t>
      </w:r>
      <w:r w:rsidR="0899ABE2" w:rsidRPr="371B20AB">
        <w:rPr>
          <w:rFonts w:ascii="Calibri" w:eastAsia="Calibri" w:hAnsi="Calibri" w:cs="Calibri"/>
          <w:color w:val="333333"/>
          <w:sz w:val="28"/>
          <w:szCs w:val="28"/>
        </w:rPr>
        <w:t xml:space="preserve">d enhance the learning experiences of children. </w:t>
      </w:r>
    </w:p>
    <w:p w14:paraId="5DE70287" w14:textId="6189EA23" w:rsidR="0DD511AD" w:rsidRDefault="4854EF0A" w:rsidP="50C2E9C8">
      <w:pPr>
        <w:spacing w:line="360" w:lineRule="auto"/>
        <w:rPr>
          <w:rFonts w:ascii="Calibri" w:eastAsia="Calibri" w:hAnsi="Calibri" w:cs="Calibri"/>
          <w:sz w:val="28"/>
          <w:szCs w:val="28"/>
        </w:rPr>
      </w:pPr>
      <w:r w:rsidRPr="371B20AB">
        <w:rPr>
          <w:rFonts w:ascii="Calibri" w:eastAsia="Calibri" w:hAnsi="Calibri" w:cs="Calibri"/>
          <w:sz w:val="28"/>
          <w:szCs w:val="28"/>
        </w:rPr>
        <w:t xml:space="preserve">This research study aims to explore the thoughts, </w:t>
      </w:r>
      <w:proofErr w:type="gramStart"/>
      <w:r w:rsidRPr="371B20AB">
        <w:rPr>
          <w:rFonts w:ascii="Calibri" w:eastAsia="Calibri" w:hAnsi="Calibri" w:cs="Calibri"/>
          <w:sz w:val="28"/>
          <w:szCs w:val="28"/>
        </w:rPr>
        <w:t>feelings</w:t>
      </w:r>
      <w:proofErr w:type="gramEnd"/>
      <w:r w:rsidRPr="371B20AB">
        <w:rPr>
          <w:rFonts w:ascii="Calibri" w:eastAsia="Calibri" w:hAnsi="Calibri" w:cs="Calibri"/>
          <w:sz w:val="28"/>
          <w:szCs w:val="28"/>
        </w:rPr>
        <w:t xml:space="preserve"> and experiences of early years practitioners to evaluate their experiences of the concept of the enabling adult.</w:t>
      </w:r>
      <w:r w:rsidR="27565D7B" w:rsidRPr="371B20AB">
        <w:rPr>
          <w:rFonts w:ascii="Calibri" w:eastAsia="Calibri" w:hAnsi="Calibri" w:cs="Calibri"/>
          <w:sz w:val="28"/>
          <w:szCs w:val="28"/>
        </w:rPr>
        <w:t xml:space="preserve"> </w:t>
      </w:r>
      <w:r w:rsidR="38446712" w:rsidRPr="371B20AB">
        <w:rPr>
          <w:rFonts w:ascii="Calibri" w:eastAsia="Calibri" w:hAnsi="Calibri" w:cs="Calibri"/>
          <w:sz w:val="28"/>
          <w:szCs w:val="28"/>
        </w:rPr>
        <w:t xml:space="preserve">This may well be influenced by their conception of the term professional and how it </w:t>
      </w:r>
      <w:r w:rsidR="1EDC693F" w:rsidRPr="371B20AB">
        <w:rPr>
          <w:rFonts w:ascii="Calibri" w:eastAsia="Calibri" w:hAnsi="Calibri" w:cs="Calibri"/>
          <w:sz w:val="28"/>
          <w:szCs w:val="28"/>
        </w:rPr>
        <w:t>applies to</w:t>
      </w:r>
      <w:r w:rsidR="38446712" w:rsidRPr="371B20AB">
        <w:rPr>
          <w:rFonts w:ascii="Calibri" w:eastAsia="Calibri" w:hAnsi="Calibri" w:cs="Calibri"/>
          <w:sz w:val="28"/>
          <w:szCs w:val="28"/>
        </w:rPr>
        <w:t xml:space="preserve"> their identity </w:t>
      </w:r>
      <w:r w:rsidR="2BC39292" w:rsidRPr="371B20AB">
        <w:rPr>
          <w:rFonts w:ascii="Calibri" w:eastAsia="Calibri" w:hAnsi="Calibri" w:cs="Calibri"/>
          <w:sz w:val="28"/>
          <w:szCs w:val="28"/>
        </w:rPr>
        <w:t xml:space="preserve">as practitioners in the early </w:t>
      </w:r>
      <w:r w:rsidR="1CEF904F" w:rsidRPr="371B20AB">
        <w:rPr>
          <w:rFonts w:ascii="Calibri" w:eastAsia="Calibri" w:hAnsi="Calibri" w:cs="Calibri"/>
          <w:sz w:val="28"/>
          <w:szCs w:val="28"/>
        </w:rPr>
        <w:t>years</w:t>
      </w:r>
      <w:r w:rsidR="0FC396F3" w:rsidRPr="371B20AB">
        <w:rPr>
          <w:rFonts w:ascii="Calibri" w:eastAsia="Calibri" w:hAnsi="Calibri" w:cs="Calibri"/>
          <w:sz w:val="28"/>
          <w:szCs w:val="28"/>
        </w:rPr>
        <w:t xml:space="preserve"> (McGillivray, 2008)</w:t>
      </w:r>
      <w:r w:rsidR="2BC39292" w:rsidRPr="371B20AB">
        <w:rPr>
          <w:rFonts w:ascii="Calibri" w:eastAsia="Calibri" w:hAnsi="Calibri" w:cs="Calibri"/>
          <w:sz w:val="28"/>
          <w:szCs w:val="28"/>
        </w:rPr>
        <w:t xml:space="preserve">. </w:t>
      </w:r>
      <w:r w:rsidR="5460D017" w:rsidRPr="371B20AB">
        <w:rPr>
          <w:rFonts w:ascii="Calibri" w:eastAsia="Calibri" w:hAnsi="Calibri" w:cs="Calibri"/>
          <w:sz w:val="28"/>
          <w:szCs w:val="28"/>
        </w:rPr>
        <w:t xml:space="preserve">The concept of professionalism within early years practice has been explored by Miller (2008) </w:t>
      </w:r>
      <w:r w:rsidR="1AB1CF4D" w:rsidRPr="371B20AB">
        <w:rPr>
          <w:rFonts w:ascii="Calibri" w:eastAsia="Calibri" w:hAnsi="Calibri" w:cs="Calibri"/>
          <w:sz w:val="28"/>
          <w:szCs w:val="28"/>
        </w:rPr>
        <w:t xml:space="preserve">who found that practitioners struggled with the status of professional.  </w:t>
      </w:r>
      <w:r w:rsidR="34678930" w:rsidRPr="371B20AB">
        <w:rPr>
          <w:rFonts w:ascii="Calibri" w:eastAsia="Calibri" w:hAnsi="Calibri" w:cs="Calibri"/>
          <w:sz w:val="28"/>
          <w:szCs w:val="28"/>
        </w:rPr>
        <w:t>However,</w:t>
      </w:r>
      <w:r w:rsidR="1AB1CF4D" w:rsidRPr="371B20AB">
        <w:rPr>
          <w:rFonts w:ascii="Calibri" w:eastAsia="Calibri" w:hAnsi="Calibri" w:cs="Calibri"/>
          <w:sz w:val="28"/>
          <w:szCs w:val="28"/>
        </w:rPr>
        <w:t xml:space="preserve"> the fram</w:t>
      </w:r>
      <w:r w:rsidR="01F3CF76" w:rsidRPr="371B20AB">
        <w:rPr>
          <w:rFonts w:ascii="Calibri" w:eastAsia="Calibri" w:hAnsi="Calibri" w:cs="Calibri"/>
          <w:sz w:val="28"/>
          <w:szCs w:val="28"/>
        </w:rPr>
        <w:t>in</w:t>
      </w:r>
      <w:r w:rsidR="1AB1CF4D" w:rsidRPr="371B20AB">
        <w:rPr>
          <w:rFonts w:ascii="Calibri" w:eastAsia="Calibri" w:hAnsi="Calibri" w:cs="Calibri"/>
          <w:sz w:val="28"/>
          <w:szCs w:val="28"/>
        </w:rPr>
        <w:t xml:space="preserve">g of the </w:t>
      </w:r>
      <w:r w:rsidR="3C24B4AF" w:rsidRPr="371B20AB">
        <w:rPr>
          <w:rFonts w:ascii="Calibri" w:eastAsia="Calibri" w:hAnsi="Calibri" w:cs="Calibri"/>
          <w:sz w:val="28"/>
          <w:szCs w:val="28"/>
        </w:rPr>
        <w:t>early</w:t>
      </w:r>
      <w:r w:rsidR="1AB1CF4D" w:rsidRPr="371B20AB">
        <w:rPr>
          <w:rFonts w:ascii="Calibri" w:eastAsia="Calibri" w:hAnsi="Calibri" w:cs="Calibri"/>
          <w:sz w:val="28"/>
          <w:szCs w:val="28"/>
        </w:rPr>
        <w:t xml:space="preserve"> years practitioner within the curriculum </w:t>
      </w:r>
      <w:r w:rsidR="59B0C871" w:rsidRPr="371B20AB">
        <w:rPr>
          <w:rFonts w:ascii="Calibri" w:eastAsia="Calibri" w:hAnsi="Calibri" w:cs="Calibri"/>
          <w:sz w:val="28"/>
          <w:szCs w:val="28"/>
        </w:rPr>
        <w:t>emphasizes</w:t>
      </w:r>
      <w:r w:rsidR="1AB1CF4D" w:rsidRPr="371B20AB">
        <w:rPr>
          <w:rFonts w:ascii="Calibri" w:eastAsia="Calibri" w:hAnsi="Calibri" w:cs="Calibri"/>
          <w:sz w:val="28"/>
          <w:szCs w:val="28"/>
        </w:rPr>
        <w:t xml:space="preserve"> the skills </w:t>
      </w:r>
      <w:r w:rsidR="59246723" w:rsidRPr="371B20AB">
        <w:rPr>
          <w:rFonts w:ascii="Calibri" w:eastAsia="Calibri" w:hAnsi="Calibri" w:cs="Calibri"/>
          <w:sz w:val="28"/>
          <w:szCs w:val="28"/>
        </w:rPr>
        <w:t>knowledge</w:t>
      </w:r>
      <w:r w:rsidR="2BD13F89" w:rsidRPr="371B20AB">
        <w:rPr>
          <w:rFonts w:ascii="Calibri" w:eastAsia="Calibri" w:hAnsi="Calibri" w:cs="Calibri"/>
          <w:sz w:val="28"/>
          <w:szCs w:val="28"/>
        </w:rPr>
        <w:t xml:space="preserve"> and understanding </w:t>
      </w:r>
      <w:r w:rsidR="43707974" w:rsidRPr="371B20AB">
        <w:rPr>
          <w:rFonts w:ascii="Calibri" w:eastAsia="Calibri" w:hAnsi="Calibri" w:cs="Calibri"/>
          <w:sz w:val="28"/>
          <w:szCs w:val="28"/>
        </w:rPr>
        <w:t>required</w:t>
      </w:r>
      <w:r w:rsidR="2BD13F89" w:rsidRPr="371B20AB">
        <w:rPr>
          <w:rFonts w:ascii="Calibri" w:eastAsia="Calibri" w:hAnsi="Calibri" w:cs="Calibri"/>
          <w:sz w:val="28"/>
          <w:szCs w:val="28"/>
        </w:rPr>
        <w:t xml:space="preserve"> to enable and </w:t>
      </w:r>
      <w:r w:rsidR="4C9D30C0" w:rsidRPr="371B20AB">
        <w:rPr>
          <w:rFonts w:ascii="Calibri" w:eastAsia="Calibri" w:hAnsi="Calibri" w:cs="Calibri"/>
          <w:sz w:val="28"/>
          <w:szCs w:val="28"/>
        </w:rPr>
        <w:t>facilitate</w:t>
      </w:r>
      <w:r w:rsidR="2BD13F89" w:rsidRPr="371B20AB">
        <w:rPr>
          <w:rFonts w:ascii="Calibri" w:eastAsia="Calibri" w:hAnsi="Calibri" w:cs="Calibri"/>
          <w:sz w:val="28"/>
          <w:szCs w:val="28"/>
        </w:rPr>
        <w:t xml:space="preserve"> the effective </w:t>
      </w:r>
      <w:r w:rsidR="3CC7179F" w:rsidRPr="371B20AB">
        <w:rPr>
          <w:rFonts w:ascii="Calibri" w:eastAsia="Calibri" w:hAnsi="Calibri" w:cs="Calibri"/>
          <w:sz w:val="28"/>
          <w:szCs w:val="28"/>
        </w:rPr>
        <w:t>implementation</w:t>
      </w:r>
      <w:r w:rsidR="2BD13F89" w:rsidRPr="371B20AB">
        <w:rPr>
          <w:rFonts w:ascii="Calibri" w:eastAsia="Calibri" w:hAnsi="Calibri" w:cs="Calibri"/>
          <w:sz w:val="28"/>
          <w:szCs w:val="28"/>
        </w:rPr>
        <w:t xml:space="preserve"> of </w:t>
      </w:r>
      <w:r w:rsidR="6BBDC63E" w:rsidRPr="371B20AB">
        <w:rPr>
          <w:rFonts w:ascii="Calibri" w:eastAsia="Calibri" w:hAnsi="Calibri" w:cs="Calibri"/>
          <w:sz w:val="28"/>
          <w:szCs w:val="28"/>
        </w:rPr>
        <w:t>the</w:t>
      </w:r>
      <w:r w:rsidR="2BD13F89" w:rsidRPr="371B20AB">
        <w:rPr>
          <w:rFonts w:ascii="Calibri" w:eastAsia="Calibri" w:hAnsi="Calibri" w:cs="Calibri"/>
          <w:sz w:val="28"/>
          <w:szCs w:val="28"/>
        </w:rPr>
        <w:t xml:space="preserve"> </w:t>
      </w:r>
      <w:r w:rsidR="5FF76DC4" w:rsidRPr="371B20AB">
        <w:rPr>
          <w:rFonts w:ascii="Calibri" w:eastAsia="Calibri" w:hAnsi="Calibri" w:cs="Calibri"/>
          <w:sz w:val="28"/>
          <w:szCs w:val="28"/>
        </w:rPr>
        <w:t>C</w:t>
      </w:r>
      <w:r w:rsidR="2BD13F89" w:rsidRPr="371B20AB">
        <w:rPr>
          <w:rFonts w:ascii="Calibri" w:eastAsia="Calibri" w:hAnsi="Calibri" w:cs="Calibri"/>
          <w:sz w:val="28"/>
          <w:szCs w:val="28"/>
        </w:rPr>
        <w:t xml:space="preserve">urriculum for </w:t>
      </w:r>
      <w:r w:rsidR="05AACFC5" w:rsidRPr="371B20AB">
        <w:rPr>
          <w:rFonts w:ascii="Calibri" w:eastAsia="Calibri" w:hAnsi="Calibri" w:cs="Calibri"/>
          <w:sz w:val="28"/>
          <w:szCs w:val="28"/>
        </w:rPr>
        <w:t>N</w:t>
      </w:r>
      <w:r w:rsidR="771ED0CA" w:rsidRPr="371B20AB">
        <w:rPr>
          <w:rFonts w:ascii="Calibri" w:eastAsia="Calibri" w:hAnsi="Calibri" w:cs="Calibri"/>
          <w:sz w:val="28"/>
          <w:szCs w:val="28"/>
        </w:rPr>
        <w:t>on-</w:t>
      </w:r>
      <w:r w:rsidR="08678DB2" w:rsidRPr="371B20AB">
        <w:rPr>
          <w:rFonts w:ascii="Calibri" w:eastAsia="Calibri" w:hAnsi="Calibri" w:cs="Calibri"/>
          <w:sz w:val="28"/>
          <w:szCs w:val="28"/>
        </w:rPr>
        <w:t>M</w:t>
      </w:r>
      <w:r w:rsidR="771ED0CA" w:rsidRPr="371B20AB">
        <w:rPr>
          <w:rFonts w:ascii="Calibri" w:eastAsia="Calibri" w:hAnsi="Calibri" w:cs="Calibri"/>
          <w:sz w:val="28"/>
          <w:szCs w:val="28"/>
        </w:rPr>
        <w:t>aintained</w:t>
      </w:r>
      <w:r w:rsidR="2BD13F89" w:rsidRPr="371B20AB">
        <w:rPr>
          <w:rFonts w:ascii="Calibri" w:eastAsia="Calibri" w:hAnsi="Calibri" w:cs="Calibri"/>
          <w:sz w:val="28"/>
          <w:szCs w:val="28"/>
        </w:rPr>
        <w:t xml:space="preserve"> </w:t>
      </w:r>
      <w:r w:rsidR="5BD26D21" w:rsidRPr="371B20AB">
        <w:rPr>
          <w:rFonts w:ascii="Calibri" w:eastAsia="Calibri" w:hAnsi="Calibri" w:cs="Calibri"/>
          <w:sz w:val="28"/>
          <w:szCs w:val="28"/>
        </w:rPr>
        <w:t>S</w:t>
      </w:r>
      <w:r w:rsidR="6F8FA248" w:rsidRPr="371B20AB">
        <w:rPr>
          <w:rFonts w:ascii="Calibri" w:eastAsia="Calibri" w:hAnsi="Calibri" w:cs="Calibri"/>
          <w:sz w:val="28"/>
          <w:szCs w:val="28"/>
        </w:rPr>
        <w:t>ettings</w:t>
      </w:r>
      <w:r w:rsidR="2BD13F89" w:rsidRPr="371B20AB">
        <w:rPr>
          <w:rFonts w:ascii="Calibri" w:eastAsia="Calibri" w:hAnsi="Calibri" w:cs="Calibri"/>
          <w:sz w:val="28"/>
          <w:szCs w:val="28"/>
        </w:rPr>
        <w:t xml:space="preserve">. </w:t>
      </w:r>
    </w:p>
    <w:p w14:paraId="144BA8E3" w14:textId="718FA15D" w:rsidR="0DD511AD" w:rsidRDefault="42E1DF5A" w:rsidP="50C2E9C8">
      <w:pPr>
        <w:spacing w:line="360" w:lineRule="auto"/>
        <w:rPr>
          <w:rFonts w:ascii="Calibri" w:eastAsia="Calibri" w:hAnsi="Calibri" w:cs="Calibri"/>
          <w:sz w:val="28"/>
          <w:szCs w:val="28"/>
        </w:rPr>
      </w:pPr>
      <w:r w:rsidRPr="371B20AB">
        <w:rPr>
          <w:rFonts w:ascii="Calibri" w:eastAsia="Calibri" w:hAnsi="Calibri" w:cs="Calibri"/>
          <w:sz w:val="28"/>
          <w:szCs w:val="28"/>
        </w:rPr>
        <w:t>This literature</w:t>
      </w:r>
      <w:r w:rsidR="1755FF91" w:rsidRPr="371B20AB">
        <w:rPr>
          <w:rFonts w:ascii="Calibri" w:eastAsia="Calibri" w:hAnsi="Calibri" w:cs="Calibri"/>
          <w:sz w:val="28"/>
          <w:szCs w:val="28"/>
        </w:rPr>
        <w:t xml:space="preserve"> review</w:t>
      </w:r>
      <w:r w:rsidRPr="371B20AB">
        <w:rPr>
          <w:rFonts w:ascii="Calibri" w:eastAsia="Calibri" w:hAnsi="Calibri" w:cs="Calibri"/>
          <w:sz w:val="28"/>
          <w:szCs w:val="28"/>
        </w:rPr>
        <w:t xml:space="preserve"> has highlighted the significant principles that </w:t>
      </w:r>
      <w:r w:rsidR="1A40D645" w:rsidRPr="371B20AB">
        <w:rPr>
          <w:rFonts w:ascii="Calibri" w:eastAsia="Calibri" w:hAnsi="Calibri" w:cs="Calibri"/>
          <w:sz w:val="28"/>
          <w:szCs w:val="28"/>
        </w:rPr>
        <w:t>underpin</w:t>
      </w:r>
      <w:r w:rsidRPr="371B20AB">
        <w:rPr>
          <w:rFonts w:ascii="Calibri" w:eastAsia="Calibri" w:hAnsi="Calibri" w:cs="Calibri"/>
          <w:sz w:val="28"/>
          <w:szCs w:val="28"/>
        </w:rPr>
        <w:t xml:space="preserve"> the Curriculu</w:t>
      </w:r>
      <w:r w:rsidR="15D03D75" w:rsidRPr="371B20AB">
        <w:rPr>
          <w:rFonts w:ascii="Calibri" w:eastAsia="Calibri" w:hAnsi="Calibri" w:cs="Calibri"/>
          <w:sz w:val="28"/>
          <w:szCs w:val="28"/>
        </w:rPr>
        <w:t xml:space="preserve">m for </w:t>
      </w:r>
      <w:r w:rsidR="0B102B92" w:rsidRPr="371B20AB">
        <w:rPr>
          <w:rFonts w:ascii="Calibri" w:eastAsia="Calibri" w:hAnsi="Calibri" w:cs="Calibri"/>
          <w:sz w:val="28"/>
          <w:szCs w:val="28"/>
        </w:rPr>
        <w:t>Non-Maintained</w:t>
      </w:r>
      <w:r w:rsidR="15D03D75" w:rsidRPr="371B20AB">
        <w:rPr>
          <w:rFonts w:ascii="Calibri" w:eastAsia="Calibri" w:hAnsi="Calibri" w:cs="Calibri"/>
          <w:sz w:val="28"/>
          <w:szCs w:val="28"/>
        </w:rPr>
        <w:t xml:space="preserve"> </w:t>
      </w:r>
      <w:r w:rsidR="0E506107" w:rsidRPr="371B20AB">
        <w:rPr>
          <w:rFonts w:ascii="Calibri" w:eastAsia="Calibri" w:hAnsi="Calibri" w:cs="Calibri"/>
          <w:sz w:val="28"/>
          <w:szCs w:val="28"/>
        </w:rPr>
        <w:t>S</w:t>
      </w:r>
      <w:r w:rsidR="15D03D75" w:rsidRPr="371B20AB">
        <w:rPr>
          <w:rFonts w:ascii="Calibri" w:eastAsia="Calibri" w:hAnsi="Calibri" w:cs="Calibri"/>
          <w:sz w:val="28"/>
          <w:szCs w:val="28"/>
        </w:rPr>
        <w:t xml:space="preserve">ettings. </w:t>
      </w:r>
      <w:r w:rsidR="3454A7DF" w:rsidRPr="371B20AB">
        <w:rPr>
          <w:rFonts w:ascii="Calibri" w:eastAsia="Calibri" w:hAnsi="Calibri" w:cs="Calibri"/>
          <w:sz w:val="28"/>
          <w:szCs w:val="28"/>
        </w:rPr>
        <w:t xml:space="preserve">The emphasis is on the practitioner to </w:t>
      </w:r>
      <w:r w:rsidR="3454A7DF" w:rsidRPr="371B20AB">
        <w:rPr>
          <w:rFonts w:ascii="Calibri" w:eastAsia="Calibri" w:hAnsi="Calibri" w:cs="Calibri"/>
          <w:sz w:val="28"/>
          <w:szCs w:val="28"/>
        </w:rPr>
        <w:lastRenderedPageBreak/>
        <w:t>develop and evolve their practice to support the pedagogical principle</w:t>
      </w:r>
      <w:r w:rsidR="6A36A800" w:rsidRPr="371B20AB">
        <w:rPr>
          <w:rFonts w:ascii="Calibri" w:eastAsia="Calibri" w:hAnsi="Calibri" w:cs="Calibri"/>
          <w:sz w:val="28"/>
          <w:szCs w:val="28"/>
        </w:rPr>
        <w:t>s</w:t>
      </w:r>
      <w:r w:rsidR="3454A7DF" w:rsidRPr="371B20AB">
        <w:rPr>
          <w:rFonts w:ascii="Calibri" w:eastAsia="Calibri" w:hAnsi="Calibri" w:cs="Calibri"/>
          <w:sz w:val="28"/>
          <w:szCs w:val="28"/>
        </w:rPr>
        <w:t xml:space="preserve"> and the role of the enabling adult would appear to be the catalyst for this development.  </w:t>
      </w:r>
      <w:r w:rsidR="52B105F8" w:rsidRPr="371B20AB">
        <w:rPr>
          <w:rFonts w:ascii="Calibri" w:eastAsia="Calibri" w:hAnsi="Calibri" w:cs="Calibri"/>
          <w:sz w:val="28"/>
          <w:szCs w:val="28"/>
        </w:rPr>
        <w:t xml:space="preserve">The document highlights the complexity of holistic child development in the </w:t>
      </w:r>
      <w:r w:rsidR="0C60D4D0" w:rsidRPr="371B20AB">
        <w:rPr>
          <w:rFonts w:ascii="Calibri" w:eastAsia="Calibri" w:hAnsi="Calibri" w:cs="Calibri"/>
          <w:sz w:val="28"/>
          <w:szCs w:val="28"/>
        </w:rPr>
        <w:t>early</w:t>
      </w:r>
      <w:r w:rsidR="52B105F8" w:rsidRPr="371B20AB">
        <w:rPr>
          <w:rFonts w:ascii="Calibri" w:eastAsia="Calibri" w:hAnsi="Calibri" w:cs="Calibri"/>
          <w:sz w:val="28"/>
          <w:szCs w:val="28"/>
        </w:rPr>
        <w:t xml:space="preserve"> years and frames the practitioner as the expert in </w:t>
      </w:r>
      <w:r w:rsidR="1A280DBD" w:rsidRPr="371B20AB">
        <w:rPr>
          <w:rFonts w:ascii="Calibri" w:eastAsia="Calibri" w:hAnsi="Calibri" w:cs="Calibri"/>
          <w:sz w:val="28"/>
          <w:szCs w:val="28"/>
        </w:rPr>
        <w:t>facilitating</w:t>
      </w:r>
      <w:r w:rsidR="52B105F8" w:rsidRPr="371B20AB">
        <w:rPr>
          <w:rFonts w:ascii="Calibri" w:eastAsia="Calibri" w:hAnsi="Calibri" w:cs="Calibri"/>
          <w:sz w:val="28"/>
          <w:szCs w:val="28"/>
        </w:rPr>
        <w:t xml:space="preserve"> and engaging with children in a thoughtfully created environment to </w:t>
      </w:r>
      <w:r w:rsidR="6D08A2DD" w:rsidRPr="371B20AB">
        <w:rPr>
          <w:rFonts w:ascii="Calibri" w:eastAsia="Calibri" w:hAnsi="Calibri" w:cs="Calibri"/>
          <w:sz w:val="28"/>
          <w:szCs w:val="28"/>
        </w:rPr>
        <w:t xml:space="preserve">enable children to have </w:t>
      </w:r>
      <w:r w:rsidR="168FD91D" w:rsidRPr="371B20AB">
        <w:rPr>
          <w:rFonts w:ascii="Calibri" w:eastAsia="Calibri" w:hAnsi="Calibri" w:cs="Calibri"/>
          <w:sz w:val="28"/>
          <w:szCs w:val="28"/>
        </w:rPr>
        <w:t>engaging</w:t>
      </w:r>
      <w:r w:rsidR="6D08A2DD" w:rsidRPr="371B20AB">
        <w:rPr>
          <w:rFonts w:ascii="Calibri" w:eastAsia="Calibri" w:hAnsi="Calibri" w:cs="Calibri"/>
          <w:sz w:val="28"/>
          <w:szCs w:val="28"/>
        </w:rPr>
        <w:t xml:space="preserve"> </w:t>
      </w:r>
      <w:r w:rsidR="78785C29" w:rsidRPr="371B20AB">
        <w:rPr>
          <w:rFonts w:ascii="Calibri" w:eastAsia="Calibri" w:hAnsi="Calibri" w:cs="Calibri"/>
          <w:sz w:val="28"/>
          <w:szCs w:val="28"/>
        </w:rPr>
        <w:t>experience</w:t>
      </w:r>
      <w:r w:rsidR="1AD59F51" w:rsidRPr="371B20AB">
        <w:rPr>
          <w:rFonts w:ascii="Calibri" w:eastAsia="Calibri" w:hAnsi="Calibri" w:cs="Calibri"/>
          <w:sz w:val="28"/>
          <w:szCs w:val="28"/>
        </w:rPr>
        <w:t>s</w:t>
      </w:r>
      <w:r w:rsidR="6D08A2DD" w:rsidRPr="371B20AB">
        <w:rPr>
          <w:rFonts w:ascii="Calibri" w:eastAsia="Calibri" w:hAnsi="Calibri" w:cs="Calibri"/>
          <w:sz w:val="28"/>
          <w:szCs w:val="28"/>
        </w:rPr>
        <w:t xml:space="preserve"> based upon </w:t>
      </w:r>
      <w:r w:rsidR="025B8852" w:rsidRPr="371B20AB">
        <w:rPr>
          <w:rFonts w:ascii="Calibri" w:eastAsia="Calibri" w:hAnsi="Calibri" w:cs="Calibri"/>
          <w:sz w:val="28"/>
          <w:szCs w:val="28"/>
        </w:rPr>
        <w:t>established</w:t>
      </w:r>
      <w:r w:rsidR="6D08A2DD" w:rsidRPr="371B20AB">
        <w:rPr>
          <w:rFonts w:ascii="Calibri" w:eastAsia="Calibri" w:hAnsi="Calibri" w:cs="Calibri"/>
          <w:sz w:val="28"/>
          <w:szCs w:val="28"/>
        </w:rPr>
        <w:t xml:space="preserve"> theoretical frameworks. </w:t>
      </w:r>
    </w:p>
    <w:p w14:paraId="78C607A5" w14:textId="5559FC8C" w:rsidR="0DD511AD" w:rsidRDefault="7BF47E21" w:rsidP="50C2E9C8">
      <w:pPr>
        <w:spacing w:line="360" w:lineRule="auto"/>
        <w:rPr>
          <w:rFonts w:ascii="Calibri" w:eastAsia="Calibri" w:hAnsi="Calibri" w:cs="Calibri"/>
          <w:sz w:val="28"/>
          <w:szCs w:val="28"/>
        </w:rPr>
      </w:pPr>
      <w:r w:rsidRPr="371B20AB">
        <w:rPr>
          <w:rFonts w:ascii="Calibri" w:eastAsia="Calibri" w:hAnsi="Calibri" w:cs="Calibri"/>
          <w:sz w:val="28"/>
          <w:szCs w:val="28"/>
        </w:rPr>
        <w:t xml:space="preserve">It is hoped that through the research process of </w:t>
      </w:r>
      <w:r w:rsidR="0D13CB9D" w:rsidRPr="371B20AB">
        <w:rPr>
          <w:rFonts w:ascii="Calibri" w:eastAsia="Calibri" w:hAnsi="Calibri" w:cs="Calibri"/>
          <w:sz w:val="28"/>
          <w:szCs w:val="28"/>
        </w:rPr>
        <w:t>engaging</w:t>
      </w:r>
      <w:r w:rsidRPr="371B20AB">
        <w:rPr>
          <w:rFonts w:ascii="Calibri" w:eastAsia="Calibri" w:hAnsi="Calibri" w:cs="Calibri"/>
          <w:sz w:val="28"/>
          <w:szCs w:val="28"/>
        </w:rPr>
        <w:t xml:space="preserve"> with practitioners in focus groups</w:t>
      </w:r>
      <w:r w:rsidR="0D636D1B" w:rsidRPr="371B20AB">
        <w:rPr>
          <w:rFonts w:ascii="Calibri" w:eastAsia="Calibri" w:hAnsi="Calibri" w:cs="Calibri"/>
          <w:sz w:val="28"/>
          <w:szCs w:val="28"/>
        </w:rPr>
        <w:t>,</w:t>
      </w:r>
      <w:r w:rsidRPr="371B20AB">
        <w:rPr>
          <w:rFonts w:ascii="Calibri" w:eastAsia="Calibri" w:hAnsi="Calibri" w:cs="Calibri"/>
          <w:sz w:val="28"/>
          <w:szCs w:val="28"/>
        </w:rPr>
        <w:t xml:space="preserve"> these theoretical approaches can be evidenced through their experiences and findings whilst</w:t>
      </w:r>
      <w:r w:rsidR="716378CA" w:rsidRPr="371B20AB">
        <w:rPr>
          <w:rFonts w:ascii="Calibri" w:eastAsia="Calibri" w:hAnsi="Calibri" w:cs="Calibri"/>
          <w:sz w:val="28"/>
          <w:szCs w:val="28"/>
        </w:rPr>
        <w:t xml:space="preserve"> they</w:t>
      </w:r>
      <w:r w:rsidRPr="371B20AB">
        <w:rPr>
          <w:rFonts w:ascii="Calibri" w:eastAsia="Calibri" w:hAnsi="Calibri" w:cs="Calibri"/>
          <w:sz w:val="28"/>
          <w:szCs w:val="28"/>
        </w:rPr>
        <w:t xml:space="preserve"> begin to </w:t>
      </w:r>
      <w:r w:rsidR="6371C439" w:rsidRPr="371B20AB">
        <w:rPr>
          <w:rFonts w:ascii="Calibri" w:eastAsia="Calibri" w:hAnsi="Calibri" w:cs="Calibri"/>
          <w:sz w:val="28"/>
          <w:szCs w:val="28"/>
        </w:rPr>
        <w:t>implement</w:t>
      </w:r>
      <w:r w:rsidRPr="371B20AB">
        <w:rPr>
          <w:rFonts w:ascii="Calibri" w:eastAsia="Calibri" w:hAnsi="Calibri" w:cs="Calibri"/>
          <w:sz w:val="28"/>
          <w:szCs w:val="28"/>
        </w:rPr>
        <w:t xml:space="preserve"> the curriculum withi</w:t>
      </w:r>
      <w:r w:rsidR="5638103E" w:rsidRPr="371B20AB">
        <w:rPr>
          <w:rFonts w:ascii="Calibri" w:eastAsia="Calibri" w:hAnsi="Calibri" w:cs="Calibri"/>
          <w:sz w:val="28"/>
          <w:szCs w:val="28"/>
        </w:rPr>
        <w:t xml:space="preserve">n their settings. </w:t>
      </w:r>
      <w:r w:rsidR="5A462EA3" w:rsidRPr="371B20AB">
        <w:rPr>
          <w:rFonts w:ascii="Calibri" w:eastAsia="Calibri" w:hAnsi="Calibri" w:cs="Calibri"/>
          <w:sz w:val="28"/>
          <w:szCs w:val="28"/>
        </w:rPr>
        <w:t xml:space="preserve"> The literature highlights the </w:t>
      </w:r>
      <w:r w:rsidR="3CDD49E7" w:rsidRPr="371B20AB">
        <w:rPr>
          <w:rFonts w:ascii="Calibri" w:eastAsia="Calibri" w:hAnsi="Calibri" w:cs="Calibri"/>
          <w:sz w:val="28"/>
          <w:szCs w:val="28"/>
        </w:rPr>
        <w:t>high</w:t>
      </w:r>
      <w:r w:rsidR="5A462EA3" w:rsidRPr="371B20AB">
        <w:rPr>
          <w:rFonts w:ascii="Calibri" w:eastAsia="Calibri" w:hAnsi="Calibri" w:cs="Calibri"/>
          <w:sz w:val="28"/>
          <w:szCs w:val="28"/>
        </w:rPr>
        <w:t xml:space="preserve"> level of knowledge and understanding required from these practitioners and the value that they have in supporting early childhood education and care. </w:t>
      </w:r>
      <w:r w:rsidR="1F025C49" w:rsidRPr="371B20AB">
        <w:rPr>
          <w:rFonts w:ascii="Calibri" w:eastAsia="Calibri" w:hAnsi="Calibri" w:cs="Calibri"/>
          <w:sz w:val="28"/>
          <w:szCs w:val="28"/>
        </w:rPr>
        <w:t>The future success of this curriculum depends on practitioners' ability to embrace it and enhance the opportunities of children in their care, fully supporting the four purposes of the curriculum for Wales.</w:t>
      </w:r>
      <w:r w:rsidR="216C137D" w:rsidRPr="371B20AB">
        <w:rPr>
          <w:rFonts w:ascii="Calibri" w:eastAsia="Calibri" w:hAnsi="Calibri" w:cs="Calibri"/>
          <w:sz w:val="28"/>
          <w:szCs w:val="28"/>
        </w:rPr>
        <w:t xml:space="preserve"> </w:t>
      </w:r>
    </w:p>
    <w:p w14:paraId="7AA622D8" w14:textId="70DD7935" w:rsidR="0DD511AD" w:rsidRDefault="0DD511AD" w:rsidP="50C2E9C8">
      <w:pPr>
        <w:spacing w:line="360" w:lineRule="auto"/>
        <w:rPr>
          <w:rFonts w:ascii="Calibri" w:eastAsia="Calibri" w:hAnsi="Calibri" w:cs="Calibri"/>
          <w:sz w:val="28"/>
          <w:szCs w:val="28"/>
        </w:rPr>
      </w:pPr>
    </w:p>
    <w:p w14:paraId="2E6ABF14" w14:textId="71C33825" w:rsidR="0DD511AD" w:rsidRDefault="0DD511AD" w:rsidP="50C2E9C8">
      <w:pPr>
        <w:spacing w:line="360" w:lineRule="auto"/>
        <w:rPr>
          <w:rFonts w:ascii="Calibri" w:eastAsia="Calibri" w:hAnsi="Calibri" w:cs="Calibri"/>
          <w:sz w:val="28"/>
          <w:szCs w:val="28"/>
        </w:rPr>
      </w:pPr>
    </w:p>
    <w:p w14:paraId="3D965457" w14:textId="6382AD3C" w:rsidR="0DD511AD" w:rsidRDefault="0DD511AD" w:rsidP="50C2E9C8">
      <w:pPr>
        <w:spacing w:line="360" w:lineRule="auto"/>
        <w:rPr>
          <w:rFonts w:ascii="Calibri" w:eastAsia="Calibri" w:hAnsi="Calibri" w:cs="Calibri"/>
          <w:sz w:val="28"/>
          <w:szCs w:val="28"/>
        </w:rPr>
      </w:pPr>
    </w:p>
    <w:p w14:paraId="0146222A" w14:textId="77777777" w:rsidR="007F737A" w:rsidRDefault="007F737A" w:rsidP="371B20AB">
      <w:pPr>
        <w:spacing w:line="360" w:lineRule="auto"/>
        <w:rPr>
          <w:rFonts w:ascii="Calibri" w:eastAsia="Calibri" w:hAnsi="Calibri" w:cs="Calibri"/>
          <w:b/>
          <w:bCs/>
          <w:i/>
          <w:iCs/>
          <w:sz w:val="28"/>
          <w:szCs w:val="28"/>
        </w:rPr>
      </w:pPr>
    </w:p>
    <w:p w14:paraId="699D3991" w14:textId="77777777" w:rsidR="007F737A" w:rsidRDefault="007F737A" w:rsidP="371B20AB">
      <w:pPr>
        <w:spacing w:line="360" w:lineRule="auto"/>
        <w:rPr>
          <w:rFonts w:ascii="Calibri" w:eastAsia="Calibri" w:hAnsi="Calibri" w:cs="Calibri"/>
          <w:b/>
          <w:bCs/>
          <w:i/>
          <w:iCs/>
          <w:sz w:val="28"/>
          <w:szCs w:val="28"/>
        </w:rPr>
      </w:pPr>
    </w:p>
    <w:p w14:paraId="1FFE1551" w14:textId="77777777" w:rsidR="007F737A" w:rsidRDefault="007F737A" w:rsidP="371B20AB">
      <w:pPr>
        <w:spacing w:line="360" w:lineRule="auto"/>
        <w:rPr>
          <w:rFonts w:ascii="Calibri" w:eastAsia="Calibri" w:hAnsi="Calibri" w:cs="Calibri"/>
          <w:b/>
          <w:bCs/>
          <w:i/>
          <w:iCs/>
          <w:sz w:val="28"/>
          <w:szCs w:val="28"/>
        </w:rPr>
      </w:pPr>
    </w:p>
    <w:p w14:paraId="036E59C8" w14:textId="77777777" w:rsidR="007F737A" w:rsidRDefault="007F737A" w:rsidP="371B20AB">
      <w:pPr>
        <w:spacing w:line="360" w:lineRule="auto"/>
        <w:rPr>
          <w:rFonts w:ascii="Calibri" w:eastAsia="Calibri" w:hAnsi="Calibri" w:cs="Calibri"/>
          <w:b/>
          <w:bCs/>
          <w:i/>
          <w:iCs/>
          <w:sz w:val="28"/>
          <w:szCs w:val="28"/>
        </w:rPr>
      </w:pPr>
    </w:p>
    <w:p w14:paraId="5C0A0FB8" w14:textId="718481A4" w:rsidR="0DD511AD" w:rsidRDefault="78712907" w:rsidP="371B20AB">
      <w:pPr>
        <w:spacing w:line="360" w:lineRule="auto"/>
        <w:rPr>
          <w:rFonts w:ascii="Calibri" w:eastAsia="Calibri" w:hAnsi="Calibri" w:cs="Calibri"/>
          <w:b/>
          <w:bCs/>
          <w:i/>
          <w:iCs/>
          <w:sz w:val="28"/>
          <w:szCs w:val="28"/>
        </w:rPr>
      </w:pPr>
      <w:r w:rsidRPr="371B20AB">
        <w:rPr>
          <w:rFonts w:ascii="Calibri" w:eastAsia="Calibri" w:hAnsi="Calibri" w:cs="Calibri"/>
          <w:b/>
          <w:bCs/>
          <w:i/>
          <w:iCs/>
          <w:sz w:val="28"/>
          <w:szCs w:val="28"/>
        </w:rPr>
        <w:lastRenderedPageBreak/>
        <w:t>Chapter 2 Methodology.</w:t>
      </w:r>
    </w:p>
    <w:p w14:paraId="280AFD08" w14:textId="2DD42D22" w:rsidR="0DD511AD" w:rsidRDefault="0DD511AD" w:rsidP="50C2E9C8">
      <w:pPr>
        <w:spacing w:line="360" w:lineRule="auto"/>
        <w:rPr>
          <w:rFonts w:ascii="Calibri" w:eastAsia="Calibri" w:hAnsi="Calibri" w:cs="Calibri"/>
          <w:sz w:val="28"/>
          <w:szCs w:val="28"/>
        </w:rPr>
      </w:pPr>
    </w:p>
    <w:p w14:paraId="128DEB42" w14:textId="65FB2FAB" w:rsidR="0DD511AD" w:rsidRDefault="5CFE9EE3" w:rsidP="371B20AB">
      <w:pPr>
        <w:pStyle w:val="NoSpacing"/>
        <w:spacing w:beforeAutospacing="1"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This small research project has been developed to identify the thoughts feelings and understanding of a group of Early Years Practitioners.  The focus of the research is upon the experiences of practitioners during the implementation of a new curriculum into their setting, with a particular focus on the role of the enabling adult.  The research will seek to explore the lived experiences of the practitioners and how they have understood the concept of the enabling adult. </w:t>
      </w:r>
    </w:p>
    <w:p w14:paraId="5DD88DD1" w14:textId="2E3DDA82" w:rsidR="0DD511AD" w:rsidRDefault="5CFE9EE3" w:rsidP="371B20AB">
      <w:pPr>
        <w:pStyle w:val="NoSpacing"/>
        <w:spacing w:beforeAutospacing="1" w:line="360" w:lineRule="auto"/>
        <w:rPr>
          <w:rFonts w:ascii="Calibri" w:eastAsia="Calibri" w:hAnsi="Calibri" w:cs="Calibri"/>
          <w:color w:val="000000" w:themeColor="text1"/>
          <w:sz w:val="28"/>
          <w:szCs w:val="28"/>
        </w:rPr>
      </w:pPr>
      <w:r w:rsidRPr="371B20AB">
        <w:rPr>
          <w:rFonts w:ascii="Calibri" w:eastAsia="Calibri" w:hAnsi="Calibri" w:cs="Calibri"/>
          <w:b/>
          <w:bCs/>
          <w:i/>
          <w:iCs/>
          <w:color w:val="000000" w:themeColor="text1"/>
          <w:sz w:val="28"/>
          <w:szCs w:val="28"/>
          <w:lang w:val="en-GB"/>
        </w:rPr>
        <w:t>Ontology.</w:t>
      </w:r>
    </w:p>
    <w:p w14:paraId="378FC273" w14:textId="786EB76B" w:rsidR="0DD511AD" w:rsidRDefault="5CFE9EE3" w:rsidP="371B20AB">
      <w:pPr>
        <w:spacing w:after="0"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To enable the researcher to develop an understanding of this process, it is necessary to find a research method that will facilitate their exploration of the practitioner's perceptions.  The authenticity of the research process presents a significant challenge when interpreting the perspectives of others (Shannon and </w:t>
      </w:r>
      <w:proofErr w:type="spellStart"/>
      <w:r w:rsidRPr="371B20AB">
        <w:rPr>
          <w:rFonts w:ascii="Calibri" w:eastAsia="Calibri" w:hAnsi="Calibri" w:cs="Calibri"/>
          <w:color w:val="000000" w:themeColor="text1"/>
          <w:sz w:val="28"/>
          <w:szCs w:val="28"/>
          <w:lang w:val="en-GB"/>
        </w:rPr>
        <w:t>Hambacher</w:t>
      </w:r>
      <w:proofErr w:type="spellEnd"/>
      <w:r w:rsidRPr="371B20AB">
        <w:rPr>
          <w:rFonts w:ascii="Calibri" w:eastAsia="Calibri" w:hAnsi="Calibri" w:cs="Calibri"/>
          <w:color w:val="000000" w:themeColor="text1"/>
          <w:sz w:val="28"/>
          <w:szCs w:val="28"/>
          <w:lang w:val="en-GB"/>
        </w:rPr>
        <w:t xml:space="preserve">, 2014). It is a complex process which requires the researcher to recognise that their interpretation may be influenced by their own feelings, </w:t>
      </w:r>
      <w:proofErr w:type="gramStart"/>
      <w:r w:rsidRPr="371B20AB">
        <w:rPr>
          <w:rFonts w:ascii="Calibri" w:eastAsia="Calibri" w:hAnsi="Calibri" w:cs="Calibri"/>
          <w:color w:val="000000" w:themeColor="text1"/>
          <w:sz w:val="28"/>
          <w:szCs w:val="28"/>
          <w:lang w:val="en-GB"/>
        </w:rPr>
        <w:t>values</w:t>
      </w:r>
      <w:proofErr w:type="gramEnd"/>
      <w:r w:rsidRPr="371B20AB">
        <w:rPr>
          <w:rFonts w:ascii="Calibri" w:eastAsia="Calibri" w:hAnsi="Calibri" w:cs="Calibri"/>
          <w:color w:val="000000" w:themeColor="text1"/>
          <w:sz w:val="28"/>
          <w:szCs w:val="28"/>
          <w:lang w:val="en-GB"/>
        </w:rPr>
        <w:t xml:space="preserve"> and experiences (</w:t>
      </w:r>
      <w:proofErr w:type="spellStart"/>
      <w:r w:rsidRPr="371B20AB">
        <w:rPr>
          <w:rFonts w:ascii="Calibri" w:eastAsia="Calibri" w:hAnsi="Calibri" w:cs="Calibri"/>
          <w:color w:val="000000" w:themeColor="text1"/>
          <w:sz w:val="28"/>
          <w:szCs w:val="28"/>
          <w:lang w:val="en-GB"/>
        </w:rPr>
        <w:t>Zeleeva</w:t>
      </w:r>
      <w:proofErr w:type="spellEnd"/>
      <w:r w:rsidRPr="371B20AB">
        <w:rPr>
          <w:rFonts w:ascii="Calibri" w:eastAsia="Calibri" w:hAnsi="Calibri" w:cs="Calibri"/>
          <w:color w:val="000000" w:themeColor="text1"/>
          <w:sz w:val="28"/>
          <w:szCs w:val="28"/>
          <w:lang w:val="en-GB"/>
        </w:rPr>
        <w:t>, 2019; Biesta, 2015).    Therefore, before beginning the research process itself, the researcher is required to explore their position towards the research question from an ontological perspective (Ngulube, 2016).</w:t>
      </w:r>
    </w:p>
    <w:p w14:paraId="7D88102F" w14:textId="0730577A"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Ontological frameworks are a significant foundational underpinning of the development of the research process</w:t>
      </w:r>
      <w:r w:rsidRPr="371B20AB">
        <w:rPr>
          <w:rFonts w:ascii="Calibri" w:eastAsia="Calibri" w:hAnsi="Calibri" w:cs="Calibri"/>
          <w:color w:val="3A3A3A" w:themeColor="background2" w:themeShade="40"/>
          <w:sz w:val="28"/>
          <w:szCs w:val="28"/>
          <w:lang w:val="en-GB"/>
        </w:rPr>
        <w:t xml:space="preserve"> </w:t>
      </w:r>
      <w:r w:rsidRPr="371B20AB">
        <w:rPr>
          <w:rFonts w:ascii="Calibri" w:eastAsia="Calibri" w:hAnsi="Calibri" w:cs="Calibri"/>
          <w:color w:val="000000" w:themeColor="text1"/>
          <w:sz w:val="28"/>
          <w:szCs w:val="28"/>
          <w:lang w:val="en-GB"/>
        </w:rPr>
        <w:t xml:space="preserve">(Tobin and Steinberg, 2011) However, ontological frameworks are differentiated into the researchers own world view, for example, does the researcher believe that reality is objectively understandable and knowable; or is reality unattainable empirically and dependent upon the </w:t>
      </w:r>
      <w:r w:rsidRPr="371B20AB">
        <w:rPr>
          <w:rFonts w:ascii="Calibri" w:eastAsia="Calibri" w:hAnsi="Calibri" w:cs="Calibri"/>
          <w:color w:val="000000" w:themeColor="text1"/>
          <w:sz w:val="28"/>
          <w:szCs w:val="28"/>
          <w:lang w:val="en-GB"/>
        </w:rPr>
        <w:lastRenderedPageBreak/>
        <w:t>discourses of others (Ackroyd and Fleetwood, 2000; Newton and Riveros, 2015). It is with this in mind that the researcher's ontological framework will be explored.</w:t>
      </w:r>
    </w:p>
    <w:p w14:paraId="5552102E" w14:textId="63947ADC"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As suggested in the previous paragraph there is an element of subjectivity within an ontological position, this is described by Nagel (1974) as our point of view.  Nagel (1974) goes on to explore the philosophical complexity of understanding ‘other’, as we generally only have experience of being ourselves. A point of view is created by our experiences within the world, this includes interaction with other people, but also non-humans and objects. The idea of a point of view can be reframed as our positionality (Moss, 2017), our understanding of the world is built around our position within it.  </w:t>
      </w:r>
    </w:p>
    <w:p w14:paraId="30F528A4" w14:textId="03CB9FFA"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This experience of ‘being’ is described by </w:t>
      </w:r>
      <w:proofErr w:type="spellStart"/>
      <w:r w:rsidRPr="371B20AB">
        <w:rPr>
          <w:rFonts w:ascii="Calibri" w:eastAsia="Calibri" w:hAnsi="Calibri" w:cs="Calibri"/>
          <w:color w:val="000000" w:themeColor="text1"/>
          <w:sz w:val="28"/>
          <w:szCs w:val="28"/>
          <w:lang w:val="en-GB"/>
        </w:rPr>
        <w:t>Mcginn</w:t>
      </w:r>
      <w:proofErr w:type="spellEnd"/>
      <w:r w:rsidRPr="371B20AB">
        <w:rPr>
          <w:rFonts w:ascii="Calibri" w:eastAsia="Calibri" w:hAnsi="Calibri" w:cs="Calibri"/>
          <w:color w:val="000000" w:themeColor="text1"/>
          <w:sz w:val="28"/>
          <w:szCs w:val="28"/>
          <w:lang w:val="en-GB"/>
        </w:rPr>
        <w:t xml:space="preserve"> (2024) as acquaintance, an evolving understanding of the world around us through sensory experience. Our acquaintance with the world around us builds an understanding of the nature of reality (Flick, 2018).  The idea that experience validates our understanding of what is real is further supported by Rogers (1995).  Rogers reiterates that our experiences validate our understanding of reality and our perceptions of the world and others. </w:t>
      </w:r>
    </w:p>
    <w:p w14:paraId="73F297DF" w14:textId="7CF85B1A"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Ontological perspectives are therefore, in this instance subjective and may blur the objectivity of the research process (</w:t>
      </w:r>
      <w:proofErr w:type="spellStart"/>
      <w:r w:rsidRPr="371B20AB">
        <w:rPr>
          <w:rFonts w:ascii="Calibri" w:eastAsia="Calibri" w:hAnsi="Calibri" w:cs="Calibri"/>
          <w:color w:val="000000" w:themeColor="text1"/>
          <w:sz w:val="28"/>
          <w:szCs w:val="28"/>
          <w:lang w:val="en-GB"/>
        </w:rPr>
        <w:t>Haslanger</w:t>
      </w:r>
      <w:proofErr w:type="spellEnd"/>
      <w:r w:rsidRPr="371B20AB">
        <w:rPr>
          <w:rFonts w:ascii="Calibri" w:eastAsia="Calibri" w:hAnsi="Calibri" w:cs="Calibri"/>
          <w:color w:val="000000" w:themeColor="text1"/>
          <w:sz w:val="28"/>
          <w:szCs w:val="28"/>
          <w:lang w:val="en-GB"/>
        </w:rPr>
        <w:t>, 2012).  This will influence the researcher's interpretation of data collected from the research participants.  To counter this problem a reflexive approach using a theoretical framework or epistemological foundation to add criticality to the process is necessary.  Cohen, Manion and Morrison</w:t>
      </w:r>
      <w:r w:rsidRPr="371B20AB">
        <w:rPr>
          <w:rFonts w:ascii="Calibri" w:eastAsia="Calibri" w:hAnsi="Calibri" w:cs="Calibri"/>
          <w:i/>
          <w:iCs/>
          <w:color w:val="000000" w:themeColor="text1"/>
          <w:sz w:val="28"/>
          <w:szCs w:val="28"/>
          <w:lang w:val="en-GB"/>
        </w:rPr>
        <w:t xml:space="preserve"> </w:t>
      </w:r>
      <w:r w:rsidRPr="371B20AB">
        <w:rPr>
          <w:rFonts w:ascii="Calibri" w:eastAsia="Calibri" w:hAnsi="Calibri" w:cs="Calibri"/>
          <w:color w:val="000000" w:themeColor="text1"/>
          <w:sz w:val="28"/>
          <w:szCs w:val="28"/>
          <w:lang w:val="en-GB"/>
        </w:rPr>
        <w:t xml:space="preserve">(2018) assert that ontological considerations are necessarily followed by epistemological considerations. </w:t>
      </w:r>
    </w:p>
    <w:p w14:paraId="09F5D88E" w14:textId="154361D1"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b/>
          <w:bCs/>
          <w:i/>
          <w:iCs/>
          <w:color w:val="000000" w:themeColor="text1"/>
          <w:sz w:val="28"/>
          <w:szCs w:val="28"/>
          <w:lang w:val="en-GB"/>
        </w:rPr>
        <w:lastRenderedPageBreak/>
        <w:t>Epistemology.</w:t>
      </w:r>
    </w:p>
    <w:p w14:paraId="39DE3682" w14:textId="64BAEF98"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Epistemologies have been described as strategies that can be employed to justify beliefs, or as theories of knowledge (Macnaughton, 2010).  Epistemological processes ask questions such as, what can be classified as knowledge and how do we know that our research findings are true (Tal, Dishon and Vedder-Weiss, 2023).</w:t>
      </w:r>
    </w:p>
    <w:p w14:paraId="38748C8E" w14:textId="187381BA"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This series of developing frameworks has been likened by Saunders, </w:t>
      </w:r>
      <w:proofErr w:type="gramStart"/>
      <w:r w:rsidRPr="371B20AB">
        <w:rPr>
          <w:rFonts w:ascii="Calibri" w:eastAsia="Calibri" w:hAnsi="Calibri" w:cs="Calibri"/>
          <w:color w:val="000000" w:themeColor="text1"/>
          <w:sz w:val="28"/>
          <w:szCs w:val="28"/>
          <w:lang w:val="en-GB"/>
        </w:rPr>
        <w:t>Lewis</w:t>
      </w:r>
      <w:proofErr w:type="gramEnd"/>
      <w:r w:rsidRPr="371B20AB">
        <w:rPr>
          <w:rFonts w:ascii="Calibri" w:eastAsia="Calibri" w:hAnsi="Calibri" w:cs="Calibri"/>
          <w:color w:val="000000" w:themeColor="text1"/>
          <w:sz w:val="28"/>
          <w:szCs w:val="28"/>
          <w:lang w:val="en-GB"/>
        </w:rPr>
        <w:t xml:space="preserve"> and Thornhill (2003) as an onion, the layers are peeled off to reach the central research question, or the truth that is sought by the research process.  Al-Ababneh (2020) expands upon this by identifying the outer layer as the philosophical position or ontology, followed by the definition of a theoretical framework, or epistemology that will enable the eventual data to be interpreted and meaning made by careful examination of the research findings. </w:t>
      </w:r>
    </w:p>
    <w:p w14:paraId="0A46FA43" w14:textId="29066EAB"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Two epistemological paradigms are generally recognised linked to the nature of truth, or what is real.  A paradigm has been defined as the setting of a boundary around a particular method of perceiving and adding value to the nature of reality (</w:t>
      </w:r>
      <w:r w:rsidRPr="371B20AB">
        <w:rPr>
          <w:rFonts w:ascii="Calibri" w:eastAsia="Calibri" w:hAnsi="Calibri" w:cs="Calibri"/>
          <w:color w:val="222222"/>
          <w:sz w:val="28"/>
          <w:szCs w:val="28"/>
          <w:lang w:val="en-GB"/>
        </w:rPr>
        <w:t>Göktürk, 2005)</w:t>
      </w:r>
      <w:r w:rsidRPr="371B20AB">
        <w:rPr>
          <w:rFonts w:ascii="Calibri" w:eastAsia="Calibri" w:hAnsi="Calibri" w:cs="Calibri"/>
          <w:color w:val="000000" w:themeColor="text1"/>
          <w:sz w:val="28"/>
          <w:szCs w:val="28"/>
          <w:lang w:val="en-GB"/>
        </w:rPr>
        <w:t>.  The Qualitative paradigm or interpretative framework aims to understand and define human and social reality (Al-Ababneh, 2020; Olssen, 2021).  This research framework values the interpretation of reality expressed by research participants (</w:t>
      </w:r>
      <w:proofErr w:type="spellStart"/>
      <w:r w:rsidRPr="371B20AB">
        <w:rPr>
          <w:rFonts w:ascii="Calibri" w:eastAsia="Calibri" w:hAnsi="Calibri" w:cs="Calibri"/>
          <w:color w:val="000000" w:themeColor="text1"/>
          <w:sz w:val="28"/>
          <w:szCs w:val="28"/>
          <w:lang w:val="en-GB"/>
        </w:rPr>
        <w:t>BartmanskiI</w:t>
      </w:r>
      <w:proofErr w:type="spellEnd"/>
      <w:r w:rsidRPr="371B20AB">
        <w:rPr>
          <w:rFonts w:ascii="Calibri" w:eastAsia="Calibri" w:hAnsi="Calibri" w:cs="Calibri"/>
          <w:color w:val="000000" w:themeColor="text1"/>
          <w:sz w:val="28"/>
          <w:szCs w:val="28"/>
          <w:lang w:val="en-GB"/>
        </w:rPr>
        <w:t xml:space="preserve"> and Binder, 2015).  Meaning is created through the careful interpretation of the narratives of others.  This approach to research offers an opportunity to pay careful attention to the research participants voice and discover significance in their experiences (Brown, and Perkins, 2019).</w:t>
      </w:r>
    </w:p>
    <w:p w14:paraId="10AF1B55" w14:textId="69D18825"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lastRenderedPageBreak/>
        <w:t xml:space="preserve">The positivist or quantitative paradigm is based upon the premise that an objective truth exists which can be recognised through an experimental approach (Cohen, Manion and Morrison, 2018).  This paradigm assumes that phenomena are observable and was developed within the field of the natural sciences.  Within this paradigm, it is assumed that phenomena are influenced by natural laws and can be validated by an experimental, replicable research process (Moss, 2019). </w:t>
      </w:r>
    </w:p>
    <w:p w14:paraId="3A622AC6" w14:textId="0B2217A0"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The positivist approach has been criticised by Flyvbjerg (2006) who asserts that the understanding of social phenomena cannot be achieved through mathematical or statistical modelling.  Social phenomena cannot be viewed in a reductive way and “answer back in ways that natural phenomena do not” Flyvbjerg (2006, p39). Whilst quantitative data may offer a partial view of the reality of phenomena, it is not effective in the interpretation of complex and interrelated social phenomena such as the lived experiences of others (Brown and Perkins, 2019).  It is with these considerations in mind that the qualitative interpretivist paradigm would be the framework of choice to investigate the thoughts feelings and experiences of the research participants within this study.  The use of a qualitative methodology facilitates the interpretation and understanding of why things are in the social world, and why people behave in the ways they do (Al-Ababneh, 2020).</w:t>
      </w:r>
    </w:p>
    <w:p w14:paraId="11B80B6C" w14:textId="1B2D3093"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There are several qualitative or interpretivist theoretical frameworks that have been used successfully to explore the thoughts and feelings of research participants in educational research (Ruffa, and Evangelista, 2021; Cohen, Manion and Morrison, 2018; Olsen, 2021).   The theoretical framework of hermeneutic </w:t>
      </w:r>
      <w:r w:rsidRPr="371B20AB">
        <w:rPr>
          <w:rFonts w:ascii="Calibri" w:eastAsia="Calibri" w:hAnsi="Calibri" w:cs="Calibri"/>
          <w:color w:val="000000" w:themeColor="text1"/>
          <w:sz w:val="28"/>
          <w:szCs w:val="28"/>
          <w:lang w:val="en-GB"/>
        </w:rPr>
        <w:lastRenderedPageBreak/>
        <w:t xml:space="preserve">phenomenology will be explored as a methodological framework to facilitate the interpretation of the thoughts, </w:t>
      </w:r>
      <w:proofErr w:type="gramStart"/>
      <w:r w:rsidRPr="371B20AB">
        <w:rPr>
          <w:rFonts w:ascii="Calibri" w:eastAsia="Calibri" w:hAnsi="Calibri" w:cs="Calibri"/>
          <w:color w:val="000000" w:themeColor="text1"/>
          <w:sz w:val="28"/>
          <w:szCs w:val="28"/>
          <w:lang w:val="en-GB"/>
        </w:rPr>
        <w:t>feelings</w:t>
      </w:r>
      <w:proofErr w:type="gramEnd"/>
      <w:r w:rsidRPr="371B20AB">
        <w:rPr>
          <w:rFonts w:ascii="Calibri" w:eastAsia="Calibri" w:hAnsi="Calibri" w:cs="Calibri"/>
          <w:color w:val="000000" w:themeColor="text1"/>
          <w:sz w:val="28"/>
          <w:szCs w:val="28"/>
          <w:lang w:val="en-GB"/>
        </w:rPr>
        <w:t xml:space="preserve"> and experiences of others. </w:t>
      </w:r>
    </w:p>
    <w:p w14:paraId="1B2EF51B" w14:textId="727F426C"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Hermeneutic phenomenology is underpinned by the belief that knowledge is evoked through the interpretation of a lived experience (Hyde, 2005). Van Manen (1990) further supports this belief by asserting that all phenomena are encountered through lived experience and can be described in human language.  Phenomenology is described by Meadows</w:t>
      </w:r>
      <w:r w:rsidRPr="371B20AB">
        <w:rPr>
          <w:rFonts w:ascii="Calibri" w:eastAsia="Calibri" w:hAnsi="Calibri" w:cs="Calibri"/>
          <w:i/>
          <w:iCs/>
          <w:color w:val="000000" w:themeColor="text1"/>
          <w:sz w:val="28"/>
          <w:szCs w:val="28"/>
          <w:lang w:val="en-GB"/>
        </w:rPr>
        <w:t xml:space="preserve"> </w:t>
      </w:r>
      <w:r w:rsidRPr="371B20AB">
        <w:rPr>
          <w:rFonts w:ascii="Calibri" w:eastAsia="Calibri" w:hAnsi="Calibri" w:cs="Calibri"/>
          <w:color w:val="000000" w:themeColor="text1"/>
          <w:sz w:val="28"/>
          <w:szCs w:val="28"/>
          <w:lang w:val="en-GB"/>
        </w:rPr>
        <w:t xml:space="preserve">(2024) as the exploration of a specific occurrence, for example (for the purpose of this study) the lived experiences of practitioners during the implementation of a new curriculum.  There are several factors that will influence the thoughts, </w:t>
      </w:r>
      <w:proofErr w:type="gramStart"/>
      <w:r w:rsidRPr="371B20AB">
        <w:rPr>
          <w:rFonts w:ascii="Calibri" w:eastAsia="Calibri" w:hAnsi="Calibri" w:cs="Calibri"/>
          <w:color w:val="000000" w:themeColor="text1"/>
          <w:sz w:val="28"/>
          <w:szCs w:val="28"/>
          <w:lang w:val="en-GB"/>
        </w:rPr>
        <w:t>feelings</w:t>
      </w:r>
      <w:proofErr w:type="gramEnd"/>
      <w:r w:rsidRPr="371B20AB">
        <w:rPr>
          <w:rFonts w:ascii="Calibri" w:eastAsia="Calibri" w:hAnsi="Calibri" w:cs="Calibri"/>
          <w:color w:val="000000" w:themeColor="text1"/>
          <w:sz w:val="28"/>
          <w:szCs w:val="28"/>
          <w:lang w:val="en-GB"/>
        </w:rPr>
        <w:t xml:space="preserve"> and behaviours of practitioners, including the development of new knowledge, and changes around roles and responsibilities. It is the role of the researcher to gain an understanding of these experiences and make meaning from them to enable a purposeful and robust analysis of this deeply personal data.</w:t>
      </w:r>
    </w:p>
    <w:p w14:paraId="0B066578" w14:textId="7EFE48A9"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Van Manen (1997) further draws together hermeneutics and phenomenology within educational research to elucidate the experiences of educational practitioners. This methodological approach enables the interpretation of behaviours, actions and intentions as described by participants when exploring their lived experience (Sloan and Bowe, 2014). </w:t>
      </w:r>
    </w:p>
    <w:p w14:paraId="246B0F7B" w14:textId="0B77F271"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To clarify the essence of this methodological approach, hermeneutics according to Zimmerman (2015) is simply interpretation.  However, the question is posseted, how and what are we interpreting, hermeneutics is the art of understanding (Zimmerman, 2015).   Reed (2011) uses the metaphor of the landscape of meaning, practitioners through their narrative paint a picture of </w:t>
      </w:r>
      <w:r w:rsidRPr="371B20AB">
        <w:rPr>
          <w:rFonts w:ascii="Calibri" w:eastAsia="Calibri" w:hAnsi="Calibri" w:cs="Calibri"/>
          <w:color w:val="000000" w:themeColor="text1"/>
          <w:sz w:val="28"/>
          <w:szCs w:val="28"/>
          <w:lang w:val="en-GB"/>
        </w:rPr>
        <w:lastRenderedPageBreak/>
        <w:t>lived experience which illustrates a depth of professional knowledge. It is through the interpretation and contextualisation of these narratives from which the researcher evokes meaning (</w:t>
      </w:r>
      <w:proofErr w:type="spellStart"/>
      <w:r w:rsidRPr="371B20AB">
        <w:rPr>
          <w:rFonts w:ascii="Calibri" w:eastAsia="Calibri" w:hAnsi="Calibri" w:cs="Calibri"/>
          <w:color w:val="000000" w:themeColor="text1"/>
          <w:sz w:val="28"/>
          <w:szCs w:val="28"/>
          <w:lang w:val="en-GB"/>
        </w:rPr>
        <w:t>BartmanskiI</w:t>
      </w:r>
      <w:proofErr w:type="spellEnd"/>
      <w:r w:rsidRPr="371B20AB">
        <w:rPr>
          <w:rFonts w:ascii="Calibri" w:eastAsia="Calibri" w:hAnsi="Calibri" w:cs="Calibri"/>
          <w:color w:val="000000" w:themeColor="text1"/>
          <w:sz w:val="28"/>
          <w:szCs w:val="28"/>
          <w:lang w:val="en-GB"/>
        </w:rPr>
        <w:t xml:space="preserve">, and Binder, 2015). Smart (2023) tells us that “Words are our language, our lifeblood, how we express ourselves”. It is in the interpretation of the words of others that we can </w:t>
      </w:r>
      <w:proofErr w:type="gramStart"/>
      <w:r w:rsidRPr="371B20AB">
        <w:rPr>
          <w:rFonts w:ascii="Calibri" w:eastAsia="Calibri" w:hAnsi="Calibri" w:cs="Calibri"/>
          <w:color w:val="000000" w:themeColor="text1"/>
          <w:sz w:val="28"/>
          <w:szCs w:val="28"/>
          <w:lang w:val="en-GB"/>
        </w:rPr>
        <w:t>enter into</w:t>
      </w:r>
      <w:proofErr w:type="gramEnd"/>
      <w:r w:rsidRPr="371B20AB">
        <w:rPr>
          <w:rFonts w:ascii="Calibri" w:eastAsia="Calibri" w:hAnsi="Calibri" w:cs="Calibri"/>
          <w:color w:val="000000" w:themeColor="text1"/>
          <w:sz w:val="28"/>
          <w:szCs w:val="28"/>
          <w:lang w:val="en-GB"/>
        </w:rPr>
        <w:t xml:space="preserve"> their lived experiences and make sense of these internal thoughts. </w:t>
      </w:r>
    </w:p>
    <w:p w14:paraId="01767F9C" w14:textId="17540686"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Edmund Husserl, who has been attributed with founding this philosophical approach asserted that naturalistic approaches had become detached from the reality of lived experience (Husserl, 1970). He further elucidates,</w:t>
      </w:r>
    </w:p>
    <w:p w14:paraId="532BD9E7" w14:textId="63EDD2C3" w:rsidR="0DD511AD" w:rsidRDefault="5CFE9EE3" w:rsidP="371B20AB">
      <w:pPr>
        <w:spacing w:line="360" w:lineRule="auto"/>
        <w:ind w:left="432" w:right="432"/>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we are subjects for this world, namely, as the ego-subjects experiencing it, contemplating it, valuing it, related to it purposefully; for us this surrounding world has only the ontic meaning given to it by our experiencing's, our thoughts, our valuations. (Husserl, 1970 pp 21).</w:t>
      </w:r>
    </w:p>
    <w:p w14:paraId="2019FAF3" w14:textId="4BC376C2"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000000" w:themeColor="text1"/>
          <w:sz w:val="28"/>
          <w:szCs w:val="28"/>
          <w:lang w:val="en-GB"/>
        </w:rPr>
        <w:t xml:space="preserve">This statement illustrates the nature of experience as being irreducible in naturalistic terms, that we are, by our very nature interconnected with the complexity of lived experience.  Heidegger (1982) further reinforces this theme by describing hermeneutic phenomenology as a way of sharing and interpreting lived experience within a defined context.  This would appear to be relevant to the purpose of this research project, as the interpretation of practitioners lived experiences is the aim of the research.  Heidegger's proposition of the concept of Dasein is </w:t>
      </w:r>
      <w:proofErr w:type="spellStart"/>
      <w:r w:rsidRPr="371B20AB">
        <w:rPr>
          <w:rFonts w:ascii="Calibri" w:eastAsia="Calibri" w:hAnsi="Calibri" w:cs="Calibri"/>
          <w:color w:val="000000" w:themeColor="text1"/>
          <w:sz w:val="28"/>
          <w:szCs w:val="28"/>
          <w:lang w:val="en-GB"/>
        </w:rPr>
        <w:t>cental</w:t>
      </w:r>
      <w:proofErr w:type="spellEnd"/>
      <w:r w:rsidRPr="371B20AB">
        <w:rPr>
          <w:rFonts w:ascii="Calibri" w:eastAsia="Calibri" w:hAnsi="Calibri" w:cs="Calibri"/>
          <w:color w:val="000000" w:themeColor="text1"/>
          <w:sz w:val="28"/>
          <w:szCs w:val="28"/>
          <w:lang w:val="en-GB"/>
        </w:rPr>
        <w:t xml:space="preserve"> to the interpretation of lived experience. Dasein is described as the phenomena of being that can be reflected upon and communicated to another (</w:t>
      </w:r>
      <w:r w:rsidRPr="371B20AB">
        <w:rPr>
          <w:rFonts w:ascii="Calibri" w:eastAsia="Calibri" w:hAnsi="Calibri" w:cs="Calibri"/>
          <w:color w:val="222222"/>
          <w:sz w:val="28"/>
          <w:szCs w:val="28"/>
          <w:lang w:val="en-GB"/>
        </w:rPr>
        <w:t xml:space="preserve">Quiñones, No Date).  It is this phenomenon, the essential experience of </w:t>
      </w:r>
      <w:r w:rsidRPr="371B20AB">
        <w:rPr>
          <w:rFonts w:ascii="Calibri" w:eastAsia="Calibri" w:hAnsi="Calibri" w:cs="Calibri"/>
          <w:color w:val="222222"/>
          <w:sz w:val="28"/>
          <w:szCs w:val="28"/>
          <w:lang w:val="en-GB"/>
        </w:rPr>
        <w:lastRenderedPageBreak/>
        <w:t xml:space="preserve">the practitioners within the context of their lived experiences that I propose to interpret. </w:t>
      </w:r>
    </w:p>
    <w:p w14:paraId="2DE69807" w14:textId="456301E2"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b/>
          <w:bCs/>
          <w:i/>
          <w:iCs/>
          <w:color w:val="222222"/>
          <w:sz w:val="28"/>
          <w:szCs w:val="28"/>
          <w:lang w:val="en-GB"/>
        </w:rPr>
        <w:t>Researcher Positionality.</w:t>
      </w:r>
    </w:p>
    <w:p w14:paraId="1870C579" w14:textId="6D37326F"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222222"/>
          <w:sz w:val="28"/>
          <w:szCs w:val="28"/>
          <w:lang w:val="en-GB"/>
        </w:rPr>
        <w:t xml:space="preserve">Following this critical exploration of ontological and epistemological frameworks, it is important to define my positionality within the research process.  The purpose of this is to create reflexivity, to recognise my own world view and its evolution to the present version of myself.   I will be endeavouring to interpret the lived experience of early years practitioners, a professional role that I have been immersed in for many years.  There may be, therefore expectations based upon my own professional knowledge and values that would lead to assumptions about the beliefs and practices of others that share similar experiences.  The work of Rogers, </w:t>
      </w:r>
      <w:proofErr w:type="gramStart"/>
      <w:r w:rsidRPr="371B20AB">
        <w:rPr>
          <w:rFonts w:ascii="Calibri" w:eastAsia="Calibri" w:hAnsi="Calibri" w:cs="Calibri"/>
          <w:color w:val="222222"/>
          <w:sz w:val="28"/>
          <w:szCs w:val="28"/>
          <w:lang w:val="en-GB"/>
        </w:rPr>
        <w:t>Nagel</w:t>
      </w:r>
      <w:proofErr w:type="gramEnd"/>
      <w:r w:rsidRPr="371B20AB">
        <w:rPr>
          <w:rFonts w:ascii="Calibri" w:eastAsia="Calibri" w:hAnsi="Calibri" w:cs="Calibri"/>
          <w:color w:val="222222"/>
          <w:sz w:val="28"/>
          <w:szCs w:val="28"/>
          <w:lang w:val="en-GB"/>
        </w:rPr>
        <w:t xml:space="preserve"> and McGinn, I particularly recognise when reflecting upon my ontological position.  As a health care practitioner, I have spent a considerable amount of time trying to understand the experiences, feelings and behaviours of patients, </w:t>
      </w:r>
      <w:proofErr w:type="gramStart"/>
      <w:r w:rsidRPr="371B20AB">
        <w:rPr>
          <w:rFonts w:ascii="Calibri" w:eastAsia="Calibri" w:hAnsi="Calibri" w:cs="Calibri"/>
          <w:color w:val="222222"/>
          <w:sz w:val="28"/>
          <w:szCs w:val="28"/>
          <w:lang w:val="en-GB"/>
        </w:rPr>
        <w:t>clients</w:t>
      </w:r>
      <w:proofErr w:type="gramEnd"/>
      <w:r w:rsidRPr="371B20AB">
        <w:rPr>
          <w:rFonts w:ascii="Calibri" w:eastAsia="Calibri" w:hAnsi="Calibri" w:cs="Calibri"/>
          <w:color w:val="222222"/>
          <w:sz w:val="28"/>
          <w:szCs w:val="28"/>
          <w:lang w:val="en-GB"/>
        </w:rPr>
        <w:t xml:space="preserve"> and other professionals.  It is through the sharing of lived experiences that I have found a most effective way of creating understanding and thoughtful therapeutic relationships.  This resonates strongly with the ideas and concepts that underpin the ontological and epistemological philosophies of Hermeneutic phenomenology and further frame my positionality.</w:t>
      </w:r>
    </w:p>
    <w:p w14:paraId="6FB2F6CC" w14:textId="41CEC9D1"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222222"/>
          <w:sz w:val="28"/>
          <w:szCs w:val="28"/>
          <w:lang w:val="en-GB"/>
        </w:rPr>
        <w:t>I recognise that I will be researching with practitioners within my professional sphere, this has been described as ‘emic’ research (</w:t>
      </w:r>
      <w:proofErr w:type="spellStart"/>
      <w:r w:rsidRPr="371B20AB">
        <w:rPr>
          <w:rFonts w:ascii="Calibri" w:eastAsia="Calibri" w:hAnsi="Calibri" w:cs="Calibri"/>
          <w:color w:val="000000" w:themeColor="text1"/>
          <w:sz w:val="28"/>
          <w:szCs w:val="28"/>
          <w:lang w:val="en-GB"/>
        </w:rPr>
        <w:t>Ademolu</w:t>
      </w:r>
      <w:proofErr w:type="spellEnd"/>
      <w:r w:rsidRPr="371B20AB">
        <w:rPr>
          <w:rFonts w:ascii="Calibri" w:eastAsia="Calibri" w:hAnsi="Calibri" w:cs="Calibri"/>
          <w:color w:val="000000" w:themeColor="text1"/>
          <w:sz w:val="28"/>
          <w:szCs w:val="28"/>
          <w:lang w:val="en-GB"/>
        </w:rPr>
        <w:t>, 2024)</w:t>
      </w:r>
      <w:r w:rsidRPr="371B20AB">
        <w:rPr>
          <w:rFonts w:ascii="Calibri" w:eastAsia="Calibri" w:hAnsi="Calibri" w:cs="Calibri"/>
          <w:color w:val="222222"/>
          <w:sz w:val="28"/>
          <w:szCs w:val="28"/>
          <w:lang w:val="en-GB"/>
        </w:rPr>
        <w:t xml:space="preserve">.  Also referred to as insider research, this method demands a robust reflexive framework to ensure the veracity of the data analysis process.  Reflexivity can be defined as critical self-reflection, recognising bias and the researchers position within the </w:t>
      </w:r>
      <w:r w:rsidRPr="371B20AB">
        <w:rPr>
          <w:rFonts w:ascii="Calibri" w:eastAsia="Calibri" w:hAnsi="Calibri" w:cs="Calibri"/>
          <w:color w:val="222222"/>
          <w:sz w:val="28"/>
          <w:szCs w:val="28"/>
          <w:lang w:val="en-GB"/>
        </w:rPr>
        <w:lastRenderedPageBreak/>
        <w:t>process (</w:t>
      </w:r>
      <w:r w:rsidRPr="371B20AB">
        <w:rPr>
          <w:rFonts w:ascii="Calibri" w:eastAsia="Calibri" w:hAnsi="Calibri" w:cs="Calibri"/>
          <w:color w:val="000000" w:themeColor="text1"/>
          <w:sz w:val="28"/>
          <w:szCs w:val="28"/>
          <w:lang w:val="en-GB"/>
        </w:rPr>
        <w:t xml:space="preserve">Lee-Johnson </w:t>
      </w:r>
      <w:r w:rsidRPr="371B20AB">
        <w:rPr>
          <w:rFonts w:ascii="Calibri" w:eastAsia="Calibri" w:hAnsi="Calibri" w:cs="Calibri"/>
          <w:i/>
          <w:iCs/>
          <w:color w:val="000000" w:themeColor="text1"/>
          <w:sz w:val="28"/>
          <w:szCs w:val="28"/>
          <w:lang w:val="en-GB"/>
        </w:rPr>
        <w:t xml:space="preserve">et al. </w:t>
      </w:r>
      <w:r w:rsidRPr="371B20AB">
        <w:rPr>
          <w:rFonts w:ascii="Calibri" w:eastAsia="Calibri" w:hAnsi="Calibri" w:cs="Calibri"/>
          <w:color w:val="000000" w:themeColor="text1"/>
          <w:sz w:val="28"/>
          <w:szCs w:val="28"/>
          <w:lang w:val="en-GB"/>
        </w:rPr>
        <w:t>2023; Braun and Clarke, 2024</w:t>
      </w:r>
      <w:r w:rsidRPr="371B20AB">
        <w:rPr>
          <w:rFonts w:ascii="Calibri" w:eastAsia="Calibri" w:hAnsi="Calibri" w:cs="Calibri"/>
          <w:i/>
          <w:iCs/>
          <w:color w:val="000000" w:themeColor="text1"/>
          <w:sz w:val="28"/>
          <w:szCs w:val="28"/>
          <w:lang w:val="en-GB"/>
        </w:rPr>
        <w:t xml:space="preserve">). </w:t>
      </w:r>
      <w:r w:rsidRPr="371B20AB">
        <w:rPr>
          <w:rFonts w:ascii="Calibri" w:eastAsia="Calibri" w:hAnsi="Calibri" w:cs="Calibri"/>
          <w:color w:val="000000" w:themeColor="text1"/>
          <w:sz w:val="28"/>
          <w:szCs w:val="28"/>
          <w:lang w:val="en-GB"/>
        </w:rPr>
        <w:t xml:space="preserve"> Reflective practice has been central to my professional identity within nursing and health visiting. I will use a reflective journal which will be maintained throughout the research process, this will support a critical and reflective approach to data collection and analysis.  Active reflection enables a critical approach to experiences, revealing embedded behaviours and beliefs, thus enabling the development of fresh and objective perspectives to be developed (Shon, 1991; Dewey, 1933).  The journal will be a handwritten notebook, readily accessible during all research activities supporting a critically reflexive approach.  The journal will also aid and facilitate the data analysis, supporting the interpretation of data by focusing my mind on the experiences within the focus groups which may not be captured by video or audio transcripts. This method is further supported by </w:t>
      </w:r>
      <w:r w:rsidRPr="371B20AB">
        <w:rPr>
          <w:rFonts w:ascii="Calibri" w:eastAsia="Calibri" w:hAnsi="Calibri" w:cs="Calibri"/>
          <w:color w:val="222222"/>
          <w:sz w:val="28"/>
          <w:szCs w:val="28"/>
          <w:lang w:val="en-GB"/>
        </w:rPr>
        <w:t xml:space="preserve">Jayantilal and Lalli (2024) who espouse the usefulness of reflective journaling to maintain reflexivity whilst engaging in qualitative research for doctoral study. The reflective process can </w:t>
      </w:r>
      <w:r w:rsidRPr="371B20AB">
        <w:rPr>
          <w:rFonts w:ascii="Calibri" w:eastAsia="Calibri" w:hAnsi="Calibri" w:cs="Calibri"/>
          <w:color w:val="000000" w:themeColor="text1"/>
          <w:sz w:val="28"/>
          <w:szCs w:val="28"/>
          <w:lang w:val="en-GB"/>
        </w:rPr>
        <w:t>enable the researcher to “seize the essence of the stream of consciousness, helping them to understand what, if anything, is happening in it”</w:t>
      </w:r>
      <w:r w:rsidRPr="371B20AB">
        <w:rPr>
          <w:rFonts w:ascii="Calibri" w:eastAsia="Calibri" w:hAnsi="Calibri" w:cs="Calibri"/>
          <w:color w:val="222222"/>
          <w:sz w:val="28"/>
          <w:szCs w:val="28"/>
          <w:lang w:val="en-GB"/>
        </w:rPr>
        <w:t xml:space="preserve"> (Jayantilal and Lalli, 2024).</w:t>
      </w:r>
    </w:p>
    <w:p w14:paraId="5DB9EEB1" w14:textId="014266EA"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222222"/>
          <w:sz w:val="28"/>
          <w:szCs w:val="28"/>
          <w:lang w:val="en-GB"/>
        </w:rPr>
        <w:t xml:space="preserve">This conceptualisation of the emergence of phenomena, revealing itself to the conscious experience of the researcher through the discourse of a focus group resonates with my positionality.  However, the significance of remaining critically reflective of the data and reflecting upon initial thoughts and feelings that emerge within my consciousness will benefit from a reflective or critically reflexive approach.  </w:t>
      </w:r>
    </w:p>
    <w:p w14:paraId="327D65AD" w14:textId="3A29EF57" w:rsidR="5D241894" w:rsidRDefault="5D241894" w:rsidP="371B20AB">
      <w:pPr>
        <w:spacing w:line="360" w:lineRule="auto"/>
        <w:rPr>
          <w:rFonts w:ascii="Calibri" w:eastAsia="Calibri" w:hAnsi="Calibri" w:cs="Calibri"/>
          <w:b/>
          <w:bCs/>
          <w:i/>
          <w:iCs/>
          <w:color w:val="000000" w:themeColor="text1"/>
          <w:sz w:val="28"/>
          <w:szCs w:val="28"/>
          <w:lang w:val="en-GB"/>
        </w:rPr>
      </w:pPr>
    </w:p>
    <w:p w14:paraId="03954715" w14:textId="2D456F9A"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b/>
          <w:bCs/>
          <w:i/>
          <w:iCs/>
          <w:color w:val="000000" w:themeColor="text1"/>
          <w:sz w:val="28"/>
          <w:szCs w:val="28"/>
          <w:lang w:val="en-GB"/>
        </w:rPr>
        <w:lastRenderedPageBreak/>
        <w:t>Sample, choices and rationale.</w:t>
      </w:r>
    </w:p>
    <w:p w14:paraId="70EC409C" w14:textId="26AF7E70"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Selecting an appropriate sample group can be linked to the reflexive process, from the very beginning of the study the correct choice of participants for the research study offers challenges.  I am a lecturer in Early Years Education and care; therefore, I have a broad range of students who are also practitioners that would be suitable to be research participants within this study.  These students are suitable for this study as they are experiencing the integration of the new curriculum as a central aspect of their professional role (Merriam and Tisdell, 2016). </w:t>
      </w:r>
    </w:p>
    <w:p w14:paraId="29C3834C" w14:textId="61AF12EC"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Selecting research participants requires an understanding of the nature of the research question and finding participants who will be experienced within the field of inquiry (Denzin and Lincoln, 1994). My approach to sampling had been decided before the initiation of the research process.  This is defined by Flick (2023) as pre-determined sampling; the choice is determined by my understanding of the research question and deep understanding of the roles of the students eligible for participation.  This may also fit the definition of purposive sampling; I am selecting participants based upon my belief that they will offer insight into my chosen research themes (Flick, 2023:). </w:t>
      </w:r>
    </w:p>
    <w:p w14:paraId="45DEB4DA" w14:textId="1AFD8EFE"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reflective journal, which I began at the outset of the research study also aided in the choice of participants.  My question is aimed at the process of understanding and implementing a new curriculum, also the specific role of the enabling adult.  I reflected upon visits to students in practice and my observations of them whilst engaged within this activity.  Based upon these observations I chose a sample that had been observed and were at different stages of Their </w:t>
      </w:r>
      <w:r w:rsidRPr="371B20AB">
        <w:rPr>
          <w:rFonts w:ascii="Calibri" w:eastAsia="Calibri" w:hAnsi="Calibri" w:cs="Calibri"/>
          <w:color w:val="000000" w:themeColor="text1"/>
          <w:sz w:val="28"/>
          <w:szCs w:val="28"/>
          <w:lang w:val="en-GB"/>
        </w:rPr>
        <w:lastRenderedPageBreak/>
        <w:t xml:space="preserve">professional careers.  This would enable some differentiation between knowledge, </w:t>
      </w:r>
      <w:proofErr w:type="gramStart"/>
      <w:r w:rsidRPr="371B20AB">
        <w:rPr>
          <w:rFonts w:ascii="Calibri" w:eastAsia="Calibri" w:hAnsi="Calibri" w:cs="Calibri"/>
          <w:color w:val="000000" w:themeColor="text1"/>
          <w:sz w:val="28"/>
          <w:szCs w:val="28"/>
          <w:lang w:val="en-GB"/>
        </w:rPr>
        <w:t>experience</w:t>
      </w:r>
      <w:proofErr w:type="gramEnd"/>
      <w:r w:rsidRPr="371B20AB">
        <w:rPr>
          <w:rFonts w:ascii="Calibri" w:eastAsia="Calibri" w:hAnsi="Calibri" w:cs="Calibri"/>
          <w:color w:val="000000" w:themeColor="text1"/>
          <w:sz w:val="28"/>
          <w:szCs w:val="28"/>
          <w:lang w:val="en-GB"/>
        </w:rPr>
        <w:t xml:space="preserve"> and professional perceptions from different levels.</w:t>
      </w:r>
    </w:p>
    <w:p w14:paraId="57EE6214" w14:textId="72602EAF"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The size of the sample group is also relevant to explore when deciding on the recruitment of the research participants.  Sample size in qualitative research has been an area of ambiguity for some time (</w:t>
      </w:r>
      <w:proofErr w:type="spellStart"/>
      <w:r w:rsidRPr="371B20AB">
        <w:rPr>
          <w:rFonts w:ascii="Calibri" w:eastAsia="Calibri" w:hAnsi="Calibri" w:cs="Calibri"/>
          <w:color w:val="000000" w:themeColor="text1"/>
          <w:sz w:val="28"/>
          <w:szCs w:val="28"/>
          <w:lang w:val="en-GB"/>
        </w:rPr>
        <w:t>Mthulia</w:t>
      </w:r>
      <w:proofErr w:type="spellEnd"/>
      <w:r w:rsidRPr="371B20AB">
        <w:rPr>
          <w:rFonts w:ascii="Calibri" w:eastAsia="Calibri" w:hAnsi="Calibri" w:cs="Calibri"/>
          <w:color w:val="000000" w:themeColor="text1"/>
          <w:sz w:val="28"/>
          <w:szCs w:val="28"/>
          <w:lang w:val="en-GB"/>
        </w:rPr>
        <w:t xml:space="preserve"> </w:t>
      </w:r>
      <w:r w:rsidRPr="371B20AB">
        <w:rPr>
          <w:rFonts w:ascii="Calibri" w:eastAsia="Calibri" w:hAnsi="Calibri" w:cs="Calibri"/>
          <w:i/>
          <w:iCs/>
          <w:color w:val="000000" w:themeColor="text1"/>
          <w:sz w:val="28"/>
          <w:szCs w:val="28"/>
          <w:lang w:val="en-GB"/>
        </w:rPr>
        <w:t>et al.</w:t>
      </w:r>
      <w:r w:rsidRPr="371B20AB">
        <w:rPr>
          <w:rFonts w:ascii="Calibri" w:eastAsia="Calibri" w:hAnsi="Calibri" w:cs="Calibri"/>
          <w:color w:val="000000" w:themeColor="text1"/>
          <w:sz w:val="28"/>
          <w:szCs w:val="28"/>
          <w:lang w:val="en-GB"/>
        </w:rPr>
        <w:t xml:space="preserve"> 2022; Sim </w:t>
      </w:r>
      <w:r w:rsidRPr="371B20AB">
        <w:rPr>
          <w:rFonts w:ascii="Calibri" w:eastAsia="Calibri" w:hAnsi="Calibri" w:cs="Calibri"/>
          <w:i/>
          <w:iCs/>
          <w:color w:val="000000" w:themeColor="text1"/>
          <w:sz w:val="28"/>
          <w:szCs w:val="28"/>
          <w:lang w:val="en-GB"/>
        </w:rPr>
        <w:t>et al</w:t>
      </w:r>
      <w:r w:rsidRPr="371B20AB">
        <w:rPr>
          <w:rFonts w:ascii="Calibri" w:eastAsia="Calibri" w:hAnsi="Calibri" w:cs="Calibri"/>
          <w:color w:val="000000" w:themeColor="text1"/>
          <w:sz w:val="28"/>
          <w:szCs w:val="28"/>
          <w:lang w:val="en-GB"/>
        </w:rPr>
        <w:t xml:space="preserve">.2018; Boddy, 2016).  However, there is a suggestion that to enable depth of analysis of the data from qualitative studies the sample group should not be too large (Sandelowski,1995; </w:t>
      </w:r>
      <w:r w:rsidRPr="371B20AB">
        <w:rPr>
          <w:rFonts w:ascii="Calibri" w:eastAsia="Calibri" w:hAnsi="Calibri" w:cs="Calibri"/>
          <w:color w:val="222222"/>
          <w:sz w:val="28"/>
          <w:szCs w:val="28"/>
          <w:lang w:val="en-GB"/>
        </w:rPr>
        <w:t>DiStefano, and Yang, 2024</w:t>
      </w:r>
      <w:r w:rsidRPr="371B20AB">
        <w:rPr>
          <w:rFonts w:ascii="Calibri" w:eastAsia="Calibri" w:hAnsi="Calibri" w:cs="Calibri"/>
          <w:color w:val="000000" w:themeColor="text1"/>
          <w:sz w:val="28"/>
          <w:szCs w:val="28"/>
          <w:lang w:val="en-GB"/>
        </w:rPr>
        <w:t xml:space="preserve">).  I have decided that to explore this research question two focus groups will be carried out.  Each of the focus groups will include participants who are practitioners within the field of early years and will have experienced the introduction of the new curriculum into their settings.  Each of the focus groups will have between 5 and 6 participants to enable a manageable discussion.  </w:t>
      </w:r>
    </w:p>
    <w:p w14:paraId="4CB4BFAB" w14:textId="472A6744"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b/>
          <w:bCs/>
          <w:color w:val="000000" w:themeColor="text1"/>
          <w:sz w:val="28"/>
          <w:szCs w:val="28"/>
          <w:lang w:val="en-GB"/>
        </w:rPr>
        <w:t>Method Focus Groups.</w:t>
      </w:r>
    </w:p>
    <w:p w14:paraId="569B0503" w14:textId="01D45A48"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I have chosen focus groups as the method to explore the thoughts and feelings of practitioners who have experienced the integration of the curriculum into their practice. Focus groups bring together between six and ten people to explore and discuss a specific topic (Pope, 2020; </w:t>
      </w:r>
      <w:proofErr w:type="spellStart"/>
      <w:r w:rsidRPr="371B20AB">
        <w:rPr>
          <w:rFonts w:ascii="Calibri" w:eastAsia="Calibri" w:hAnsi="Calibri" w:cs="Calibri"/>
          <w:color w:val="000000" w:themeColor="text1"/>
          <w:sz w:val="28"/>
          <w:szCs w:val="28"/>
          <w:lang w:val="en-GB"/>
        </w:rPr>
        <w:t>Hennink</w:t>
      </w:r>
      <w:proofErr w:type="spellEnd"/>
      <w:r w:rsidRPr="371B20AB">
        <w:rPr>
          <w:rFonts w:ascii="Calibri" w:eastAsia="Calibri" w:hAnsi="Calibri" w:cs="Calibri"/>
          <w:color w:val="000000" w:themeColor="text1"/>
          <w:sz w:val="28"/>
          <w:szCs w:val="28"/>
          <w:lang w:val="en-GB"/>
        </w:rPr>
        <w:t>, 2014; Sim and Waterfield, 2019). The focus group offers an opportunity for participants to engage in a meaningful discourse, they enable the evocation of thoughts feelings and attitudes towards the specific themes introduced by the facilitator (Kidd and Marshall, 2000; Flick, 2018).  The aim of this interactive discourse is to discover a shared understanding of the themes that emerge within the interview (</w:t>
      </w:r>
      <w:r w:rsidRPr="371B20AB">
        <w:rPr>
          <w:rFonts w:ascii="Calibri" w:eastAsia="Calibri" w:hAnsi="Calibri" w:cs="Calibri"/>
          <w:color w:val="000000" w:themeColor="text1"/>
          <w:sz w:val="28"/>
          <w:szCs w:val="28"/>
        </w:rPr>
        <w:t xml:space="preserve">Moseley, Ford, and Wilkins, 2020) </w:t>
      </w:r>
    </w:p>
    <w:p w14:paraId="16CB654D" w14:textId="1D8B60EE"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000000" w:themeColor="text1"/>
          <w:sz w:val="28"/>
          <w:szCs w:val="28"/>
        </w:rPr>
        <w:lastRenderedPageBreak/>
        <w:t xml:space="preserve">Focus groups bring together participants who are presumed to have shared interests and experiences (Flick, 2018).  However, this presumption requires a reflexive approach to the selection of participants. The selection criteria require a careful and reflective approach ensuring that the participants have relevant experience that will enable a deep exploration of the researchers' questions </w:t>
      </w:r>
      <w:r w:rsidRPr="371B20AB">
        <w:rPr>
          <w:rFonts w:ascii="Calibri" w:eastAsia="Calibri" w:hAnsi="Calibri" w:cs="Calibri"/>
          <w:color w:val="222222"/>
          <w:sz w:val="28"/>
          <w:szCs w:val="28"/>
          <w:lang w:val="en-GB"/>
        </w:rPr>
        <w:t xml:space="preserve">(Jayantilal and Lalli, 2024). </w:t>
      </w:r>
    </w:p>
    <w:p w14:paraId="17BE06A9" w14:textId="6018971A"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222222"/>
          <w:sz w:val="28"/>
          <w:szCs w:val="28"/>
          <w:lang w:val="en-GB"/>
        </w:rPr>
        <w:t>The role of the researcher as facilitator of focus groups is an essential factor in the collection of authentic data for analysis. The researcher is required to be mindful of discreet interactions between the participants and to explore emerging themes that are created by the interactions of participants (</w:t>
      </w:r>
      <w:r w:rsidRPr="371B20AB">
        <w:rPr>
          <w:rFonts w:ascii="Calibri" w:eastAsia="Calibri" w:hAnsi="Calibri" w:cs="Calibri"/>
          <w:color w:val="000000" w:themeColor="text1"/>
          <w:sz w:val="28"/>
          <w:szCs w:val="28"/>
          <w:lang w:val="en-GB"/>
        </w:rPr>
        <w:t>Nicholson</w:t>
      </w:r>
      <w:r w:rsidR="1A77F6DE" w:rsidRPr="371B20AB">
        <w:rPr>
          <w:rFonts w:ascii="Calibri" w:eastAsia="Calibri" w:hAnsi="Calibri" w:cs="Calibri"/>
          <w:color w:val="000000" w:themeColor="text1"/>
          <w:sz w:val="28"/>
          <w:szCs w:val="28"/>
          <w:lang w:val="en-GB"/>
        </w:rPr>
        <w:t xml:space="preserve"> </w:t>
      </w:r>
      <w:r w:rsidRPr="371B20AB">
        <w:rPr>
          <w:rFonts w:ascii="Calibri" w:eastAsia="Calibri" w:hAnsi="Calibri" w:cs="Calibri"/>
          <w:color w:val="000000" w:themeColor="text1"/>
          <w:sz w:val="28"/>
          <w:szCs w:val="28"/>
          <w:lang w:val="en-GB"/>
        </w:rPr>
        <w:t>and Shrives, 2024).  Flick (2018) suggests that is in this Complex dynamic the richness of data is enhanced by the skills of the facilitator.  To enable this facilitation, I have drawn on my previous experience of working with groups within health settings to facilitate health improvements and behaviour change.  The primary method that I adopted was Motivational Interviewing (Miller and Rollnick, 1991; Miller and Rollnick, 2009).  This process enables the evocation of thoughts and feelings by asking open questions and reflecting upon the content of discussions and interactions</w:t>
      </w:r>
      <w:r w:rsidRPr="371B20AB">
        <w:rPr>
          <w:rFonts w:ascii="Calibri" w:eastAsia="Calibri" w:hAnsi="Calibri" w:cs="Calibri"/>
          <w:color w:val="222222"/>
          <w:sz w:val="28"/>
          <w:szCs w:val="28"/>
          <w:lang w:val="en-GB"/>
        </w:rPr>
        <w:t xml:space="preserve"> (Moyers, Miller, and Hendrickson, 2005).  </w:t>
      </w:r>
    </w:p>
    <w:p w14:paraId="08FEAD75" w14:textId="3DE41A14"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222222"/>
          <w:sz w:val="28"/>
          <w:szCs w:val="28"/>
          <w:lang w:val="en-GB"/>
        </w:rPr>
        <w:t xml:space="preserve">The focus groups were populated by students that are studying the BSc (Hons) Early Years Education and Care, they are also undertaking a practitioner award which requires extensive practical experience.   The participants have been involved in the introduction of the new curriculum into their settings and have communicated an understanding of the content.  It is hoped that these </w:t>
      </w:r>
      <w:r w:rsidRPr="371B20AB">
        <w:rPr>
          <w:rFonts w:ascii="Calibri" w:eastAsia="Calibri" w:hAnsi="Calibri" w:cs="Calibri"/>
          <w:color w:val="222222"/>
          <w:sz w:val="28"/>
          <w:szCs w:val="28"/>
          <w:lang w:val="en-GB"/>
        </w:rPr>
        <w:lastRenderedPageBreak/>
        <w:t xml:space="preserve">experiences will be explored within the focus groups to enable the interpretation of the research questions. </w:t>
      </w:r>
    </w:p>
    <w:p w14:paraId="70967833" w14:textId="66501993"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222222"/>
          <w:sz w:val="28"/>
          <w:szCs w:val="28"/>
          <w:lang w:val="en-GB"/>
        </w:rPr>
        <w:t xml:space="preserve">Two focus groups were planned and a total of six participants were allocated to each group.  The focus groups were conducted via a Microsoft Teams meeting, this would enable a video recording of the meeting and a transcript to facilitate the data analysis. The focus groups will be discussed in more detail within the data analysis and discussion chapters of this assignment. The participants were contacted by email to invite them to participate in the focus groups. A full explanation of the purpose of the groups and the process of the research project were included in the email.  Eleven students agreed to participate in the project and the dates and times of the focus groups were agreed upon and invites were sent to the participants via Microsoft Teams and email. </w:t>
      </w:r>
    </w:p>
    <w:p w14:paraId="5547782B" w14:textId="1781446D"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b/>
          <w:bCs/>
          <w:color w:val="222222"/>
          <w:sz w:val="28"/>
          <w:szCs w:val="28"/>
          <w:lang w:val="en-GB"/>
        </w:rPr>
        <w:t>Ethical Considerations.</w:t>
      </w:r>
    </w:p>
    <w:p w14:paraId="447B637A" w14:textId="74BE35E1" w:rsidR="0DD511AD" w:rsidRDefault="5CFE9EE3" w:rsidP="371B20AB">
      <w:pPr>
        <w:spacing w:line="360" w:lineRule="auto"/>
        <w:rPr>
          <w:rFonts w:ascii="Calibri" w:eastAsia="Calibri" w:hAnsi="Calibri" w:cs="Calibri"/>
          <w:color w:val="222222"/>
          <w:sz w:val="28"/>
          <w:szCs w:val="28"/>
        </w:rPr>
      </w:pPr>
      <w:r w:rsidRPr="371B20AB">
        <w:rPr>
          <w:rFonts w:ascii="Calibri" w:eastAsia="Calibri" w:hAnsi="Calibri" w:cs="Calibri"/>
          <w:color w:val="222222"/>
          <w:sz w:val="28"/>
          <w:szCs w:val="28"/>
          <w:lang w:val="en-GB"/>
        </w:rPr>
        <w:t xml:space="preserve">The British Educational Research Association (BERA) has produced ethical guidance for researchers who are engaged in educational research (BERA, 2024). It is within this framework to support an ethical approach to the research process that an ethics form was submitted to the University of Wales Trinity Saint David’s (UWTSD) ethics committee at the outset of the research process.  The BERA document espouses the significance of ethical principles to ensure rigour when carrying out educational research.  </w:t>
      </w:r>
    </w:p>
    <w:p w14:paraId="3EFF244E" w14:textId="4C799DBD"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222222"/>
          <w:sz w:val="28"/>
          <w:szCs w:val="28"/>
          <w:lang w:val="en-GB"/>
        </w:rPr>
        <w:t>Consent is a foundational aspect of the research process; it must be a dynamic process that will ensure that the participants fully understand all that will be required of them during the research process (</w:t>
      </w:r>
      <w:r w:rsidRPr="371B20AB">
        <w:rPr>
          <w:rFonts w:ascii="Calibri" w:eastAsia="Calibri" w:hAnsi="Calibri" w:cs="Calibri"/>
          <w:color w:val="000000" w:themeColor="text1"/>
          <w:sz w:val="28"/>
          <w:szCs w:val="28"/>
          <w:lang w:val="en-GB"/>
        </w:rPr>
        <w:t xml:space="preserve">Sixtensson, 2022).  This requires offering the participants informed consent, offering a detailed account of the </w:t>
      </w:r>
      <w:r w:rsidRPr="371B20AB">
        <w:rPr>
          <w:rFonts w:ascii="Calibri" w:eastAsia="Calibri" w:hAnsi="Calibri" w:cs="Calibri"/>
          <w:color w:val="000000" w:themeColor="text1"/>
          <w:sz w:val="28"/>
          <w:szCs w:val="28"/>
          <w:lang w:val="en-GB"/>
        </w:rPr>
        <w:lastRenderedPageBreak/>
        <w:t xml:space="preserve">research process, also that consent may be withdrawn at any time (BERA, 2024).  The participants were given an overview of the research process in an email requesting their participation in the focus groups.  Before each focus group the participants were given a briefing face to face with the researcher explaining the research themes and how the focus groups were to be conducted.  A paper copy of the consent form was given to each participant, this happened a week before the focus groups were conducted to enable them to think about their participation and ask any further questions before the commencement of the research process.  All potential participants consented to the process and signed the form to confirm this.  All consent forms were scanned securely to my password protected OneDrive account; the paper copies were then shredded.  </w:t>
      </w:r>
    </w:p>
    <w:p w14:paraId="0048C6DD" w14:textId="4C92BB6C" w:rsidR="0DD511AD" w:rsidRDefault="5CFE9EE3" w:rsidP="371B20AB">
      <w:pPr>
        <w:spacing w:line="360" w:lineRule="auto"/>
        <w:rPr>
          <w:rFonts w:ascii="Calibri" w:eastAsia="Calibri" w:hAnsi="Calibri" w:cs="Calibri"/>
          <w:color w:val="212226"/>
          <w:sz w:val="28"/>
          <w:szCs w:val="28"/>
        </w:rPr>
      </w:pPr>
      <w:r w:rsidRPr="371B20AB">
        <w:rPr>
          <w:rFonts w:ascii="Calibri" w:eastAsia="Calibri" w:hAnsi="Calibri" w:cs="Calibri"/>
          <w:color w:val="000000" w:themeColor="text1"/>
          <w:sz w:val="28"/>
          <w:szCs w:val="28"/>
          <w:lang w:val="en-GB"/>
        </w:rPr>
        <w:t xml:space="preserve">All data including the focus group teams recordings and transcripts will be kept in a password protected University computer. This is password protected and encrypted. All work will be completed on university equipment or in the university One drive which will safeguard data, this follows guidance set out by the </w:t>
      </w:r>
      <w:r w:rsidRPr="371B20AB">
        <w:rPr>
          <w:rFonts w:ascii="Calibri" w:eastAsia="Calibri" w:hAnsi="Calibri" w:cs="Calibri"/>
          <w:color w:val="212226"/>
          <w:sz w:val="28"/>
          <w:szCs w:val="28"/>
          <w:lang w:val="en-GB"/>
        </w:rPr>
        <w:t>General Data Protection Regulation (GDPR) and UK Data Protection Act (2018).</w:t>
      </w:r>
    </w:p>
    <w:p w14:paraId="6155BC82" w14:textId="4A7BBF39"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All participants will be given a unique identifier to ensure confidentiality and this list will be kept securely in the password protected computer.  If any cloud storage is needed, the only one that will be used will be the University Office 365 OneDrive system which is encrypted and the data in the cloud is anonymised. </w:t>
      </w:r>
    </w:p>
    <w:p w14:paraId="78E2369E" w14:textId="4FB13CE4"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data will be stored until the completion of the project and then deleted. Participants will have the right to ask to see what data is held relating to them </w:t>
      </w:r>
      <w:r w:rsidRPr="371B20AB">
        <w:rPr>
          <w:rFonts w:ascii="Calibri" w:eastAsia="Calibri" w:hAnsi="Calibri" w:cs="Calibri"/>
          <w:color w:val="000000" w:themeColor="text1"/>
          <w:sz w:val="28"/>
          <w:szCs w:val="28"/>
          <w:lang w:val="en-GB"/>
        </w:rPr>
        <w:lastRenderedPageBreak/>
        <w:t>and the data collected during the focus groups will be deleted immediately if the participant requests this, in which case the data will not be used in the project.</w:t>
      </w:r>
    </w:p>
    <w:p w14:paraId="09636FA2" w14:textId="17A44A8D"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The research is being undertaken with my own students.  There may be a risk of allegations of favouritism towards those students who engaged with the research. Clear ground rules will be shared with participants regarding expectations of student and researcher relationship (</w:t>
      </w:r>
      <w:proofErr w:type="spellStart"/>
      <w:r w:rsidRPr="371B20AB">
        <w:rPr>
          <w:rFonts w:ascii="Calibri" w:eastAsia="Calibri" w:hAnsi="Calibri" w:cs="Calibri"/>
          <w:color w:val="000000" w:themeColor="text1"/>
          <w:sz w:val="28"/>
          <w:szCs w:val="28"/>
          <w:lang w:val="en-GB"/>
        </w:rPr>
        <w:t>Trowler</w:t>
      </w:r>
      <w:proofErr w:type="spellEnd"/>
      <w:r w:rsidRPr="371B20AB">
        <w:rPr>
          <w:rFonts w:ascii="Calibri" w:eastAsia="Calibri" w:hAnsi="Calibri" w:cs="Calibri"/>
          <w:color w:val="000000" w:themeColor="text1"/>
          <w:sz w:val="28"/>
          <w:szCs w:val="28"/>
          <w:lang w:val="en-GB"/>
        </w:rPr>
        <w:t>, 2011). Feedback and a review of the themes explored in the focus groups will be shared with the participants for clarity.</w:t>
      </w:r>
    </w:p>
    <w:p w14:paraId="75379760" w14:textId="2D3A0797" w:rsidR="0DD511AD" w:rsidRDefault="5CFE9EE3"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ethical processes outlined thus far were all submitted to the UWTSD ethics committee for ethical approval before commencement of the research project. Ethical approval was received, during the research process the ethics form and ethical approval guided my interactions with the participants, the collection of the data and the subsequent data analysis. </w:t>
      </w:r>
    </w:p>
    <w:p w14:paraId="0C038084" w14:textId="44D7B6DE" w:rsidR="0DD511AD" w:rsidRDefault="0DD511AD" w:rsidP="371B20AB">
      <w:pPr>
        <w:spacing w:line="360" w:lineRule="auto"/>
        <w:rPr>
          <w:rFonts w:ascii="Calibri" w:eastAsia="Calibri" w:hAnsi="Calibri" w:cs="Calibri"/>
          <w:color w:val="000000" w:themeColor="text1"/>
          <w:sz w:val="28"/>
          <w:szCs w:val="28"/>
          <w:lang w:val="en-GB"/>
        </w:rPr>
      </w:pPr>
    </w:p>
    <w:p w14:paraId="63A1271F" w14:textId="77777777" w:rsidR="007F737A" w:rsidRDefault="007F737A" w:rsidP="371B20AB">
      <w:pPr>
        <w:spacing w:line="360" w:lineRule="auto"/>
        <w:rPr>
          <w:rFonts w:ascii="Calibri" w:eastAsia="Calibri" w:hAnsi="Calibri" w:cs="Calibri"/>
          <w:b/>
          <w:bCs/>
          <w:i/>
          <w:iCs/>
          <w:color w:val="000000" w:themeColor="text1"/>
          <w:sz w:val="28"/>
          <w:szCs w:val="28"/>
        </w:rPr>
      </w:pPr>
    </w:p>
    <w:p w14:paraId="5A5E2227" w14:textId="77777777" w:rsidR="007F737A" w:rsidRDefault="007F737A" w:rsidP="371B20AB">
      <w:pPr>
        <w:spacing w:line="360" w:lineRule="auto"/>
        <w:rPr>
          <w:rFonts w:ascii="Calibri" w:eastAsia="Calibri" w:hAnsi="Calibri" w:cs="Calibri"/>
          <w:b/>
          <w:bCs/>
          <w:i/>
          <w:iCs/>
          <w:color w:val="000000" w:themeColor="text1"/>
          <w:sz w:val="28"/>
          <w:szCs w:val="28"/>
        </w:rPr>
      </w:pPr>
    </w:p>
    <w:p w14:paraId="0A32044A" w14:textId="77777777" w:rsidR="007F737A" w:rsidRDefault="007F737A" w:rsidP="371B20AB">
      <w:pPr>
        <w:spacing w:line="360" w:lineRule="auto"/>
        <w:rPr>
          <w:rFonts w:ascii="Calibri" w:eastAsia="Calibri" w:hAnsi="Calibri" w:cs="Calibri"/>
          <w:b/>
          <w:bCs/>
          <w:i/>
          <w:iCs/>
          <w:color w:val="000000" w:themeColor="text1"/>
          <w:sz w:val="28"/>
          <w:szCs w:val="28"/>
        </w:rPr>
      </w:pPr>
    </w:p>
    <w:p w14:paraId="62C39A4F" w14:textId="77777777" w:rsidR="007F737A" w:rsidRDefault="007F737A" w:rsidP="371B20AB">
      <w:pPr>
        <w:spacing w:line="360" w:lineRule="auto"/>
        <w:rPr>
          <w:rFonts w:ascii="Calibri" w:eastAsia="Calibri" w:hAnsi="Calibri" w:cs="Calibri"/>
          <w:b/>
          <w:bCs/>
          <w:i/>
          <w:iCs/>
          <w:color w:val="000000" w:themeColor="text1"/>
          <w:sz w:val="28"/>
          <w:szCs w:val="28"/>
        </w:rPr>
      </w:pPr>
    </w:p>
    <w:p w14:paraId="7CE03BDB" w14:textId="77777777" w:rsidR="007F737A" w:rsidRDefault="007F737A" w:rsidP="371B20AB">
      <w:pPr>
        <w:spacing w:line="360" w:lineRule="auto"/>
        <w:rPr>
          <w:rFonts w:ascii="Calibri" w:eastAsia="Calibri" w:hAnsi="Calibri" w:cs="Calibri"/>
          <w:b/>
          <w:bCs/>
          <w:i/>
          <w:iCs/>
          <w:color w:val="000000" w:themeColor="text1"/>
          <w:sz w:val="28"/>
          <w:szCs w:val="28"/>
        </w:rPr>
      </w:pPr>
    </w:p>
    <w:p w14:paraId="61C3496B" w14:textId="77777777" w:rsidR="007F737A" w:rsidRDefault="007F737A" w:rsidP="371B20AB">
      <w:pPr>
        <w:spacing w:line="360" w:lineRule="auto"/>
        <w:rPr>
          <w:rFonts w:ascii="Calibri" w:eastAsia="Calibri" w:hAnsi="Calibri" w:cs="Calibri"/>
          <w:b/>
          <w:bCs/>
          <w:i/>
          <w:iCs/>
          <w:color w:val="000000" w:themeColor="text1"/>
          <w:sz w:val="28"/>
          <w:szCs w:val="28"/>
        </w:rPr>
      </w:pPr>
    </w:p>
    <w:p w14:paraId="2839F6F3" w14:textId="77777777" w:rsidR="007F737A" w:rsidRDefault="007F737A" w:rsidP="371B20AB">
      <w:pPr>
        <w:spacing w:line="360" w:lineRule="auto"/>
        <w:rPr>
          <w:rFonts w:ascii="Calibri" w:eastAsia="Calibri" w:hAnsi="Calibri" w:cs="Calibri"/>
          <w:b/>
          <w:bCs/>
          <w:i/>
          <w:iCs/>
          <w:color w:val="000000" w:themeColor="text1"/>
          <w:sz w:val="28"/>
          <w:szCs w:val="28"/>
        </w:rPr>
      </w:pPr>
    </w:p>
    <w:p w14:paraId="7F1839C7" w14:textId="77777777" w:rsidR="007F737A" w:rsidRDefault="007F737A" w:rsidP="371B20AB">
      <w:pPr>
        <w:spacing w:line="360" w:lineRule="auto"/>
        <w:rPr>
          <w:rFonts w:ascii="Calibri" w:eastAsia="Calibri" w:hAnsi="Calibri" w:cs="Calibri"/>
          <w:b/>
          <w:bCs/>
          <w:i/>
          <w:iCs/>
          <w:color w:val="000000" w:themeColor="text1"/>
          <w:sz w:val="28"/>
          <w:szCs w:val="28"/>
        </w:rPr>
      </w:pPr>
    </w:p>
    <w:p w14:paraId="308ABFFD" w14:textId="7444665F" w:rsidR="0DD511AD" w:rsidRDefault="7FA6FC76" w:rsidP="371B20AB">
      <w:pPr>
        <w:spacing w:line="360" w:lineRule="auto"/>
        <w:rPr>
          <w:rFonts w:ascii="Calibri" w:eastAsia="Calibri" w:hAnsi="Calibri" w:cs="Calibri"/>
          <w:b/>
          <w:bCs/>
          <w:i/>
          <w:iCs/>
          <w:color w:val="000000" w:themeColor="text1"/>
          <w:sz w:val="28"/>
          <w:szCs w:val="28"/>
          <w:lang w:val="en-GB"/>
        </w:rPr>
      </w:pPr>
      <w:r w:rsidRPr="371B20AB">
        <w:rPr>
          <w:rFonts w:ascii="Calibri" w:eastAsia="Calibri" w:hAnsi="Calibri" w:cs="Calibri"/>
          <w:b/>
          <w:bCs/>
          <w:i/>
          <w:iCs/>
          <w:color w:val="000000" w:themeColor="text1"/>
          <w:sz w:val="28"/>
          <w:szCs w:val="28"/>
        </w:rPr>
        <w:lastRenderedPageBreak/>
        <w:t xml:space="preserve">Chapter </w:t>
      </w:r>
      <w:bookmarkStart w:id="0" w:name="_Hlk170129376"/>
      <w:r w:rsidR="27165EA2" w:rsidRPr="371B20AB">
        <w:rPr>
          <w:rFonts w:ascii="Calibri" w:eastAsia="Calibri" w:hAnsi="Calibri" w:cs="Calibri"/>
          <w:b/>
          <w:bCs/>
          <w:i/>
          <w:iCs/>
          <w:color w:val="000000" w:themeColor="text1"/>
          <w:sz w:val="28"/>
          <w:szCs w:val="28"/>
        </w:rPr>
        <w:t>3</w:t>
      </w:r>
      <w:r w:rsidRPr="371B20AB">
        <w:rPr>
          <w:rFonts w:ascii="Calibri" w:eastAsia="Calibri" w:hAnsi="Calibri" w:cs="Calibri"/>
          <w:b/>
          <w:bCs/>
          <w:i/>
          <w:iCs/>
          <w:color w:val="000000" w:themeColor="text1"/>
          <w:sz w:val="28"/>
          <w:szCs w:val="28"/>
        </w:rPr>
        <w:t xml:space="preserve"> Findings and Data Analysis.</w:t>
      </w:r>
      <w:bookmarkEnd w:id="0"/>
    </w:p>
    <w:p w14:paraId="4D76B8DF" w14:textId="59AE539F" w:rsidR="0DD511AD" w:rsidRDefault="7FA6FC76"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rPr>
        <w:t xml:space="preserve">The focus groups took place in Microsoft teams meetings which had been arranged following the receipt of informed consent from the participants.  This format is useful, as a video of the focus groups can be </w:t>
      </w:r>
      <w:proofErr w:type="gramStart"/>
      <w:r w:rsidRPr="371B20AB">
        <w:rPr>
          <w:rFonts w:ascii="Calibri" w:eastAsia="Calibri" w:hAnsi="Calibri" w:cs="Calibri"/>
          <w:color w:val="000000" w:themeColor="text1"/>
          <w:sz w:val="28"/>
          <w:szCs w:val="28"/>
        </w:rPr>
        <w:t>saved</w:t>
      </w:r>
      <w:proofErr w:type="gramEnd"/>
      <w:r w:rsidRPr="371B20AB">
        <w:rPr>
          <w:rFonts w:ascii="Calibri" w:eastAsia="Calibri" w:hAnsi="Calibri" w:cs="Calibri"/>
          <w:color w:val="000000" w:themeColor="text1"/>
          <w:sz w:val="28"/>
          <w:szCs w:val="28"/>
        </w:rPr>
        <w:t xml:space="preserve"> and an accurate transcript is produced to aid data analysis.  As detailed thus far the focus groups were to include six participants to enable discussion and comparison of the discussions. However, when the first focus group commenced only two participants joined the group.   </w:t>
      </w:r>
    </w:p>
    <w:p w14:paraId="0A087047" w14:textId="10FA032C" w:rsidR="0DD511AD" w:rsidRDefault="7FA6FC76"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rPr>
        <w:t xml:space="preserve">This meant that it would be incorrect to call this discussion a focus group as the criteria for this format was not met. However, this format has been described by Flick (2018) as a dyadic interview.  There are similarities in the collection of data and the facilitation of a discussion between two participants to gain valuable qualitative data (Morgan </w:t>
      </w:r>
      <w:r w:rsidRPr="371B20AB">
        <w:rPr>
          <w:rFonts w:ascii="Calibri" w:eastAsia="Calibri" w:hAnsi="Calibri" w:cs="Calibri"/>
          <w:i/>
          <w:iCs/>
          <w:color w:val="000000" w:themeColor="text1"/>
          <w:sz w:val="28"/>
          <w:szCs w:val="28"/>
        </w:rPr>
        <w:t>et al</w:t>
      </w:r>
      <w:r w:rsidRPr="371B20AB">
        <w:rPr>
          <w:rFonts w:ascii="Calibri" w:eastAsia="Calibri" w:hAnsi="Calibri" w:cs="Calibri"/>
          <w:color w:val="000000" w:themeColor="text1"/>
          <w:sz w:val="28"/>
          <w:szCs w:val="28"/>
        </w:rPr>
        <w:t xml:space="preserve">. 2013; Morgan </w:t>
      </w:r>
      <w:r w:rsidRPr="371B20AB">
        <w:rPr>
          <w:rFonts w:ascii="Calibri" w:eastAsia="Calibri" w:hAnsi="Calibri" w:cs="Calibri"/>
          <w:i/>
          <w:iCs/>
          <w:color w:val="000000" w:themeColor="text1"/>
          <w:sz w:val="28"/>
          <w:szCs w:val="28"/>
        </w:rPr>
        <w:t xml:space="preserve">et al. </w:t>
      </w:r>
      <w:r w:rsidRPr="371B20AB">
        <w:rPr>
          <w:rFonts w:ascii="Calibri" w:eastAsia="Calibri" w:hAnsi="Calibri" w:cs="Calibri"/>
          <w:color w:val="000000" w:themeColor="text1"/>
          <w:sz w:val="28"/>
          <w:szCs w:val="28"/>
        </w:rPr>
        <w:t xml:space="preserve">2016). The participants who attended were experienced practitioners who led the implementation of their settings' curriculum.  I felt that they would have significant insight into the aims of the research, and they agreed to continue with the interview as a dyad. </w:t>
      </w:r>
    </w:p>
    <w:p w14:paraId="60C8C234" w14:textId="6C1263A3" w:rsidR="0DD511AD" w:rsidRDefault="7FA6FC76"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rPr>
        <w:t xml:space="preserve">All six invited participants attended the second focus group, offering a group dynamic to explore the concepts and themes of the research questions. The participants of this focus group were less experienced than in the dyadic interview and the emerging conversations were fruitful in revealing the reflections of participants offering valuable insights into their experiences.  </w:t>
      </w:r>
    </w:p>
    <w:p w14:paraId="7F907B77" w14:textId="3738074E" w:rsidR="0DD511AD" w:rsidRDefault="78368B6F" w:rsidP="371B20AB">
      <w:pPr>
        <w:spacing w:line="360" w:lineRule="auto"/>
        <w:rPr>
          <w:rFonts w:ascii="Calibri" w:eastAsia="Calibri" w:hAnsi="Calibri" w:cs="Calibri"/>
          <w:b/>
          <w:bCs/>
          <w:i/>
          <w:iCs/>
          <w:color w:val="000000" w:themeColor="text1"/>
          <w:sz w:val="28"/>
          <w:szCs w:val="28"/>
        </w:rPr>
      </w:pPr>
      <w:r w:rsidRPr="371B20AB">
        <w:rPr>
          <w:rFonts w:ascii="Calibri" w:eastAsia="Calibri" w:hAnsi="Calibri" w:cs="Calibri"/>
          <w:b/>
          <w:bCs/>
          <w:i/>
          <w:iCs/>
          <w:color w:val="000000" w:themeColor="text1"/>
          <w:sz w:val="28"/>
          <w:szCs w:val="28"/>
        </w:rPr>
        <w:t>Thematic Analysis</w:t>
      </w:r>
    </w:p>
    <w:p w14:paraId="77E2F724" w14:textId="4BE76ED7"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 xml:space="preserve">Thematic analysis is described by Braun and Clarke (2006) as a primary and foundational method of qualitative enquiry. They go on to explain that the skills </w:t>
      </w:r>
      <w:r w:rsidRPr="371B20AB">
        <w:rPr>
          <w:rFonts w:ascii="Calibri" w:eastAsia="Calibri" w:hAnsi="Calibri" w:cs="Calibri"/>
          <w:color w:val="000000" w:themeColor="text1"/>
          <w:sz w:val="28"/>
          <w:szCs w:val="28"/>
        </w:rPr>
        <w:lastRenderedPageBreak/>
        <w:t xml:space="preserve">that can be learned can be utilized in a range of different qualitative paradigms. The method enables the exploration of and recognition of meaning within qualitative data (Braun and Clarke, 2017). Thematic analysis can offer depth and richness when exploring the themes discussed by research participants. This offers a chance to understand the lived experience of participants through the developing themes and patterns observed in the language used within focus groups (Van Mannen, 1997). </w:t>
      </w:r>
    </w:p>
    <w:p w14:paraId="6A875452" w14:textId="36D682C4"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Some challenges have been recognized by Braun and Clarke (2017) including a lack of reflexivity and the skipping of analytical steps which reduce the richness and criticality of the interpretation of data. They go on to describe thematic analysis as the development of “meaning-based interpretive story themes” (Braun and Clarke, 2022 p.4). It is the making of meaning that requires a reflexive approach, recognizing researcher bias and the desire to have their research questions answered favorably by the research participants. This requires a reflective approach to the research process and ensuring reflexivity throughout to maintain a focus on the research aims, framing the data accurately to convey meaning through the interpretation of narratives to create meaning.</w:t>
      </w:r>
    </w:p>
    <w:p w14:paraId="2ABB5B5F" w14:textId="16E56BAA"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 xml:space="preserve">Six key steps are introduced by Braun and Clarke (2006) to aid the process of thematic analysis. These themes were followed as I began the interpretation of the research data. </w:t>
      </w:r>
    </w:p>
    <w:p w14:paraId="20F560AF" w14:textId="332B319C" w:rsidR="0DD511AD" w:rsidRDefault="78368B6F" w:rsidP="371B20AB">
      <w:pPr>
        <w:pStyle w:val="ListParagraph"/>
        <w:numPr>
          <w:ilvl w:val="0"/>
          <w:numId w:val="7"/>
        </w:numPr>
        <w:spacing w:line="360" w:lineRule="auto"/>
        <w:rPr>
          <w:rFonts w:ascii="Calibri" w:eastAsia="Calibri" w:hAnsi="Calibri" w:cs="Calibri"/>
          <w:b/>
          <w:bCs/>
          <w:color w:val="000000" w:themeColor="text1"/>
          <w:sz w:val="28"/>
          <w:szCs w:val="28"/>
        </w:rPr>
      </w:pPr>
      <w:r w:rsidRPr="371B20AB">
        <w:rPr>
          <w:rFonts w:ascii="Calibri" w:eastAsia="Calibri" w:hAnsi="Calibri" w:cs="Calibri"/>
          <w:b/>
          <w:bCs/>
          <w:color w:val="000000" w:themeColor="text1"/>
          <w:sz w:val="28"/>
          <w:szCs w:val="28"/>
        </w:rPr>
        <w:t>Familiarization with data.</w:t>
      </w:r>
    </w:p>
    <w:p w14:paraId="3AB46423" w14:textId="75F2EEAA"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 xml:space="preserve">This aspect is seen as necessary to create depth and for the researcher to thoroughly immerse themselves in the data, if this step is not addressed there is a danger that data analysis will be superficial (Braun and Clarke, 2017). My research </w:t>
      </w:r>
      <w:r w:rsidRPr="371B20AB">
        <w:rPr>
          <w:rFonts w:ascii="Calibri" w:eastAsia="Calibri" w:hAnsi="Calibri" w:cs="Calibri"/>
          <w:color w:val="000000" w:themeColor="text1"/>
          <w:sz w:val="28"/>
          <w:szCs w:val="28"/>
        </w:rPr>
        <w:lastRenderedPageBreak/>
        <w:t xml:space="preserve">took the form of focus groups, these were carried out through a Microsoft Teams meeting which enabled the meeting to be recorded and transcribed offering frequent reviews of the focus groups to identify themes. </w:t>
      </w:r>
    </w:p>
    <w:p w14:paraId="618CAD59" w14:textId="4648CB26" w:rsidR="0DD511AD" w:rsidRDefault="0DD511AD" w:rsidP="371B20AB">
      <w:pPr>
        <w:spacing w:line="360" w:lineRule="auto"/>
        <w:rPr>
          <w:rFonts w:ascii="Calibri" w:eastAsia="Calibri" w:hAnsi="Calibri" w:cs="Calibri"/>
          <w:color w:val="000000" w:themeColor="text1"/>
          <w:sz w:val="28"/>
          <w:szCs w:val="28"/>
        </w:rPr>
      </w:pPr>
    </w:p>
    <w:p w14:paraId="2B32BD46" w14:textId="582EDFCE" w:rsidR="0DD511AD" w:rsidRDefault="78368B6F" w:rsidP="371B20AB">
      <w:pPr>
        <w:pStyle w:val="ListParagraph"/>
        <w:numPr>
          <w:ilvl w:val="0"/>
          <w:numId w:val="7"/>
        </w:numPr>
        <w:spacing w:line="360" w:lineRule="auto"/>
        <w:rPr>
          <w:rFonts w:ascii="Calibri" w:eastAsia="Calibri" w:hAnsi="Calibri" w:cs="Calibri"/>
          <w:b/>
          <w:bCs/>
          <w:color w:val="000000" w:themeColor="text1"/>
          <w:sz w:val="28"/>
          <w:szCs w:val="28"/>
        </w:rPr>
      </w:pPr>
      <w:r w:rsidRPr="371B20AB">
        <w:rPr>
          <w:rFonts w:ascii="Calibri" w:eastAsia="Calibri" w:hAnsi="Calibri" w:cs="Calibri"/>
          <w:b/>
          <w:bCs/>
          <w:color w:val="000000" w:themeColor="text1"/>
          <w:sz w:val="28"/>
          <w:szCs w:val="28"/>
        </w:rPr>
        <w:t>Coding.</w:t>
      </w:r>
    </w:p>
    <w:p w14:paraId="6B327176" w14:textId="4204C00C"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 xml:space="preserve">Coding of themes observed within the focus groups required a deep and reflexive engagement with the flow of the discussions. There is a risk of superficially labelling data if this process is rushed, it has been described as an organic process allowing themes to be interpreted as they develop within the interactions of the emerging narratives (Braun and Clarke, 2022). A code book was developed during repeated views of the focus groups, reviewing and interpreting interactions and narratives which developed as the meetings progressed. </w:t>
      </w:r>
    </w:p>
    <w:p w14:paraId="645D1C60" w14:textId="52579211" w:rsidR="0DD511AD" w:rsidRDefault="78368B6F" w:rsidP="371B20AB">
      <w:pPr>
        <w:pStyle w:val="ListParagraph"/>
        <w:numPr>
          <w:ilvl w:val="0"/>
          <w:numId w:val="7"/>
        </w:numPr>
        <w:spacing w:line="360" w:lineRule="auto"/>
        <w:rPr>
          <w:rFonts w:ascii="Calibri" w:eastAsia="Calibri" w:hAnsi="Calibri" w:cs="Calibri"/>
          <w:b/>
          <w:bCs/>
          <w:color w:val="000000" w:themeColor="text1"/>
          <w:sz w:val="28"/>
          <w:szCs w:val="28"/>
        </w:rPr>
      </w:pPr>
      <w:r w:rsidRPr="371B20AB">
        <w:rPr>
          <w:rFonts w:ascii="Calibri" w:eastAsia="Calibri" w:hAnsi="Calibri" w:cs="Calibri"/>
          <w:b/>
          <w:bCs/>
          <w:color w:val="000000" w:themeColor="text1"/>
          <w:sz w:val="28"/>
          <w:szCs w:val="28"/>
        </w:rPr>
        <w:t>Generating themes.</w:t>
      </w:r>
    </w:p>
    <w:p w14:paraId="16E59686" w14:textId="1F5AFB76"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As the process of reviewing and interpreting and reinterpreting data progressed, significant themes emerged which could be reinforced by critical evaluation and referencing with the research questions.</w:t>
      </w:r>
      <w:r w:rsidR="19EFC01D" w:rsidRPr="371B20AB">
        <w:rPr>
          <w:rFonts w:ascii="Calibri" w:eastAsia="Calibri" w:hAnsi="Calibri" w:cs="Calibri"/>
          <w:color w:val="000000" w:themeColor="text1"/>
          <w:sz w:val="28"/>
          <w:szCs w:val="28"/>
        </w:rPr>
        <w:t xml:space="preserve">  </w:t>
      </w:r>
      <w:r w:rsidR="2DC1F5BD" w:rsidRPr="371B20AB">
        <w:rPr>
          <w:rFonts w:ascii="Calibri" w:eastAsia="Calibri" w:hAnsi="Calibri" w:cs="Calibri"/>
          <w:color w:val="000000" w:themeColor="text1"/>
          <w:sz w:val="28"/>
          <w:szCs w:val="28"/>
        </w:rPr>
        <w:t>Some</w:t>
      </w:r>
      <w:r w:rsidR="19EFC01D" w:rsidRPr="371B20AB">
        <w:rPr>
          <w:rFonts w:ascii="Calibri" w:eastAsia="Calibri" w:hAnsi="Calibri" w:cs="Calibri"/>
          <w:color w:val="000000" w:themeColor="text1"/>
          <w:sz w:val="28"/>
          <w:szCs w:val="28"/>
        </w:rPr>
        <w:t xml:space="preserve"> themes began to evolve that were not expected when exploring the experiences of the practitioners and will be further explored within the discussion.  </w:t>
      </w:r>
      <w:r w:rsidR="28B6191D" w:rsidRPr="371B20AB">
        <w:rPr>
          <w:rFonts w:ascii="Calibri" w:eastAsia="Calibri" w:hAnsi="Calibri" w:cs="Calibri"/>
          <w:color w:val="000000" w:themeColor="text1"/>
          <w:sz w:val="28"/>
          <w:szCs w:val="28"/>
        </w:rPr>
        <w:t>One such theme was using the word "love" to describe their relationships with the children and how they felt about their setting.</w:t>
      </w:r>
      <w:r w:rsidR="6F59AA53" w:rsidRPr="371B20AB">
        <w:rPr>
          <w:rFonts w:ascii="Calibri" w:eastAsia="Calibri" w:hAnsi="Calibri" w:cs="Calibri"/>
          <w:color w:val="000000" w:themeColor="text1"/>
          <w:sz w:val="28"/>
          <w:szCs w:val="28"/>
        </w:rPr>
        <w:t xml:space="preserve">  This may not be fully </w:t>
      </w:r>
      <w:r w:rsidR="51A77951" w:rsidRPr="371B20AB">
        <w:rPr>
          <w:rFonts w:ascii="Calibri" w:eastAsia="Calibri" w:hAnsi="Calibri" w:cs="Calibri"/>
          <w:color w:val="000000" w:themeColor="text1"/>
          <w:sz w:val="28"/>
          <w:szCs w:val="28"/>
        </w:rPr>
        <w:t xml:space="preserve">realized in the pedagogical principles of the curriculum; </w:t>
      </w:r>
      <w:r w:rsidR="5FEA1729" w:rsidRPr="371B20AB">
        <w:rPr>
          <w:rFonts w:ascii="Calibri" w:eastAsia="Calibri" w:hAnsi="Calibri" w:cs="Calibri"/>
          <w:color w:val="000000" w:themeColor="text1"/>
          <w:sz w:val="28"/>
          <w:szCs w:val="28"/>
        </w:rPr>
        <w:t xml:space="preserve">However, it can be related to the idea of belonging which is situated within the </w:t>
      </w:r>
      <w:r w:rsidR="65F61178" w:rsidRPr="371B20AB">
        <w:rPr>
          <w:rFonts w:ascii="Calibri" w:eastAsia="Calibri" w:hAnsi="Calibri" w:cs="Calibri"/>
          <w:color w:val="000000" w:themeColor="text1"/>
          <w:sz w:val="28"/>
          <w:szCs w:val="28"/>
        </w:rPr>
        <w:t xml:space="preserve">developmental pathways defined within the </w:t>
      </w:r>
      <w:r w:rsidR="5FEA1729" w:rsidRPr="371B20AB">
        <w:rPr>
          <w:rFonts w:ascii="Calibri" w:eastAsia="Calibri" w:hAnsi="Calibri" w:cs="Calibri"/>
          <w:color w:val="000000" w:themeColor="text1"/>
          <w:sz w:val="28"/>
          <w:szCs w:val="28"/>
        </w:rPr>
        <w:t>curriculum.</w:t>
      </w:r>
    </w:p>
    <w:p w14:paraId="13118720" w14:textId="3869818C" w:rsidR="0DD511AD" w:rsidRDefault="0DD511AD" w:rsidP="371B20AB">
      <w:pPr>
        <w:pStyle w:val="ListParagraph"/>
        <w:spacing w:line="360" w:lineRule="auto"/>
        <w:rPr>
          <w:rFonts w:ascii="Calibri" w:eastAsia="Calibri" w:hAnsi="Calibri" w:cs="Calibri"/>
          <w:color w:val="000000" w:themeColor="text1"/>
          <w:sz w:val="28"/>
          <w:szCs w:val="28"/>
        </w:rPr>
      </w:pPr>
    </w:p>
    <w:p w14:paraId="018413D5" w14:textId="4B6EB8EB" w:rsidR="0DD511AD" w:rsidRDefault="78368B6F" w:rsidP="371B20AB">
      <w:pPr>
        <w:pStyle w:val="ListParagraph"/>
        <w:numPr>
          <w:ilvl w:val="0"/>
          <w:numId w:val="7"/>
        </w:numPr>
        <w:spacing w:line="360" w:lineRule="auto"/>
        <w:rPr>
          <w:rFonts w:ascii="Calibri" w:eastAsia="Calibri" w:hAnsi="Calibri" w:cs="Calibri"/>
          <w:b/>
          <w:bCs/>
          <w:color w:val="000000" w:themeColor="text1"/>
          <w:sz w:val="28"/>
          <w:szCs w:val="28"/>
        </w:rPr>
      </w:pPr>
      <w:r w:rsidRPr="371B20AB">
        <w:rPr>
          <w:rFonts w:ascii="Calibri" w:eastAsia="Calibri" w:hAnsi="Calibri" w:cs="Calibri"/>
          <w:b/>
          <w:bCs/>
          <w:color w:val="000000" w:themeColor="text1"/>
          <w:sz w:val="28"/>
          <w:szCs w:val="28"/>
        </w:rPr>
        <w:lastRenderedPageBreak/>
        <w:t>Validity and Reliability of Themes</w:t>
      </w:r>
    </w:p>
    <w:p w14:paraId="56F1E7D7" w14:textId="015493D9" w:rsidR="0DD511AD" w:rsidRDefault="0DD511AD" w:rsidP="371B20AB">
      <w:pPr>
        <w:spacing w:line="360" w:lineRule="auto"/>
        <w:rPr>
          <w:rFonts w:ascii="Calibri" w:eastAsia="Calibri" w:hAnsi="Calibri" w:cs="Calibri"/>
          <w:color w:val="000000" w:themeColor="text1"/>
          <w:sz w:val="28"/>
          <w:szCs w:val="28"/>
        </w:rPr>
      </w:pPr>
    </w:p>
    <w:p w14:paraId="1B32EB0D" w14:textId="6C095F32"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 xml:space="preserve">As the interpretation of the data progressed validity was ensured as practitioners began building narratives linked to </w:t>
      </w:r>
      <w:proofErr w:type="gramStart"/>
      <w:r w:rsidRPr="371B20AB">
        <w:rPr>
          <w:rFonts w:ascii="Calibri" w:eastAsia="Calibri" w:hAnsi="Calibri" w:cs="Calibri"/>
          <w:color w:val="000000" w:themeColor="text1"/>
          <w:sz w:val="28"/>
          <w:szCs w:val="28"/>
        </w:rPr>
        <w:t>others</w:t>
      </w:r>
      <w:proofErr w:type="gramEnd"/>
      <w:r w:rsidRPr="371B20AB">
        <w:rPr>
          <w:rFonts w:ascii="Calibri" w:eastAsia="Calibri" w:hAnsi="Calibri" w:cs="Calibri"/>
          <w:color w:val="000000" w:themeColor="text1"/>
          <w:sz w:val="28"/>
          <w:szCs w:val="28"/>
        </w:rPr>
        <w:t xml:space="preserve"> perspectives, the use of terms linked to the themes of the curriculum and the role of the enabling adult were further explored and linked to pedagogical principles and application to practice described by the participants. Reliability was recognized as participants reevaluated statements and discussions to reinforce their understanding of the research themes introduced during the focus groups. </w:t>
      </w:r>
    </w:p>
    <w:p w14:paraId="764519B6" w14:textId="5341C52A" w:rsidR="0DD511AD" w:rsidRDefault="0DD511AD" w:rsidP="371B20AB">
      <w:pPr>
        <w:spacing w:line="360" w:lineRule="auto"/>
        <w:rPr>
          <w:rFonts w:ascii="Calibri" w:eastAsia="Calibri" w:hAnsi="Calibri" w:cs="Calibri"/>
          <w:color w:val="000000" w:themeColor="text1"/>
          <w:sz w:val="28"/>
          <w:szCs w:val="28"/>
        </w:rPr>
      </w:pPr>
    </w:p>
    <w:p w14:paraId="58F8FDCC" w14:textId="333F8A7A" w:rsidR="0DD511AD" w:rsidRDefault="78368B6F" w:rsidP="371B20AB">
      <w:pPr>
        <w:pStyle w:val="ListParagraph"/>
        <w:numPr>
          <w:ilvl w:val="0"/>
          <w:numId w:val="7"/>
        </w:numPr>
        <w:spacing w:line="360" w:lineRule="auto"/>
        <w:rPr>
          <w:rFonts w:ascii="Calibri" w:eastAsia="Calibri" w:hAnsi="Calibri" w:cs="Calibri"/>
          <w:b/>
          <w:bCs/>
          <w:color w:val="000000" w:themeColor="text1"/>
          <w:sz w:val="28"/>
          <w:szCs w:val="28"/>
        </w:rPr>
      </w:pPr>
      <w:r w:rsidRPr="371B20AB">
        <w:rPr>
          <w:rFonts w:ascii="Calibri" w:eastAsia="Calibri" w:hAnsi="Calibri" w:cs="Calibri"/>
          <w:b/>
          <w:bCs/>
          <w:color w:val="000000" w:themeColor="text1"/>
          <w:sz w:val="28"/>
          <w:szCs w:val="28"/>
        </w:rPr>
        <w:t>Defining and naming Themes</w:t>
      </w:r>
    </w:p>
    <w:p w14:paraId="50128F84" w14:textId="2809513C"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 xml:space="preserve">The language used by the participants framed the naming of themes and their interpretation of the significance of their experiences in practice. The use of discussions linked to experiences and their understanding of the research questions, through reflections and refocusing </w:t>
      </w:r>
      <w:proofErr w:type="gramStart"/>
      <w:r w:rsidRPr="371B20AB">
        <w:rPr>
          <w:rFonts w:ascii="Calibri" w:eastAsia="Calibri" w:hAnsi="Calibri" w:cs="Calibri"/>
          <w:color w:val="000000" w:themeColor="text1"/>
          <w:sz w:val="28"/>
          <w:szCs w:val="28"/>
        </w:rPr>
        <w:t>illustrated clearly</w:t>
      </w:r>
      <w:proofErr w:type="gramEnd"/>
      <w:r w:rsidRPr="371B20AB">
        <w:rPr>
          <w:rFonts w:ascii="Calibri" w:eastAsia="Calibri" w:hAnsi="Calibri" w:cs="Calibri"/>
          <w:color w:val="000000" w:themeColor="text1"/>
          <w:sz w:val="28"/>
          <w:szCs w:val="28"/>
        </w:rPr>
        <w:t xml:space="preserve"> the thoughts and feelings of the practitioners involved in the focus groups. </w:t>
      </w:r>
    </w:p>
    <w:p w14:paraId="43E7F411" w14:textId="3444DD40" w:rsidR="0DD511AD" w:rsidRDefault="0DD511AD" w:rsidP="371B20AB">
      <w:pPr>
        <w:spacing w:line="360" w:lineRule="auto"/>
        <w:rPr>
          <w:rFonts w:ascii="Calibri" w:eastAsia="Calibri" w:hAnsi="Calibri" w:cs="Calibri"/>
          <w:color w:val="000000" w:themeColor="text1"/>
          <w:sz w:val="28"/>
          <w:szCs w:val="28"/>
        </w:rPr>
      </w:pPr>
    </w:p>
    <w:p w14:paraId="1822EB5B" w14:textId="6A144EB3" w:rsidR="0DD511AD" w:rsidRDefault="78368B6F" w:rsidP="371B20AB">
      <w:pPr>
        <w:pStyle w:val="ListParagraph"/>
        <w:numPr>
          <w:ilvl w:val="0"/>
          <w:numId w:val="7"/>
        </w:numPr>
        <w:spacing w:line="360" w:lineRule="auto"/>
        <w:rPr>
          <w:rFonts w:ascii="Calibri" w:eastAsia="Calibri" w:hAnsi="Calibri" w:cs="Calibri"/>
          <w:b/>
          <w:bCs/>
          <w:color w:val="000000" w:themeColor="text1"/>
          <w:sz w:val="28"/>
          <w:szCs w:val="28"/>
        </w:rPr>
      </w:pPr>
      <w:r w:rsidRPr="371B20AB">
        <w:rPr>
          <w:rFonts w:ascii="Calibri" w:eastAsia="Calibri" w:hAnsi="Calibri" w:cs="Calibri"/>
          <w:b/>
          <w:bCs/>
          <w:color w:val="000000" w:themeColor="text1"/>
          <w:sz w:val="28"/>
          <w:szCs w:val="28"/>
        </w:rPr>
        <w:t>Interpretation and Reporting.</w:t>
      </w:r>
    </w:p>
    <w:p w14:paraId="75B35612" w14:textId="5CD5ABE4" w:rsidR="0DD511AD" w:rsidRDefault="78368B6F"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Interpretation of the data was the key aspect of this research process</w:t>
      </w:r>
      <w:r w:rsidR="46CB1243" w:rsidRPr="371B20AB">
        <w:rPr>
          <w:rFonts w:ascii="Calibri" w:eastAsia="Calibri" w:hAnsi="Calibri" w:cs="Calibri"/>
          <w:color w:val="000000" w:themeColor="text1"/>
          <w:sz w:val="28"/>
          <w:szCs w:val="28"/>
        </w:rPr>
        <w:t>,</w:t>
      </w:r>
      <w:r w:rsidRPr="371B20AB">
        <w:rPr>
          <w:rFonts w:ascii="Calibri" w:eastAsia="Calibri" w:hAnsi="Calibri" w:cs="Calibri"/>
          <w:color w:val="000000" w:themeColor="text1"/>
          <w:sz w:val="28"/>
          <w:szCs w:val="28"/>
        </w:rPr>
        <w:t xml:space="preserve"> careful reviewing of video data, and the transcript enabled a </w:t>
      </w:r>
      <w:r w:rsidR="5F7EBCEA" w:rsidRPr="371B20AB">
        <w:rPr>
          <w:rFonts w:ascii="Calibri" w:eastAsia="Calibri" w:hAnsi="Calibri" w:cs="Calibri"/>
          <w:color w:val="000000" w:themeColor="text1"/>
          <w:sz w:val="28"/>
          <w:szCs w:val="28"/>
        </w:rPr>
        <w:t>mindful</w:t>
      </w:r>
      <w:r w:rsidRPr="371B20AB">
        <w:rPr>
          <w:rFonts w:ascii="Calibri" w:eastAsia="Calibri" w:hAnsi="Calibri" w:cs="Calibri"/>
          <w:color w:val="000000" w:themeColor="text1"/>
          <w:sz w:val="28"/>
          <w:szCs w:val="28"/>
        </w:rPr>
        <w:t xml:space="preserve"> process of interpretation. The reporting took the form of an analysis of the key themes and is presented in the discussion section of this research project to illustrate the experiences of practi</w:t>
      </w:r>
      <w:r w:rsidR="17E7E25A" w:rsidRPr="371B20AB">
        <w:rPr>
          <w:rFonts w:ascii="Calibri" w:eastAsia="Calibri" w:hAnsi="Calibri" w:cs="Calibri"/>
          <w:color w:val="000000" w:themeColor="text1"/>
          <w:sz w:val="28"/>
          <w:szCs w:val="28"/>
        </w:rPr>
        <w:t>tioners</w:t>
      </w:r>
      <w:r w:rsidRPr="371B20AB">
        <w:rPr>
          <w:rFonts w:ascii="Calibri" w:eastAsia="Calibri" w:hAnsi="Calibri" w:cs="Calibri"/>
          <w:color w:val="000000" w:themeColor="text1"/>
          <w:sz w:val="28"/>
          <w:szCs w:val="28"/>
        </w:rPr>
        <w:t xml:space="preserve"> and to make recommendations for practice. </w:t>
      </w:r>
    </w:p>
    <w:p w14:paraId="7FCDA939" w14:textId="089A5AC8"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b/>
          <w:bCs/>
          <w:i/>
          <w:iCs/>
          <w:color w:val="000000" w:themeColor="text1"/>
          <w:sz w:val="28"/>
          <w:szCs w:val="28"/>
        </w:rPr>
        <w:lastRenderedPageBreak/>
        <w:t>The Curriculum for Non-Maintained Settings.</w:t>
      </w:r>
    </w:p>
    <w:p w14:paraId="33833B34" w14:textId="2A46AA97"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focus group and dyadic interview were facilitated using open questions, offering the opportunity for participants to explore themes in depth. This is the first time that I have undertaken this type of research, however, I have had extensive experience of facilitating group discussions within health and social care settings. I used the skill set that supports motivational interviewing, offering open questions, reflecting on the content of the </w:t>
      </w:r>
      <w:proofErr w:type="gramStart"/>
      <w:r w:rsidRPr="371B20AB">
        <w:rPr>
          <w:rFonts w:ascii="Calibri" w:eastAsia="Calibri" w:hAnsi="Calibri" w:cs="Calibri"/>
          <w:color w:val="000000" w:themeColor="text1"/>
          <w:sz w:val="28"/>
          <w:szCs w:val="28"/>
          <w:lang w:val="en-GB"/>
        </w:rPr>
        <w:t>responses</w:t>
      </w:r>
      <w:proofErr w:type="gramEnd"/>
      <w:r w:rsidRPr="371B20AB">
        <w:rPr>
          <w:rFonts w:ascii="Calibri" w:eastAsia="Calibri" w:hAnsi="Calibri" w:cs="Calibri"/>
          <w:color w:val="000000" w:themeColor="text1"/>
          <w:sz w:val="28"/>
          <w:szCs w:val="28"/>
          <w:lang w:val="en-GB"/>
        </w:rPr>
        <w:t xml:space="preserve"> and offering affirmations. The participants were responsive to this style of communication, and they explored their thoughts and ideas in considerable depth. The interviews were structured into two parts: first, I was interested in exploring the participants' thoughts around the curriculum's content and structure. The second part of the interview focused on the role of the enabling adult in implementing the curriculum and the participants experiences of adopting this role in practice.</w:t>
      </w:r>
    </w:p>
    <w:p w14:paraId="36D929A5" w14:textId="788F3911"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Whilst conducting the discussions' themes began to develop linked to the pedagogical principles of the curriculum. It also became apparent that the participants' experiences, and their subsequent reflections illustrated deep understanding of the developmental pathways that underpin the curriculum. While reviewing and immersing myself in the recordings and transcripts, I was able to code and name the themes to represent their narratives. The following discussion will focus on themes as they developed and highlight the participants' experiences whilst in their professional practice.</w:t>
      </w:r>
    </w:p>
    <w:p w14:paraId="6F98128C" w14:textId="1A84AD1F"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b/>
          <w:bCs/>
          <w:color w:val="000000" w:themeColor="text1"/>
          <w:sz w:val="28"/>
          <w:szCs w:val="28"/>
        </w:rPr>
        <w:t>Child Led Interactions.</w:t>
      </w:r>
    </w:p>
    <w:p w14:paraId="17592781" w14:textId="369533E4"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rPr>
        <w:t xml:space="preserve">Both interviews started with an open invitation to tell me about how the participants found the new curriculum. The initial theme that emerged was the </w:t>
      </w:r>
      <w:r w:rsidRPr="371B20AB">
        <w:rPr>
          <w:rFonts w:ascii="Calibri" w:eastAsia="Calibri" w:hAnsi="Calibri" w:cs="Calibri"/>
          <w:color w:val="000000" w:themeColor="text1"/>
          <w:sz w:val="28"/>
          <w:szCs w:val="28"/>
        </w:rPr>
        <w:lastRenderedPageBreak/>
        <w:t>child led nature of the curriculum and this was viewed positively. This child led ethos was described by one of the participants as “giving them a</w:t>
      </w:r>
      <w:r w:rsidRPr="371B20AB">
        <w:rPr>
          <w:rFonts w:ascii="Calibri" w:eastAsia="Calibri" w:hAnsi="Calibri" w:cs="Calibri"/>
          <w:color w:val="000000" w:themeColor="text1"/>
          <w:sz w:val="28"/>
          <w:szCs w:val="28"/>
          <w:lang w:val="en-GB"/>
        </w:rPr>
        <w:t xml:space="preserve"> sense of freedom, to be curious”. This theme links strongly to the developmental pathway of exploration, enabling children to follow their interests and develop independent learning within effective environments. This freedom of experience was described as allowing children to “take risks to build their development”. Risk taking in early childhood has been highlighted as a positive activity which leads to increasing confidence and develops an awareness of their capabilities and a willingness to extend themselves adding challenge and building skills (Little, 2017). This type of activity is also supported by Vygotsky's zone of proximal development which explains that appropriate levels of challenge promote the holistic development of the child. All members of the groups affirmed the positive nature of this type of activity and felt that the curriculum enabled them to build this into their practice.</w:t>
      </w:r>
    </w:p>
    <w:p w14:paraId="4F5F5DDE" w14:textId="5455B73E"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child led learning also allowed the practitioners to observe children whilst engaging in these activities. The use of the outdoors was referred to frequently by the participants, they were comfortable with facilitating outdoor play saying that they can “catch real bugs and feel the rain and things that can’t be experienced in a classroom”. This reinforces the emphasis of the pedagogical principle of outdoor play, which was enthusiastically supported by the practitioners' discussions. There was a sense that outdoor experiences were important and enabled a more authentic sense of freedom for children. They felt that this type of activity enabled children to “prepare for real life”, also saying that children should go beyond the setting into the community further, developing life skills. The </w:t>
      </w:r>
      <w:r w:rsidRPr="371B20AB">
        <w:rPr>
          <w:rFonts w:ascii="Calibri" w:eastAsia="Calibri" w:hAnsi="Calibri" w:cs="Calibri"/>
          <w:color w:val="000000" w:themeColor="text1"/>
          <w:sz w:val="28"/>
          <w:szCs w:val="28"/>
          <w:lang w:val="en-GB"/>
        </w:rPr>
        <w:lastRenderedPageBreak/>
        <w:t xml:space="preserve">comments were indicative of the practitioner's awareness of the four purposes of the curriculum and the significance of holistic learning. </w:t>
      </w:r>
    </w:p>
    <w:p w14:paraId="6641F820" w14:textId="5FC5D306" w:rsidR="0DD511AD" w:rsidRDefault="0DD511AD" w:rsidP="371B20AB">
      <w:pPr>
        <w:spacing w:line="360" w:lineRule="auto"/>
        <w:rPr>
          <w:rFonts w:ascii="Calibri" w:eastAsia="Calibri" w:hAnsi="Calibri" w:cs="Calibri"/>
          <w:color w:val="000000" w:themeColor="text1"/>
          <w:sz w:val="28"/>
          <w:szCs w:val="28"/>
        </w:rPr>
      </w:pPr>
    </w:p>
    <w:p w14:paraId="7D5A438D" w14:textId="5D42A537"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b/>
          <w:bCs/>
          <w:color w:val="000000" w:themeColor="text1"/>
          <w:sz w:val="28"/>
          <w:szCs w:val="28"/>
          <w:lang w:val="en-GB"/>
        </w:rPr>
        <w:t>Support and Leadership</w:t>
      </w:r>
    </w:p>
    <w:p w14:paraId="0252898E" w14:textId="1CBB8CF8"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participants recognised that the curriculum would be “hard to do if you don’t understand child led learning”, reinforcing their understanding of this concept. The conversation then began to explore the importance of leaders understanding and supporting practitioners to use the curriculum. This discussion was different within the two groups largely based on the knowledge and experience of the participants. The participants of the dyadic interview were both leaders of nursery settings and had implemented the curriculum themselves. The participants of the focus group were less experienced and were developing as early years practitioners. </w:t>
      </w:r>
    </w:p>
    <w:p w14:paraId="6F088FA3" w14:textId="3A95D003"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members of the focus group felt that the curriculum could be “interpreted in different ways and can be confusing”. One participant said that their setting “doesn’t let the children out often” this was viewed negatively by all members, with others giving more positive views of their settings. It became apparent that the participants felt unable to influence practice within their settings and that they did what the leaders wanted. This would be a barrier to the implementation of the curriculum in some settings, as the interpretation of the curriculum was that of the leader alone with limited consultation. The curriculum states that leaders “should model a high standard of practice, knowledge and care, and value the skills and knowledge of the practitioners” (Welsh Government, 2022 p.50). The document suggests that leaders should be aware of their staff's knowledge </w:t>
      </w:r>
      <w:r w:rsidRPr="371B20AB">
        <w:rPr>
          <w:rFonts w:ascii="Calibri" w:eastAsia="Calibri" w:hAnsi="Calibri" w:cs="Calibri"/>
          <w:color w:val="000000" w:themeColor="text1"/>
          <w:sz w:val="28"/>
          <w:szCs w:val="28"/>
          <w:lang w:val="en-GB"/>
        </w:rPr>
        <w:lastRenderedPageBreak/>
        <w:t xml:space="preserve">and experience working together to create a shared vison. When asked if they could address this challenge one of them said they were “getting more confident by doing the degree”, this highlights the importance of practitioners engaging in training and education to influence the development of </w:t>
      </w:r>
      <w:proofErr w:type="gramStart"/>
      <w:r w:rsidRPr="371B20AB">
        <w:rPr>
          <w:rFonts w:ascii="Calibri" w:eastAsia="Calibri" w:hAnsi="Calibri" w:cs="Calibri"/>
          <w:color w:val="000000" w:themeColor="text1"/>
          <w:sz w:val="28"/>
          <w:szCs w:val="28"/>
          <w:lang w:val="en-GB"/>
        </w:rPr>
        <w:t>high quality</w:t>
      </w:r>
      <w:proofErr w:type="gramEnd"/>
      <w:r w:rsidRPr="371B20AB">
        <w:rPr>
          <w:rFonts w:ascii="Calibri" w:eastAsia="Calibri" w:hAnsi="Calibri" w:cs="Calibri"/>
          <w:color w:val="000000" w:themeColor="text1"/>
          <w:sz w:val="28"/>
          <w:szCs w:val="28"/>
          <w:lang w:val="en-GB"/>
        </w:rPr>
        <w:t xml:space="preserve"> professional practice. </w:t>
      </w:r>
    </w:p>
    <w:p w14:paraId="3D7E65D4" w14:textId="7BDE2273"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Dyadic group gave their opinions from a leadership perspective, offering their experience of introducing the curriculum to their staff. One of the participants said that they wanted to give a “positive message to them” and to explain the curriculum so that they understood what their roles were. They highlighted the need to “support staff” by regular meetings and offering training based upon their needs. They went on to describe how they valued “close relationships between all the staff”, this led to a positive environment that had a good effect on the children as well. </w:t>
      </w:r>
    </w:p>
    <w:p w14:paraId="37417A36" w14:textId="53324D44"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Both participants said that they found “linking with other settings to share good practice” another very effective way of developing both their own knowledge and that of the practitioners. These links created a network of settings which began to influence the direction of the way that the curriculum was developed, they called it “working collaboratively, sharing good practice”. This style of leadership is recommended within the curriculum stating that leaders “should welcome collaborative working with a range of partners” (Welsh Government, 2022 p.50). This appeared to be an area of their roles that they valued and felt that these partnerships helped them to develop within their roles recognising good practice in others and incorporating it into their practice.</w:t>
      </w:r>
    </w:p>
    <w:p w14:paraId="283DE148" w14:textId="6E69F17E"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lastRenderedPageBreak/>
        <w:t xml:space="preserve">They were both aware of training that was available and gave examples of sending staff on training to support their development. Both participants described excellent practice and were aware of the leadership responsibilities outlined within the curriculum. It was unfortunate that there were not more practitioners within this group as all that were invited to participate were leaders of settings. This would have enabled a greater differentiation between the beliefs and practices of a wider group of practitioners in leadership roles. I am viewing this research project as a pilot study to support the development of my </w:t>
      </w:r>
      <w:proofErr w:type="gramStart"/>
      <w:r w:rsidRPr="371B20AB">
        <w:rPr>
          <w:rFonts w:ascii="Calibri" w:eastAsia="Calibri" w:hAnsi="Calibri" w:cs="Calibri"/>
          <w:color w:val="000000" w:themeColor="text1"/>
          <w:sz w:val="28"/>
          <w:szCs w:val="28"/>
          <w:lang w:val="en-GB"/>
        </w:rPr>
        <w:t>thesis,</w:t>
      </w:r>
      <w:proofErr w:type="gramEnd"/>
      <w:r w:rsidRPr="371B20AB">
        <w:rPr>
          <w:rFonts w:ascii="Calibri" w:eastAsia="Calibri" w:hAnsi="Calibri" w:cs="Calibri"/>
          <w:color w:val="000000" w:themeColor="text1"/>
          <w:sz w:val="28"/>
          <w:szCs w:val="28"/>
          <w:lang w:val="en-GB"/>
        </w:rPr>
        <w:t xml:space="preserve"> this experience is a valuable guide to the selection of participants in future research. However, there are interesting themes here that illustrate the importance of supportive leadership in encouraging staff development. It is also interesting to recognise that based upon the focus groups discussions, the staff need to feel valued and listened to thus enhancing the values of the curriculum within the whole setting.</w:t>
      </w:r>
    </w:p>
    <w:p w14:paraId="37313A3D" w14:textId="14DCAC81"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participants within both groups were positive about the curriculum with one focus group participant saying that it is “what they have been learning in the degree”. This statement was well received by the other participants with statements of agreement from other members of the group. This discussion highlights the significance of the application of knowledge to practice; and that this combination of theoretical study and practical experience enhances their professional practice. The more experienced practitioners suggested that they felt that they were “already doing it” when they were first introduced to the new curriculum. This statement supports the idea that the curriculum was developed by practitioners for practitioners (Welsh Government, 2022) and enhancing and developing current good practice. </w:t>
      </w:r>
    </w:p>
    <w:p w14:paraId="6222CA14" w14:textId="5F6D7D74"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lastRenderedPageBreak/>
        <w:t xml:space="preserve">  </w:t>
      </w:r>
      <w:r w:rsidRPr="371B20AB">
        <w:rPr>
          <w:rFonts w:ascii="Calibri" w:eastAsia="Calibri" w:hAnsi="Calibri" w:cs="Calibri"/>
          <w:b/>
          <w:bCs/>
          <w:i/>
          <w:iCs/>
          <w:color w:val="000000" w:themeColor="text1"/>
          <w:sz w:val="28"/>
          <w:szCs w:val="28"/>
          <w:lang w:val="en-GB"/>
        </w:rPr>
        <w:t>Enabling Adults.</w:t>
      </w:r>
    </w:p>
    <w:p w14:paraId="2F754DEF" w14:textId="3DA7E35A"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role of the enabling adult is introduced in the curriculum and recognises that this is a role that should be embraced and developed by early years practitioners. I asked the groups to </w:t>
      </w:r>
      <w:proofErr w:type="spellStart"/>
      <w:r w:rsidRPr="371B20AB">
        <w:rPr>
          <w:rFonts w:ascii="Calibri" w:eastAsia="Calibri" w:hAnsi="Calibri" w:cs="Calibri"/>
          <w:color w:val="000000" w:themeColor="text1"/>
          <w:sz w:val="28"/>
          <w:szCs w:val="28"/>
          <w:lang w:val="en-GB"/>
        </w:rPr>
        <w:t>intially</w:t>
      </w:r>
      <w:proofErr w:type="spellEnd"/>
      <w:r w:rsidRPr="371B20AB">
        <w:rPr>
          <w:rFonts w:ascii="Calibri" w:eastAsia="Calibri" w:hAnsi="Calibri" w:cs="Calibri"/>
          <w:color w:val="000000" w:themeColor="text1"/>
          <w:sz w:val="28"/>
          <w:szCs w:val="28"/>
          <w:lang w:val="en-GB"/>
        </w:rPr>
        <w:t xml:space="preserve"> offer their understanding of the concept of the enabling adult and what it meant to them. The focus group began with one participant saying that “it's about knowing and understanding child development”, this was widely agreed with, and they said that this knowledge “helped them to understand the children better and know why they did things”. An understanding of child development is highlighted within the curriculum as a significant factor in effective professional practice.</w:t>
      </w:r>
    </w:p>
    <w:p w14:paraId="29868E81" w14:textId="6C6FA984"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An example is given in the focus group was that the practitioners need to be “fun, engaging, joyful, follow the child and discover their interests, no set activities, for example, today we found out how many legs a spider has”. This illustrates the role of the adult in being attentive to the child's exploration of the world through play and creating a playful pedagogy. This is further developed as, “its Catching the child’s interests and building on them,” another example of the practitioners understanding of the role of the adult in facilitating and guiding learning rather structuring the learning for the child. The discussion within the dyad reflects this theme with one participant describing the adult's role as “being present and observing and understanding without interrupting their play.” This is an example of how the enabling adult can facilitate and develop children's learning by creating environments that enable independent learning and a range of opportunities for the child to develop their knowledge through engaging experiences. </w:t>
      </w:r>
    </w:p>
    <w:p w14:paraId="5937D861" w14:textId="5495797A"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lastRenderedPageBreak/>
        <w:t xml:space="preserve">This ability to observe and follow the child's play is seen by the dyad as learning to understand the child's capabilities, “you look for cues from the children, understanding when to become involved”. Enabling learning through play requires the practitioner to allow the learning process to develop freely and respond to the child when invited, this is described as responding to play cues offered by the child (Butler and Markman, 2010). Both groups discussed the role of the adult in enabling play, understanding the child's </w:t>
      </w:r>
      <w:proofErr w:type="gramStart"/>
      <w:r w:rsidRPr="371B20AB">
        <w:rPr>
          <w:rFonts w:ascii="Calibri" w:eastAsia="Calibri" w:hAnsi="Calibri" w:cs="Calibri"/>
          <w:color w:val="000000" w:themeColor="text1"/>
          <w:sz w:val="28"/>
          <w:szCs w:val="28"/>
          <w:lang w:val="en-GB"/>
        </w:rPr>
        <w:t>interests</w:t>
      </w:r>
      <w:proofErr w:type="gramEnd"/>
      <w:r w:rsidRPr="371B20AB">
        <w:rPr>
          <w:rFonts w:ascii="Calibri" w:eastAsia="Calibri" w:hAnsi="Calibri" w:cs="Calibri"/>
          <w:color w:val="000000" w:themeColor="text1"/>
          <w:sz w:val="28"/>
          <w:szCs w:val="28"/>
          <w:lang w:val="en-GB"/>
        </w:rPr>
        <w:t xml:space="preserve"> and facilitating with, rather than telling to. A focus group member illustrates this by saying “it’s like Vygotsky, stepping in when children need and knowing when to step in, careful observation”. The almost casual introduction of Vygotsky's zone of proximal development into their discourse illustrates the clear application of theoretical knowledge into their everyday practice. </w:t>
      </w:r>
    </w:p>
    <w:p w14:paraId="044EA88B" w14:textId="4CFD2FBE"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The discussion then developed to discuss how this understanding develops, what informs practitioners when to intervene and develop the experience. The focus groups said that “relationships are important so that we know what the child does and doesn’t like”. This would be linked to the significance of the adult creating nurturing supportive relationships in which the child feels confident to express themselves. The curriculum states that “it is the enabling adult who sets the expectation for learning by creating emotionally safe environments” (Welsh Government, 2022).</w:t>
      </w:r>
      <w:r w:rsidRPr="371B20AB">
        <w:rPr>
          <w:rStyle w:val="eop"/>
          <w:rFonts w:ascii="Calibri" w:eastAsia="Calibri" w:hAnsi="Calibri" w:cs="Calibri"/>
          <w:color w:val="000000" w:themeColor="text1"/>
          <w:sz w:val="28"/>
          <w:szCs w:val="28"/>
        </w:rPr>
        <w:t xml:space="preserve">  Effective relationships develop when adults are consistent, </w:t>
      </w:r>
      <w:proofErr w:type="gramStart"/>
      <w:r w:rsidRPr="371B20AB">
        <w:rPr>
          <w:rStyle w:val="eop"/>
          <w:rFonts w:ascii="Calibri" w:eastAsia="Calibri" w:hAnsi="Calibri" w:cs="Calibri"/>
          <w:color w:val="000000" w:themeColor="text1"/>
          <w:sz w:val="28"/>
          <w:szCs w:val="28"/>
        </w:rPr>
        <w:t>responsive</w:t>
      </w:r>
      <w:proofErr w:type="gramEnd"/>
      <w:r w:rsidRPr="371B20AB">
        <w:rPr>
          <w:rStyle w:val="eop"/>
          <w:rFonts w:ascii="Calibri" w:eastAsia="Calibri" w:hAnsi="Calibri" w:cs="Calibri"/>
          <w:color w:val="000000" w:themeColor="text1"/>
          <w:sz w:val="28"/>
          <w:szCs w:val="28"/>
        </w:rPr>
        <w:t xml:space="preserve"> and sensitive (</w:t>
      </w:r>
      <w:r w:rsidRPr="371B20AB">
        <w:rPr>
          <w:rFonts w:ascii="Calibri" w:eastAsia="Calibri" w:hAnsi="Calibri" w:cs="Calibri"/>
          <w:color w:val="222222"/>
          <w:sz w:val="28"/>
          <w:szCs w:val="28"/>
        </w:rPr>
        <w:t>Elfer and Dearnley, 2007). One of the participants of the dyad felt that developing these relationships is an important part of the practitioner's role, “n</w:t>
      </w:r>
      <w:proofErr w:type="spellStart"/>
      <w:r w:rsidRPr="371B20AB">
        <w:rPr>
          <w:rFonts w:ascii="Calibri" w:eastAsia="Calibri" w:hAnsi="Calibri" w:cs="Calibri"/>
          <w:color w:val="000000" w:themeColor="text1"/>
          <w:sz w:val="28"/>
          <w:szCs w:val="28"/>
          <w:lang w:val="en-GB"/>
        </w:rPr>
        <w:t>ot</w:t>
      </w:r>
      <w:proofErr w:type="spellEnd"/>
      <w:r w:rsidRPr="371B20AB">
        <w:rPr>
          <w:rFonts w:ascii="Calibri" w:eastAsia="Calibri" w:hAnsi="Calibri" w:cs="Calibri"/>
          <w:color w:val="000000" w:themeColor="text1"/>
          <w:sz w:val="28"/>
          <w:szCs w:val="28"/>
          <w:lang w:val="en-GB"/>
        </w:rPr>
        <w:t xml:space="preserve"> everyone can do this, you need to have passion and care about what you do.” The use of the term passion was stated clearly and passionately, her body language and tone emphasised the strength of her </w:t>
      </w:r>
      <w:r w:rsidRPr="371B20AB">
        <w:rPr>
          <w:rFonts w:ascii="Calibri" w:eastAsia="Calibri" w:hAnsi="Calibri" w:cs="Calibri"/>
          <w:color w:val="000000" w:themeColor="text1"/>
          <w:sz w:val="28"/>
          <w:szCs w:val="28"/>
          <w:lang w:val="en-GB"/>
        </w:rPr>
        <w:lastRenderedPageBreak/>
        <w:t xml:space="preserve">feelings, the other member agreed vigorously. This was followed by shared experiences of staff joining the team who did not share this passion, “we all notice it, we all care, like a family, we know and care about our children”. She continues that the “close relationships between the children and the staff” are a strength of the setting, it was described as the foundation for everything that they do with the children. </w:t>
      </w:r>
    </w:p>
    <w:p w14:paraId="4D80941B" w14:textId="528F94B0"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A further emotive description highlights the strength of the connections between the practitioner and the child saying “we create a beautiful bond, </w:t>
      </w:r>
      <w:proofErr w:type="gramStart"/>
      <w:r w:rsidRPr="371B20AB">
        <w:rPr>
          <w:rFonts w:ascii="Calibri" w:eastAsia="Calibri" w:hAnsi="Calibri" w:cs="Calibri"/>
          <w:color w:val="000000" w:themeColor="text1"/>
          <w:sz w:val="28"/>
          <w:szCs w:val="28"/>
          <w:lang w:val="en-GB"/>
        </w:rPr>
        <w:t>trust</w:t>
      </w:r>
      <w:proofErr w:type="gramEnd"/>
      <w:r w:rsidRPr="371B20AB">
        <w:rPr>
          <w:rFonts w:ascii="Calibri" w:eastAsia="Calibri" w:hAnsi="Calibri" w:cs="Calibri"/>
          <w:color w:val="000000" w:themeColor="text1"/>
          <w:sz w:val="28"/>
          <w:szCs w:val="28"/>
          <w:lang w:val="en-GB"/>
        </w:rPr>
        <w:t xml:space="preserve"> and connection....   the relationships last for years, a strong attachment forms, we keep the bonds, when they leave, their siblings come to the setting, and we get to see them growing up”. Statements such as these highlight that for these practitioners their role is more than just a job, the connections with children are deep and personal they are interconnected and form meaningful relationships important to the child and the adult. This assertion is supported as she continues “it’s more than just turning up 9-5, the children and families are important to me, like my extended family.” Evocative emotional statements like these, using language that is authentic and deeply felt enabled me to develop an understanding of these practitioners' thoughts and feelings, it is a rich and complex lens for my learning. As the discourse developed the practitioners became completely engaged in their discussions, the barriers between my role as observer and participator seemed to evaporate and I was fully engaged within the discussions, feeling their emotions. By reviewing the recordings of the meetings frequently to define themes and insights I think that this closeness enabled their spontaneity. I think it is important to note here that my input in terms of joining </w:t>
      </w:r>
      <w:r w:rsidRPr="371B20AB">
        <w:rPr>
          <w:rFonts w:ascii="Calibri" w:eastAsia="Calibri" w:hAnsi="Calibri" w:cs="Calibri"/>
          <w:color w:val="000000" w:themeColor="text1"/>
          <w:sz w:val="28"/>
          <w:szCs w:val="28"/>
          <w:lang w:val="en-GB"/>
        </w:rPr>
        <w:lastRenderedPageBreak/>
        <w:t>the conversations was very limited, I did not offer an opinion, however reflected their words to evoke further depth of discussion.</w:t>
      </w:r>
    </w:p>
    <w:p w14:paraId="7806ED57" w14:textId="0E720A44"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 xml:space="preserve">The theme of relationships was also emphasised strongly in the focus groups, one participant explained “you </w:t>
      </w:r>
      <w:proofErr w:type="gramStart"/>
      <w:r w:rsidRPr="371B20AB">
        <w:rPr>
          <w:rFonts w:ascii="Calibri" w:eastAsia="Calibri" w:hAnsi="Calibri" w:cs="Calibri"/>
          <w:color w:val="000000" w:themeColor="text1"/>
          <w:sz w:val="28"/>
          <w:szCs w:val="28"/>
          <w:lang w:val="en-GB"/>
        </w:rPr>
        <w:t>have to</w:t>
      </w:r>
      <w:proofErr w:type="gramEnd"/>
      <w:r w:rsidRPr="371B20AB">
        <w:rPr>
          <w:rFonts w:ascii="Calibri" w:eastAsia="Calibri" w:hAnsi="Calibri" w:cs="Calibri"/>
          <w:color w:val="000000" w:themeColor="text1"/>
          <w:sz w:val="28"/>
          <w:szCs w:val="28"/>
          <w:lang w:val="en-GB"/>
        </w:rPr>
        <w:t xml:space="preserve"> change to grow with the child, every child needs a different version of you.... this child might need extra help with maths, this child might need help with the toilet”. Another member of the group followed by reinforcing this statement, asserting that “you’re a different practitioner based on which child you’re teaching, supporting family issues or speech and language”. The discussion here highlights both the complexity of meeting a child's holistic needs and reinforces that early education is as much about care as it is about learning, a factor that is supported by the pedagogical principles and the developmental pathways within the curriculum. </w:t>
      </w:r>
    </w:p>
    <w:p w14:paraId="4F0574EE" w14:textId="50965BE2" w:rsidR="0DD511AD" w:rsidRDefault="7A94ACFD" w:rsidP="371B20AB">
      <w:pPr>
        <w:spacing w:line="360" w:lineRule="auto"/>
        <w:rPr>
          <w:rFonts w:ascii="Calibri" w:eastAsia="Calibri" w:hAnsi="Calibri" w:cs="Calibri"/>
          <w:color w:val="222222"/>
          <w:sz w:val="28"/>
          <w:szCs w:val="28"/>
        </w:rPr>
      </w:pPr>
      <w:r w:rsidRPr="371B20AB">
        <w:rPr>
          <w:rFonts w:ascii="Calibri" w:eastAsia="Calibri" w:hAnsi="Calibri" w:cs="Calibri"/>
          <w:color w:val="000000" w:themeColor="text1"/>
          <w:sz w:val="28"/>
          <w:szCs w:val="28"/>
          <w:lang w:val="en-GB"/>
        </w:rPr>
        <w:t xml:space="preserve">The discussion moved to the relationship that the staff had with the children's parents and families. We have already heard that the dyad participants said that as the children grow up, their families bring new siblings to the nursery. This could be linked to the care that their older brothers and sisters received whilst attending the setting. The strength of the relationship between the parent and the staff is highlighted within the dyad's conversation. They describe an “ethos of love within the setting, we love the setting and so do the children and their families”. This creates a welcoming and inclusive feeling to the setting; it is a reciprocal experience with all partners fully involved. One participant refers to her “work family” which includes colleagues, </w:t>
      </w:r>
      <w:proofErr w:type="gramStart"/>
      <w:r w:rsidRPr="371B20AB">
        <w:rPr>
          <w:rFonts w:ascii="Calibri" w:eastAsia="Calibri" w:hAnsi="Calibri" w:cs="Calibri"/>
          <w:color w:val="000000" w:themeColor="text1"/>
          <w:sz w:val="28"/>
          <w:szCs w:val="28"/>
          <w:lang w:val="en-GB"/>
        </w:rPr>
        <w:t>children</w:t>
      </w:r>
      <w:proofErr w:type="gramEnd"/>
      <w:r w:rsidRPr="371B20AB">
        <w:rPr>
          <w:rFonts w:ascii="Calibri" w:eastAsia="Calibri" w:hAnsi="Calibri" w:cs="Calibri"/>
          <w:color w:val="000000" w:themeColor="text1"/>
          <w:sz w:val="28"/>
          <w:szCs w:val="28"/>
          <w:lang w:val="en-GB"/>
        </w:rPr>
        <w:t xml:space="preserve"> and their families. The importance of including families in the progress of their children is highlighted by the focus group also, “you need to know the parents, this helps you to know the </w:t>
      </w:r>
      <w:r w:rsidRPr="371B20AB">
        <w:rPr>
          <w:rFonts w:ascii="Calibri" w:eastAsia="Calibri" w:hAnsi="Calibri" w:cs="Calibri"/>
          <w:color w:val="000000" w:themeColor="text1"/>
          <w:sz w:val="28"/>
          <w:szCs w:val="28"/>
          <w:lang w:val="en-GB"/>
        </w:rPr>
        <w:lastRenderedPageBreak/>
        <w:t>children”. This approach enhances for the children a sense of belonging, seeing the relationship between their parents and their carers reinforces the connections between the two. “Settings that value, celebrate and build upon children’s past and present experiences from home and their community can strengthen a sense of belonging” (Welsh Government, 2022). Maslow's hierarchy of needs is a theoretical framework that is widely accepted as significant in explaining a child's holistic development (</w:t>
      </w:r>
      <w:r w:rsidRPr="371B20AB">
        <w:rPr>
          <w:rFonts w:ascii="Calibri" w:eastAsia="Calibri" w:hAnsi="Calibri" w:cs="Calibri"/>
          <w:color w:val="222222"/>
          <w:sz w:val="28"/>
          <w:szCs w:val="28"/>
        </w:rPr>
        <w:t xml:space="preserve">Weinberg, 2011). Within this framework a sense of belonging enables a child's ability to grow in confidence and develop self-esteem. </w:t>
      </w:r>
    </w:p>
    <w:p w14:paraId="12FED175" w14:textId="38DED891"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222222"/>
          <w:sz w:val="28"/>
          <w:szCs w:val="28"/>
        </w:rPr>
        <w:t>Throughout the discourses within both meetings the use of emotive and evocative language to describe relationships between practitioners and children are evident. This was more so in the language of the experienced practitioners and leaders within the dyadic interview. The word love was included in the conversations frequently and confidently, this term is not widely used in professional discourse. However there has been some research in this area and term professional love was framed by Jools Page who states that “lo</w:t>
      </w:r>
      <w:proofErr w:type="spellStart"/>
      <w:r w:rsidRPr="371B20AB">
        <w:rPr>
          <w:rFonts w:ascii="Calibri" w:eastAsia="Calibri" w:hAnsi="Calibri" w:cs="Calibri"/>
          <w:color w:val="000000" w:themeColor="text1"/>
          <w:sz w:val="28"/>
          <w:szCs w:val="28"/>
          <w:lang w:val="en-GB"/>
        </w:rPr>
        <w:t>ve</w:t>
      </w:r>
      <w:proofErr w:type="spellEnd"/>
      <w:r w:rsidRPr="371B20AB">
        <w:rPr>
          <w:rFonts w:ascii="Calibri" w:eastAsia="Calibri" w:hAnsi="Calibri" w:cs="Calibri"/>
          <w:color w:val="000000" w:themeColor="text1"/>
          <w:sz w:val="28"/>
          <w:szCs w:val="28"/>
          <w:lang w:val="en-GB"/>
        </w:rPr>
        <w:t xml:space="preserve"> is ‘situated’ in an early year setting: it is situated in the complex lives, experiences, attitudes, feelings, histories of everyone who participates in a setting” (Page, 2018 p.126). This statement would appear to support the thoughts and feelings expressed during the participants discussions. The whole setting as described by the participants have an ethos and value base linked to effective relationships and interconnections. </w:t>
      </w:r>
    </w:p>
    <w:p w14:paraId="76FC2195" w14:textId="72E930EF"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222222"/>
          <w:sz w:val="28"/>
          <w:szCs w:val="28"/>
        </w:rPr>
        <w:t xml:space="preserve">Grimmer (2021) continues to support this loving pedagogy and asserts that parents find this approach to their children's care valuable. Maslow’s (2013) recognition of the need to love and be loved as an essential component of human </w:t>
      </w:r>
      <w:r w:rsidRPr="371B20AB">
        <w:rPr>
          <w:rFonts w:ascii="Calibri" w:eastAsia="Calibri" w:hAnsi="Calibri" w:cs="Calibri"/>
          <w:color w:val="222222"/>
          <w:sz w:val="28"/>
          <w:szCs w:val="28"/>
        </w:rPr>
        <w:lastRenderedPageBreak/>
        <w:t xml:space="preserve">development. The dyadic interview confirms the feelings of parents when describing their use of love letters to the children, which are shared with the parents. These love letters affirm the child's strengths and achievements using evocative language and valuing them within the context of the setting. One of the participants tells us that parents said following reading these letters, </w:t>
      </w:r>
      <w:r w:rsidRPr="371B20AB">
        <w:rPr>
          <w:rFonts w:ascii="Calibri" w:eastAsia="Calibri" w:hAnsi="Calibri" w:cs="Calibri"/>
          <w:color w:val="000000" w:themeColor="text1"/>
          <w:sz w:val="28"/>
          <w:szCs w:val="28"/>
          <w:lang w:val="en-GB"/>
        </w:rPr>
        <w:t xml:space="preserve">“I knew you knew my child” a valuable affirmation that this approach towards children is supported by parents and is an effective pedagogical principle reaffirming the power of a loving pedagogy. </w:t>
      </w:r>
    </w:p>
    <w:p w14:paraId="510BCCF9" w14:textId="44A9A4EC" w:rsidR="0DD511AD" w:rsidRDefault="7A94ACFD" w:rsidP="371B20AB">
      <w:pPr>
        <w:spacing w:line="360" w:lineRule="auto"/>
        <w:rPr>
          <w:rFonts w:ascii="Calibri" w:eastAsia="Calibri" w:hAnsi="Calibri" w:cs="Calibri"/>
          <w:color w:val="000000" w:themeColor="text1"/>
          <w:sz w:val="28"/>
          <w:szCs w:val="28"/>
        </w:rPr>
      </w:pPr>
      <w:r w:rsidRPr="371B20AB">
        <w:rPr>
          <w:rFonts w:ascii="Calibri" w:eastAsia="Calibri" w:hAnsi="Calibri" w:cs="Calibri"/>
          <w:color w:val="000000" w:themeColor="text1"/>
          <w:sz w:val="28"/>
          <w:szCs w:val="28"/>
          <w:lang w:val="en-GB"/>
        </w:rPr>
        <w:t>Overall, the two groups of participants offered deep reflective and authentic explorations of complex themes that offered insight into the role of the enabling adult. The complexity of thought and the centrality of the child highlighted the effectiveness of a curriculum that is grounded in professional values and knowledge to meet the needs of the child holistically. There is also a sense that the two groups were at different levels of experience and knowledge, however these principles were evident within all members of the groups. This would appear to support the dyadic interviews feelings that early year's education cannot be achieved by anyone, there needs to be deeply held philosophy that recognises the practitioner's commitment and dedication to their role which goes beyond the “9-5” work ethic and becomes integrated into their very being.</w:t>
      </w:r>
    </w:p>
    <w:p w14:paraId="12330426" w14:textId="77777777" w:rsidR="00494957" w:rsidRDefault="00494957" w:rsidP="371B20AB">
      <w:pPr>
        <w:spacing w:line="360" w:lineRule="auto"/>
        <w:rPr>
          <w:rFonts w:ascii="Calibri" w:eastAsia="Calibri" w:hAnsi="Calibri" w:cs="Calibri"/>
          <w:b/>
          <w:bCs/>
          <w:color w:val="000000" w:themeColor="text1"/>
          <w:sz w:val="28"/>
          <w:szCs w:val="28"/>
          <w:lang w:val="en-GB"/>
        </w:rPr>
      </w:pPr>
    </w:p>
    <w:p w14:paraId="1C7E688E" w14:textId="77777777" w:rsidR="00494957" w:rsidRDefault="00494957" w:rsidP="371B20AB">
      <w:pPr>
        <w:spacing w:line="360" w:lineRule="auto"/>
        <w:rPr>
          <w:rFonts w:ascii="Calibri" w:eastAsia="Calibri" w:hAnsi="Calibri" w:cs="Calibri"/>
          <w:b/>
          <w:bCs/>
          <w:color w:val="000000" w:themeColor="text1"/>
          <w:sz w:val="28"/>
          <w:szCs w:val="28"/>
          <w:lang w:val="en-GB"/>
        </w:rPr>
      </w:pPr>
    </w:p>
    <w:p w14:paraId="4C57C6FC" w14:textId="77777777" w:rsidR="00494957" w:rsidRDefault="00494957" w:rsidP="371B20AB">
      <w:pPr>
        <w:spacing w:line="360" w:lineRule="auto"/>
        <w:rPr>
          <w:rFonts w:ascii="Calibri" w:eastAsia="Calibri" w:hAnsi="Calibri" w:cs="Calibri"/>
          <w:b/>
          <w:bCs/>
          <w:color w:val="000000" w:themeColor="text1"/>
          <w:sz w:val="28"/>
          <w:szCs w:val="28"/>
          <w:lang w:val="en-GB"/>
        </w:rPr>
      </w:pPr>
    </w:p>
    <w:p w14:paraId="7680B6AC" w14:textId="77777777" w:rsidR="00494957" w:rsidRDefault="00494957" w:rsidP="371B20AB">
      <w:pPr>
        <w:spacing w:line="360" w:lineRule="auto"/>
        <w:rPr>
          <w:rFonts w:ascii="Calibri" w:eastAsia="Calibri" w:hAnsi="Calibri" w:cs="Calibri"/>
          <w:b/>
          <w:bCs/>
          <w:color w:val="000000" w:themeColor="text1"/>
          <w:sz w:val="28"/>
          <w:szCs w:val="28"/>
          <w:lang w:val="en-GB"/>
        </w:rPr>
      </w:pPr>
    </w:p>
    <w:p w14:paraId="590BBD12" w14:textId="5E798218" w:rsidR="0F970974" w:rsidRDefault="0F970974" w:rsidP="371B20AB">
      <w:pPr>
        <w:spacing w:line="360" w:lineRule="auto"/>
        <w:rPr>
          <w:rFonts w:ascii="Calibri" w:eastAsia="Calibri" w:hAnsi="Calibri" w:cs="Calibri"/>
          <w:b/>
          <w:bCs/>
          <w:color w:val="000000" w:themeColor="text1"/>
          <w:sz w:val="28"/>
          <w:szCs w:val="28"/>
          <w:lang w:val="en-GB"/>
        </w:rPr>
      </w:pPr>
      <w:r w:rsidRPr="371B20AB">
        <w:rPr>
          <w:rFonts w:ascii="Calibri" w:eastAsia="Calibri" w:hAnsi="Calibri" w:cs="Calibri"/>
          <w:b/>
          <w:bCs/>
          <w:color w:val="000000" w:themeColor="text1"/>
          <w:sz w:val="28"/>
          <w:szCs w:val="28"/>
          <w:lang w:val="en-GB"/>
        </w:rPr>
        <w:lastRenderedPageBreak/>
        <w:t>Conclusion and Recommendations.</w:t>
      </w:r>
    </w:p>
    <w:p w14:paraId="4247B325" w14:textId="2EE6833A" w:rsidR="0F970974" w:rsidRDefault="0F970974"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lang w:val="en-GB"/>
        </w:rPr>
        <w:t xml:space="preserve">The Curriculum for Non-Maintained Nursery settings is a relatively new </w:t>
      </w:r>
      <w:r w:rsidR="4CA0F450" w:rsidRPr="371B20AB">
        <w:rPr>
          <w:rFonts w:ascii="Calibri" w:eastAsia="Calibri" w:hAnsi="Calibri" w:cs="Calibri"/>
          <w:color w:val="000000" w:themeColor="text1"/>
          <w:sz w:val="28"/>
          <w:szCs w:val="28"/>
          <w:lang w:val="en-GB"/>
        </w:rPr>
        <w:t>addition</w:t>
      </w:r>
      <w:r w:rsidR="48687A55" w:rsidRPr="371B20AB">
        <w:rPr>
          <w:rFonts w:ascii="Calibri" w:eastAsia="Calibri" w:hAnsi="Calibri" w:cs="Calibri"/>
          <w:color w:val="000000" w:themeColor="text1"/>
          <w:sz w:val="28"/>
          <w:szCs w:val="28"/>
          <w:lang w:val="en-GB"/>
        </w:rPr>
        <w:t>,</w:t>
      </w:r>
      <w:r w:rsidR="4CA0F450" w:rsidRPr="371B20AB">
        <w:rPr>
          <w:rFonts w:ascii="Calibri" w:eastAsia="Calibri" w:hAnsi="Calibri" w:cs="Calibri"/>
          <w:color w:val="000000" w:themeColor="text1"/>
          <w:sz w:val="28"/>
          <w:szCs w:val="28"/>
          <w:lang w:val="en-GB"/>
        </w:rPr>
        <w:t xml:space="preserve"> offering support and guidance for </w:t>
      </w:r>
      <w:r w:rsidR="73B6AD22" w:rsidRPr="371B20AB">
        <w:rPr>
          <w:rFonts w:ascii="Calibri" w:eastAsia="Calibri" w:hAnsi="Calibri" w:cs="Calibri"/>
          <w:color w:val="000000" w:themeColor="text1"/>
          <w:sz w:val="28"/>
          <w:szCs w:val="28"/>
          <w:lang w:val="en-GB"/>
        </w:rPr>
        <w:t>ea</w:t>
      </w:r>
      <w:r w:rsidR="4CA0F450" w:rsidRPr="371B20AB">
        <w:rPr>
          <w:rFonts w:ascii="Calibri" w:eastAsia="Calibri" w:hAnsi="Calibri" w:cs="Calibri"/>
          <w:color w:val="000000" w:themeColor="text1"/>
          <w:sz w:val="28"/>
          <w:szCs w:val="28"/>
          <w:lang w:val="en-GB"/>
        </w:rPr>
        <w:t xml:space="preserve">rly years </w:t>
      </w:r>
      <w:r w:rsidR="3291DA43" w:rsidRPr="371B20AB">
        <w:rPr>
          <w:rFonts w:ascii="Calibri" w:eastAsia="Calibri" w:hAnsi="Calibri" w:cs="Calibri"/>
          <w:color w:val="000000" w:themeColor="text1"/>
          <w:sz w:val="28"/>
          <w:szCs w:val="28"/>
          <w:lang w:val="en-GB"/>
        </w:rPr>
        <w:t>practitioners</w:t>
      </w:r>
      <w:r w:rsidR="4CA0F450" w:rsidRPr="371B20AB">
        <w:rPr>
          <w:rFonts w:ascii="Calibri" w:eastAsia="Calibri" w:hAnsi="Calibri" w:cs="Calibri"/>
          <w:color w:val="000000" w:themeColor="text1"/>
          <w:sz w:val="28"/>
          <w:szCs w:val="28"/>
          <w:lang w:val="en-GB"/>
        </w:rPr>
        <w:t xml:space="preserve"> to meet the holistic developmental needs of young children. This n</w:t>
      </w:r>
      <w:r w:rsidR="6A18821D" w:rsidRPr="371B20AB">
        <w:rPr>
          <w:rFonts w:ascii="Calibri" w:eastAsia="Calibri" w:hAnsi="Calibri" w:cs="Calibri"/>
          <w:color w:val="000000" w:themeColor="text1"/>
          <w:sz w:val="28"/>
          <w:szCs w:val="28"/>
          <w:lang w:val="en-GB"/>
        </w:rPr>
        <w:t xml:space="preserve">ewness </w:t>
      </w:r>
      <w:r w:rsidR="73513728" w:rsidRPr="371B20AB">
        <w:rPr>
          <w:rFonts w:ascii="Calibri" w:eastAsia="Calibri" w:hAnsi="Calibri" w:cs="Calibri"/>
          <w:color w:val="000000" w:themeColor="text1"/>
          <w:sz w:val="28"/>
          <w:szCs w:val="28"/>
          <w:lang w:val="en-GB"/>
        </w:rPr>
        <w:t xml:space="preserve">resulted in a limited </w:t>
      </w:r>
      <w:r w:rsidR="0AD0E2B6" w:rsidRPr="371B20AB">
        <w:rPr>
          <w:rFonts w:ascii="Calibri" w:eastAsia="Calibri" w:hAnsi="Calibri" w:cs="Calibri"/>
          <w:color w:val="000000" w:themeColor="text1"/>
          <w:sz w:val="28"/>
          <w:szCs w:val="28"/>
          <w:lang w:val="en-GB"/>
        </w:rPr>
        <w:t>amount</w:t>
      </w:r>
      <w:r w:rsidR="73513728" w:rsidRPr="371B20AB">
        <w:rPr>
          <w:rFonts w:ascii="Calibri" w:eastAsia="Calibri" w:hAnsi="Calibri" w:cs="Calibri"/>
          <w:color w:val="000000" w:themeColor="text1"/>
          <w:sz w:val="28"/>
          <w:szCs w:val="28"/>
          <w:lang w:val="en-GB"/>
        </w:rPr>
        <w:t xml:space="preserve"> of research data with which to frame the study.  </w:t>
      </w:r>
      <w:r w:rsidR="4D8DBEA6" w:rsidRPr="371B20AB">
        <w:rPr>
          <w:rFonts w:ascii="Calibri" w:eastAsia="Calibri" w:hAnsi="Calibri" w:cs="Calibri"/>
          <w:color w:val="000000" w:themeColor="text1"/>
          <w:sz w:val="28"/>
          <w:szCs w:val="28"/>
          <w:lang w:val="en-GB"/>
        </w:rPr>
        <w:t>However,</w:t>
      </w:r>
      <w:r w:rsidR="73513728" w:rsidRPr="371B20AB">
        <w:rPr>
          <w:rFonts w:ascii="Calibri" w:eastAsia="Calibri" w:hAnsi="Calibri" w:cs="Calibri"/>
          <w:color w:val="000000" w:themeColor="text1"/>
          <w:sz w:val="28"/>
          <w:szCs w:val="28"/>
          <w:lang w:val="en-GB"/>
        </w:rPr>
        <w:t xml:space="preserve"> as the </w:t>
      </w:r>
      <w:r w:rsidR="229140A9" w:rsidRPr="371B20AB">
        <w:rPr>
          <w:rFonts w:ascii="Calibri" w:eastAsia="Calibri" w:hAnsi="Calibri" w:cs="Calibri"/>
          <w:color w:val="000000" w:themeColor="text1"/>
          <w:sz w:val="28"/>
          <w:szCs w:val="28"/>
          <w:lang w:val="en-GB"/>
        </w:rPr>
        <w:t>literature</w:t>
      </w:r>
      <w:r w:rsidR="73513728" w:rsidRPr="371B20AB">
        <w:rPr>
          <w:rFonts w:ascii="Calibri" w:eastAsia="Calibri" w:hAnsi="Calibri" w:cs="Calibri"/>
          <w:color w:val="000000" w:themeColor="text1"/>
          <w:sz w:val="28"/>
          <w:szCs w:val="28"/>
          <w:lang w:val="en-GB"/>
        </w:rPr>
        <w:t xml:space="preserve"> review revealed</w:t>
      </w:r>
      <w:r w:rsidR="711C4D22" w:rsidRPr="371B20AB">
        <w:rPr>
          <w:rFonts w:ascii="Calibri" w:eastAsia="Calibri" w:hAnsi="Calibri" w:cs="Calibri"/>
          <w:color w:val="000000" w:themeColor="text1"/>
          <w:sz w:val="28"/>
          <w:szCs w:val="28"/>
          <w:lang w:val="en-GB"/>
        </w:rPr>
        <w:t>,</w:t>
      </w:r>
      <w:r w:rsidR="73513728" w:rsidRPr="371B20AB">
        <w:rPr>
          <w:rFonts w:ascii="Calibri" w:eastAsia="Calibri" w:hAnsi="Calibri" w:cs="Calibri"/>
          <w:color w:val="000000" w:themeColor="text1"/>
          <w:sz w:val="28"/>
          <w:szCs w:val="28"/>
          <w:lang w:val="en-GB"/>
        </w:rPr>
        <w:t xml:space="preserve"> the content of the curriculum is based upon established theoretical framewor</w:t>
      </w:r>
      <w:r w:rsidR="22F2DD32" w:rsidRPr="371B20AB">
        <w:rPr>
          <w:rFonts w:ascii="Calibri" w:eastAsia="Calibri" w:hAnsi="Calibri" w:cs="Calibri"/>
          <w:color w:val="000000" w:themeColor="text1"/>
          <w:sz w:val="28"/>
          <w:szCs w:val="28"/>
          <w:lang w:val="en-GB"/>
        </w:rPr>
        <w:t xml:space="preserve">ks and pedagogical principles </w:t>
      </w:r>
      <w:r w:rsidR="1CEEC265" w:rsidRPr="371B20AB">
        <w:rPr>
          <w:rFonts w:ascii="Calibri" w:eastAsia="Calibri" w:hAnsi="Calibri" w:cs="Calibri"/>
          <w:color w:val="000000" w:themeColor="text1"/>
          <w:sz w:val="28"/>
          <w:szCs w:val="28"/>
          <w:lang w:val="en-GB"/>
        </w:rPr>
        <w:t>well researched in the field.</w:t>
      </w:r>
    </w:p>
    <w:p w14:paraId="32547F5C" w14:textId="5893E048" w:rsidR="1CEEC265" w:rsidRDefault="1CEEC265"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lang w:val="en-GB"/>
        </w:rPr>
        <w:t>The aim of the study was to explore practitioners' thoughts and feelings around the implementation of the curriculum based on th</w:t>
      </w:r>
      <w:r w:rsidR="51A3E893" w:rsidRPr="371B20AB">
        <w:rPr>
          <w:rFonts w:ascii="Calibri" w:eastAsia="Calibri" w:hAnsi="Calibri" w:cs="Calibri"/>
          <w:color w:val="000000" w:themeColor="text1"/>
          <w:sz w:val="28"/>
          <w:szCs w:val="28"/>
          <w:lang w:val="en-GB"/>
        </w:rPr>
        <w:t>eir experiences of ‘doing it’. A further focus was on the role of the enabling</w:t>
      </w:r>
      <w:r w:rsidR="6183C35B" w:rsidRPr="371B20AB">
        <w:rPr>
          <w:rFonts w:ascii="Calibri" w:eastAsia="Calibri" w:hAnsi="Calibri" w:cs="Calibri"/>
          <w:color w:val="000000" w:themeColor="text1"/>
          <w:sz w:val="28"/>
          <w:szCs w:val="28"/>
          <w:lang w:val="en-GB"/>
        </w:rPr>
        <w:t xml:space="preserve"> </w:t>
      </w:r>
      <w:r w:rsidR="51A3E893" w:rsidRPr="371B20AB">
        <w:rPr>
          <w:rFonts w:ascii="Calibri" w:eastAsia="Calibri" w:hAnsi="Calibri" w:cs="Calibri"/>
          <w:color w:val="000000" w:themeColor="text1"/>
          <w:sz w:val="28"/>
          <w:szCs w:val="28"/>
          <w:lang w:val="en-GB"/>
        </w:rPr>
        <w:t>adult</w:t>
      </w:r>
      <w:r w:rsidR="36237704" w:rsidRPr="371B20AB">
        <w:rPr>
          <w:rFonts w:ascii="Calibri" w:eastAsia="Calibri" w:hAnsi="Calibri" w:cs="Calibri"/>
          <w:color w:val="000000" w:themeColor="text1"/>
          <w:sz w:val="28"/>
          <w:szCs w:val="28"/>
          <w:lang w:val="en-GB"/>
        </w:rPr>
        <w:t>,</w:t>
      </w:r>
      <w:r w:rsidR="51A3E893" w:rsidRPr="371B20AB">
        <w:rPr>
          <w:rFonts w:ascii="Calibri" w:eastAsia="Calibri" w:hAnsi="Calibri" w:cs="Calibri"/>
          <w:color w:val="000000" w:themeColor="text1"/>
          <w:sz w:val="28"/>
          <w:szCs w:val="28"/>
          <w:lang w:val="en-GB"/>
        </w:rPr>
        <w:t xml:space="preserve"> a key theme within the curriculum, </w:t>
      </w:r>
      <w:r w:rsidR="533255C1" w:rsidRPr="371B20AB">
        <w:rPr>
          <w:rFonts w:ascii="Calibri" w:eastAsia="Calibri" w:hAnsi="Calibri" w:cs="Calibri"/>
          <w:color w:val="000000" w:themeColor="text1"/>
          <w:sz w:val="28"/>
          <w:szCs w:val="28"/>
          <w:lang w:val="en-GB"/>
        </w:rPr>
        <w:t>how</w:t>
      </w:r>
      <w:r w:rsidR="51A3E893" w:rsidRPr="371B20AB">
        <w:rPr>
          <w:rFonts w:ascii="Calibri" w:eastAsia="Calibri" w:hAnsi="Calibri" w:cs="Calibri"/>
          <w:color w:val="000000" w:themeColor="text1"/>
          <w:sz w:val="28"/>
          <w:szCs w:val="28"/>
          <w:lang w:val="en-GB"/>
        </w:rPr>
        <w:t xml:space="preserve"> did </w:t>
      </w:r>
      <w:r w:rsidR="4C3E7CDA" w:rsidRPr="371B20AB">
        <w:rPr>
          <w:rFonts w:ascii="Calibri" w:eastAsia="Calibri" w:hAnsi="Calibri" w:cs="Calibri"/>
          <w:color w:val="000000" w:themeColor="text1"/>
          <w:sz w:val="28"/>
          <w:szCs w:val="28"/>
          <w:lang w:val="en-GB"/>
        </w:rPr>
        <w:t>practitioners</w:t>
      </w:r>
      <w:r w:rsidR="51A3E893" w:rsidRPr="371B20AB">
        <w:rPr>
          <w:rFonts w:ascii="Calibri" w:eastAsia="Calibri" w:hAnsi="Calibri" w:cs="Calibri"/>
          <w:color w:val="000000" w:themeColor="text1"/>
          <w:sz w:val="28"/>
          <w:szCs w:val="28"/>
          <w:lang w:val="en-GB"/>
        </w:rPr>
        <w:t xml:space="preserve"> interpre</w:t>
      </w:r>
      <w:r w:rsidR="072426C9" w:rsidRPr="371B20AB">
        <w:rPr>
          <w:rFonts w:ascii="Calibri" w:eastAsia="Calibri" w:hAnsi="Calibri" w:cs="Calibri"/>
          <w:color w:val="000000" w:themeColor="text1"/>
          <w:sz w:val="28"/>
          <w:szCs w:val="28"/>
          <w:lang w:val="en-GB"/>
        </w:rPr>
        <w:t>t this role and incorporate it into their practice?</w:t>
      </w:r>
    </w:p>
    <w:p w14:paraId="2A6B63CC" w14:textId="75EB42F3" w:rsidR="6F328E0F" w:rsidRDefault="6F328E0F"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lang w:val="en-GB"/>
        </w:rPr>
        <w:t xml:space="preserve">The research was underpinned by the theoretical framework of hermeneutic phenomenology, a concept </w:t>
      </w:r>
      <w:r w:rsidR="34E91063" w:rsidRPr="371B20AB">
        <w:rPr>
          <w:rFonts w:ascii="Calibri" w:eastAsia="Calibri" w:hAnsi="Calibri" w:cs="Calibri"/>
          <w:color w:val="000000" w:themeColor="text1"/>
          <w:sz w:val="28"/>
          <w:szCs w:val="28"/>
          <w:lang w:val="en-GB"/>
        </w:rPr>
        <w:t>that</w:t>
      </w:r>
      <w:r w:rsidRPr="371B20AB">
        <w:rPr>
          <w:rFonts w:ascii="Calibri" w:eastAsia="Calibri" w:hAnsi="Calibri" w:cs="Calibri"/>
          <w:color w:val="000000" w:themeColor="text1"/>
          <w:sz w:val="28"/>
          <w:szCs w:val="28"/>
          <w:lang w:val="en-GB"/>
        </w:rPr>
        <w:t xml:space="preserve"> recognises the value of exploring lived </w:t>
      </w:r>
      <w:r w:rsidR="1A4B1EBF" w:rsidRPr="371B20AB">
        <w:rPr>
          <w:rFonts w:ascii="Calibri" w:eastAsia="Calibri" w:hAnsi="Calibri" w:cs="Calibri"/>
          <w:color w:val="000000" w:themeColor="text1"/>
          <w:sz w:val="28"/>
          <w:szCs w:val="28"/>
          <w:lang w:val="en-GB"/>
        </w:rPr>
        <w:t>experiences</w:t>
      </w:r>
      <w:r w:rsidRPr="371B20AB">
        <w:rPr>
          <w:rFonts w:ascii="Calibri" w:eastAsia="Calibri" w:hAnsi="Calibri" w:cs="Calibri"/>
          <w:color w:val="000000" w:themeColor="text1"/>
          <w:sz w:val="28"/>
          <w:szCs w:val="28"/>
          <w:lang w:val="en-GB"/>
        </w:rPr>
        <w:t xml:space="preserve"> to c</w:t>
      </w:r>
      <w:r w:rsidR="2D27248C" w:rsidRPr="371B20AB">
        <w:rPr>
          <w:rFonts w:ascii="Calibri" w:eastAsia="Calibri" w:hAnsi="Calibri" w:cs="Calibri"/>
          <w:color w:val="000000" w:themeColor="text1"/>
          <w:sz w:val="28"/>
          <w:szCs w:val="28"/>
          <w:lang w:val="en-GB"/>
        </w:rPr>
        <w:t xml:space="preserve">reate qualitative data.  </w:t>
      </w:r>
      <w:r w:rsidR="242162EC" w:rsidRPr="371B20AB">
        <w:rPr>
          <w:rFonts w:ascii="Calibri" w:eastAsia="Calibri" w:hAnsi="Calibri" w:cs="Calibri"/>
          <w:color w:val="000000" w:themeColor="text1"/>
          <w:sz w:val="28"/>
          <w:szCs w:val="28"/>
          <w:lang w:val="en-GB"/>
        </w:rPr>
        <w:t>Focus groups were chosen as the method of collecting data as this style of interviewing fits within the conceptual nature of hermeneutic phenomenology.  Focus groups were popul</w:t>
      </w:r>
      <w:r w:rsidR="4A794C58" w:rsidRPr="371B20AB">
        <w:rPr>
          <w:rFonts w:ascii="Calibri" w:eastAsia="Calibri" w:hAnsi="Calibri" w:cs="Calibri"/>
          <w:color w:val="000000" w:themeColor="text1"/>
          <w:sz w:val="28"/>
          <w:szCs w:val="28"/>
          <w:lang w:val="en-GB"/>
        </w:rPr>
        <w:t>ated by early years students on The BA Early Years Education and Care course, they were also all working within early years setti</w:t>
      </w:r>
      <w:r w:rsidR="53444F8E" w:rsidRPr="371B20AB">
        <w:rPr>
          <w:rFonts w:ascii="Calibri" w:eastAsia="Calibri" w:hAnsi="Calibri" w:cs="Calibri"/>
          <w:color w:val="000000" w:themeColor="text1"/>
          <w:sz w:val="28"/>
          <w:szCs w:val="28"/>
          <w:lang w:val="en-GB"/>
        </w:rPr>
        <w:t>ngs.</w:t>
      </w:r>
      <w:r w:rsidR="244719B0" w:rsidRPr="371B20AB">
        <w:rPr>
          <w:rFonts w:ascii="Calibri" w:eastAsia="Calibri" w:hAnsi="Calibri" w:cs="Calibri"/>
          <w:color w:val="000000" w:themeColor="text1"/>
          <w:sz w:val="28"/>
          <w:szCs w:val="28"/>
          <w:lang w:val="en-GB"/>
        </w:rPr>
        <w:t xml:space="preserve">  The practitioners were at different stages of their careers which offered varied experiences and understanding</w:t>
      </w:r>
      <w:r w:rsidR="7193C69F" w:rsidRPr="371B20AB">
        <w:rPr>
          <w:rFonts w:ascii="Calibri" w:eastAsia="Calibri" w:hAnsi="Calibri" w:cs="Calibri"/>
          <w:color w:val="000000" w:themeColor="text1"/>
          <w:sz w:val="28"/>
          <w:szCs w:val="28"/>
          <w:lang w:val="en-GB"/>
        </w:rPr>
        <w:t>,</w:t>
      </w:r>
      <w:r w:rsidR="244719B0" w:rsidRPr="371B20AB">
        <w:rPr>
          <w:rFonts w:ascii="Calibri" w:eastAsia="Calibri" w:hAnsi="Calibri" w:cs="Calibri"/>
          <w:color w:val="000000" w:themeColor="text1"/>
          <w:sz w:val="28"/>
          <w:szCs w:val="28"/>
          <w:lang w:val="en-GB"/>
        </w:rPr>
        <w:t xml:space="preserve"> creatin</w:t>
      </w:r>
      <w:r w:rsidR="563B4669" w:rsidRPr="371B20AB">
        <w:rPr>
          <w:rFonts w:ascii="Calibri" w:eastAsia="Calibri" w:hAnsi="Calibri" w:cs="Calibri"/>
          <w:color w:val="000000" w:themeColor="text1"/>
          <w:sz w:val="28"/>
          <w:szCs w:val="28"/>
          <w:lang w:val="en-GB"/>
        </w:rPr>
        <w:t xml:space="preserve">g rich data.  One focus group was not fully attended and only two participants joined the meeting, the ensuing dyadic interview however was </w:t>
      </w:r>
      <w:r w:rsidR="75B56E19" w:rsidRPr="371B20AB">
        <w:rPr>
          <w:rFonts w:ascii="Calibri" w:eastAsia="Calibri" w:hAnsi="Calibri" w:cs="Calibri"/>
          <w:color w:val="000000" w:themeColor="text1"/>
          <w:sz w:val="28"/>
          <w:szCs w:val="28"/>
          <w:lang w:val="en-GB"/>
        </w:rPr>
        <w:t xml:space="preserve">a rich source of data and </w:t>
      </w:r>
      <w:r w:rsidR="75B56E19" w:rsidRPr="371B20AB">
        <w:rPr>
          <w:rFonts w:ascii="Calibri" w:eastAsia="Calibri" w:hAnsi="Calibri" w:cs="Calibri"/>
          <w:color w:val="000000" w:themeColor="text1"/>
          <w:sz w:val="28"/>
          <w:szCs w:val="28"/>
          <w:lang w:val="en-GB"/>
        </w:rPr>
        <w:lastRenderedPageBreak/>
        <w:t xml:space="preserve">a method that I will consider using in further research. The other focus group had six participants and was also engaging and </w:t>
      </w:r>
      <w:r w:rsidR="375C9535" w:rsidRPr="371B20AB">
        <w:rPr>
          <w:rFonts w:ascii="Calibri" w:eastAsia="Calibri" w:hAnsi="Calibri" w:cs="Calibri"/>
          <w:color w:val="000000" w:themeColor="text1"/>
          <w:sz w:val="28"/>
          <w:szCs w:val="28"/>
          <w:lang w:val="en-GB"/>
        </w:rPr>
        <w:t>revealed excellent insights.</w:t>
      </w:r>
    </w:p>
    <w:p w14:paraId="1FF592E4" w14:textId="69EEE5CC" w:rsidR="115455BF" w:rsidRDefault="115455BF"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lang w:val="en-GB"/>
        </w:rPr>
        <w:t xml:space="preserve">Thematic analysis was used as the basis for data interpretation and analysis, the focus groups were </w:t>
      </w:r>
      <w:r w:rsidR="4118214A" w:rsidRPr="371B20AB">
        <w:rPr>
          <w:rFonts w:ascii="Calibri" w:eastAsia="Calibri" w:hAnsi="Calibri" w:cs="Calibri"/>
          <w:color w:val="000000" w:themeColor="text1"/>
          <w:sz w:val="28"/>
          <w:szCs w:val="28"/>
          <w:lang w:val="en-GB"/>
        </w:rPr>
        <w:t>recorded,</w:t>
      </w:r>
      <w:r w:rsidRPr="371B20AB">
        <w:rPr>
          <w:rFonts w:ascii="Calibri" w:eastAsia="Calibri" w:hAnsi="Calibri" w:cs="Calibri"/>
          <w:color w:val="000000" w:themeColor="text1"/>
          <w:sz w:val="28"/>
          <w:szCs w:val="28"/>
          <w:lang w:val="en-GB"/>
        </w:rPr>
        <w:t xml:space="preserve"> and a video and transcript were available </w:t>
      </w:r>
      <w:r w:rsidR="44389C1E" w:rsidRPr="371B20AB">
        <w:rPr>
          <w:rFonts w:ascii="Calibri" w:eastAsia="Calibri" w:hAnsi="Calibri" w:cs="Calibri"/>
          <w:color w:val="000000" w:themeColor="text1"/>
          <w:sz w:val="28"/>
          <w:szCs w:val="28"/>
          <w:lang w:val="en-GB"/>
        </w:rPr>
        <w:t xml:space="preserve">for frequent views and reviews to familiarise myself with the data.  The participants freely engaged in deep discussions around </w:t>
      </w:r>
      <w:r w:rsidR="58EFA5D2" w:rsidRPr="371B20AB">
        <w:rPr>
          <w:rFonts w:ascii="Calibri" w:eastAsia="Calibri" w:hAnsi="Calibri" w:cs="Calibri"/>
          <w:color w:val="000000" w:themeColor="text1"/>
          <w:sz w:val="28"/>
          <w:szCs w:val="28"/>
          <w:lang w:val="en-GB"/>
        </w:rPr>
        <w:t>their</w:t>
      </w:r>
      <w:r w:rsidR="44389C1E" w:rsidRPr="371B20AB">
        <w:rPr>
          <w:rFonts w:ascii="Calibri" w:eastAsia="Calibri" w:hAnsi="Calibri" w:cs="Calibri"/>
          <w:color w:val="000000" w:themeColor="text1"/>
          <w:sz w:val="28"/>
          <w:szCs w:val="28"/>
          <w:lang w:val="en-GB"/>
        </w:rPr>
        <w:t xml:space="preserve"> experiences of the curri</w:t>
      </w:r>
      <w:r w:rsidR="096CE84A" w:rsidRPr="371B20AB">
        <w:rPr>
          <w:rFonts w:ascii="Calibri" w:eastAsia="Calibri" w:hAnsi="Calibri" w:cs="Calibri"/>
          <w:color w:val="000000" w:themeColor="text1"/>
          <w:sz w:val="28"/>
          <w:szCs w:val="28"/>
          <w:lang w:val="en-GB"/>
        </w:rPr>
        <w:t>culum and the role of the enabling adult.</w:t>
      </w:r>
    </w:p>
    <w:p w14:paraId="07651D16" w14:textId="413D7478" w:rsidR="25BF18F7" w:rsidRDefault="25BF18F7"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lang w:val="en-GB"/>
        </w:rPr>
        <w:t xml:space="preserve">The key themes that emerged showed a depth of care for the children </w:t>
      </w:r>
      <w:r w:rsidR="55288398" w:rsidRPr="371B20AB">
        <w:rPr>
          <w:rFonts w:ascii="Calibri" w:eastAsia="Calibri" w:hAnsi="Calibri" w:cs="Calibri"/>
          <w:color w:val="000000" w:themeColor="text1"/>
          <w:sz w:val="28"/>
          <w:szCs w:val="28"/>
          <w:lang w:val="en-GB"/>
        </w:rPr>
        <w:t>within</w:t>
      </w:r>
      <w:r w:rsidRPr="371B20AB">
        <w:rPr>
          <w:rFonts w:ascii="Calibri" w:eastAsia="Calibri" w:hAnsi="Calibri" w:cs="Calibri"/>
          <w:color w:val="000000" w:themeColor="text1"/>
          <w:sz w:val="28"/>
          <w:szCs w:val="28"/>
          <w:lang w:val="en-GB"/>
        </w:rPr>
        <w:t xml:space="preserve"> their settings and </w:t>
      </w:r>
      <w:r w:rsidR="11E7FEA1" w:rsidRPr="371B20AB">
        <w:rPr>
          <w:rFonts w:ascii="Calibri" w:eastAsia="Calibri" w:hAnsi="Calibri" w:cs="Calibri"/>
          <w:color w:val="000000" w:themeColor="text1"/>
          <w:sz w:val="28"/>
          <w:szCs w:val="28"/>
          <w:lang w:val="en-GB"/>
        </w:rPr>
        <w:t>strongly</w:t>
      </w:r>
      <w:r w:rsidRPr="371B20AB">
        <w:rPr>
          <w:rFonts w:ascii="Calibri" w:eastAsia="Calibri" w:hAnsi="Calibri" w:cs="Calibri"/>
          <w:color w:val="000000" w:themeColor="text1"/>
          <w:sz w:val="28"/>
          <w:szCs w:val="28"/>
          <w:lang w:val="en-GB"/>
        </w:rPr>
        <w:t xml:space="preserve"> linked to a professional </w:t>
      </w:r>
      <w:r w:rsidR="321DFE26" w:rsidRPr="371B20AB">
        <w:rPr>
          <w:rFonts w:ascii="Calibri" w:eastAsia="Calibri" w:hAnsi="Calibri" w:cs="Calibri"/>
          <w:color w:val="000000" w:themeColor="text1"/>
          <w:sz w:val="28"/>
          <w:szCs w:val="28"/>
          <w:lang w:val="en-GB"/>
        </w:rPr>
        <w:t>knowledge</w:t>
      </w:r>
      <w:r w:rsidR="4A7F7467" w:rsidRPr="371B20AB">
        <w:rPr>
          <w:rFonts w:ascii="Calibri" w:eastAsia="Calibri" w:hAnsi="Calibri" w:cs="Calibri"/>
          <w:color w:val="000000" w:themeColor="text1"/>
          <w:sz w:val="28"/>
          <w:szCs w:val="28"/>
          <w:lang w:val="en-GB"/>
        </w:rPr>
        <w:t xml:space="preserve"> and </w:t>
      </w:r>
      <w:r w:rsidR="59BE4C89" w:rsidRPr="371B20AB">
        <w:rPr>
          <w:rFonts w:ascii="Calibri" w:eastAsia="Calibri" w:hAnsi="Calibri" w:cs="Calibri"/>
          <w:color w:val="000000" w:themeColor="text1"/>
          <w:sz w:val="28"/>
          <w:szCs w:val="28"/>
          <w:lang w:val="en-GB"/>
        </w:rPr>
        <w:t>value</w:t>
      </w:r>
      <w:r w:rsidR="4A7F7467" w:rsidRPr="371B20AB">
        <w:rPr>
          <w:rFonts w:ascii="Calibri" w:eastAsia="Calibri" w:hAnsi="Calibri" w:cs="Calibri"/>
          <w:color w:val="000000" w:themeColor="text1"/>
          <w:sz w:val="28"/>
          <w:szCs w:val="28"/>
          <w:lang w:val="en-GB"/>
        </w:rPr>
        <w:t xml:space="preserve"> base.  </w:t>
      </w:r>
      <w:r w:rsidR="6AD813C9" w:rsidRPr="371B20AB">
        <w:rPr>
          <w:rFonts w:ascii="Calibri" w:eastAsia="Calibri" w:hAnsi="Calibri" w:cs="Calibri"/>
          <w:color w:val="000000" w:themeColor="text1"/>
          <w:sz w:val="28"/>
          <w:szCs w:val="28"/>
          <w:lang w:val="en-GB"/>
        </w:rPr>
        <w:t xml:space="preserve">They were positive and excited by the opportunities offered by the new curriculum.  </w:t>
      </w:r>
      <w:r w:rsidR="21D939E4" w:rsidRPr="371B20AB">
        <w:rPr>
          <w:rFonts w:ascii="Calibri" w:eastAsia="Calibri" w:hAnsi="Calibri" w:cs="Calibri"/>
          <w:color w:val="000000" w:themeColor="text1"/>
          <w:sz w:val="28"/>
          <w:szCs w:val="28"/>
          <w:lang w:val="en-GB"/>
        </w:rPr>
        <w:t>However,</w:t>
      </w:r>
      <w:r w:rsidR="6AD813C9" w:rsidRPr="371B20AB">
        <w:rPr>
          <w:rFonts w:ascii="Calibri" w:eastAsia="Calibri" w:hAnsi="Calibri" w:cs="Calibri"/>
          <w:color w:val="000000" w:themeColor="text1"/>
          <w:sz w:val="28"/>
          <w:szCs w:val="28"/>
          <w:lang w:val="en-GB"/>
        </w:rPr>
        <w:t xml:space="preserve"> there was an affirmation that the curr</w:t>
      </w:r>
      <w:r w:rsidR="65FA7D93" w:rsidRPr="371B20AB">
        <w:rPr>
          <w:rFonts w:ascii="Calibri" w:eastAsia="Calibri" w:hAnsi="Calibri" w:cs="Calibri"/>
          <w:color w:val="000000" w:themeColor="text1"/>
          <w:sz w:val="28"/>
          <w:szCs w:val="28"/>
          <w:lang w:val="en-GB"/>
        </w:rPr>
        <w:t>iculum required a whole setting approach working together to create a shared vision.</w:t>
      </w:r>
      <w:r w:rsidR="5BC4E06E" w:rsidRPr="371B20AB">
        <w:rPr>
          <w:rFonts w:ascii="Calibri" w:eastAsia="Calibri" w:hAnsi="Calibri" w:cs="Calibri"/>
          <w:color w:val="000000" w:themeColor="text1"/>
          <w:sz w:val="28"/>
          <w:szCs w:val="28"/>
          <w:lang w:val="en-GB"/>
        </w:rPr>
        <w:t xml:space="preserve">  The less experienced practitioners felt disempowered if they did not have </w:t>
      </w:r>
      <w:r w:rsidR="7F5B51D3" w:rsidRPr="371B20AB">
        <w:rPr>
          <w:rFonts w:ascii="Calibri" w:eastAsia="Calibri" w:hAnsi="Calibri" w:cs="Calibri"/>
          <w:color w:val="000000" w:themeColor="text1"/>
          <w:sz w:val="28"/>
          <w:szCs w:val="28"/>
          <w:lang w:val="en-GB"/>
        </w:rPr>
        <w:t>supportive</w:t>
      </w:r>
      <w:r w:rsidR="5BC4E06E" w:rsidRPr="371B20AB">
        <w:rPr>
          <w:rFonts w:ascii="Calibri" w:eastAsia="Calibri" w:hAnsi="Calibri" w:cs="Calibri"/>
          <w:color w:val="000000" w:themeColor="text1"/>
          <w:sz w:val="28"/>
          <w:szCs w:val="28"/>
          <w:lang w:val="en-GB"/>
        </w:rPr>
        <w:t xml:space="preserve"> leaders who </w:t>
      </w:r>
      <w:r w:rsidR="5CA528C1" w:rsidRPr="371B20AB">
        <w:rPr>
          <w:rFonts w:ascii="Calibri" w:eastAsia="Calibri" w:hAnsi="Calibri" w:cs="Calibri"/>
          <w:color w:val="000000" w:themeColor="text1"/>
          <w:sz w:val="28"/>
          <w:szCs w:val="28"/>
          <w:lang w:val="en-GB"/>
        </w:rPr>
        <w:t>engaged</w:t>
      </w:r>
      <w:r w:rsidR="5BC4E06E" w:rsidRPr="371B20AB">
        <w:rPr>
          <w:rFonts w:ascii="Calibri" w:eastAsia="Calibri" w:hAnsi="Calibri" w:cs="Calibri"/>
          <w:color w:val="000000" w:themeColor="text1"/>
          <w:sz w:val="28"/>
          <w:szCs w:val="28"/>
          <w:lang w:val="en-GB"/>
        </w:rPr>
        <w:t xml:space="preserve"> them in the </w:t>
      </w:r>
      <w:r w:rsidR="73D4E2B3" w:rsidRPr="371B20AB">
        <w:rPr>
          <w:rFonts w:ascii="Calibri" w:eastAsia="Calibri" w:hAnsi="Calibri" w:cs="Calibri"/>
          <w:color w:val="000000" w:themeColor="text1"/>
          <w:sz w:val="28"/>
          <w:szCs w:val="28"/>
          <w:lang w:val="en-GB"/>
        </w:rPr>
        <w:t>implementation</w:t>
      </w:r>
      <w:r w:rsidR="5BC4E06E" w:rsidRPr="371B20AB">
        <w:rPr>
          <w:rFonts w:ascii="Calibri" w:eastAsia="Calibri" w:hAnsi="Calibri" w:cs="Calibri"/>
          <w:color w:val="000000" w:themeColor="text1"/>
          <w:sz w:val="28"/>
          <w:szCs w:val="28"/>
          <w:lang w:val="en-GB"/>
        </w:rPr>
        <w:t xml:space="preserve"> of the curriculum.</w:t>
      </w:r>
      <w:r w:rsidR="0A9F1FE5" w:rsidRPr="371B20AB">
        <w:rPr>
          <w:rFonts w:ascii="Calibri" w:eastAsia="Calibri" w:hAnsi="Calibri" w:cs="Calibri"/>
          <w:color w:val="000000" w:themeColor="text1"/>
          <w:sz w:val="28"/>
          <w:szCs w:val="28"/>
          <w:lang w:val="en-GB"/>
        </w:rPr>
        <w:t xml:space="preserve">  However, they felt that as they developed professionally and completed the degree, they would feel more confident to express their views.  The experien</w:t>
      </w:r>
      <w:r w:rsidR="725C0B45" w:rsidRPr="371B20AB">
        <w:rPr>
          <w:rFonts w:ascii="Calibri" w:eastAsia="Calibri" w:hAnsi="Calibri" w:cs="Calibri"/>
          <w:color w:val="000000" w:themeColor="text1"/>
          <w:sz w:val="28"/>
          <w:szCs w:val="28"/>
          <w:lang w:val="en-GB"/>
        </w:rPr>
        <w:t xml:space="preserve">ced participants modelled excellent leadership skills and valued all members of their team </w:t>
      </w:r>
      <w:r w:rsidR="5AA35317" w:rsidRPr="371B20AB">
        <w:rPr>
          <w:rFonts w:ascii="Calibri" w:eastAsia="Calibri" w:hAnsi="Calibri" w:cs="Calibri"/>
          <w:color w:val="000000" w:themeColor="text1"/>
          <w:sz w:val="28"/>
          <w:szCs w:val="28"/>
          <w:lang w:val="en-GB"/>
        </w:rPr>
        <w:t>offering</w:t>
      </w:r>
      <w:r w:rsidR="725C0B45" w:rsidRPr="371B20AB">
        <w:rPr>
          <w:rFonts w:ascii="Calibri" w:eastAsia="Calibri" w:hAnsi="Calibri" w:cs="Calibri"/>
          <w:color w:val="000000" w:themeColor="text1"/>
          <w:sz w:val="28"/>
          <w:szCs w:val="28"/>
          <w:lang w:val="en-GB"/>
        </w:rPr>
        <w:t xml:space="preserve"> frequent feedback and </w:t>
      </w:r>
      <w:r w:rsidR="04D61FE9" w:rsidRPr="371B20AB">
        <w:rPr>
          <w:rFonts w:ascii="Calibri" w:eastAsia="Calibri" w:hAnsi="Calibri" w:cs="Calibri"/>
          <w:color w:val="000000" w:themeColor="text1"/>
          <w:sz w:val="28"/>
          <w:szCs w:val="28"/>
          <w:lang w:val="en-GB"/>
        </w:rPr>
        <w:t>supporting</w:t>
      </w:r>
      <w:r w:rsidR="725C0B45" w:rsidRPr="371B20AB">
        <w:rPr>
          <w:rFonts w:ascii="Calibri" w:eastAsia="Calibri" w:hAnsi="Calibri" w:cs="Calibri"/>
          <w:color w:val="000000" w:themeColor="text1"/>
          <w:sz w:val="28"/>
          <w:szCs w:val="28"/>
          <w:lang w:val="en-GB"/>
        </w:rPr>
        <w:t xml:space="preserve"> professiona</w:t>
      </w:r>
      <w:r w:rsidR="610C90C6" w:rsidRPr="371B20AB">
        <w:rPr>
          <w:rFonts w:ascii="Calibri" w:eastAsia="Calibri" w:hAnsi="Calibri" w:cs="Calibri"/>
          <w:color w:val="000000" w:themeColor="text1"/>
          <w:sz w:val="28"/>
          <w:szCs w:val="28"/>
          <w:lang w:val="en-GB"/>
        </w:rPr>
        <w:t xml:space="preserve">l </w:t>
      </w:r>
      <w:r w:rsidR="50AC7614" w:rsidRPr="371B20AB">
        <w:rPr>
          <w:rFonts w:ascii="Calibri" w:eastAsia="Calibri" w:hAnsi="Calibri" w:cs="Calibri"/>
          <w:color w:val="000000" w:themeColor="text1"/>
          <w:sz w:val="28"/>
          <w:szCs w:val="28"/>
          <w:lang w:val="en-GB"/>
        </w:rPr>
        <w:t>development</w:t>
      </w:r>
      <w:r w:rsidR="610C90C6" w:rsidRPr="371B20AB">
        <w:rPr>
          <w:rFonts w:ascii="Calibri" w:eastAsia="Calibri" w:hAnsi="Calibri" w:cs="Calibri"/>
          <w:color w:val="000000" w:themeColor="text1"/>
          <w:sz w:val="28"/>
          <w:szCs w:val="28"/>
          <w:lang w:val="en-GB"/>
        </w:rPr>
        <w:t xml:space="preserve">. </w:t>
      </w:r>
    </w:p>
    <w:p w14:paraId="5D0A7799" w14:textId="2220D6CA" w:rsidR="4A989935" w:rsidRDefault="4A989935"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lang w:val="en-GB"/>
        </w:rPr>
        <w:t xml:space="preserve">What became apparent as both meetings progressed was the significance of strong professional relationships with children and their families.  The role of enabling adult was </w:t>
      </w:r>
      <w:r w:rsidR="2B7AE653" w:rsidRPr="371B20AB">
        <w:rPr>
          <w:rFonts w:ascii="Calibri" w:eastAsia="Calibri" w:hAnsi="Calibri" w:cs="Calibri"/>
          <w:color w:val="000000" w:themeColor="text1"/>
          <w:sz w:val="28"/>
          <w:szCs w:val="28"/>
          <w:lang w:val="en-GB"/>
        </w:rPr>
        <w:t>embraced</w:t>
      </w:r>
      <w:r w:rsidRPr="371B20AB">
        <w:rPr>
          <w:rFonts w:ascii="Calibri" w:eastAsia="Calibri" w:hAnsi="Calibri" w:cs="Calibri"/>
          <w:color w:val="000000" w:themeColor="text1"/>
          <w:sz w:val="28"/>
          <w:szCs w:val="28"/>
          <w:lang w:val="en-GB"/>
        </w:rPr>
        <w:t xml:space="preserve"> by </w:t>
      </w:r>
      <w:r w:rsidR="185F5982" w:rsidRPr="371B20AB">
        <w:rPr>
          <w:rFonts w:ascii="Calibri" w:eastAsia="Calibri" w:hAnsi="Calibri" w:cs="Calibri"/>
          <w:color w:val="000000" w:themeColor="text1"/>
          <w:sz w:val="28"/>
          <w:szCs w:val="28"/>
          <w:lang w:val="en-GB"/>
        </w:rPr>
        <w:t>all</w:t>
      </w:r>
      <w:r w:rsidRPr="371B20AB">
        <w:rPr>
          <w:rFonts w:ascii="Calibri" w:eastAsia="Calibri" w:hAnsi="Calibri" w:cs="Calibri"/>
          <w:color w:val="000000" w:themeColor="text1"/>
          <w:sz w:val="28"/>
          <w:szCs w:val="28"/>
          <w:lang w:val="en-GB"/>
        </w:rPr>
        <w:t xml:space="preserve"> the </w:t>
      </w:r>
      <w:r w:rsidR="6C8FDFF7" w:rsidRPr="371B20AB">
        <w:rPr>
          <w:rFonts w:ascii="Calibri" w:eastAsia="Calibri" w:hAnsi="Calibri" w:cs="Calibri"/>
          <w:color w:val="000000" w:themeColor="text1"/>
          <w:sz w:val="28"/>
          <w:szCs w:val="28"/>
          <w:lang w:val="en-GB"/>
        </w:rPr>
        <w:t>participants</w:t>
      </w:r>
      <w:r w:rsidRPr="371B20AB">
        <w:rPr>
          <w:rFonts w:ascii="Calibri" w:eastAsia="Calibri" w:hAnsi="Calibri" w:cs="Calibri"/>
          <w:color w:val="000000" w:themeColor="text1"/>
          <w:sz w:val="28"/>
          <w:szCs w:val="28"/>
          <w:lang w:val="en-GB"/>
        </w:rPr>
        <w:t xml:space="preserve"> and </w:t>
      </w:r>
      <w:r w:rsidR="0688B335" w:rsidRPr="371B20AB">
        <w:rPr>
          <w:rFonts w:ascii="Calibri" w:eastAsia="Calibri" w:hAnsi="Calibri" w:cs="Calibri"/>
          <w:color w:val="000000" w:themeColor="text1"/>
          <w:sz w:val="28"/>
          <w:szCs w:val="28"/>
          <w:lang w:val="en-GB"/>
        </w:rPr>
        <w:t>created a broad sense of recognising the voice of the child, facilitating child led experiences and communicati</w:t>
      </w:r>
      <w:r w:rsidR="03BF8B14" w:rsidRPr="371B20AB">
        <w:rPr>
          <w:rFonts w:ascii="Calibri" w:eastAsia="Calibri" w:hAnsi="Calibri" w:cs="Calibri"/>
          <w:color w:val="000000" w:themeColor="text1"/>
          <w:sz w:val="28"/>
          <w:szCs w:val="28"/>
          <w:lang w:val="en-GB"/>
        </w:rPr>
        <w:t>ng</w:t>
      </w:r>
      <w:r w:rsidR="0688B335" w:rsidRPr="371B20AB">
        <w:rPr>
          <w:rFonts w:ascii="Calibri" w:eastAsia="Calibri" w:hAnsi="Calibri" w:cs="Calibri"/>
          <w:color w:val="000000" w:themeColor="text1"/>
          <w:sz w:val="28"/>
          <w:szCs w:val="28"/>
          <w:lang w:val="en-GB"/>
        </w:rPr>
        <w:t xml:space="preserve"> effectively with parents.  </w:t>
      </w:r>
      <w:r w:rsidR="1502B3B3" w:rsidRPr="371B20AB">
        <w:rPr>
          <w:rFonts w:ascii="Calibri" w:eastAsia="Calibri" w:hAnsi="Calibri" w:cs="Calibri"/>
          <w:color w:val="000000" w:themeColor="text1"/>
          <w:sz w:val="28"/>
          <w:szCs w:val="28"/>
          <w:lang w:val="en-GB"/>
        </w:rPr>
        <w:t xml:space="preserve"> The use of emotive language was </w:t>
      </w:r>
      <w:r w:rsidR="238889E1" w:rsidRPr="371B20AB">
        <w:rPr>
          <w:rFonts w:ascii="Calibri" w:eastAsia="Calibri" w:hAnsi="Calibri" w:cs="Calibri"/>
          <w:color w:val="000000" w:themeColor="text1"/>
          <w:sz w:val="28"/>
          <w:szCs w:val="28"/>
          <w:lang w:val="en-GB"/>
        </w:rPr>
        <w:lastRenderedPageBreak/>
        <w:t>common,</w:t>
      </w:r>
      <w:r w:rsidR="1502B3B3" w:rsidRPr="371B20AB">
        <w:rPr>
          <w:rFonts w:ascii="Calibri" w:eastAsia="Calibri" w:hAnsi="Calibri" w:cs="Calibri"/>
          <w:color w:val="000000" w:themeColor="text1"/>
          <w:sz w:val="28"/>
          <w:szCs w:val="28"/>
          <w:lang w:val="en-GB"/>
        </w:rPr>
        <w:t xml:space="preserve"> and the sense of a loving pedagogy was framed within </w:t>
      </w:r>
      <w:r w:rsidR="37E54BB9" w:rsidRPr="371B20AB">
        <w:rPr>
          <w:rFonts w:ascii="Calibri" w:eastAsia="Calibri" w:hAnsi="Calibri" w:cs="Calibri"/>
          <w:color w:val="000000" w:themeColor="text1"/>
          <w:sz w:val="28"/>
          <w:szCs w:val="28"/>
          <w:lang w:val="en-GB"/>
        </w:rPr>
        <w:t>all</w:t>
      </w:r>
      <w:r w:rsidR="1502B3B3" w:rsidRPr="371B20AB">
        <w:rPr>
          <w:rFonts w:ascii="Calibri" w:eastAsia="Calibri" w:hAnsi="Calibri" w:cs="Calibri"/>
          <w:color w:val="000000" w:themeColor="text1"/>
          <w:sz w:val="28"/>
          <w:szCs w:val="28"/>
          <w:lang w:val="en-GB"/>
        </w:rPr>
        <w:t xml:space="preserve"> the </w:t>
      </w:r>
      <w:r w:rsidR="67ABAF22" w:rsidRPr="371B20AB">
        <w:rPr>
          <w:rFonts w:ascii="Calibri" w:eastAsia="Calibri" w:hAnsi="Calibri" w:cs="Calibri"/>
          <w:color w:val="000000" w:themeColor="text1"/>
          <w:sz w:val="28"/>
          <w:szCs w:val="28"/>
          <w:lang w:val="en-GB"/>
        </w:rPr>
        <w:t>participants</w:t>
      </w:r>
      <w:r w:rsidR="1502B3B3" w:rsidRPr="371B20AB">
        <w:rPr>
          <w:rFonts w:ascii="Calibri" w:eastAsia="Calibri" w:hAnsi="Calibri" w:cs="Calibri"/>
          <w:color w:val="000000" w:themeColor="text1"/>
          <w:sz w:val="28"/>
          <w:szCs w:val="28"/>
          <w:lang w:val="en-GB"/>
        </w:rPr>
        <w:t xml:space="preserve"> </w:t>
      </w:r>
      <w:r w:rsidR="069EA6BB" w:rsidRPr="371B20AB">
        <w:rPr>
          <w:rFonts w:ascii="Calibri" w:eastAsia="Calibri" w:hAnsi="Calibri" w:cs="Calibri"/>
          <w:color w:val="000000" w:themeColor="text1"/>
          <w:sz w:val="28"/>
          <w:szCs w:val="28"/>
          <w:lang w:val="en-GB"/>
        </w:rPr>
        <w:t>experiences</w:t>
      </w:r>
      <w:r w:rsidR="1502B3B3" w:rsidRPr="371B20AB">
        <w:rPr>
          <w:rFonts w:ascii="Calibri" w:eastAsia="Calibri" w:hAnsi="Calibri" w:cs="Calibri"/>
          <w:color w:val="000000" w:themeColor="text1"/>
          <w:sz w:val="28"/>
          <w:szCs w:val="28"/>
          <w:lang w:val="en-GB"/>
        </w:rPr>
        <w:t xml:space="preserve"> of working with young children.</w:t>
      </w:r>
    </w:p>
    <w:p w14:paraId="06D5C0A8" w14:textId="5885DA1E" w:rsidR="4EFE37F2" w:rsidRDefault="4EFE37F2" w:rsidP="371B20AB">
      <w:pPr>
        <w:spacing w:line="360" w:lineRule="auto"/>
        <w:rPr>
          <w:rFonts w:ascii="Calibri" w:eastAsia="Calibri" w:hAnsi="Calibri" w:cs="Calibri"/>
          <w:color w:val="000000" w:themeColor="text1"/>
          <w:sz w:val="28"/>
          <w:szCs w:val="28"/>
          <w:lang w:val="en-GB"/>
        </w:rPr>
      </w:pPr>
      <w:r w:rsidRPr="371B20AB">
        <w:rPr>
          <w:rFonts w:ascii="Calibri" w:eastAsia="Calibri" w:hAnsi="Calibri" w:cs="Calibri"/>
          <w:color w:val="000000" w:themeColor="text1"/>
          <w:sz w:val="28"/>
          <w:szCs w:val="28"/>
          <w:lang w:val="en-GB"/>
        </w:rPr>
        <w:t xml:space="preserve">The key findings here are that the curriculum offers a freedom to create environments meeting the diverse needs of children </w:t>
      </w:r>
      <w:r w:rsidR="007F737A" w:rsidRPr="371B20AB">
        <w:rPr>
          <w:rFonts w:ascii="Calibri" w:eastAsia="Calibri" w:hAnsi="Calibri" w:cs="Calibri"/>
          <w:color w:val="000000" w:themeColor="text1"/>
          <w:sz w:val="28"/>
          <w:szCs w:val="28"/>
          <w:lang w:val="en-GB"/>
        </w:rPr>
        <w:t>following</w:t>
      </w:r>
      <w:r w:rsidRPr="371B20AB">
        <w:rPr>
          <w:rFonts w:ascii="Calibri" w:eastAsia="Calibri" w:hAnsi="Calibri" w:cs="Calibri"/>
          <w:color w:val="000000" w:themeColor="text1"/>
          <w:sz w:val="28"/>
          <w:szCs w:val="28"/>
          <w:lang w:val="en-GB"/>
        </w:rPr>
        <w:t xml:space="preserve"> their play with curiosity and developing secure and nurtu</w:t>
      </w:r>
      <w:r w:rsidR="07720C2F" w:rsidRPr="371B20AB">
        <w:rPr>
          <w:rFonts w:ascii="Calibri" w:eastAsia="Calibri" w:hAnsi="Calibri" w:cs="Calibri"/>
          <w:color w:val="000000" w:themeColor="text1"/>
          <w:sz w:val="28"/>
          <w:szCs w:val="28"/>
          <w:lang w:val="en-GB"/>
        </w:rPr>
        <w:t xml:space="preserve">ring relationships. Further study in this area with a broader range of participants with different levels of experience would be an </w:t>
      </w:r>
      <w:r w:rsidR="34F22705" w:rsidRPr="371B20AB">
        <w:rPr>
          <w:rFonts w:ascii="Calibri" w:eastAsia="Calibri" w:hAnsi="Calibri" w:cs="Calibri"/>
          <w:color w:val="000000" w:themeColor="text1"/>
          <w:sz w:val="28"/>
          <w:szCs w:val="28"/>
          <w:lang w:val="en-GB"/>
        </w:rPr>
        <w:t>opportunity</w:t>
      </w:r>
      <w:r w:rsidR="07720C2F" w:rsidRPr="371B20AB">
        <w:rPr>
          <w:rFonts w:ascii="Calibri" w:eastAsia="Calibri" w:hAnsi="Calibri" w:cs="Calibri"/>
          <w:color w:val="000000" w:themeColor="text1"/>
          <w:sz w:val="28"/>
          <w:szCs w:val="28"/>
          <w:lang w:val="en-GB"/>
        </w:rPr>
        <w:t xml:space="preserve"> to create </w:t>
      </w:r>
      <w:r w:rsidR="0543B0EC" w:rsidRPr="371B20AB">
        <w:rPr>
          <w:rFonts w:ascii="Calibri" w:eastAsia="Calibri" w:hAnsi="Calibri" w:cs="Calibri"/>
          <w:color w:val="000000" w:themeColor="text1"/>
          <w:sz w:val="28"/>
          <w:szCs w:val="28"/>
          <w:lang w:val="en-GB"/>
        </w:rPr>
        <w:t xml:space="preserve">a wider evidence base around effective early years practice. </w:t>
      </w:r>
    </w:p>
    <w:p w14:paraId="59986B0F" w14:textId="15829C4B" w:rsidR="371B20AB" w:rsidRDefault="371B20AB" w:rsidP="371B20AB">
      <w:pPr>
        <w:spacing w:line="360" w:lineRule="auto"/>
        <w:rPr>
          <w:rFonts w:ascii="Calibri" w:eastAsia="Calibri" w:hAnsi="Calibri" w:cs="Calibri"/>
          <w:color w:val="000000" w:themeColor="text1"/>
          <w:sz w:val="28"/>
          <w:szCs w:val="28"/>
          <w:lang w:val="en-GB"/>
        </w:rPr>
      </w:pPr>
    </w:p>
    <w:p w14:paraId="0CE84894" w14:textId="7BECDC71" w:rsidR="371B20AB" w:rsidRDefault="371B20AB" w:rsidP="371B20AB">
      <w:pPr>
        <w:spacing w:line="360" w:lineRule="auto"/>
        <w:rPr>
          <w:color w:val="000000" w:themeColor="text1"/>
          <w:sz w:val="28"/>
          <w:szCs w:val="28"/>
          <w:lang w:val="en-GB"/>
        </w:rPr>
      </w:pPr>
    </w:p>
    <w:p w14:paraId="19C539D9" w14:textId="77777777" w:rsidR="00C96DB6" w:rsidRDefault="00C96DB6" w:rsidP="371B20AB">
      <w:pPr>
        <w:spacing w:after="0" w:line="240" w:lineRule="auto"/>
        <w:jc w:val="both"/>
        <w:rPr>
          <w:color w:val="000000" w:themeColor="text1"/>
          <w:sz w:val="28"/>
          <w:szCs w:val="28"/>
          <w:lang w:val="en-GB"/>
        </w:rPr>
      </w:pPr>
    </w:p>
    <w:p w14:paraId="3E48EB6F" w14:textId="77777777" w:rsidR="00C96DB6" w:rsidRDefault="00C96DB6" w:rsidP="371B20AB">
      <w:pPr>
        <w:spacing w:after="0" w:line="240" w:lineRule="auto"/>
        <w:jc w:val="both"/>
        <w:rPr>
          <w:color w:val="000000" w:themeColor="text1"/>
          <w:sz w:val="28"/>
          <w:szCs w:val="28"/>
          <w:lang w:val="en-GB"/>
        </w:rPr>
      </w:pPr>
    </w:p>
    <w:p w14:paraId="0E7CE49C" w14:textId="77777777" w:rsidR="00C96DB6" w:rsidRDefault="00C96DB6" w:rsidP="371B20AB">
      <w:pPr>
        <w:spacing w:after="0" w:line="240" w:lineRule="auto"/>
        <w:jc w:val="both"/>
        <w:rPr>
          <w:color w:val="000000" w:themeColor="text1"/>
          <w:sz w:val="28"/>
          <w:szCs w:val="28"/>
          <w:lang w:val="en-GB"/>
        </w:rPr>
      </w:pPr>
    </w:p>
    <w:p w14:paraId="685ADBA2" w14:textId="77777777" w:rsidR="00C96DB6" w:rsidRDefault="00C96DB6" w:rsidP="371B20AB">
      <w:pPr>
        <w:spacing w:after="0" w:line="240" w:lineRule="auto"/>
        <w:jc w:val="both"/>
        <w:rPr>
          <w:color w:val="000000" w:themeColor="text1"/>
          <w:sz w:val="28"/>
          <w:szCs w:val="28"/>
          <w:lang w:val="en-GB"/>
        </w:rPr>
      </w:pPr>
    </w:p>
    <w:p w14:paraId="00A8C114" w14:textId="77777777" w:rsidR="00C96DB6" w:rsidRDefault="00C96DB6" w:rsidP="371B20AB">
      <w:pPr>
        <w:spacing w:after="0" w:line="240" w:lineRule="auto"/>
        <w:jc w:val="both"/>
        <w:rPr>
          <w:color w:val="000000" w:themeColor="text1"/>
          <w:sz w:val="28"/>
          <w:szCs w:val="28"/>
          <w:lang w:val="en-GB"/>
        </w:rPr>
      </w:pPr>
    </w:p>
    <w:p w14:paraId="6503CCF8" w14:textId="77777777" w:rsidR="00C96DB6" w:rsidRDefault="00C96DB6" w:rsidP="371B20AB">
      <w:pPr>
        <w:spacing w:after="0" w:line="240" w:lineRule="auto"/>
        <w:jc w:val="both"/>
        <w:rPr>
          <w:color w:val="000000" w:themeColor="text1"/>
          <w:sz w:val="28"/>
          <w:szCs w:val="28"/>
          <w:lang w:val="en-GB"/>
        </w:rPr>
      </w:pPr>
    </w:p>
    <w:p w14:paraId="5DDB227B" w14:textId="77777777" w:rsidR="00C96DB6" w:rsidRDefault="00C96DB6" w:rsidP="371B20AB">
      <w:pPr>
        <w:spacing w:after="0" w:line="240" w:lineRule="auto"/>
        <w:jc w:val="both"/>
        <w:rPr>
          <w:color w:val="000000" w:themeColor="text1"/>
          <w:sz w:val="28"/>
          <w:szCs w:val="28"/>
          <w:lang w:val="en-GB"/>
        </w:rPr>
      </w:pPr>
    </w:p>
    <w:p w14:paraId="3AC6AC90" w14:textId="77777777" w:rsidR="00C96DB6" w:rsidRDefault="00C96DB6" w:rsidP="371B20AB">
      <w:pPr>
        <w:spacing w:after="0" w:line="240" w:lineRule="auto"/>
        <w:jc w:val="both"/>
        <w:rPr>
          <w:color w:val="000000" w:themeColor="text1"/>
          <w:sz w:val="28"/>
          <w:szCs w:val="28"/>
          <w:lang w:val="en-GB"/>
        </w:rPr>
      </w:pPr>
    </w:p>
    <w:p w14:paraId="72D6EF05" w14:textId="77777777" w:rsidR="00C96DB6" w:rsidRDefault="00C96DB6" w:rsidP="371B20AB">
      <w:pPr>
        <w:spacing w:after="0" w:line="240" w:lineRule="auto"/>
        <w:jc w:val="both"/>
        <w:rPr>
          <w:color w:val="000000" w:themeColor="text1"/>
          <w:sz w:val="28"/>
          <w:szCs w:val="28"/>
          <w:lang w:val="en-GB"/>
        </w:rPr>
      </w:pPr>
    </w:p>
    <w:p w14:paraId="3A9C836F" w14:textId="77777777" w:rsidR="00C96DB6" w:rsidRDefault="00C96DB6" w:rsidP="371B20AB">
      <w:pPr>
        <w:spacing w:after="0" w:line="240" w:lineRule="auto"/>
        <w:jc w:val="both"/>
        <w:rPr>
          <w:color w:val="000000" w:themeColor="text1"/>
          <w:sz w:val="28"/>
          <w:szCs w:val="28"/>
          <w:lang w:val="en-GB"/>
        </w:rPr>
      </w:pPr>
    </w:p>
    <w:p w14:paraId="216B1377" w14:textId="77777777" w:rsidR="00C96DB6" w:rsidRDefault="00C96DB6" w:rsidP="371B20AB">
      <w:pPr>
        <w:spacing w:line="240" w:lineRule="auto"/>
        <w:jc w:val="both"/>
        <w:rPr>
          <w:color w:val="000000" w:themeColor="text1"/>
          <w:sz w:val="28"/>
          <w:szCs w:val="28"/>
          <w:lang w:val="en-GB"/>
        </w:rPr>
      </w:pPr>
    </w:p>
    <w:p w14:paraId="23D6836A" w14:textId="77777777" w:rsidR="00C96DB6" w:rsidRDefault="00C96DB6" w:rsidP="371B20AB">
      <w:pPr>
        <w:spacing w:line="360" w:lineRule="auto"/>
        <w:rPr>
          <w:color w:val="000000" w:themeColor="text1"/>
          <w:sz w:val="28"/>
          <w:szCs w:val="28"/>
          <w:lang w:val="en-GB"/>
        </w:rPr>
      </w:pPr>
    </w:p>
    <w:p w14:paraId="777C4269" w14:textId="77777777" w:rsidR="00C96DB6" w:rsidRDefault="00C96DB6" w:rsidP="371B20AB">
      <w:pPr>
        <w:spacing w:line="360" w:lineRule="auto"/>
        <w:rPr>
          <w:color w:val="000000" w:themeColor="text1"/>
          <w:sz w:val="28"/>
          <w:szCs w:val="28"/>
          <w:lang w:val="en-GB"/>
        </w:rPr>
      </w:pPr>
    </w:p>
    <w:p w14:paraId="750CAC3B" w14:textId="77777777" w:rsidR="00C96DB6" w:rsidRDefault="00C96DB6" w:rsidP="371B20AB">
      <w:pPr>
        <w:spacing w:line="360" w:lineRule="auto"/>
        <w:rPr>
          <w:color w:val="000000" w:themeColor="text1"/>
          <w:sz w:val="28"/>
          <w:szCs w:val="28"/>
          <w:lang w:val="en-GB"/>
        </w:rPr>
      </w:pPr>
    </w:p>
    <w:p w14:paraId="02383778" w14:textId="77777777" w:rsidR="00C96DB6" w:rsidRDefault="00C96DB6" w:rsidP="371B20AB">
      <w:pPr>
        <w:spacing w:line="360" w:lineRule="auto"/>
        <w:rPr>
          <w:color w:val="000000" w:themeColor="text1"/>
          <w:sz w:val="28"/>
          <w:szCs w:val="28"/>
          <w:lang w:val="en-GB"/>
        </w:rPr>
      </w:pPr>
    </w:p>
    <w:p w14:paraId="41B49697" w14:textId="77777777" w:rsidR="00C96DB6" w:rsidRDefault="00C96DB6" w:rsidP="371B20AB">
      <w:pPr>
        <w:spacing w:after="0"/>
        <w:rPr>
          <w:color w:val="222222"/>
          <w:sz w:val="28"/>
          <w:szCs w:val="28"/>
        </w:rPr>
      </w:pPr>
    </w:p>
    <w:p w14:paraId="38870684" w14:textId="77777777" w:rsidR="007F737A" w:rsidRPr="00C96DB6" w:rsidRDefault="007F737A" w:rsidP="007F737A">
      <w:pPr>
        <w:spacing w:line="240" w:lineRule="auto"/>
        <w:jc w:val="both"/>
        <w:rPr>
          <w:b/>
          <w:bCs/>
          <w:color w:val="000000" w:themeColor="text1"/>
          <w:sz w:val="28"/>
          <w:szCs w:val="28"/>
          <w:lang w:val="en-GB"/>
        </w:rPr>
      </w:pPr>
      <w:r w:rsidRPr="00C96DB6">
        <w:rPr>
          <w:b/>
          <w:bCs/>
          <w:color w:val="000000" w:themeColor="text1"/>
          <w:sz w:val="28"/>
          <w:szCs w:val="28"/>
          <w:lang w:val="en-GB"/>
        </w:rPr>
        <w:lastRenderedPageBreak/>
        <w:t>References.</w:t>
      </w:r>
    </w:p>
    <w:p w14:paraId="7DFB2C14" w14:textId="77777777" w:rsidR="00C96DB6" w:rsidRDefault="00C96DB6" w:rsidP="371B20AB">
      <w:pPr>
        <w:rPr>
          <w:sz w:val="28"/>
          <w:szCs w:val="28"/>
        </w:rPr>
      </w:pPr>
    </w:p>
    <w:p w14:paraId="7DD8D7FF"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Ackroyd, S. and Fleetwood, S. (2000). Realism in contemporary organisation and management studies. In Ackroyd, S. and Fleetwood, S. (Eds.),</w:t>
      </w:r>
      <w:r w:rsidRPr="371B20AB">
        <w:rPr>
          <w:i/>
          <w:iCs/>
          <w:color w:val="000000" w:themeColor="text1"/>
          <w:sz w:val="28"/>
          <w:szCs w:val="28"/>
          <w:lang w:val="en-GB"/>
        </w:rPr>
        <w:t xml:space="preserve"> Realist perspectives on management and organizations </w:t>
      </w:r>
      <w:r w:rsidRPr="371B20AB">
        <w:rPr>
          <w:color w:val="000000" w:themeColor="text1"/>
          <w:sz w:val="28"/>
          <w:szCs w:val="28"/>
          <w:lang w:val="en-GB"/>
        </w:rPr>
        <w:t>(pp. 3–25). London: Routledge.</w:t>
      </w:r>
    </w:p>
    <w:p w14:paraId="02E33C7D" w14:textId="77777777" w:rsidR="00C96DB6" w:rsidRDefault="00C96DB6" w:rsidP="371B20AB">
      <w:pPr>
        <w:spacing w:line="240" w:lineRule="auto"/>
        <w:jc w:val="both"/>
        <w:rPr>
          <w:color w:val="000000" w:themeColor="text1"/>
          <w:sz w:val="28"/>
          <w:szCs w:val="28"/>
          <w:lang w:val="en-GB"/>
        </w:rPr>
      </w:pPr>
      <w:proofErr w:type="spellStart"/>
      <w:r w:rsidRPr="371B20AB">
        <w:rPr>
          <w:color w:val="000000" w:themeColor="text1"/>
          <w:sz w:val="28"/>
          <w:szCs w:val="28"/>
          <w:lang w:val="en-GB"/>
        </w:rPr>
        <w:t>Ademolu</w:t>
      </w:r>
      <w:proofErr w:type="spellEnd"/>
      <w:r w:rsidRPr="371B20AB">
        <w:rPr>
          <w:color w:val="000000" w:themeColor="text1"/>
          <w:sz w:val="28"/>
          <w:szCs w:val="28"/>
          <w:lang w:val="en-GB"/>
        </w:rPr>
        <w:t>, E. (2024) ‘Birds of a feather (don’t always) flock together: Critical reflexivity of ‘</w:t>
      </w:r>
      <w:proofErr w:type="spellStart"/>
      <w:r w:rsidRPr="371B20AB">
        <w:rPr>
          <w:color w:val="000000" w:themeColor="text1"/>
          <w:sz w:val="28"/>
          <w:szCs w:val="28"/>
          <w:lang w:val="en-GB"/>
        </w:rPr>
        <w:t>Outsiderness</w:t>
      </w:r>
      <w:proofErr w:type="spellEnd"/>
      <w:r w:rsidRPr="371B20AB">
        <w:rPr>
          <w:color w:val="000000" w:themeColor="text1"/>
          <w:sz w:val="28"/>
          <w:szCs w:val="28"/>
          <w:lang w:val="en-GB"/>
        </w:rPr>
        <w:t xml:space="preserve">’ as an ‘Insider’ doing qualitative research with one’s ‘Own People’, </w:t>
      </w:r>
      <w:r w:rsidRPr="371B20AB">
        <w:rPr>
          <w:i/>
          <w:iCs/>
          <w:color w:val="000000" w:themeColor="text1"/>
          <w:sz w:val="28"/>
          <w:szCs w:val="28"/>
          <w:lang w:val="en-GB"/>
        </w:rPr>
        <w:t xml:space="preserve">Qualitative Research, </w:t>
      </w:r>
      <w:r w:rsidRPr="371B20AB">
        <w:rPr>
          <w:color w:val="000000" w:themeColor="text1"/>
          <w:sz w:val="28"/>
          <w:szCs w:val="28"/>
          <w:lang w:val="en-GB"/>
        </w:rPr>
        <w:t>24(2), pp. 344–366.</w:t>
      </w:r>
    </w:p>
    <w:p w14:paraId="62943BC9"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Al-Ababneh, M. (2020) ‘Linking Ontology, Epistemology and Research Methodology’, </w:t>
      </w:r>
      <w:r w:rsidRPr="371B20AB">
        <w:rPr>
          <w:i/>
          <w:iCs/>
          <w:color w:val="000000" w:themeColor="text1"/>
          <w:sz w:val="28"/>
          <w:szCs w:val="28"/>
          <w:lang w:val="en-GB"/>
        </w:rPr>
        <w:t>Science and Philosophy</w:t>
      </w:r>
      <w:r w:rsidRPr="371B20AB">
        <w:rPr>
          <w:color w:val="000000" w:themeColor="text1"/>
          <w:sz w:val="28"/>
          <w:szCs w:val="28"/>
          <w:lang w:val="en-GB"/>
        </w:rPr>
        <w:t>, Volume 8(1), pp. 75-91.</w:t>
      </w:r>
    </w:p>
    <w:p w14:paraId="6BC66696" w14:textId="77777777" w:rsidR="00C96DB6" w:rsidRDefault="00C96DB6" w:rsidP="371B20AB">
      <w:pPr>
        <w:spacing w:before="120" w:after="0" w:line="216" w:lineRule="auto"/>
        <w:ind w:left="360" w:hanging="360"/>
        <w:jc w:val="both"/>
        <w:rPr>
          <w:color w:val="333333"/>
          <w:sz w:val="28"/>
          <w:szCs w:val="28"/>
        </w:rPr>
      </w:pPr>
      <w:r w:rsidRPr="371B20AB">
        <w:rPr>
          <w:i/>
          <w:iCs/>
          <w:color w:val="333333"/>
          <w:sz w:val="28"/>
          <w:szCs w:val="28"/>
        </w:rPr>
        <w:t>and the well-being of children, birth to 8.</w:t>
      </w:r>
      <w:r w:rsidRPr="371B20AB">
        <w:rPr>
          <w:color w:val="333333"/>
          <w:sz w:val="28"/>
          <w:szCs w:val="28"/>
        </w:rPr>
        <w:t xml:space="preserve"> New York: Teachers College.</w:t>
      </w:r>
    </w:p>
    <w:p w14:paraId="355A6DCC" w14:textId="77777777" w:rsidR="00C96DB6" w:rsidRDefault="00C96DB6" w:rsidP="371B20AB">
      <w:pPr>
        <w:spacing w:line="360" w:lineRule="auto"/>
        <w:rPr>
          <w:sz w:val="28"/>
          <w:szCs w:val="28"/>
        </w:rPr>
      </w:pPr>
      <w:r w:rsidRPr="371B20AB">
        <w:rPr>
          <w:sz w:val="28"/>
          <w:szCs w:val="28"/>
        </w:rPr>
        <w:t>Aslanian, T.K. (2018) ‘Embracing uncertainty: A diffractive approach to love in the context of early childhood education and care</w:t>
      </w:r>
      <w:proofErr w:type="gramStart"/>
      <w:r w:rsidRPr="371B20AB">
        <w:rPr>
          <w:sz w:val="28"/>
          <w:szCs w:val="28"/>
        </w:rPr>
        <w:t xml:space="preserve">’,  </w:t>
      </w:r>
      <w:r w:rsidRPr="371B20AB">
        <w:rPr>
          <w:i/>
          <w:iCs/>
          <w:sz w:val="28"/>
          <w:szCs w:val="28"/>
        </w:rPr>
        <w:t>International</w:t>
      </w:r>
      <w:proofErr w:type="gramEnd"/>
      <w:r w:rsidRPr="371B20AB">
        <w:rPr>
          <w:i/>
          <w:iCs/>
          <w:sz w:val="28"/>
          <w:szCs w:val="28"/>
        </w:rPr>
        <w:t xml:space="preserve"> Journal of Early Years Education</w:t>
      </w:r>
      <w:r w:rsidRPr="371B20AB">
        <w:rPr>
          <w:sz w:val="28"/>
          <w:szCs w:val="28"/>
        </w:rPr>
        <w:t xml:space="preserve">, </w:t>
      </w:r>
      <w:r w:rsidRPr="371B20AB">
        <w:rPr>
          <w:i/>
          <w:iCs/>
          <w:sz w:val="28"/>
          <w:szCs w:val="28"/>
        </w:rPr>
        <w:t>26</w:t>
      </w:r>
      <w:r w:rsidRPr="371B20AB">
        <w:rPr>
          <w:sz w:val="28"/>
          <w:szCs w:val="28"/>
        </w:rPr>
        <w:t>(2), pp.173-185.</w:t>
      </w:r>
    </w:p>
    <w:p w14:paraId="6932F4C3" w14:textId="77777777" w:rsidR="00C96DB6" w:rsidRDefault="00C96DB6" w:rsidP="371B20AB">
      <w:pPr>
        <w:spacing w:after="0"/>
        <w:rPr>
          <w:sz w:val="28"/>
          <w:szCs w:val="28"/>
        </w:rPr>
      </w:pPr>
      <w:proofErr w:type="spellStart"/>
      <w:r w:rsidRPr="371B20AB">
        <w:rPr>
          <w:sz w:val="28"/>
          <w:szCs w:val="28"/>
        </w:rPr>
        <w:t>Barblett</w:t>
      </w:r>
      <w:proofErr w:type="spellEnd"/>
      <w:r w:rsidRPr="371B20AB">
        <w:rPr>
          <w:sz w:val="28"/>
          <w:szCs w:val="28"/>
        </w:rPr>
        <w:t xml:space="preserve">, L., Knaus, M. and Barratt-Pugh, C. (2016) ‘The pushes and pulls of pedagogy in the early years: Competing knowledges and the erosion of play-based learning’, </w:t>
      </w:r>
      <w:r w:rsidRPr="371B20AB">
        <w:rPr>
          <w:i/>
          <w:iCs/>
          <w:sz w:val="28"/>
          <w:szCs w:val="28"/>
        </w:rPr>
        <w:t>Australasian journal of early childhood</w:t>
      </w:r>
      <w:r w:rsidRPr="371B20AB">
        <w:rPr>
          <w:sz w:val="28"/>
          <w:szCs w:val="28"/>
        </w:rPr>
        <w:t xml:space="preserve">, 41(4), pp. 36–43. Available at: </w:t>
      </w:r>
      <w:hyperlink r:id="rId7">
        <w:r w:rsidRPr="371B20AB">
          <w:rPr>
            <w:rStyle w:val="Hyperlink"/>
            <w:sz w:val="28"/>
            <w:szCs w:val="28"/>
          </w:rPr>
          <w:t>https://doi.org/10.1177/183693911604100405</w:t>
        </w:r>
      </w:hyperlink>
      <w:r w:rsidRPr="371B20AB">
        <w:rPr>
          <w:sz w:val="28"/>
          <w:szCs w:val="28"/>
        </w:rPr>
        <w:t>.</w:t>
      </w:r>
    </w:p>
    <w:p w14:paraId="62E4CBE2" w14:textId="77777777" w:rsidR="00C96DB6" w:rsidRDefault="00C96DB6" w:rsidP="371B20AB">
      <w:pPr>
        <w:spacing w:line="240" w:lineRule="auto"/>
        <w:jc w:val="both"/>
        <w:rPr>
          <w:color w:val="000000" w:themeColor="text1"/>
          <w:sz w:val="28"/>
          <w:szCs w:val="28"/>
          <w:lang w:val="en-GB"/>
        </w:rPr>
      </w:pPr>
      <w:proofErr w:type="spellStart"/>
      <w:r w:rsidRPr="371B20AB">
        <w:rPr>
          <w:color w:val="000000" w:themeColor="text1"/>
          <w:sz w:val="28"/>
          <w:szCs w:val="28"/>
          <w:lang w:val="en-GB"/>
        </w:rPr>
        <w:t>BartmanskiI</w:t>
      </w:r>
      <w:proofErr w:type="spellEnd"/>
      <w:r w:rsidRPr="371B20AB">
        <w:rPr>
          <w:color w:val="000000" w:themeColor="text1"/>
          <w:sz w:val="28"/>
          <w:szCs w:val="28"/>
          <w:lang w:val="en-GB"/>
        </w:rPr>
        <w:t xml:space="preserve">, D. and Binder, W. (2015) Being and Knowledge: On Some Liabilities of Reed's Interpretivism. </w:t>
      </w:r>
      <w:proofErr w:type="spellStart"/>
      <w:r w:rsidRPr="371B20AB">
        <w:rPr>
          <w:i/>
          <w:iCs/>
          <w:color w:val="000000" w:themeColor="text1"/>
          <w:sz w:val="28"/>
          <w:szCs w:val="28"/>
          <w:lang w:val="en-GB"/>
        </w:rPr>
        <w:t>Sociologicky</w:t>
      </w:r>
      <w:proofErr w:type="spellEnd"/>
      <w:r w:rsidRPr="371B20AB">
        <w:rPr>
          <w:i/>
          <w:iCs/>
          <w:color w:val="000000" w:themeColor="text1"/>
          <w:sz w:val="28"/>
          <w:szCs w:val="28"/>
          <w:lang w:val="en-GB"/>
        </w:rPr>
        <w:t xml:space="preserve"> </w:t>
      </w:r>
      <w:proofErr w:type="spellStart"/>
      <w:r w:rsidRPr="371B20AB">
        <w:rPr>
          <w:i/>
          <w:iCs/>
          <w:color w:val="000000" w:themeColor="text1"/>
          <w:sz w:val="28"/>
          <w:szCs w:val="28"/>
          <w:lang w:val="en-GB"/>
        </w:rPr>
        <w:t>Casopis</w:t>
      </w:r>
      <w:proofErr w:type="spellEnd"/>
      <w:r w:rsidRPr="371B20AB">
        <w:rPr>
          <w:color w:val="000000" w:themeColor="text1"/>
          <w:sz w:val="28"/>
          <w:szCs w:val="28"/>
          <w:lang w:val="en-GB"/>
        </w:rPr>
        <w:t xml:space="preserve">, 51(3), pp. 499-511.  </w:t>
      </w:r>
    </w:p>
    <w:p w14:paraId="7E6E7E48" w14:textId="77777777" w:rsidR="00C96DB6" w:rsidRDefault="00C96DB6" w:rsidP="371B20AB">
      <w:pPr>
        <w:spacing w:after="0"/>
        <w:rPr>
          <w:sz w:val="28"/>
          <w:szCs w:val="28"/>
        </w:rPr>
      </w:pPr>
      <w:r w:rsidRPr="371B20AB">
        <w:rPr>
          <w:sz w:val="28"/>
          <w:szCs w:val="28"/>
        </w:rPr>
        <w:t xml:space="preserve">Bernstein, K.A., van </w:t>
      </w:r>
      <w:proofErr w:type="spellStart"/>
      <w:r w:rsidRPr="371B20AB">
        <w:rPr>
          <w:sz w:val="28"/>
          <w:szCs w:val="28"/>
        </w:rPr>
        <w:t>Huisstede</w:t>
      </w:r>
      <w:proofErr w:type="spellEnd"/>
      <w:r w:rsidRPr="371B20AB">
        <w:rPr>
          <w:sz w:val="28"/>
          <w:szCs w:val="28"/>
        </w:rPr>
        <w:t xml:space="preserve">, L., Marley, S.C., Gao, Y.B., Pierce-Rivera, M., Ippolito, E., Restrepo, M.A., Millinger, J., Brantley, K. and </w:t>
      </w:r>
      <w:proofErr w:type="spellStart"/>
      <w:r w:rsidRPr="371B20AB">
        <w:rPr>
          <w:sz w:val="28"/>
          <w:szCs w:val="28"/>
        </w:rPr>
        <w:t>Gantwerker</w:t>
      </w:r>
      <w:proofErr w:type="spellEnd"/>
      <w:r w:rsidRPr="371B20AB">
        <w:rPr>
          <w:sz w:val="28"/>
          <w:szCs w:val="28"/>
        </w:rPr>
        <w:t xml:space="preserve">, J., (2024) ‘Gesture like a kitten and you won't forget your tale: Drama-based, embodied story time supports preschoolers’ narrative skills’, </w:t>
      </w:r>
      <w:r w:rsidRPr="371B20AB">
        <w:rPr>
          <w:i/>
          <w:iCs/>
          <w:sz w:val="28"/>
          <w:szCs w:val="28"/>
        </w:rPr>
        <w:t>Early Childhood Research Quarterly</w:t>
      </w:r>
      <w:r w:rsidRPr="371B20AB">
        <w:rPr>
          <w:sz w:val="28"/>
          <w:szCs w:val="28"/>
        </w:rPr>
        <w:t xml:space="preserve">, </w:t>
      </w:r>
      <w:r w:rsidRPr="371B20AB">
        <w:rPr>
          <w:i/>
          <w:iCs/>
          <w:sz w:val="28"/>
          <w:szCs w:val="28"/>
        </w:rPr>
        <w:t>66</w:t>
      </w:r>
      <w:r w:rsidRPr="371B20AB">
        <w:rPr>
          <w:sz w:val="28"/>
          <w:szCs w:val="28"/>
        </w:rPr>
        <w:t>, pp.178-190.</w:t>
      </w:r>
    </w:p>
    <w:p w14:paraId="6FEF808C"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Biesta, G. (2015) ‘On the two cultures of educational research, and how we might move ahead: Reconsidering the ontology, axiology and praxeology of education’, </w:t>
      </w:r>
      <w:r w:rsidRPr="371B20AB">
        <w:rPr>
          <w:i/>
          <w:iCs/>
          <w:color w:val="000000" w:themeColor="text1"/>
          <w:sz w:val="28"/>
          <w:szCs w:val="28"/>
          <w:lang w:val="en-GB"/>
        </w:rPr>
        <w:t>European educational research journal EERJ</w:t>
      </w:r>
      <w:r w:rsidRPr="371B20AB">
        <w:rPr>
          <w:color w:val="000000" w:themeColor="text1"/>
          <w:sz w:val="28"/>
          <w:szCs w:val="28"/>
          <w:lang w:val="en-GB"/>
        </w:rPr>
        <w:t xml:space="preserve">, 14(1), pp. 11–22. </w:t>
      </w:r>
    </w:p>
    <w:p w14:paraId="52236661"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Boddy, C.R. (2016) ‘Sample size for qualitative research’. </w:t>
      </w:r>
      <w:r w:rsidRPr="371B20AB">
        <w:rPr>
          <w:i/>
          <w:iCs/>
          <w:color w:val="000000" w:themeColor="text1"/>
          <w:sz w:val="28"/>
          <w:szCs w:val="28"/>
          <w:lang w:val="en-GB"/>
        </w:rPr>
        <w:t xml:space="preserve">Qualitative Market Research, </w:t>
      </w:r>
      <w:r w:rsidRPr="371B20AB">
        <w:rPr>
          <w:color w:val="000000" w:themeColor="text1"/>
          <w:sz w:val="28"/>
          <w:szCs w:val="28"/>
          <w:lang w:val="en-GB"/>
        </w:rPr>
        <w:t>19(4), pp. 426-432.</w:t>
      </w:r>
    </w:p>
    <w:p w14:paraId="331B8A41" w14:textId="77777777" w:rsidR="00C96DB6" w:rsidRDefault="00C96DB6" w:rsidP="371B20AB">
      <w:pPr>
        <w:spacing w:after="0"/>
        <w:rPr>
          <w:sz w:val="28"/>
          <w:szCs w:val="28"/>
        </w:rPr>
      </w:pPr>
      <w:proofErr w:type="spellStart"/>
      <w:r w:rsidRPr="371B20AB">
        <w:rPr>
          <w:color w:val="222222"/>
          <w:sz w:val="28"/>
          <w:szCs w:val="28"/>
        </w:rPr>
        <w:lastRenderedPageBreak/>
        <w:t>Bodrova</w:t>
      </w:r>
      <w:proofErr w:type="spellEnd"/>
      <w:r w:rsidRPr="371B20AB">
        <w:rPr>
          <w:color w:val="222222"/>
          <w:sz w:val="28"/>
          <w:szCs w:val="28"/>
        </w:rPr>
        <w:t xml:space="preserve">, E. and Leong, D., (2007) </w:t>
      </w:r>
      <w:r w:rsidRPr="371B20AB">
        <w:rPr>
          <w:i/>
          <w:iCs/>
          <w:color w:val="222222"/>
          <w:sz w:val="28"/>
          <w:szCs w:val="28"/>
        </w:rPr>
        <w:t>Tools of the mind: The Vygotskian approach to early childhood education, London:</w:t>
      </w:r>
      <w:r w:rsidRPr="371B20AB">
        <w:rPr>
          <w:color w:val="222222"/>
          <w:sz w:val="28"/>
          <w:szCs w:val="28"/>
        </w:rPr>
        <w:t xml:space="preserve"> Taylor &amp; Francis.</w:t>
      </w:r>
    </w:p>
    <w:p w14:paraId="4293B27C"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Braun, V. and Clarke, V. (2022) </w:t>
      </w:r>
      <w:r w:rsidRPr="371B20AB">
        <w:rPr>
          <w:i/>
          <w:iCs/>
          <w:color w:val="000000" w:themeColor="text1"/>
          <w:sz w:val="28"/>
          <w:szCs w:val="28"/>
          <w:lang w:val="en-GB"/>
        </w:rPr>
        <w:t>Thematic analysis: a practical guide</w:t>
      </w:r>
      <w:r w:rsidRPr="371B20AB">
        <w:rPr>
          <w:color w:val="000000" w:themeColor="text1"/>
          <w:sz w:val="28"/>
          <w:szCs w:val="28"/>
          <w:lang w:val="en-GB"/>
        </w:rPr>
        <w:t>. London: SAGE Publications.</w:t>
      </w:r>
    </w:p>
    <w:p w14:paraId="285BEFE7" w14:textId="77777777" w:rsidR="00C96DB6" w:rsidRDefault="00C96DB6" w:rsidP="371B20AB">
      <w:pPr>
        <w:spacing w:after="0" w:line="240" w:lineRule="auto"/>
        <w:jc w:val="both"/>
        <w:rPr>
          <w:color w:val="000000" w:themeColor="text1"/>
          <w:sz w:val="28"/>
          <w:szCs w:val="28"/>
          <w:lang w:val="en-GB"/>
        </w:rPr>
      </w:pPr>
    </w:p>
    <w:p w14:paraId="373314D7" w14:textId="77777777" w:rsidR="00C96DB6" w:rsidRDefault="00C96DB6" w:rsidP="371B20AB">
      <w:pPr>
        <w:spacing w:after="0" w:line="240" w:lineRule="auto"/>
        <w:jc w:val="both"/>
        <w:rPr>
          <w:color w:val="000000" w:themeColor="text1"/>
          <w:sz w:val="28"/>
          <w:szCs w:val="28"/>
          <w:u w:val="single"/>
          <w:lang w:val="en-GB"/>
        </w:rPr>
      </w:pPr>
      <w:r w:rsidRPr="371B20AB">
        <w:rPr>
          <w:color w:val="000000" w:themeColor="text1"/>
          <w:sz w:val="28"/>
          <w:szCs w:val="28"/>
          <w:lang w:val="en-GB"/>
        </w:rPr>
        <w:t xml:space="preserve">Braun, V. and Clarke, V. (2024) ‘Supporting best practice in reflexive thematic analysis reporting in Palliative Medicine: A review of published research and introduction to the Reflexive Thematic Analysis Reporting Guidelines (RTARG)’, </w:t>
      </w:r>
      <w:r w:rsidRPr="371B20AB">
        <w:rPr>
          <w:i/>
          <w:iCs/>
          <w:color w:val="000000" w:themeColor="text1"/>
          <w:sz w:val="28"/>
          <w:szCs w:val="28"/>
          <w:lang w:val="en-GB"/>
        </w:rPr>
        <w:t xml:space="preserve">Palliative Medicine, </w:t>
      </w:r>
      <w:r w:rsidRPr="371B20AB">
        <w:rPr>
          <w:color w:val="000000" w:themeColor="text1"/>
          <w:sz w:val="28"/>
          <w:szCs w:val="28"/>
          <w:lang w:val="en-GB"/>
        </w:rPr>
        <w:t>2024;0(0). doi:</w:t>
      </w:r>
      <w:hyperlink r:id="rId8">
        <w:r w:rsidRPr="371B20AB">
          <w:rPr>
            <w:rStyle w:val="Hyperlink"/>
            <w:sz w:val="28"/>
            <w:szCs w:val="28"/>
            <w:lang w:val="en-GB"/>
          </w:rPr>
          <w:t>10.1177/02692163241234800</w:t>
        </w:r>
      </w:hyperlink>
      <w:r w:rsidRPr="371B20AB">
        <w:rPr>
          <w:color w:val="000000" w:themeColor="text1"/>
          <w:sz w:val="28"/>
          <w:szCs w:val="28"/>
          <w:u w:val="single"/>
          <w:lang w:val="en-GB"/>
        </w:rPr>
        <w:t xml:space="preserve"> </w:t>
      </w:r>
    </w:p>
    <w:p w14:paraId="67E1C414" w14:textId="77777777" w:rsidR="00C96DB6" w:rsidRDefault="00C96DB6" w:rsidP="371B20AB">
      <w:pPr>
        <w:spacing w:after="0" w:line="240" w:lineRule="auto"/>
        <w:jc w:val="both"/>
        <w:rPr>
          <w:color w:val="000000" w:themeColor="text1"/>
          <w:sz w:val="28"/>
          <w:szCs w:val="28"/>
          <w:lang w:val="en-GB"/>
        </w:rPr>
      </w:pPr>
    </w:p>
    <w:p w14:paraId="3DB3551F" w14:textId="77777777" w:rsidR="00C96DB6" w:rsidRDefault="00C96DB6" w:rsidP="371B20AB">
      <w:pPr>
        <w:spacing w:after="0" w:line="240" w:lineRule="auto"/>
        <w:jc w:val="both"/>
        <w:rPr>
          <w:color w:val="000000" w:themeColor="text1"/>
          <w:sz w:val="28"/>
          <w:szCs w:val="28"/>
          <w:lang w:val="en-GB"/>
        </w:rPr>
      </w:pPr>
      <w:r w:rsidRPr="371B20AB">
        <w:rPr>
          <w:color w:val="222222"/>
          <w:sz w:val="28"/>
          <w:szCs w:val="28"/>
          <w:lang w:val="en-GB"/>
        </w:rPr>
        <w:t>British Educational Research Association (2024)</w:t>
      </w:r>
      <w:r w:rsidRPr="371B20AB">
        <w:rPr>
          <w:i/>
          <w:iCs/>
          <w:color w:val="212226"/>
          <w:sz w:val="28"/>
          <w:szCs w:val="28"/>
          <w:lang w:val="en-GB"/>
        </w:rPr>
        <w:t xml:space="preserve"> ‘Ethical Guidelines for Educational Research’, Available at: </w:t>
      </w:r>
      <w:hyperlink r:id="rId9">
        <w:r w:rsidRPr="371B20AB">
          <w:rPr>
            <w:rStyle w:val="Hyperlink"/>
            <w:sz w:val="28"/>
            <w:szCs w:val="28"/>
            <w:lang w:val="en-GB"/>
          </w:rPr>
          <w:t>Ethical Guidelines for Educational Research, fifth edition (2024) | BERA</w:t>
        </w:r>
      </w:hyperlink>
      <w:r w:rsidRPr="371B20AB">
        <w:rPr>
          <w:color w:val="000000" w:themeColor="text1"/>
          <w:sz w:val="28"/>
          <w:szCs w:val="28"/>
          <w:lang w:val="en-GB"/>
        </w:rPr>
        <w:t xml:space="preserve"> Accessed: 21/05/24. </w:t>
      </w:r>
    </w:p>
    <w:p w14:paraId="458C44A2" w14:textId="77777777" w:rsidR="00C96DB6" w:rsidRDefault="00C96DB6" w:rsidP="371B20AB">
      <w:pPr>
        <w:spacing w:after="0" w:line="240" w:lineRule="auto"/>
        <w:jc w:val="both"/>
        <w:rPr>
          <w:color w:val="000000" w:themeColor="text1"/>
          <w:sz w:val="28"/>
          <w:szCs w:val="28"/>
          <w:lang w:val="en-GB"/>
        </w:rPr>
      </w:pPr>
    </w:p>
    <w:p w14:paraId="23D55803"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Brown, Z. and Perkins, H. (2019) </w:t>
      </w:r>
      <w:r w:rsidRPr="371B20AB">
        <w:rPr>
          <w:i/>
          <w:iCs/>
          <w:color w:val="000000" w:themeColor="text1"/>
          <w:sz w:val="28"/>
          <w:szCs w:val="28"/>
          <w:lang w:val="en-GB"/>
        </w:rPr>
        <w:t>Using innovative methods in early years research: beyond the conventional</w:t>
      </w:r>
      <w:r w:rsidRPr="371B20AB">
        <w:rPr>
          <w:color w:val="000000" w:themeColor="text1"/>
          <w:sz w:val="28"/>
          <w:szCs w:val="28"/>
          <w:lang w:val="en-GB"/>
        </w:rPr>
        <w:t>. Abingdon, Oxon; Routledge.</w:t>
      </w:r>
    </w:p>
    <w:p w14:paraId="60AAD11C" w14:textId="77777777" w:rsidR="00C96DB6" w:rsidRDefault="00C96DB6" w:rsidP="371B20AB">
      <w:pPr>
        <w:spacing w:after="0" w:line="240" w:lineRule="auto"/>
        <w:jc w:val="both"/>
        <w:rPr>
          <w:color w:val="000000" w:themeColor="text1"/>
          <w:sz w:val="28"/>
          <w:szCs w:val="28"/>
          <w:lang w:val="en-GB"/>
        </w:rPr>
      </w:pPr>
    </w:p>
    <w:p w14:paraId="4A9E2516" w14:textId="77777777" w:rsidR="00C96DB6" w:rsidRDefault="00C96DB6" w:rsidP="371B20AB">
      <w:pPr>
        <w:spacing w:line="278" w:lineRule="auto"/>
        <w:rPr>
          <w:color w:val="222222"/>
          <w:sz w:val="28"/>
          <w:szCs w:val="28"/>
        </w:rPr>
      </w:pPr>
      <w:r w:rsidRPr="371B20AB">
        <w:rPr>
          <w:color w:val="222222"/>
          <w:sz w:val="28"/>
          <w:szCs w:val="28"/>
          <w:lang w:val="en-GB"/>
        </w:rPr>
        <w:t xml:space="preserve">Butler, L. and Markman, E. (2010) Pedagogical cues influence children's inductive inference and exploratory play. In </w:t>
      </w:r>
      <w:r w:rsidRPr="371B20AB">
        <w:rPr>
          <w:i/>
          <w:iCs/>
          <w:color w:val="222222"/>
          <w:sz w:val="28"/>
          <w:szCs w:val="28"/>
          <w:lang w:val="en-GB"/>
        </w:rPr>
        <w:t>Proceedings of the Annual Meeting of the Cognitive Science Society</w:t>
      </w:r>
      <w:r w:rsidRPr="371B20AB">
        <w:rPr>
          <w:color w:val="222222"/>
          <w:sz w:val="28"/>
          <w:szCs w:val="28"/>
          <w:lang w:val="en-GB"/>
        </w:rPr>
        <w:t xml:space="preserve"> (Vol. 32, No. 32).</w:t>
      </w:r>
    </w:p>
    <w:p w14:paraId="30018719" w14:textId="77777777" w:rsidR="00C96DB6" w:rsidRDefault="00C96DB6" w:rsidP="371B20AB">
      <w:pPr>
        <w:rPr>
          <w:sz w:val="28"/>
          <w:szCs w:val="28"/>
        </w:rPr>
      </w:pPr>
      <w:proofErr w:type="spellStart"/>
      <w:r w:rsidRPr="371B20AB">
        <w:rPr>
          <w:sz w:val="28"/>
          <w:szCs w:val="28"/>
        </w:rPr>
        <w:t>Carpendale</w:t>
      </w:r>
      <w:proofErr w:type="spellEnd"/>
      <w:r w:rsidRPr="371B20AB">
        <w:rPr>
          <w:sz w:val="28"/>
          <w:szCs w:val="28"/>
        </w:rPr>
        <w:t xml:space="preserve">, I. Lewis, C. and Muller, U. (2008) </w:t>
      </w:r>
      <w:r w:rsidRPr="371B20AB">
        <w:rPr>
          <w:i/>
          <w:iCs/>
          <w:sz w:val="28"/>
          <w:szCs w:val="28"/>
        </w:rPr>
        <w:t xml:space="preserve">The Development of Children's Thinking: Its social and communicative foundation, </w:t>
      </w:r>
      <w:r w:rsidRPr="371B20AB">
        <w:rPr>
          <w:sz w:val="28"/>
          <w:szCs w:val="28"/>
        </w:rPr>
        <w:t>London: Sage.</w:t>
      </w:r>
    </w:p>
    <w:p w14:paraId="45A89636"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Cohen, L., Manion, L. and Morrison, K. (2018) </w:t>
      </w:r>
      <w:r w:rsidRPr="371B20AB">
        <w:rPr>
          <w:i/>
          <w:iCs/>
          <w:color w:val="000000" w:themeColor="text1"/>
          <w:sz w:val="28"/>
          <w:szCs w:val="28"/>
          <w:lang w:val="en-GB"/>
        </w:rPr>
        <w:t xml:space="preserve">Research methods in education. 8th </w:t>
      </w:r>
      <w:proofErr w:type="spellStart"/>
      <w:r w:rsidRPr="371B20AB">
        <w:rPr>
          <w:i/>
          <w:iCs/>
          <w:color w:val="000000" w:themeColor="text1"/>
          <w:sz w:val="28"/>
          <w:szCs w:val="28"/>
          <w:lang w:val="en-GB"/>
        </w:rPr>
        <w:t>edn</w:t>
      </w:r>
      <w:proofErr w:type="spellEnd"/>
      <w:r w:rsidRPr="371B20AB">
        <w:rPr>
          <w:i/>
          <w:iCs/>
          <w:color w:val="000000" w:themeColor="text1"/>
          <w:sz w:val="28"/>
          <w:szCs w:val="28"/>
          <w:lang w:val="en-GB"/>
        </w:rPr>
        <w:t>.</w:t>
      </w:r>
      <w:r w:rsidRPr="371B20AB">
        <w:rPr>
          <w:color w:val="000000" w:themeColor="text1"/>
          <w:sz w:val="28"/>
          <w:szCs w:val="28"/>
          <w:lang w:val="en-GB"/>
        </w:rPr>
        <w:t xml:space="preserve"> London: Routledge.</w:t>
      </w:r>
    </w:p>
    <w:p w14:paraId="6F975E12"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Denzin, N. and Lincoln, Y. (1994) </w:t>
      </w:r>
      <w:r w:rsidRPr="371B20AB">
        <w:rPr>
          <w:i/>
          <w:iCs/>
          <w:color w:val="000000" w:themeColor="text1"/>
          <w:sz w:val="28"/>
          <w:szCs w:val="28"/>
          <w:lang w:val="en-GB"/>
        </w:rPr>
        <w:t>Handbook of Qualitative research</w:t>
      </w:r>
      <w:r w:rsidRPr="371B20AB">
        <w:rPr>
          <w:color w:val="000000" w:themeColor="text1"/>
          <w:sz w:val="28"/>
          <w:szCs w:val="28"/>
          <w:lang w:val="en-GB"/>
        </w:rPr>
        <w:t>. London: Sage.</w:t>
      </w:r>
    </w:p>
    <w:p w14:paraId="1D00CB2F"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Dewey, J. (1933) </w:t>
      </w:r>
      <w:r w:rsidRPr="371B20AB">
        <w:rPr>
          <w:i/>
          <w:iCs/>
          <w:color w:val="000000" w:themeColor="text1"/>
          <w:sz w:val="28"/>
          <w:szCs w:val="28"/>
          <w:lang w:val="en-GB"/>
        </w:rPr>
        <w:t>How We Think: A Restatement of the Relation of Reflective Thinking to the Educative Process</w:t>
      </w:r>
      <w:r w:rsidRPr="371B20AB">
        <w:rPr>
          <w:color w:val="000000" w:themeColor="text1"/>
          <w:sz w:val="28"/>
          <w:szCs w:val="28"/>
          <w:lang w:val="en-GB"/>
        </w:rPr>
        <w:t>. Boston, MA: DC Heath.</w:t>
      </w:r>
    </w:p>
    <w:p w14:paraId="427F7A41"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DiStefano, A.S. and Yang, J.S., 2024. ‘Sample size and saturation: A three-phase method for ethnographic research with multiple qualitative data sources’, </w:t>
      </w:r>
      <w:r w:rsidRPr="371B20AB">
        <w:rPr>
          <w:i/>
          <w:iCs/>
          <w:color w:val="000000" w:themeColor="text1"/>
          <w:sz w:val="28"/>
          <w:szCs w:val="28"/>
          <w:lang w:val="en-GB"/>
        </w:rPr>
        <w:t>Field Methods</w:t>
      </w:r>
      <w:r w:rsidRPr="371B20AB">
        <w:rPr>
          <w:color w:val="000000" w:themeColor="text1"/>
          <w:sz w:val="28"/>
          <w:szCs w:val="28"/>
          <w:lang w:val="en-GB"/>
        </w:rPr>
        <w:t xml:space="preserve">, </w:t>
      </w:r>
      <w:r w:rsidRPr="371B20AB">
        <w:rPr>
          <w:i/>
          <w:iCs/>
          <w:color w:val="000000" w:themeColor="text1"/>
          <w:sz w:val="28"/>
          <w:szCs w:val="28"/>
          <w:lang w:val="en-GB"/>
        </w:rPr>
        <w:t>36</w:t>
      </w:r>
      <w:r w:rsidRPr="371B20AB">
        <w:rPr>
          <w:color w:val="000000" w:themeColor="text1"/>
          <w:sz w:val="28"/>
          <w:szCs w:val="28"/>
          <w:lang w:val="en-GB"/>
        </w:rPr>
        <w:t>(2), pp.145-159.</w:t>
      </w:r>
    </w:p>
    <w:p w14:paraId="2F81E196" w14:textId="77777777" w:rsidR="00C96DB6" w:rsidRDefault="00C96DB6" w:rsidP="371B20AB">
      <w:pPr>
        <w:rPr>
          <w:sz w:val="28"/>
          <w:szCs w:val="28"/>
        </w:rPr>
      </w:pPr>
      <w:r w:rsidRPr="371B20AB">
        <w:rPr>
          <w:sz w:val="28"/>
          <w:szCs w:val="28"/>
        </w:rPr>
        <w:t xml:space="preserve">Donaldson, G. (2015) Successful futures: Independent review of curriculum and assessment arrangements in Wales. Available at: </w:t>
      </w:r>
      <w:r w:rsidRPr="371B20AB">
        <w:rPr>
          <w:sz w:val="28"/>
          <w:szCs w:val="28"/>
        </w:rPr>
        <w:lastRenderedPageBreak/>
        <w:t xml:space="preserve">https://gweddill.gov.wales/docs/dcells/publications/150225-successful-futures-en.pdf (accessed: 06/06/2024). </w:t>
      </w:r>
    </w:p>
    <w:p w14:paraId="24B80665" w14:textId="77777777" w:rsidR="00C96DB6" w:rsidRDefault="00C96DB6" w:rsidP="371B20AB">
      <w:pPr>
        <w:spacing w:before="120" w:line="257" w:lineRule="auto"/>
        <w:ind w:left="360" w:hanging="360"/>
        <w:rPr>
          <w:color w:val="000000" w:themeColor="text1"/>
          <w:sz w:val="28"/>
          <w:szCs w:val="28"/>
        </w:rPr>
      </w:pPr>
      <w:r w:rsidRPr="371B20AB">
        <w:rPr>
          <w:color w:val="000000" w:themeColor="text1"/>
          <w:sz w:val="28"/>
          <w:szCs w:val="28"/>
        </w:rPr>
        <w:t xml:space="preserve">Early Years Work </w:t>
      </w:r>
      <w:proofErr w:type="gramStart"/>
      <w:r w:rsidRPr="371B20AB">
        <w:rPr>
          <w:color w:val="000000" w:themeColor="text1"/>
          <w:sz w:val="28"/>
          <w:szCs w:val="28"/>
        </w:rPr>
        <w:t>force</w:t>
      </w:r>
      <w:proofErr w:type="gramEnd"/>
      <w:r w:rsidRPr="371B20AB">
        <w:rPr>
          <w:color w:val="000000" w:themeColor="text1"/>
          <w:sz w:val="28"/>
          <w:szCs w:val="28"/>
        </w:rPr>
        <w:t xml:space="preserve"> Commission (EYWC). (2021</w:t>
      </w:r>
      <w:r w:rsidRPr="371B20AB">
        <w:rPr>
          <w:i/>
          <w:iCs/>
          <w:color w:val="000000" w:themeColor="text1"/>
          <w:sz w:val="28"/>
          <w:szCs w:val="28"/>
        </w:rPr>
        <w:t>) A Workforce in Crisis Saving Our Early Years.</w:t>
      </w:r>
      <w:r w:rsidRPr="371B20AB">
        <w:rPr>
          <w:color w:val="000000" w:themeColor="text1"/>
          <w:sz w:val="28"/>
          <w:szCs w:val="28"/>
        </w:rPr>
        <w:t xml:space="preserve"> Available at:</w:t>
      </w:r>
      <w:r w:rsidRPr="371B20AB">
        <w:rPr>
          <w:color w:val="000000" w:themeColor="text1"/>
          <w:sz w:val="28"/>
          <w:szCs w:val="28"/>
          <w:vertAlign w:val="superscript"/>
        </w:rPr>
        <w:t xml:space="preserve"> </w:t>
      </w:r>
      <w:hyperlink r:id="rId10">
        <w:r w:rsidRPr="371B20AB">
          <w:rPr>
            <w:rStyle w:val="Hyperlink"/>
            <w:color w:val="0563C1"/>
            <w:sz w:val="28"/>
            <w:szCs w:val="28"/>
          </w:rPr>
          <w:t>https://www.pacey.org.uk/Pacey/media/Website-files/Non-PACEY%20documents%20(PDFs)/a-workforce-in-crisis-saving-our-early-years.pdf</w:t>
        </w:r>
      </w:hyperlink>
      <w:r w:rsidRPr="371B20AB">
        <w:rPr>
          <w:color w:val="000000" w:themeColor="text1"/>
          <w:sz w:val="28"/>
          <w:szCs w:val="28"/>
        </w:rPr>
        <w:t xml:space="preserve"> (Accessed: 26</w:t>
      </w:r>
      <w:r w:rsidRPr="371B20AB">
        <w:rPr>
          <w:color w:val="000000" w:themeColor="text1"/>
          <w:sz w:val="28"/>
          <w:szCs w:val="28"/>
          <w:vertAlign w:val="superscript"/>
        </w:rPr>
        <w:t>th</w:t>
      </w:r>
      <w:r w:rsidRPr="371B20AB">
        <w:rPr>
          <w:color w:val="000000" w:themeColor="text1"/>
          <w:sz w:val="28"/>
          <w:szCs w:val="28"/>
        </w:rPr>
        <w:t xml:space="preserve"> July 2023).</w:t>
      </w:r>
    </w:p>
    <w:p w14:paraId="42DA0E6F" w14:textId="77777777" w:rsidR="00C96DB6" w:rsidRDefault="00C96DB6" w:rsidP="371B20AB">
      <w:pPr>
        <w:spacing w:line="278" w:lineRule="auto"/>
        <w:rPr>
          <w:color w:val="222222"/>
          <w:sz w:val="28"/>
          <w:szCs w:val="28"/>
        </w:rPr>
      </w:pPr>
      <w:r w:rsidRPr="371B20AB">
        <w:rPr>
          <w:color w:val="222222"/>
          <w:sz w:val="28"/>
          <w:szCs w:val="28"/>
        </w:rPr>
        <w:t xml:space="preserve">Elfer, P. and Dearnley, K. (2007) Nurseries and emotional well‐being: evaluating an emotionally containing model of professional development. </w:t>
      </w:r>
      <w:r w:rsidRPr="371B20AB">
        <w:rPr>
          <w:i/>
          <w:iCs/>
          <w:color w:val="222222"/>
          <w:sz w:val="28"/>
          <w:szCs w:val="28"/>
        </w:rPr>
        <w:t>Early Years</w:t>
      </w:r>
      <w:r w:rsidRPr="371B20AB">
        <w:rPr>
          <w:color w:val="222222"/>
          <w:sz w:val="28"/>
          <w:szCs w:val="28"/>
        </w:rPr>
        <w:t xml:space="preserve">, </w:t>
      </w:r>
      <w:r w:rsidRPr="371B20AB">
        <w:rPr>
          <w:i/>
          <w:iCs/>
          <w:color w:val="222222"/>
          <w:sz w:val="28"/>
          <w:szCs w:val="28"/>
        </w:rPr>
        <w:t>27</w:t>
      </w:r>
      <w:r w:rsidRPr="371B20AB">
        <w:rPr>
          <w:color w:val="222222"/>
          <w:sz w:val="28"/>
          <w:szCs w:val="28"/>
        </w:rPr>
        <w:t>(3), pp.267-279.</w:t>
      </w:r>
    </w:p>
    <w:p w14:paraId="42688593" w14:textId="77777777" w:rsidR="00C96DB6" w:rsidRDefault="00C96DB6" w:rsidP="371B20AB">
      <w:pPr>
        <w:rPr>
          <w:i/>
          <w:iCs/>
          <w:sz w:val="28"/>
          <w:szCs w:val="28"/>
        </w:rPr>
      </w:pPr>
      <w:r w:rsidRPr="371B20AB">
        <w:rPr>
          <w:sz w:val="28"/>
          <w:szCs w:val="28"/>
        </w:rPr>
        <w:t xml:space="preserve">Ernst, J. (2014) ‘Early childhood educators’ use of natural outdoor settings as learning environments: an exploratory study of beliefs, practices, and barriers.’ </w:t>
      </w:r>
      <w:r w:rsidRPr="371B20AB">
        <w:rPr>
          <w:i/>
          <w:iCs/>
          <w:sz w:val="28"/>
          <w:szCs w:val="28"/>
        </w:rPr>
        <w:t xml:space="preserve">Environmental Education Research, 20(6), pp. </w:t>
      </w:r>
      <w:r w:rsidRPr="371B20AB">
        <w:rPr>
          <w:sz w:val="28"/>
          <w:szCs w:val="28"/>
        </w:rPr>
        <w:t>725-752.</w:t>
      </w:r>
    </w:p>
    <w:p w14:paraId="3ED93CA8"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Flick, U. (2018) </w:t>
      </w:r>
      <w:r w:rsidRPr="371B20AB">
        <w:rPr>
          <w:i/>
          <w:iCs/>
          <w:color w:val="000000" w:themeColor="text1"/>
          <w:sz w:val="28"/>
          <w:szCs w:val="28"/>
          <w:lang w:val="en-GB"/>
        </w:rPr>
        <w:t xml:space="preserve">An Introduction to Qualitative Research. </w:t>
      </w:r>
      <w:r w:rsidRPr="371B20AB">
        <w:rPr>
          <w:color w:val="000000" w:themeColor="text1"/>
          <w:sz w:val="28"/>
          <w:szCs w:val="28"/>
          <w:lang w:val="en-GB"/>
        </w:rPr>
        <w:t>London: Sage.</w:t>
      </w:r>
    </w:p>
    <w:p w14:paraId="2EF8D438"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Flick, U. (2023) </w:t>
      </w:r>
      <w:r w:rsidRPr="371B20AB">
        <w:rPr>
          <w:i/>
          <w:iCs/>
          <w:color w:val="000000" w:themeColor="text1"/>
          <w:sz w:val="28"/>
          <w:szCs w:val="28"/>
          <w:lang w:val="en-GB"/>
        </w:rPr>
        <w:t>An Introduction to Qualitative Research 7</w:t>
      </w:r>
      <w:r w:rsidRPr="371B20AB">
        <w:rPr>
          <w:i/>
          <w:iCs/>
          <w:color w:val="000000" w:themeColor="text1"/>
          <w:sz w:val="28"/>
          <w:szCs w:val="28"/>
          <w:vertAlign w:val="superscript"/>
          <w:lang w:val="en-GB"/>
        </w:rPr>
        <w:t>th</w:t>
      </w:r>
      <w:r w:rsidRPr="371B20AB">
        <w:rPr>
          <w:i/>
          <w:iCs/>
          <w:color w:val="000000" w:themeColor="text1"/>
          <w:sz w:val="28"/>
          <w:szCs w:val="28"/>
          <w:lang w:val="en-GB"/>
        </w:rPr>
        <w:t xml:space="preserve"> ed. </w:t>
      </w:r>
      <w:r w:rsidRPr="371B20AB">
        <w:rPr>
          <w:color w:val="000000" w:themeColor="text1"/>
          <w:sz w:val="28"/>
          <w:szCs w:val="28"/>
          <w:lang w:val="en-GB"/>
        </w:rPr>
        <w:t>London: Sage.</w:t>
      </w:r>
    </w:p>
    <w:p w14:paraId="1AF2445C"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Flyvbjerg, B. (2006) ‘Five Misunderstandings About Case-Study Research’, </w:t>
      </w:r>
      <w:r w:rsidRPr="371B20AB">
        <w:rPr>
          <w:i/>
          <w:iCs/>
          <w:color w:val="000000" w:themeColor="text1"/>
          <w:sz w:val="28"/>
          <w:szCs w:val="28"/>
          <w:lang w:val="en-GB"/>
        </w:rPr>
        <w:t>Qualitative inquiry</w:t>
      </w:r>
      <w:r w:rsidRPr="371B20AB">
        <w:rPr>
          <w:color w:val="000000" w:themeColor="text1"/>
          <w:sz w:val="28"/>
          <w:szCs w:val="28"/>
          <w:lang w:val="en-GB"/>
        </w:rPr>
        <w:t>, 12(2), pp. 219–245.</w:t>
      </w:r>
    </w:p>
    <w:p w14:paraId="5B3532FF" w14:textId="77777777" w:rsidR="00C96DB6" w:rsidRDefault="00C96DB6" w:rsidP="371B20AB">
      <w:pPr>
        <w:spacing w:after="0"/>
        <w:rPr>
          <w:sz w:val="28"/>
          <w:szCs w:val="28"/>
        </w:rPr>
      </w:pPr>
      <w:r w:rsidRPr="371B20AB">
        <w:rPr>
          <w:sz w:val="28"/>
          <w:szCs w:val="28"/>
        </w:rPr>
        <w:t xml:space="preserve">Foote, L., Smith, J. and Ellis, F. (2004) ‘The impact of teachers’ beliefs on the literacy experiences of young children: a New Zealand perspective’, </w:t>
      </w:r>
      <w:r w:rsidRPr="371B20AB">
        <w:rPr>
          <w:i/>
          <w:iCs/>
          <w:sz w:val="28"/>
          <w:szCs w:val="28"/>
        </w:rPr>
        <w:t>Early years (London, England)</w:t>
      </w:r>
      <w:r w:rsidRPr="371B20AB">
        <w:rPr>
          <w:sz w:val="28"/>
          <w:szCs w:val="28"/>
        </w:rPr>
        <w:t xml:space="preserve">, 24(2), pp. 135–147. Available at: </w:t>
      </w:r>
      <w:hyperlink r:id="rId11">
        <w:r w:rsidRPr="371B20AB">
          <w:rPr>
            <w:rStyle w:val="Hyperlink"/>
            <w:sz w:val="28"/>
            <w:szCs w:val="28"/>
          </w:rPr>
          <w:t>https://doi.org/10.1080/0957514032000732993</w:t>
        </w:r>
      </w:hyperlink>
      <w:r w:rsidRPr="371B20AB">
        <w:rPr>
          <w:sz w:val="28"/>
          <w:szCs w:val="28"/>
        </w:rPr>
        <w:t>.</w:t>
      </w:r>
    </w:p>
    <w:p w14:paraId="22F2359C" w14:textId="77777777" w:rsidR="00C96DB6" w:rsidRDefault="00C96DB6" w:rsidP="371B20AB">
      <w:pPr>
        <w:rPr>
          <w:sz w:val="28"/>
          <w:szCs w:val="28"/>
        </w:rPr>
      </w:pPr>
      <w:r w:rsidRPr="371B20AB">
        <w:rPr>
          <w:sz w:val="28"/>
          <w:szCs w:val="28"/>
        </w:rPr>
        <w:t xml:space="preserve">Gatley, J. (2020), ‘Can the New Welsh Curriculum achieve its purposes?’ </w:t>
      </w:r>
      <w:r w:rsidRPr="371B20AB">
        <w:rPr>
          <w:i/>
          <w:iCs/>
          <w:sz w:val="28"/>
          <w:szCs w:val="28"/>
        </w:rPr>
        <w:t xml:space="preserve">The Curriculum Journal, </w:t>
      </w:r>
      <w:r w:rsidRPr="371B20AB">
        <w:rPr>
          <w:sz w:val="28"/>
          <w:szCs w:val="28"/>
        </w:rPr>
        <w:t xml:space="preserve">31 (2), pp.202-214. </w:t>
      </w:r>
    </w:p>
    <w:p w14:paraId="40FF5466"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Göktürk, E.  (2005) ‘What is “paradigm”’ Available at: </w:t>
      </w:r>
      <w:hyperlink r:id="rId12">
        <w:r w:rsidRPr="371B20AB">
          <w:rPr>
            <w:rStyle w:val="Hyperlink"/>
            <w:sz w:val="28"/>
            <w:szCs w:val="28"/>
            <w:lang w:val="en-GB"/>
          </w:rPr>
          <w:t>What is "paradigm"? (psu.edu)</w:t>
        </w:r>
      </w:hyperlink>
      <w:r w:rsidRPr="371B20AB">
        <w:rPr>
          <w:color w:val="000000" w:themeColor="text1"/>
          <w:sz w:val="28"/>
          <w:szCs w:val="28"/>
          <w:lang w:val="en-GB"/>
        </w:rPr>
        <w:t xml:space="preserve"> Accessed: 16/04/24.</w:t>
      </w:r>
    </w:p>
    <w:p w14:paraId="1E55A5C6" w14:textId="77777777" w:rsidR="00C96DB6" w:rsidRDefault="00C96DB6" w:rsidP="371B20AB">
      <w:pPr>
        <w:spacing w:line="278" w:lineRule="auto"/>
        <w:rPr>
          <w:sz w:val="28"/>
          <w:szCs w:val="28"/>
          <w:lang w:val="en-GB"/>
        </w:rPr>
      </w:pPr>
      <w:r w:rsidRPr="371B20AB">
        <w:rPr>
          <w:color w:val="222222"/>
          <w:sz w:val="28"/>
          <w:szCs w:val="28"/>
          <w:lang w:val="en-GB"/>
        </w:rPr>
        <w:t xml:space="preserve">Grimmer, T. (2021) </w:t>
      </w:r>
      <w:r w:rsidRPr="371B20AB">
        <w:rPr>
          <w:i/>
          <w:iCs/>
          <w:color w:val="222222"/>
          <w:sz w:val="28"/>
          <w:szCs w:val="28"/>
          <w:lang w:val="en-GB"/>
        </w:rPr>
        <w:t>Developing a loving pedagogy in the early years: How love fits with professional practice</w:t>
      </w:r>
      <w:r w:rsidRPr="371B20AB">
        <w:rPr>
          <w:color w:val="222222"/>
          <w:sz w:val="28"/>
          <w:szCs w:val="28"/>
          <w:lang w:val="en-GB"/>
        </w:rPr>
        <w:t>. London: Routledge.</w:t>
      </w:r>
    </w:p>
    <w:p w14:paraId="56C552CD" w14:textId="77777777" w:rsidR="00C96DB6" w:rsidRDefault="00C96DB6" w:rsidP="371B20AB">
      <w:pPr>
        <w:rPr>
          <w:color w:val="222222"/>
          <w:sz w:val="28"/>
          <w:szCs w:val="28"/>
        </w:rPr>
      </w:pPr>
      <w:r w:rsidRPr="371B20AB">
        <w:rPr>
          <w:color w:val="222222"/>
          <w:sz w:val="28"/>
          <w:szCs w:val="28"/>
        </w:rPr>
        <w:lastRenderedPageBreak/>
        <w:t xml:space="preserve">Hanzel, S., 2024. “Let Them Play”: Embodied Literacy Learning Through Play in the Early Years Classroom. PhD Thesis: Available at: </w:t>
      </w:r>
      <w:r w:rsidRPr="371B20AB">
        <w:rPr>
          <w:sz w:val="28"/>
          <w:szCs w:val="28"/>
        </w:rPr>
        <w:t xml:space="preserve">https://prism.ucalgary.ca. </w:t>
      </w:r>
      <w:hyperlink r:id="rId13">
        <w:r w:rsidRPr="371B20AB">
          <w:rPr>
            <w:rStyle w:val="Hyperlink"/>
            <w:sz w:val="28"/>
            <w:szCs w:val="28"/>
          </w:rPr>
          <w:t>https://hdl.handle.net/1880/118502</w:t>
        </w:r>
      </w:hyperlink>
      <w:r w:rsidRPr="371B20AB">
        <w:rPr>
          <w:sz w:val="28"/>
          <w:szCs w:val="28"/>
        </w:rPr>
        <w:t xml:space="preserve"> </w:t>
      </w:r>
    </w:p>
    <w:p w14:paraId="6B067350" w14:textId="77777777" w:rsidR="00C96DB6" w:rsidRDefault="00C96DB6" w:rsidP="371B20AB">
      <w:pPr>
        <w:rPr>
          <w:sz w:val="28"/>
          <w:szCs w:val="28"/>
        </w:rPr>
      </w:pPr>
      <w:r w:rsidRPr="371B20AB">
        <w:rPr>
          <w:sz w:val="28"/>
          <w:szCs w:val="28"/>
        </w:rPr>
        <w:t xml:space="preserve">Harvard University. (no date) Serve and Return, Available at: </w:t>
      </w:r>
      <w:hyperlink r:id="rId14">
        <w:r w:rsidRPr="371B20AB">
          <w:rPr>
            <w:rStyle w:val="Hyperlink"/>
            <w:sz w:val="28"/>
            <w:szCs w:val="28"/>
          </w:rPr>
          <w:t>Serve and Return (harvard.edu)</w:t>
        </w:r>
      </w:hyperlink>
      <w:r w:rsidRPr="371B20AB">
        <w:rPr>
          <w:sz w:val="28"/>
          <w:szCs w:val="28"/>
        </w:rPr>
        <w:t xml:space="preserve"> (Accessed: 19/06/2024). </w:t>
      </w:r>
    </w:p>
    <w:p w14:paraId="7182B307" w14:textId="77777777" w:rsidR="00C96DB6" w:rsidRDefault="00C96DB6" w:rsidP="371B20AB">
      <w:pPr>
        <w:spacing w:line="240" w:lineRule="auto"/>
        <w:ind w:left="-20" w:right="-20"/>
        <w:jc w:val="both"/>
        <w:rPr>
          <w:color w:val="000000" w:themeColor="text1"/>
          <w:sz w:val="28"/>
          <w:szCs w:val="28"/>
          <w:lang w:val="en-GB"/>
        </w:rPr>
      </w:pPr>
      <w:proofErr w:type="spellStart"/>
      <w:r w:rsidRPr="371B20AB">
        <w:rPr>
          <w:color w:val="000000" w:themeColor="text1"/>
          <w:sz w:val="28"/>
          <w:szCs w:val="28"/>
          <w:lang w:val="en-GB"/>
        </w:rPr>
        <w:t>Haslanger</w:t>
      </w:r>
      <w:proofErr w:type="spellEnd"/>
      <w:r w:rsidRPr="371B20AB">
        <w:rPr>
          <w:i/>
          <w:iCs/>
          <w:color w:val="000000" w:themeColor="text1"/>
          <w:sz w:val="28"/>
          <w:szCs w:val="28"/>
          <w:lang w:val="en-GB"/>
        </w:rPr>
        <w:t xml:space="preserve">, </w:t>
      </w:r>
      <w:r w:rsidRPr="371B20AB">
        <w:rPr>
          <w:color w:val="000000" w:themeColor="text1"/>
          <w:sz w:val="28"/>
          <w:szCs w:val="28"/>
          <w:lang w:val="en-GB"/>
        </w:rPr>
        <w:t>S.</w:t>
      </w:r>
      <w:r w:rsidRPr="371B20AB">
        <w:rPr>
          <w:i/>
          <w:iCs/>
          <w:color w:val="000000" w:themeColor="text1"/>
          <w:sz w:val="28"/>
          <w:szCs w:val="28"/>
          <w:lang w:val="en-GB"/>
        </w:rPr>
        <w:t xml:space="preserve"> (2012) Ontology and Social Construction. </w:t>
      </w:r>
      <w:r w:rsidRPr="371B20AB">
        <w:rPr>
          <w:color w:val="000000" w:themeColor="text1"/>
          <w:sz w:val="28"/>
          <w:szCs w:val="28"/>
          <w:lang w:val="en-GB"/>
        </w:rPr>
        <w:t xml:space="preserve"> New York: Oxford University Press. </w:t>
      </w:r>
    </w:p>
    <w:p w14:paraId="3E1B1432" w14:textId="77777777" w:rsidR="00C96DB6" w:rsidRDefault="00C96DB6" w:rsidP="371B20AB">
      <w:pPr>
        <w:spacing w:line="240" w:lineRule="auto"/>
        <w:ind w:left="-20" w:right="-20"/>
        <w:jc w:val="both"/>
        <w:rPr>
          <w:color w:val="000000" w:themeColor="text1"/>
          <w:sz w:val="28"/>
          <w:szCs w:val="28"/>
          <w:lang w:val="en-GB"/>
        </w:rPr>
      </w:pPr>
      <w:proofErr w:type="spellStart"/>
      <w:r w:rsidRPr="371B20AB">
        <w:rPr>
          <w:color w:val="000000" w:themeColor="text1"/>
          <w:sz w:val="28"/>
          <w:szCs w:val="28"/>
          <w:lang w:val="en-GB"/>
        </w:rPr>
        <w:t>Heiddeger</w:t>
      </w:r>
      <w:proofErr w:type="spellEnd"/>
      <w:r w:rsidRPr="371B20AB">
        <w:rPr>
          <w:color w:val="000000" w:themeColor="text1"/>
          <w:sz w:val="28"/>
          <w:szCs w:val="28"/>
          <w:lang w:val="en-GB"/>
        </w:rPr>
        <w:t xml:space="preserve">, M. (1982). </w:t>
      </w:r>
      <w:r w:rsidRPr="371B20AB">
        <w:rPr>
          <w:i/>
          <w:iCs/>
          <w:color w:val="000000" w:themeColor="text1"/>
          <w:sz w:val="28"/>
          <w:szCs w:val="28"/>
          <w:lang w:val="en-GB"/>
        </w:rPr>
        <w:t>The basic problem of phenomenology</w:t>
      </w:r>
      <w:r w:rsidRPr="371B20AB">
        <w:rPr>
          <w:color w:val="000000" w:themeColor="text1"/>
          <w:sz w:val="28"/>
          <w:szCs w:val="28"/>
          <w:lang w:val="en-GB"/>
        </w:rPr>
        <w:t>. Bloomington: Indiana University Press.</w:t>
      </w:r>
    </w:p>
    <w:p w14:paraId="2FE2975C" w14:textId="77777777" w:rsidR="00C96DB6" w:rsidRDefault="00C96DB6" w:rsidP="371B20AB">
      <w:pPr>
        <w:rPr>
          <w:color w:val="3A3A3A" w:themeColor="background2" w:themeShade="40"/>
          <w:sz w:val="28"/>
          <w:szCs w:val="28"/>
          <w:lang w:val="en-GB"/>
        </w:rPr>
      </w:pPr>
      <w:proofErr w:type="spellStart"/>
      <w:r w:rsidRPr="371B20AB">
        <w:rPr>
          <w:color w:val="3A3A3A" w:themeColor="background2" w:themeShade="40"/>
          <w:sz w:val="28"/>
          <w:szCs w:val="28"/>
        </w:rPr>
        <w:t>Hennink</w:t>
      </w:r>
      <w:proofErr w:type="spellEnd"/>
      <w:r w:rsidRPr="371B20AB">
        <w:rPr>
          <w:color w:val="3A3A3A" w:themeColor="background2" w:themeShade="40"/>
          <w:sz w:val="28"/>
          <w:szCs w:val="28"/>
        </w:rPr>
        <w:t xml:space="preserve">, M.M. (2014) </w:t>
      </w:r>
      <w:r w:rsidRPr="371B20AB">
        <w:rPr>
          <w:i/>
          <w:iCs/>
          <w:color w:val="3A3A3A" w:themeColor="background2" w:themeShade="40"/>
          <w:sz w:val="28"/>
          <w:szCs w:val="28"/>
        </w:rPr>
        <w:t>Focus group discussions</w:t>
      </w:r>
      <w:r w:rsidRPr="371B20AB">
        <w:rPr>
          <w:color w:val="3A3A3A" w:themeColor="background2" w:themeShade="40"/>
          <w:sz w:val="28"/>
          <w:szCs w:val="28"/>
        </w:rPr>
        <w:t>. 1st ed, New York: Oxford University Press.</w:t>
      </w:r>
    </w:p>
    <w:p w14:paraId="22D56C0E"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Husserl, E. (1970). </w:t>
      </w:r>
      <w:r w:rsidRPr="371B20AB">
        <w:rPr>
          <w:i/>
          <w:iCs/>
          <w:color w:val="000000" w:themeColor="text1"/>
          <w:sz w:val="28"/>
          <w:szCs w:val="28"/>
          <w:lang w:val="en-GB"/>
        </w:rPr>
        <w:t xml:space="preserve">The crisis of European sciences and transcendental phenomenology. An introduction to phenomenological philosophy. Available at: </w:t>
      </w:r>
      <w:hyperlink r:id="rId15">
        <w:r w:rsidRPr="371B20AB">
          <w:rPr>
            <w:rStyle w:val="Hyperlink"/>
            <w:sz w:val="28"/>
            <w:szCs w:val="28"/>
            <w:lang w:val="en-GB"/>
          </w:rPr>
          <w:t>Husserlcrisis-libre.pdf (d1wqtxts1xzle7.cloudfront.net)</w:t>
        </w:r>
      </w:hyperlink>
      <w:r w:rsidRPr="371B20AB">
        <w:rPr>
          <w:color w:val="000000" w:themeColor="text1"/>
          <w:sz w:val="28"/>
          <w:szCs w:val="28"/>
          <w:lang w:val="en-GB"/>
        </w:rPr>
        <w:t xml:space="preserve"> Accessed: 18/04/24.</w:t>
      </w:r>
    </w:p>
    <w:p w14:paraId="709F216F"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Hyde, B. (2005) ‘Beyond logic – entering the realm of mystery: hermeneutic phenomenology as a tool for reflecting on children’s spirituality’, </w:t>
      </w:r>
      <w:r w:rsidRPr="371B20AB">
        <w:rPr>
          <w:i/>
          <w:iCs/>
          <w:color w:val="000000" w:themeColor="text1"/>
          <w:sz w:val="28"/>
          <w:szCs w:val="28"/>
          <w:lang w:val="en-GB"/>
        </w:rPr>
        <w:t>International Journal of Children’s Spirituality</w:t>
      </w:r>
      <w:r w:rsidRPr="371B20AB">
        <w:rPr>
          <w:color w:val="000000" w:themeColor="text1"/>
          <w:sz w:val="28"/>
          <w:szCs w:val="28"/>
          <w:lang w:val="en-GB"/>
        </w:rPr>
        <w:t xml:space="preserve">, 10(1), pp. 31–44. </w:t>
      </w:r>
    </w:p>
    <w:p w14:paraId="23D2A30D" w14:textId="77777777" w:rsidR="00C96DB6" w:rsidRDefault="00C96DB6" w:rsidP="371B20AB">
      <w:pPr>
        <w:spacing w:before="120" w:after="0" w:line="216" w:lineRule="auto"/>
        <w:ind w:left="360" w:hanging="360"/>
        <w:jc w:val="both"/>
        <w:rPr>
          <w:color w:val="333333"/>
          <w:sz w:val="28"/>
          <w:szCs w:val="28"/>
        </w:rPr>
      </w:pPr>
      <w:r w:rsidRPr="371B20AB">
        <w:rPr>
          <w:color w:val="333333"/>
          <w:sz w:val="28"/>
          <w:szCs w:val="28"/>
        </w:rPr>
        <w:t xml:space="preserve">Hyson, M. and Tomlinson, H. (2014). </w:t>
      </w:r>
      <w:r w:rsidRPr="371B20AB">
        <w:rPr>
          <w:i/>
          <w:iCs/>
          <w:color w:val="333333"/>
          <w:sz w:val="28"/>
          <w:szCs w:val="28"/>
        </w:rPr>
        <w:t>The early years matter: education, care</w:t>
      </w:r>
    </w:p>
    <w:p w14:paraId="62C5E9C9" w14:textId="77777777" w:rsidR="00C96DB6" w:rsidRDefault="00C96DB6" w:rsidP="371B20AB">
      <w:pPr>
        <w:rPr>
          <w:sz w:val="28"/>
          <w:szCs w:val="28"/>
        </w:rPr>
      </w:pPr>
      <w:r w:rsidRPr="371B20AB">
        <w:rPr>
          <w:sz w:val="28"/>
          <w:szCs w:val="28"/>
        </w:rPr>
        <w:t xml:space="preserve">Jalongo, M. ‘Editorial: “Enriching the Brain”—The Link Between Contemporary Neuroscience and Early Childhood Traditions’, </w:t>
      </w:r>
      <w:r w:rsidRPr="371B20AB">
        <w:rPr>
          <w:i/>
          <w:iCs/>
          <w:sz w:val="28"/>
          <w:szCs w:val="28"/>
        </w:rPr>
        <w:t>Early childhood education journal</w:t>
      </w:r>
      <w:r w:rsidRPr="371B20AB">
        <w:rPr>
          <w:sz w:val="28"/>
          <w:szCs w:val="28"/>
        </w:rPr>
        <w:t>, 35(6), pp. 487–488. doi:10.1007/s10643-008-0256-1.</w:t>
      </w:r>
    </w:p>
    <w:p w14:paraId="5DA6A979"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Jayantilal, K. and Lalli, G.S. (2024). Doing qualitative research: Methodological reflections on researching teachers work. </w:t>
      </w:r>
      <w:r w:rsidRPr="371B20AB">
        <w:rPr>
          <w:i/>
          <w:iCs/>
          <w:color w:val="000000" w:themeColor="text1"/>
          <w:sz w:val="28"/>
          <w:szCs w:val="28"/>
          <w:lang w:val="en-GB"/>
        </w:rPr>
        <w:t>European Journal of Education</w:t>
      </w:r>
      <w:r w:rsidRPr="371B20AB">
        <w:rPr>
          <w:color w:val="000000" w:themeColor="text1"/>
          <w:sz w:val="28"/>
          <w:szCs w:val="28"/>
          <w:lang w:val="en-GB"/>
        </w:rPr>
        <w:t xml:space="preserve">, </w:t>
      </w:r>
      <w:r w:rsidRPr="371B20AB">
        <w:rPr>
          <w:i/>
          <w:iCs/>
          <w:color w:val="000000" w:themeColor="text1"/>
          <w:sz w:val="28"/>
          <w:szCs w:val="28"/>
          <w:lang w:val="en-GB"/>
        </w:rPr>
        <w:t>59</w:t>
      </w:r>
      <w:r w:rsidRPr="371B20AB">
        <w:rPr>
          <w:color w:val="000000" w:themeColor="text1"/>
          <w:sz w:val="28"/>
          <w:szCs w:val="28"/>
          <w:lang w:val="en-GB"/>
        </w:rPr>
        <w:t>(1), pp. 12575.</w:t>
      </w:r>
    </w:p>
    <w:p w14:paraId="5DC05E8C"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Lee-Johnson, Y.L. </w:t>
      </w:r>
      <w:r w:rsidRPr="371B20AB">
        <w:rPr>
          <w:i/>
          <w:iCs/>
          <w:color w:val="000000" w:themeColor="text1"/>
          <w:sz w:val="28"/>
          <w:szCs w:val="28"/>
          <w:lang w:val="en-GB"/>
        </w:rPr>
        <w:t>et al.</w:t>
      </w:r>
      <w:r w:rsidRPr="371B20AB">
        <w:rPr>
          <w:color w:val="000000" w:themeColor="text1"/>
          <w:sz w:val="28"/>
          <w:szCs w:val="28"/>
          <w:lang w:val="en-GB"/>
        </w:rPr>
        <w:t xml:space="preserve"> (2023) ‘Reflexivity for </w:t>
      </w:r>
      <w:proofErr w:type="spellStart"/>
      <w:r w:rsidRPr="371B20AB">
        <w:rPr>
          <w:color w:val="000000" w:themeColor="text1"/>
          <w:sz w:val="28"/>
          <w:szCs w:val="28"/>
          <w:lang w:val="en-GB"/>
        </w:rPr>
        <w:t>Restorying</w:t>
      </w:r>
      <w:proofErr w:type="spellEnd"/>
      <w:r w:rsidRPr="371B20AB">
        <w:rPr>
          <w:color w:val="000000" w:themeColor="text1"/>
          <w:sz w:val="28"/>
          <w:szCs w:val="28"/>
          <w:lang w:val="en-GB"/>
        </w:rPr>
        <w:t xml:space="preserve"> the Ontological and Epistemological Truths in Qualitative Research’, </w:t>
      </w:r>
      <w:r w:rsidRPr="371B20AB">
        <w:rPr>
          <w:i/>
          <w:iCs/>
          <w:color w:val="000000" w:themeColor="text1"/>
          <w:sz w:val="28"/>
          <w:szCs w:val="28"/>
          <w:lang w:val="en-GB"/>
        </w:rPr>
        <w:t>Impacting education</w:t>
      </w:r>
      <w:r w:rsidRPr="371B20AB">
        <w:rPr>
          <w:color w:val="000000" w:themeColor="text1"/>
          <w:sz w:val="28"/>
          <w:szCs w:val="28"/>
          <w:lang w:val="en-GB"/>
        </w:rPr>
        <w:t>, 8(4), pp. 43–49.</w:t>
      </w:r>
    </w:p>
    <w:p w14:paraId="37F807A9" w14:textId="77777777" w:rsidR="00C96DB6" w:rsidRDefault="00C96DB6" w:rsidP="371B20AB">
      <w:pPr>
        <w:spacing w:line="278" w:lineRule="auto"/>
        <w:rPr>
          <w:color w:val="333333"/>
          <w:sz w:val="28"/>
          <w:szCs w:val="28"/>
        </w:rPr>
      </w:pPr>
      <w:r w:rsidRPr="371B20AB">
        <w:rPr>
          <w:color w:val="333333"/>
          <w:sz w:val="28"/>
          <w:szCs w:val="28"/>
          <w:lang w:val="en-GB"/>
        </w:rPr>
        <w:t xml:space="preserve">Little, H. (2017) ‘Promoting risk-taking and physically challenging play in Australian early childhood settings in a changing regulatory environment’. </w:t>
      </w:r>
      <w:r w:rsidRPr="371B20AB">
        <w:rPr>
          <w:i/>
          <w:iCs/>
          <w:color w:val="333333"/>
          <w:sz w:val="28"/>
          <w:szCs w:val="28"/>
          <w:lang w:val="en-GB"/>
        </w:rPr>
        <w:t>Journal of Early Childhood Research</w:t>
      </w:r>
      <w:r w:rsidRPr="371B20AB">
        <w:rPr>
          <w:color w:val="333333"/>
          <w:sz w:val="28"/>
          <w:szCs w:val="28"/>
          <w:lang w:val="en-GB"/>
        </w:rPr>
        <w:t xml:space="preserve">, </w:t>
      </w:r>
      <w:r w:rsidRPr="371B20AB">
        <w:rPr>
          <w:i/>
          <w:iCs/>
          <w:color w:val="333333"/>
          <w:sz w:val="28"/>
          <w:szCs w:val="28"/>
          <w:lang w:val="en-GB"/>
        </w:rPr>
        <w:t>15</w:t>
      </w:r>
      <w:r w:rsidRPr="371B20AB">
        <w:rPr>
          <w:color w:val="333333"/>
          <w:sz w:val="28"/>
          <w:szCs w:val="28"/>
          <w:lang w:val="en-GB"/>
        </w:rPr>
        <w:t>(1), 83-98.</w:t>
      </w:r>
    </w:p>
    <w:p w14:paraId="414AC053"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lastRenderedPageBreak/>
        <w:t xml:space="preserve">MacNaughton, G. (2010) </w:t>
      </w:r>
      <w:r w:rsidRPr="371B20AB">
        <w:rPr>
          <w:i/>
          <w:iCs/>
          <w:color w:val="000000" w:themeColor="text1"/>
          <w:sz w:val="28"/>
          <w:szCs w:val="28"/>
          <w:lang w:val="en-GB"/>
        </w:rPr>
        <w:t xml:space="preserve">Doing Early Childhood Research. International perspectives on theory and practice. </w:t>
      </w:r>
      <w:r w:rsidRPr="371B20AB">
        <w:rPr>
          <w:color w:val="000000" w:themeColor="text1"/>
          <w:sz w:val="28"/>
          <w:szCs w:val="28"/>
          <w:lang w:val="en-GB"/>
        </w:rPr>
        <w:t xml:space="preserve">2nd </w:t>
      </w:r>
      <w:proofErr w:type="spellStart"/>
      <w:r w:rsidRPr="371B20AB">
        <w:rPr>
          <w:color w:val="000000" w:themeColor="text1"/>
          <w:sz w:val="28"/>
          <w:szCs w:val="28"/>
          <w:lang w:val="en-GB"/>
        </w:rPr>
        <w:t>edn</w:t>
      </w:r>
      <w:proofErr w:type="spellEnd"/>
      <w:r w:rsidRPr="371B20AB">
        <w:rPr>
          <w:color w:val="000000" w:themeColor="text1"/>
          <w:sz w:val="28"/>
          <w:szCs w:val="28"/>
          <w:lang w:val="en-GB"/>
        </w:rPr>
        <w:t>. Maidenhead: Open University Press.</w:t>
      </w:r>
    </w:p>
    <w:p w14:paraId="6BC11980" w14:textId="77777777" w:rsidR="00C96DB6" w:rsidRDefault="00C96DB6" w:rsidP="371B20AB">
      <w:pPr>
        <w:spacing w:before="200" w:after="0" w:line="216" w:lineRule="auto"/>
        <w:rPr>
          <w:color w:val="000000" w:themeColor="text1"/>
          <w:sz w:val="28"/>
          <w:szCs w:val="28"/>
        </w:rPr>
      </w:pPr>
      <w:r w:rsidRPr="371B20AB">
        <w:rPr>
          <w:color w:val="000000" w:themeColor="text1"/>
          <w:sz w:val="28"/>
          <w:szCs w:val="28"/>
        </w:rPr>
        <w:t xml:space="preserve">Marmot, M. (2010) </w:t>
      </w:r>
      <w:r w:rsidRPr="371B20AB">
        <w:rPr>
          <w:i/>
          <w:iCs/>
          <w:color w:val="000000" w:themeColor="text1"/>
          <w:sz w:val="28"/>
          <w:szCs w:val="28"/>
        </w:rPr>
        <w:t xml:space="preserve">Fair Society, Healthy Lives: Strategic review of health inequalities in England Post-2010, </w:t>
      </w:r>
      <w:r w:rsidRPr="371B20AB">
        <w:rPr>
          <w:color w:val="000000" w:themeColor="text1"/>
          <w:sz w:val="28"/>
          <w:szCs w:val="28"/>
        </w:rPr>
        <w:t>The Marmot Review</w:t>
      </w:r>
    </w:p>
    <w:p w14:paraId="69FC2C2C" w14:textId="77777777" w:rsidR="00C96DB6" w:rsidRDefault="00C96DB6" w:rsidP="371B20AB">
      <w:pPr>
        <w:rPr>
          <w:sz w:val="28"/>
          <w:szCs w:val="28"/>
        </w:rPr>
      </w:pPr>
      <w:r w:rsidRPr="371B20AB">
        <w:rPr>
          <w:sz w:val="28"/>
          <w:szCs w:val="28"/>
        </w:rPr>
        <w:t>Maslow, A.H. (1943) A Theory of Human Motivation, Psychological Review, 50, pp. 370-396.</w:t>
      </w:r>
    </w:p>
    <w:p w14:paraId="0A378AC0" w14:textId="77777777" w:rsidR="00C96DB6" w:rsidRDefault="00C96DB6" w:rsidP="371B20AB">
      <w:pPr>
        <w:rPr>
          <w:sz w:val="28"/>
          <w:szCs w:val="28"/>
        </w:rPr>
      </w:pPr>
      <w:r w:rsidRPr="371B20AB">
        <w:rPr>
          <w:sz w:val="28"/>
          <w:szCs w:val="28"/>
        </w:rPr>
        <w:t xml:space="preserve">McGillivray, G. (2008) ‘Nannies, nursery nurses and early years professionals: constructions of professional identity in the early year's workforce in England’, </w:t>
      </w:r>
      <w:r w:rsidRPr="371B20AB">
        <w:rPr>
          <w:i/>
          <w:iCs/>
          <w:sz w:val="28"/>
          <w:szCs w:val="28"/>
        </w:rPr>
        <w:t xml:space="preserve">European Early Childhood Education Research Journal, </w:t>
      </w:r>
      <w:r w:rsidRPr="371B20AB">
        <w:rPr>
          <w:sz w:val="28"/>
          <w:szCs w:val="28"/>
        </w:rPr>
        <w:t>16 (2), pp. 242–254.</w:t>
      </w:r>
    </w:p>
    <w:p w14:paraId="0FD29768"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McGinn, C. (2004) </w:t>
      </w:r>
      <w:r w:rsidRPr="371B20AB">
        <w:rPr>
          <w:i/>
          <w:iCs/>
          <w:color w:val="000000" w:themeColor="text1"/>
          <w:sz w:val="28"/>
          <w:szCs w:val="28"/>
          <w:lang w:val="en-GB"/>
        </w:rPr>
        <w:t>Consciousness and its objects</w:t>
      </w:r>
      <w:r w:rsidRPr="371B20AB">
        <w:rPr>
          <w:color w:val="000000" w:themeColor="text1"/>
          <w:sz w:val="28"/>
          <w:szCs w:val="28"/>
          <w:lang w:val="en-GB"/>
        </w:rPr>
        <w:t>. Oxford: Clarendon.</w:t>
      </w:r>
    </w:p>
    <w:p w14:paraId="1D073857"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Meadows K. (2024) ‘Phenomenology: A Method for the Interpretation of Patient-Reported Outcomes’, </w:t>
      </w:r>
      <w:r w:rsidRPr="371B20AB">
        <w:rPr>
          <w:i/>
          <w:iCs/>
          <w:color w:val="000000" w:themeColor="text1"/>
          <w:sz w:val="28"/>
          <w:szCs w:val="28"/>
          <w:lang w:val="en-GB"/>
        </w:rPr>
        <w:t>Clinical Nursing Research, 33 (1), pp. 262-270.</w:t>
      </w:r>
    </w:p>
    <w:p w14:paraId="390926FD" w14:textId="77777777" w:rsidR="00C96DB6" w:rsidRDefault="00C96DB6" w:rsidP="371B20AB">
      <w:pPr>
        <w:rPr>
          <w:sz w:val="28"/>
          <w:szCs w:val="28"/>
        </w:rPr>
      </w:pPr>
      <w:r w:rsidRPr="371B20AB">
        <w:rPr>
          <w:color w:val="222222"/>
          <w:sz w:val="28"/>
          <w:szCs w:val="28"/>
        </w:rPr>
        <w:t xml:space="preserve">Medcalf, N.A., Hoffman, T.J. and Boatwright, C., (2013) ‘Children's dreams viewed through the prism of Maslow's hierarchy of needs’, </w:t>
      </w:r>
      <w:r w:rsidRPr="371B20AB">
        <w:rPr>
          <w:i/>
          <w:iCs/>
          <w:color w:val="222222"/>
          <w:sz w:val="28"/>
          <w:szCs w:val="28"/>
        </w:rPr>
        <w:t>Early child development and care</w:t>
      </w:r>
      <w:r w:rsidRPr="371B20AB">
        <w:rPr>
          <w:color w:val="222222"/>
          <w:sz w:val="28"/>
          <w:szCs w:val="28"/>
        </w:rPr>
        <w:t xml:space="preserve">, </w:t>
      </w:r>
      <w:r w:rsidRPr="371B20AB">
        <w:rPr>
          <w:i/>
          <w:iCs/>
          <w:color w:val="222222"/>
          <w:sz w:val="28"/>
          <w:szCs w:val="28"/>
        </w:rPr>
        <w:t>183</w:t>
      </w:r>
      <w:r w:rsidRPr="371B20AB">
        <w:rPr>
          <w:color w:val="222222"/>
          <w:sz w:val="28"/>
          <w:szCs w:val="28"/>
        </w:rPr>
        <w:t>(9), pp.1324-1338.</w:t>
      </w:r>
    </w:p>
    <w:p w14:paraId="2F299965"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Merriam, E. and Tisdell, S. (2016) </w:t>
      </w:r>
      <w:r w:rsidRPr="371B20AB">
        <w:rPr>
          <w:i/>
          <w:iCs/>
          <w:color w:val="000000" w:themeColor="text1"/>
          <w:sz w:val="28"/>
          <w:szCs w:val="28"/>
          <w:lang w:val="en-GB"/>
        </w:rPr>
        <w:t xml:space="preserve">Qualitative Research: A Guide to Design and Implementation. </w:t>
      </w:r>
      <w:r w:rsidRPr="371B20AB">
        <w:rPr>
          <w:color w:val="000000" w:themeColor="text1"/>
          <w:sz w:val="28"/>
          <w:szCs w:val="28"/>
          <w:lang w:val="en-GB"/>
        </w:rPr>
        <w:t xml:space="preserve">San Francisco: Jossey-Bass. </w:t>
      </w:r>
    </w:p>
    <w:p w14:paraId="69EE773A"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Miller, W. R. and Rollnick, S. (1991). </w:t>
      </w:r>
      <w:r w:rsidRPr="371B20AB">
        <w:rPr>
          <w:i/>
          <w:iCs/>
          <w:color w:val="000000" w:themeColor="text1"/>
          <w:sz w:val="28"/>
          <w:szCs w:val="28"/>
          <w:lang w:val="en-GB"/>
        </w:rPr>
        <w:t>Motivational Interviewing: preparing people to change addictive behaviour.</w:t>
      </w:r>
      <w:r w:rsidRPr="371B20AB">
        <w:rPr>
          <w:color w:val="000000" w:themeColor="text1"/>
          <w:sz w:val="28"/>
          <w:szCs w:val="28"/>
          <w:lang w:val="en-GB"/>
        </w:rPr>
        <w:t xml:space="preserve"> New York: Guilford Press.</w:t>
      </w:r>
    </w:p>
    <w:p w14:paraId="7C60ED78" w14:textId="77777777" w:rsidR="00C96DB6" w:rsidRDefault="00C96DB6" w:rsidP="371B20AB">
      <w:pPr>
        <w:spacing w:line="240" w:lineRule="auto"/>
        <w:ind w:left="-20" w:right="-20"/>
        <w:jc w:val="both"/>
        <w:rPr>
          <w:color w:val="222222"/>
          <w:sz w:val="28"/>
          <w:szCs w:val="28"/>
          <w:lang w:val="en-GB"/>
        </w:rPr>
      </w:pPr>
      <w:r w:rsidRPr="371B20AB">
        <w:rPr>
          <w:color w:val="222222"/>
          <w:sz w:val="28"/>
          <w:szCs w:val="28"/>
          <w:lang w:val="en-GB"/>
        </w:rPr>
        <w:t xml:space="preserve">Miller, W.R. and Rollnick, S. (2009) ‘Ten things that motivational interviewing is not,’ </w:t>
      </w:r>
      <w:r w:rsidRPr="371B20AB">
        <w:rPr>
          <w:i/>
          <w:iCs/>
          <w:color w:val="222222"/>
          <w:sz w:val="28"/>
          <w:szCs w:val="28"/>
          <w:lang w:val="en-GB"/>
        </w:rPr>
        <w:t>Behavioural and cognitive psychotherapy</w:t>
      </w:r>
      <w:r w:rsidRPr="371B20AB">
        <w:rPr>
          <w:color w:val="222222"/>
          <w:sz w:val="28"/>
          <w:szCs w:val="28"/>
          <w:lang w:val="en-GB"/>
        </w:rPr>
        <w:t xml:space="preserve">, </w:t>
      </w:r>
      <w:r w:rsidRPr="371B20AB">
        <w:rPr>
          <w:i/>
          <w:iCs/>
          <w:color w:val="222222"/>
          <w:sz w:val="28"/>
          <w:szCs w:val="28"/>
          <w:lang w:val="en-GB"/>
        </w:rPr>
        <w:t>37</w:t>
      </w:r>
      <w:r w:rsidRPr="371B20AB">
        <w:rPr>
          <w:color w:val="222222"/>
          <w:sz w:val="28"/>
          <w:szCs w:val="28"/>
          <w:lang w:val="en-GB"/>
        </w:rPr>
        <w:t>(2), pp.129-140.</w:t>
      </w:r>
    </w:p>
    <w:p w14:paraId="2D830909" w14:textId="77777777" w:rsidR="00C96DB6" w:rsidRDefault="00C96DB6" w:rsidP="371B20AB">
      <w:pPr>
        <w:rPr>
          <w:color w:val="000000" w:themeColor="text1"/>
          <w:sz w:val="28"/>
          <w:szCs w:val="28"/>
          <w:lang w:val="en-GB"/>
        </w:rPr>
      </w:pPr>
      <w:r w:rsidRPr="371B20AB">
        <w:rPr>
          <w:color w:val="000000" w:themeColor="text1"/>
          <w:sz w:val="28"/>
          <w:szCs w:val="28"/>
        </w:rPr>
        <w:t xml:space="preserve">Moseley, L., Ford, C. and Wilkins, B. (2020) ‘Qualitative Research </w:t>
      </w:r>
      <w:proofErr w:type="gramStart"/>
      <w:r w:rsidRPr="371B20AB">
        <w:rPr>
          <w:color w:val="000000" w:themeColor="text1"/>
          <w:sz w:val="28"/>
          <w:szCs w:val="28"/>
        </w:rPr>
        <w:t>In</w:t>
      </w:r>
      <w:proofErr w:type="gramEnd"/>
      <w:r w:rsidRPr="371B20AB">
        <w:rPr>
          <w:color w:val="000000" w:themeColor="text1"/>
          <w:sz w:val="28"/>
          <w:szCs w:val="28"/>
        </w:rPr>
        <w:t xml:space="preserve"> Pharmacy Education: Using Focus Groups to Explore Evolving Perceptions of Student Pharmacists’ Curricular Experiences’, </w:t>
      </w:r>
      <w:r w:rsidRPr="371B20AB">
        <w:rPr>
          <w:i/>
          <w:iCs/>
          <w:color w:val="000000" w:themeColor="text1"/>
          <w:sz w:val="28"/>
          <w:szCs w:val="28"/>
        </w:rPr>
        <w:t>American Journal of Pharmaceutical Education</w:t>
      </w:r>
      <w:r w:rsidRPr="371B20AB">
        <w:rPr>
          <w:color w:val="000000" w:themeColor="text1"/>
          <w:sz w:val="28"/>
          <w:szCs w:val="28"/>
        </w:rPr>
        <w:t xml:space="preserve">, 84 (1). </w:t>
      </w:r>
      <w:r w:rsidRPr="371B20AB">
        <w:rPr>
          <w:color w:val="000000" w:themeColor="text1"/>
          <w:sz w:val="28"/>
          <w:szCs w:val="28"/>
          <w:lang w:val="en-GB"/>
        </w:rPr>
        <w:t xml:space="preserve"> </w:t>
      </w:r>
    </w:p>
    <w:p w14:paraId="16FE5C3D" w14:textId="77777777" w:rsidR="00C96DB6" w:rsidRDefault="00C96DB6" w:rsidP="371B20AB">
      <w:pPr>
        <w:rPr>
          <w:color w:val="222222"/>
          <w:sz w:val="28"/>
          <w:szCs w:val="28"/>
          <w:lang w:val="en-GB"/>
        </w:rPr>
      </w:pPr>
      <w:r w:rsidRPr="371B20AB">
        <w:rPr>
          <w:color w:val="222222"/>
          <w:sz w:val="28"/>
          <w:szCs w:val="28"/>
          <w:lang w:val="en-GB"/>
        </w:rPr>
        <w:t xml:space="preserve">Moyers, T.B., Miller, W.R. and Hendrickson, S.M. (2005) </w:t>
      </w:r>
      <w:proofErr w:type="gramStart"/>
      <w:r w:rsidRPr="371B20AB">
        <w:rPr>
          <w:color w:val="222222"/>
          <w:sz w:val="28"/>
          <w:szCs w:val="28"/>
          <w:lang w:val="en-GB"/>
        </w:rPr>
        <w:t>‘ How</w:t>
      </w:r>
      <w:proofErr w:type="gramEnd"/>
      <w:r w:rsidRPr="371B20AB">
        <w:rPr>
          <w:color w:val="222222"/>
          <w:sz w:val="28"/>
          <w:szCs w:val="28"/>
          <w:lang w:val="en-GB"/>
        </w:rPr>
        <w:t xml:space="preserve"> does motivational interviewing work? Therapist interpersonal skill predicts client </w:t>
      </w:r>
      <w:r w:rsidRPr="371B20AB">
        <w:rPr>
          <w:color w:val="222222"/>
          <w:sz w:val="28"/>
          <w:szCs w:val="28"/>
          <w:lang w:val="en-GB"/>
        </w:rPr>
        <w:lastRenderedPageBreak/>
        <w:t xml:space="preserve">involvement within motivational interviewing sessions’, </w:t>
      </w:r>
      <w:r w:rsidRPr="371B20AB">
        <w:rPr>
          <w:i/>
          <w:iCs/>
          <w:color w:val="222222"/>
          <w:sz w:val="28"/>
          <w:szCs w:val="28"/>
          <w:lang w:val="en-GB"/>
        </w:rPr>
        <w:t>Journal of consulting and clinical psychology</w:t>
      </w:r>
      <w:r w:rsidRPr="371B20AB">
        <w:rPr>
          <w:color w:val="222222"/>
          <w:sz w:val="28"/>
          <w:szCs w:val="28"/>
          <w:lang w:val="en-GB"/>
        </w:rPr>
        <w:t xml:space="preserve">, </w:t>
      </w:r>
      <w:r w:rsidRPr="371B20AB">
        <w:rPr>
          <w:i/>
          <w:iCs/>
          <w:color w:val="222222"/>
          <w:sz w:val="28"/>
          <w:szCs w:val="28"/>
          <w:lang w:val="en-GB"/>
        </w:rPr>
        <w:t>73</w:t>
      </w:r>
      <w:r w:rsidRPr="371B20AB">
        <w:rPr>
          <w:color w:val="222222"/>
          <w:sz w:val="28"/>
          <w:szCs w:val="28"/>
          <w:lang w:val="en-GB"/>
        </w:rPr>
        <w:t>(4), pp.590.</w:t>
      </w:r>
    </w:p>
    <w:p w14:paraId="37254BF4" w14:textId="77777777" w:rsidR="00C96DB6" w:rsidRDefault="00C96DB6" w:rsidP="371B20AB">
      <w:pPr>
        <w:spacing w:line="360" w:lineRule="auto"/>
        <w:rPr>
          <w:sz w:val="28"/>
          <w:szCs w:val="28"/>
        </w:rPr>
      </w:pPr>
      <w:r w:rsidRPr="371B20AB">
        <w:rPr>
          <w:color w:val="000000" w:themeColor="text1"/>
          <w:sz w:val="28"/>
          <w:szCs w:val="28"/>
        </w:rPr>
        <w:t xml:space="preserve">Moyles, J.R. (2010) </w:t>
      </w:r>
      <w:r w:rsidRPr="371B20AB">
        <w:rPr>
          <w:i/>
          <w:iCs/>
          <w:color w:val="000000" w:themeColor="text1"/>
          <w:sz w:val="28"/>
          <w:szCs w:val="28"/>
        </w:rPr>
        <w:t>The excellence of play</w:t>
      </w:r>
      <w:r w:rsidRPr="371B20AB">
        <w:rPr>
          <w:color w:val="000000" w:themeColor="text1"/>
          <w:sz w:val="28"/>
          <w:szCs w:val="28"/>
        </w:rPr>
        <w:t>. 3rd ed. Maidenhead: England, Open University Press.</w:t>
      </w:r>
    </w:p>
    <w:p w14:paraId="2CDFA788" w14:textId="77777777" w:rsidR="00C96DB6" w:rsidRDefault="00C96DB6" w:rsidP="371B20AB">
      <w:pPr>
        <w:spacing w:line="240" w:lineRule="auto"/>
        <w:ind w:left="-20" w:right="-20"/>
        <w:jc w:val="both"/>
        <w:rPr>
          <w:color w:val="000000" w:themeColor="text1"/>
          <w:sz w:val="28"/>
          <w:szCs w:val="28"/>
          <w:lang w:val="en-GB"/>
        </w:rPr>
      </w:pPr>
      <w:proofErr w:type="spellStart"/>
      <w:r w:rsidRPr="371B20AB">
        <w:rPr>
          <w:color w:val="000000" w:themeColor="text1"/>
          <w:sz w:val="28"/>
          <w:szCs w:val="28"/>
          <w:lang w:val="en-GB"/>
        </w:rPr>
        <w:t>Mthulia</w:t>
      </w:r>
      <w:proofErr w:type="spellEnd"/>
      <w:r w:rsidRPr="371B20AB">
        <w:rPr>
          <w:color w:val="000000" w:themeColor="text1"/>
          <w:sz w:val="28"/>
          <w:szCs w:val="28"/>
          <w:lang w:val="en-GB"/>
        </w:rPr>
        <w:t xml:space="preserve">, S. A., </w:t>
      </w:r>
      <w:proofErr w:type="spellStart"/>
      <w:r w:rsidRPr="371B20AB">
        <w:rPr>
          <w:color w:val="000000" w:themeColor="text1"/>
          <w:sz w:val="28"/>
          <w:szCs w:val="28"/>
          <w:lang w:val="en-GB"/>
        </w:rPr>
        <w:t>Ruffina</w:t>
      </w:r>
      <w:proofErr w:type="spellEnd"/>
      <w:r w:rsidRPr="371B20AB">
        <w:rPr>
          <w:color w:val="000000" w:themeColor="text1"/>
          <w:sz w:val="28"/>
          <w:szCs w:val="28"/>
          <w:lang w:val="en-GB"/>
        </w:rPr>
        <w:t xml:space="preserve">, F. and Singh, N. (2022) ‘Define, Explain, Justify, </w:t>
      </w:r>
      <w:proofErr w:type="gramStart"/>
      <w:r w:rsidRPr="371B20AB">
        <w:rPr>
          <w:color w:val="000000" w:themeColor="text1"/>
          <w:sz w:val="28"/>
          <w:szCs w:val="28"/>
          <w:lang w:val="en-GB"/>
        </w:rPr>
        <w:t>Apply</w:t>
      </w:r>
      <w:proofErr w:type="gramEnd"/>
      <w:r w:rsidRPr="371B20AB">
        <w:rPr>
          <w:color w:val="000000" w:themeColor="text1"/>
          <w:sz w:val="28"/>
          <w:szCs w:val="28"/>
          <w:lang w:val="en-GB"/>
        </w:rPr>
        <w:t>’ (DEJA): An analytic tool for guiding qualitative research sample size’, I</w:t>
      </w:r>
      <w:r w:rsidRPr="371B20AB">
        <w:rPr>
          <w:i/>
          <w:iCs/>
          <w:color w:val="000000" w:themeColor="text1"/>
          <w:sz w:val="28"/>
          <w:szCs w:val="28"/>
          <w:lang w:val="en-GB"/>
        </w:rPr>
        <w:t xml:space="preserve">nternational Journal of Social Research Methodology, </w:t>
      </w:r>
      <w:r w:rsidRPr="371B20AB">
        <w:rPr>
          <w:color w:val="000000" w:themeColor="text1"/>
          <w:sz w:val="28"/>
          <w:szCs w:val="28"/>
          <w:lang w:val="en-GB"/>
        </w:rPr>
        <w:t>25 (6), pp. 809–821.</w:t>
      </w:r>
    </w:p>
    <w:p w14:paraId="1B2AE8B8" w14:textId="77777777" w:rsidR="00C96DB6" w:rsidRDefault="00C96DB6" w:rsidP="371B20AB">
      <w:pPr>
        <w:spacing w:after="0"/>
        <w:rPr>
          <w:sz w:val="28"/>
          <w:szCs w:val="28"/>
        </w:rPr>
      </w:pPr>
      <w:r w:rsidRPr="371B20AB">
        <w:rPr>
          <w:sz w:val="28"/>
          <w:szCs w:val="28"/>
        </w:rPr>
        <w:t xml:space="preserve">Murphy, A. and Conn, C. (eds) (2022) </w:t>
      </w:r>
      <w:r w:rsidRPr="371B20AB">
        <w:rPr>
          <w:i/>
          <w:iCs/>
          <w:sz w:val="28"/>
          <w:szCs w:val="28"/>
        </w:rPr>
        <w:t xml:space="preserve">Inclusive pedagogies for early childhood </w:t>
      </w:r>
      <w:proofErr w:type="gramStart"/>
      <w:r w:rsidRPr="371B20AB">
        <w:rPr>
          <w:i/>
          <w:iCs/>
          <w:sz w:val="28"/>
          <w:szCs w:val="28"/>
        </w:rPr>
        <w:t>education :</w:t>
      </w:r>
      <w:proofErr w:type="gramEnd"/>
      <w:r w:rsidRPr="371B20AB">
        <w:rPr>
          <w:i/>
          <w:iCs/>
          <w:sz w:val="28"/>
          <w:szCs w:val="28"/>
        </w:rPr>
        <w:t xml:space="preserve"> respecting and responding to differences in learning</w:t>
      </w:r>
      <w:r w:rsidRPr="371B20AB">
        <w:rPr>
          <w:sz w:val="28"/>
          <w:szCs w:val="28"/>
        </w:rPr>
        <w:t>. 1</w:t>
      </w:r>
      <w:r w:rsidRPr="371B20AB">
        <w:rPr>
          <w:sz w:val="28"/>
          <w:szCs w:val="28"/>
          <w:vertAlign w:val="superscript"/>
        </w:rPr>
        <w:t>st</w:t>
      </w:r>
      <w:r w:rsidRPr="371B20AB">
        <w:rPr>
          <w:sz w:val="28"/>
          <w:szCs w:val="28"/>
        </w:rPr>
        <w:t xml:space="preserve"> ed. Abingdon, Oxon, </w:t>
      </w:r>
      <w:proofErr w:type="gramStart"/>
      <w:r w:rsidRPr="371B20AB">
        <w:rPr>
          <w:sz w:val="28"/>
          <w:szCs w:val="28"/>
        </w:rPr>
        <w:t>England ;</w:t>
      </w:r>
      <w:proofErr w:type="gramEnd"/>
      <w:r w:rsidRPr="371B20AB">
        <w:rPr>
          <w:sz w:val="28"/>
          <w:szCs w:val="28"/>
        </w:rPr>
        <w:t xml:space="preserve"> Routledge.</w:t>
      </w:r>
    </w:p>
    <w:p w14:paraId="582EAC4A"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Nagel, T. (1974) ‘What Is It Like to Be a Bat?’, </w:t>
      </w:r>
      <w:r w:rsidRPr="371B20AB">
        <w:rPr>
          <w:i/>
          <w:iCs/>
          <w:color w:val="000000" w:themeColor="text1"/>
          <w:sz w:val="28"/>
          <w:szCs w:val="28"/>
          <w:lang w:val="en-GB"/>
        </w:rPr>
        <w:t>The Philosophical Review</w:t>
      </w:r>
      <w:r w:rsidRPr="371B20AB">
        <w:rPr>
          <w:color w:val="000000" w:themeColor="text1"/>
          <w:sz w:val="28"/>
          <w:szCs w:val="28"/>
          <w:lang w:val="en-GB"/>
        </w:rPr>
        <w:t>, 83 (4), pp. 435-450.</w:t>
      </w:r>
    </w:p>
    <w:p w14:paraId="11947DBC"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Newton, P. and Riveros, A. (2015) ‘Toward an Ontology of Practices in Educational Administration: Theoretical implications for research and practice’, </w:t>
      </w:r>
      <w:r w:rsidRPr="371B20AB">
        <w:rPr>
          <w:i/>
          <w:iCs/>
          <w:color w:val="000000" w:themeColor="text1"/>
          <w:sz w:val="28"/>
          <w:szCs w:val="28"/>
          <w:lang w:val="en-GB"/>
        </w:rPr>
        <w:t>Educational philosophy and theory</w:t>
      </w:r>
      <w:r w:rsidRPr="371B20AB">
        <w:rPr>
          <w:color w:val="000000" w:themeColor="text1"/>
          <w:sz w:val="28"/>
          <w:szCs w:val="28"/>
          <w:lang w:val="en-GB"/>
        </w:rPr>
        <w:t>, 47(4), pp. 330–341.</w:t>
      </w:r>
    </w:p>
    <w:p w14:paraId="08A84987"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Ngulube, P. (2016) ‘Application and Contribution of Hermeneutic and Eidetic Phenomenology to Indigenous Knowledge Research’, in </w:t>
      </w:r>
      <w:r w:rsidRPr="371B20AB">
        <w:rPr>
          <w:i/>
          <w:iCs/>
          <w:color w:val="000000" w:themeColor="text1"/>
          <w:sz w:val="28"/>
          <w:szCs w:val="28"/>
          <w:lang w:val="en-GB"/>
        </w:rPr>
        <w:t>Handbook of Research on Theoretical Perspectives on Indigenous Knowledge Systems in Developing Countries</w:t>
      </w:r>
      <w:r w:rsidRPr="371B20AB">
        <w:rPr>
          <w:color w:val="000000" w:themeColor="text1"/>
          <w:sz w:val="28"/>
          <w:szCs w:val="28"/>
          <w:lang w:val="en-GB"/>
        </w:rPr>
        <w:t>. United States: IGI Global.</w:t>
      </w:r>
    </w:p>
    <w:p w14:paraId="3B19644F"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Nicholson, H. and Shrives, P. (2024) ‘Stepping Beyond Transcripts: A Framework for Analysing Interaction in Focus Groups’, </w:t>
      </w:r>
      <w:r w:rsidRPr="371B20AB">
        <w:rPr>
          <w:i/>
          <w:iCs/>
          <w:color w:val="000000" w:themeColor="text1"/>
          <w:sz w:val="28"/>
          <w:szCs w:val="28"/>
          <w:lang w:val="en-GB"/>
        </w:rPr>
        <w:t xml:space="preserve">International Journal of Social Research Methodology, </w:t>
      </w:r>
      <w:r w:rsidRPr="371B20AB">
        <w:rPr>
          <w:color w:val="000000" w:themeColor="text1"/>
          <w:sz w:val="28"/>
          <w:szCs w:val="28"/>
          <w:lang w:val="en-GB"/>
        </w:rPr>
        <w:t>27 (2), pp. 203-218.</w:t>
      </w:r>
    </w:p>
    <w:p w14:paraId="582A013E" w14:textId="77777777" w:rsidR="00C96DB6" w:rsidRDefault="00C96DB6" w:rsidP="371B20AB">
      <w:pPr>
        <w:spacing w:line="278" w:lineRule="auto"/>
        <w:rPr>
          <w:color w:val="000000" w:themeColor="text1"/>
          <w:sz w:val="28"/>
          <w:szCs w:val="28"/>
        </w:rPr>
      </w:pPr>
      <w:r w:rsidRPr="371B20AB">
        <w:rPr>
          <w:color w:val="000000" w:themeColor="text1"/>
          <w:sz w:val="28"/>
          <w:szCs w:val="28"/>
        </w:rPr>
        <w:t>Page, J. (2018) ‘</w:t>
      </w:r>
      <w:proofErr w:type="spellStart"/>
      <w:r w:rsidRPr="371B20AB">
        <w:rPr>
          <w:color w:val="000000" w:themeColor="text1"/>
          <w:sz w:val="28"/>
          <w:szCs w:val="28"/>
        </w:rPr>
        <w:t>Characterising</w:t>
      </w:r>
      <w:proofErr w:type="spellEnd"/>
      <w:r w:rsidRPr="371B20AB">
        <w:rPr>
          <w:color w:val="000000" w:themeColor="text1"/>
          <w:sz w:val="28"/>
          <w:szCs w:val="28"/>
        </w:rPr>
        <w:t xml:space="preserve"> the principles of professional love in early childhood care and education’, </w:t>
      </w:r>
      <w:r w:rsidRPr="371B20AB">
        <w:rPr>
          <w:i/>
          <w:iCs/>
          <w:color w:val="000000" w:themeColor="text1"/>
          <w:sz w:val="28"/>
          <w:szCs w:val="28"/>
        </w:rPr>
        <w:t>International journal of early years education</w:t>
      </w:r>
      <w:r w:rsidRPr="371B20AB">
        <w:rPr>
          <w:color w:val="000000" w:themeColor="text1"/>
          <w:sz w:val="28"/>
          <w:szCs w:val="28"/>
        </w:rPr>
        <w:t xml:space="preserve">, 26(2), pp.125-141.  </w:t>
      </w:r>
    </w:p>
    <w:p w14:paraId="5E7E797E" w14:textId="77777777" w:rsidR="00C96DB6" w:rsidRDefault="00C96DB6" w:rsidP="371B20AB">
      <w:pPr>
        <w:rPr>
          <w:sz w:val="28"/>
          <w:szCs w:val="28"/>
        </w:rPr>
      </w:pPr>
      <w:r w:rsidRPr="371B20AB">
        <w:rPr>
          <w:sz w:val="28"/>
          <w:szCs w:val="28"/>
        </w:rPr>
        <w:t xml:space="preserve">Pakai, E. (2007) Initial Teacher Education in Aotearoa/New Zealand, </w:t>
      </w:r>
      <w:r w:rsidRPr="371B20AB">
        <w:rPr>
          <w:i/>
          <w:iCs/>
          <w:sz w:val="28"/>
          <w:szCs w:val="28"/>
        </w:rPr>
        <w:t>Canadian Journal of Native Education</w:t>
      </w:r>
      <w:r w:rsidRPr="371B20AB">
        <w:rPr>
          <w:sz w:val="28"/>
          <w:szCs w:val="28"/>
        </w:rPr>
        <w:t xml:space="preserve">, </w:t>
      </w:r>
      <w:r w:rsidRPr="371B20AB">
        <w:rPr>
          <w:i/>
          <w:iCs/>
          <w:sz w:val="28"/>
          <w:szCs w:val="28"/>
        </w:rPr>
        <w:t>30</w:t>
      </w:r>
      <w:r w:rsidRPr="371B20AB">
        <w:rPr>
          <w:sz w:val="28"/>
          <w:szCs w:val="28"/>
        </w:rPr>
        <w:t>(1), pp. 1092-1101.</w:t>
      </w:r>
    </w:p>
    <w:p w14:paraId="3507CC0A" w14:textId="77777777" w:rsidR="00C96DB6" w:rsidRDefault="00C96DB6" w:rsidP="371B20AB">
      <w:pPr>
        <w:spacing w:after="0"/>
        <w:rPr>
          <w:sz w:val="28"/>
          <w:szCs w:val="28"/>
        </w:rPr>
      </w:pPr>
      <w:r w:rsidRPr="371B20AB">
        <w:rPr>
          <w:sz w:val="28"/>
          <w:szCs w:val="28"/>
        </w:rPr>
        <w:t xml:space="preserve">Peckham, K. (2024. </w:t>
      </w:r>
      <w:r w:rsidRPr="371B20AB">
        <w:rPr>
          <w:i/>
          <w:iCs/>
          <w:sz w:val="28"/>
          <w:szCs w:val="28"/>
        </w:rPr>
        <w:t>Nurturing Children through Preschool and Reception: Developing the Potential of Every Child</w:t>
      </w:r>
      <w:r w:rsidRPr="371B20AB">
        <w:rPr>
          <w:sz w:val="28"/>
          <w:szCs w:val="28"/>
        </w:rPr>
        <w:t>.  London: Taylor &amp; Francis.</w:t>
      </w:r>
    </w:p>
    <w:p w14:paraId="693DFC16" w14:textId="77777777" w:rsidR="00C96DB6" w:rsidRDefault="00C96DB6" w:rsidP="371B20AB">
      <w:pPr>
        <w:spacing w:after="0"/>
        <w:rPr>
          <w:sz w:val="28"/>
          <w:szCs w:val="28"/>
        </w:rPr>
      </w:pPr>
    </w:p>
    <w:p w14:paraId="072B5961"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rPr>
        <w:lastRenderedPageBreak/>
        <w:t xml:space="preserve">Pope, C. (2020) </w:t>
      </w:r>
      <w:r w:rsidRPr="371B20AB">
        <w:rPr>
          <w:i/>
          <w:iCs/>
          <w:color w:val="000000" w:themeColor="text1"/>
          <w:sz w:val="28"/>
          <w:szCs w:val="28"/>
        </w:rPr>
        <w:t>Qualitative research in health care</w:t>
      </w:r>
      <w:r w:rsidRPr="371B20AB">
        <w:rPr>
          <w:color w:val="000000" w:themeColor="text1"/>
          <w:sz w:val="28"/>
          <w:szCs w:val="28"/>
        </w:rPr>
        <w:t>. 4</w:t>
      </w:r>
      <w:r w:rsidRPr="371B20AB">
        <w:rPr>
          <w:color w:val="000000" w:themeColor="text1"/>
          <w:sz w:val="28"/>
          <w:szCs w:val="28"/>
          <w:vertAlign w:val="superscript"/>
        </w:rPr>
        <w:t>th</w:t>
      </w:r>
      <w:r w:rsidRPr="371B20AB">
        <w:rPr>
          <w:color w:val="000000" w:themeColor="text1"/>
          <w:sz w:val="28"/>
          <w:szCs w:val="28"/>
        </w:rPr>
        <w:t xml:space="preserve"> ed. Eds. C. Pope and N. Mays. Hoboken, New Jersey: Wiley Blackwell.</w:t>
      </w:r>
    </w:p>
    <w:p w14:paraId="25108521" w14:textId="77777777" w:rsidR="00C96DB6" w:rsidRDefault="00C96DB6" w:rsidP="371B20AB">
      <w:pPr>
        <w:spacing w:after="0"/>
        <w:rPr>
          <w:color w:val="000000" w:themeColor="text1"/>
          <w:sz w:val="28"/>
          <w:szCs w:val="28"/>
        </w:rPr>
      </w:pPr>
      <w:r w:rsidRPr="371B20AB">
        <w:rPr>
          <w:color w:val="000000" w:themeColor="text1"/>
          <w:sz w:val="28"/>
          <w:szCs w:val="28"/>
        </w:rPr>
        <w:t xml:space="preserve">Pyle, A. </w:t>
      </w:r>
      <w:r w:rsidRPr="371B20AB">
        <w:rPr>
          <w:i/>
          <w:iCs/>
          <w:color w:val="000000" w:themeColor="text1"/>
          <w:sz w:val="28"/>
          <w:szCs w:val="28"/>
        </w:rPr>
        <w:t>et al.</w:t>
      </w:r>
      <w:r w:rsidRPr="371B20AB">
        <w:rPr>
          <w:color w:val="000000" w:themeColor="text1"/>
          <w:sz w:val="28"/>
          <w:szCs w:val="28"/>
        </w:rPr>
        <w:t xml:space="preserve"> (2020) ‘Portrayals of Play-Based Learning: Misalignments among Public Discourse, Classroom Realities, and Research’,</w:t>
      </w:r>
      <w:r w:rsidRPr="371B20AB">
        <w:rPr>
          <w:i/>
          <w:iCs/>
          <w:color w:val="000000" w:themeColor="text1"/>
          <w:sz w:val="28"/>
          <w:szCs w:val="28"/>
        </w:rPr>
        <w:t xml:space="preserve"> American journal of play, </w:t>
      </w:r>
      <w:r w:rsidRPr="371B20AB">
        <w:rPr>
          <w:color w:val="000000" w:themeColor="text1"/>
          <w:sz w:val="28"/>
          <w:szCs w:val="28"/>
        </w:rPr>
        <w:t>13(1), pp. 53.</w:t>
      </w:r>
    </w:p>
    <w:p w14:paraId="05D000E2"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Quiñones, J.R. (No Date) ‘Do AIs Have Dasein? A Heideggerian-Girardian Answer’. Available at: </w:t>
      </w:r>
      <w:hyperlink r:id="rId16">
        <w:r w:rsidRPr="371B20AB">
          <w:rPr>
            <w:rStyle w:val="Hyperlink"/>
            <w:sz w:val="28"/>
            <w:szCs w:val="28"/>
            <w:lang w:val="en-GB"/>
          </w:rPr>
          <w:t>RESDAH-4 (philarchive.org)</w:t>
        </w:r>
      </w:hyperlink>
      <w:r w:rsidRPr="371B20AB">
        <w:rPr>
          <w:color w:val="000000" w:themeColor="text1"/>
          <w:sz w:val="28"/>
          <w:szCs w:val="28"/>
          <w:lang w:val="en-GB"/>
        </w:rPr>
        <w:t xml:space="preserve"> (Accessed: 01/05/2024)</w:t>
      </w:r>
    </w:p>
    <w:p w14:paraId="17BE92EE"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Reed, I. (2011) </w:t>
      </w:r>
      <w:r w:rsidRPr="371B20AB">
        <w:rPr>
          <w:i/>
          <w:iCs/>
          <w:color w:val="000000" w:themeColor="text1"/>
          <w:sz w:val="28"/>
          <w:szCs w:val="28"/>
          <w:lang w:val="en-GB"/>
        </w:rPr>
        <w:t>Interpretation and Social Knowledge. On the Use of Theory in the Human Sciences</w:t>
      </w:r>
      <w:r w:rsidRPr="371B20AB">
        <w:rPr>
          <w:color w:val="000000" w:themeColor="text1"/>
          <w:sz w:val="28"/>
          <w:szCs w:val="28"/>
          <w:lang w:val="en-GB"/>
        </w:rPr>
        <w:t>. Chicago, IL: University of Chicago Press.</w:t>
      </w:r>
    </w:p>
    <w:p w14:paraId="05176A1D" w14:textId="34EA5472" w:rsidR="00C96DB6" w:rsidRDefault="00C96DB6" w:rsidP="371B20AB">
      <w:pPr>
        <w:spacing w:after="0"/>
        <w:rPr>
          <w:sz w:val="28"/>
          <w:szCs w:val="28"/>
        </w:rPr>
      </w:pPr>
      <w:r w:rsidRPr="371B20AB">
        <w:rPr>
          <w:sz w:val="28"/>
          <w:szCs w:val="28"/>
        </w:rPr>
        <w:t>Rekers, A. and Waters-Davies, J. (2021</w:t>
      </w:r>
      <w:proofErr w:type="gramStart"/>
      <w:r w:rsidRPr="371B20AB">
        <w:rPr>
          <w:sz w:val="28"/>
          <w:szCs w:val="28"/>
        </w:rPr>
        <w:t>)  ‘</w:t>
      </w:r>
      <w:proofErr w:type="gramEnd"/>
      <w:r w:rsidRPr="371B20AB">
        <w:rPr>
          <w:sz w:val="28"/>
          <w:szCs w:val="28"/>
        </w:rPr>
        <w:t>‘All of the Wild’: Cultural Formation in Wales Through Outdoor Play at Forest School’, in Grindheim, L.T.,</w:t>
      </w:r>
      <w:r>
        <w:rPr>
          <w:sz w:val="28"/>
          <w:szCs w:val="28"/>
        </w:rPr>
        <w:t xml:space="preserve"> </w:t>
      </w:r>
      <w:r w:rsidRPr="371B20AB">
        <w:rPr>
          <w:sz w:val="28"/>
          <w:szCs w:val="28"/>
        </w:rPr>
        <w:t xml:space="preserve">Sørensen, H.V. and Rekers, A. (eds) </w:t>
      </w:r>
      <w:r w:rsidRPr="371B20AB">
        <w:rPr>
          <w:i/>
          <w:iCs/>
          <w:sz w:val="28"/>
          <w:szCs w:val="28"/>
        </w:rPr>
        <w:t>Outdoor Learning and Play</w:t>
      </w:r>
      <w:r w:rsidRPr="371B20AB">
        <w:rPr>
          <w:sz w:val="28"/>
          <w:szCs w:val="28"/>
        </w:rPr>
        <w:t xml:space="preserve">. International Perspectives on Early </w:t>
      </w:r>
      <w:r w:rsidRPr="371B20AB">
        <w:rPr>
          <w:i/>
          <w:iCs/>
          <w:sz w:val="28"/>
          <w:szCs w:val="28"/>
        </w:rPr>
        <w:t xml:space="preserve">Childhood Education and Development, </w:t>
      </w:r>
      <w:r w:rsidRPr="371B20AB">
        <w:rPr>
          <w:sz w:val="28"/>
          <w:szCs w:val="28"/>
        </w:rPr>
        <w:t xml:space="preserve">volume 34, Springer, Cham. </w:t>
      </w:r>
      <w:hyperlink r:id="rId17" w:history="1">
        <w:r w:rsidRPr="00F27556">
          <w:rPr>
            <w:rStyle w:val="Hyperlink"/>
            <w:sz w:val="28"/>
            <w:szCs w:val="28"/>
          </w:rPr>
          <w:t>https://doi.org/10.1007/978-3-030-72595-2_9</w:t>
        </w:r>
      </w:hyperlink>
      <w:r w:rsidRPr="371B20AB">
        <w:rPr>
          <w:sz w:val="28"/>
          <w:szCs w:val="28"/>
        </w:rPr>
        <w:t>;</w:t>
      </w:r>
    </w:p>
    <w:p w14:paraId="03E8BEF4" w14:textId="77777777" w:rsidR="00C96DB6" w:rsidRDefault="00C96DB6" w:rsidP="371B20AB">
      <w:pPr>
        <w:spacing w:after="0"/>
        <w:rPr>
          <w:sz w:val="28"/>
          <w:szCs w:val="28"/>
        </w:rPr>
      </w:pPr>
    </w:p>
    <w:p w14:paraId="6E4E901B"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Rogers, C. (1995) </w:t>
      </w:r>
      <w:r w:rsidRPr="371B20AB">
        <w:rPr>
          <w:i/>
          <w:iCs/>
          <w:color w:val="000000" w:themeColor="text1"/>
          <w:sz w:val="28"/>
          <w:szCs w:val="28"/>
          <w:lang w:val="en-GB"/>
        </w:rPr>
        <w:t>A way of being</w:t>
      </w:r>
      <w:r w:rsidRPr="371B20AB">
        <w:rPr>
          <w:color w:val="000000" w:themeColor="text1"/>
          <w:sz w:val="28"/>
          <w:szCs w:val="28"/>
          <w:lang w:val="en-GB"/>
        </w:rPr>
        <w:t>. Boston: Houghton Mifflin Co.</w:t>
      </w:r>
    </w:p>
    <w:p w14:paraId="56FB5724" w14:textId="77777777" w:rsidR="00C96DB6" w:rsidRDefault="00C96DB6" w:rsidP="371B20AB">
      <w:pPr>
        <w:spacing w:line="278" w:lineRule="auto"/>
        <w:rPr>
          <w:sz w:val="28"/>
          <w:szCs w:val="28"/>
          <w:lang w:val="en-GB"/>
        </w:rPr>
      </w:pPr>
      <w:r w:rsidRPr="371B20AB">
        <w:rPr>
          <w:color w:val="222222"/>
          <w:sz w:val="28"/>
          <w:szCs w:val="28"/>
          <w:lang w:val="en-GB"/>
        </w:rPr>
        <w:t xml:space="preserve">Rouse, E. and Hadley, F. (2018) ‘Where did love and care get lost? Educators and parents’ perceptions of early childhood practice’.  </w:t>
      </w:r>
      <w:r w:rsidRPr="371B20AB">
        <w:rPr>
          <w:i/>
          <w:iCs/>
          <w:color w:val="222222"/>
          <w:sz w:val="28"/>
          <w:szCs w:val="28"/>
          <w:lang w:val="en-GB"/>
        </w:rPr>
        <w:t>International Journal of Early Years Education</w:t>
      </w:r>
      <w:r w:rsidRPr="371B20AB">
        <w:rPr>
          <w:color w:val="222222"/>
          <w:sz w:val="28"/>
          <w:szCs w:val="28"/>
          <w:lang w:val="en-GB"/>
        </w:rPr>
        <w:t>, </w:t>
      </w:r>
      <w:r w:rsidRPr="371B20AB">
        <w:rPr>
          <w:i/>
          <w:iCs/>
          <w:color w:val="222222"/>
          <w:sz w:val="28"/>
          <w:szCs w:val="28"/>
          <w:lang w:val="en-GB"/>
        </w:rPr>
        <w:t>26</w:t>
      </w:r>
      <w:r w:rsidRPr="371B20AB">
        <w:rPr>
          <w:color w:val="222222"/>
          <w:sz w:val="28"/>
          <w:szCs w:val="28"/>
          <w:lang w:val="en-GB"/>
        </w:rPr>
        <w:t>(2), pp.159-172.</w:t>
      </w:r>
    </w:p>
    <w:p w14:paraId="034AD952"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Ruffa, C. and Evangelista, M. (2021) ‘Searching for a middle ground? A spectrum of views of causality in qualitative research,’</w:t>
      </w:r>
      <w:r w:rsidRPr="371B20AB">
        <w:rPr>
          <w:i/>
          <w:iCs/>
          <w:color w:val="000000" w:themeColor="text1"/>
          <w:sz w:val="28"/>
          <w:szCs w:val="28"/>
          <w:lang w:val="en-GB"/>
        </w:rPr>
        <w:t xml:space="preserve"> Italian Political Science Review</w:t>
      </w:r>
      <w:r w:rsidRPr="371B20AB">
        <w:rPr>
          <w:color w:val="000000" w:themeColor="text1"/>
          <w:sz w:val="28"/>
          <w:szCs w:val="28"/>
          <w:lang w:val="en-GB"/>
        </w:rPr>
        <w:t>, 51(2), pp. 164–181.</w:t>
      </w:r>
    </w:p>
    <w:p w14:paraId="697FDF13" w14:textId="77777777" w:rsidR="00C96DB6" w:rsidRDefault="00C96DB6" w:rsidP="371B20AB">
      <w:pPr>
        <w:spacing w:line="240" w:lineRule="auto"/>
        <w:jc w:val="both"/>
        <w:rPr>
          <w:color w:val="000000" w:themeColor="text1"/>
          <w:sz w:val="28"/>
          <w:szCs w:val="28"/>
          <w:lang w:val="en-GB"/>
        </w:rPr>
      </w:pPr>
      <w:proofErr w:type="spellStart"/>
      <w:r w:rsidRPr="371B20AB">
        <w:rPr>
          <w:color w:val="000000" w:themeColor="text1"/>
          <w:sz w:val="28"/>
          <w:szCs w:val="28"/>
          <w:lang w:val="en-GB"/>
        </w:rPr>
        <w:t>Sandelowski</w:t>
      </w:r>
      <w:proofErr w:type="spellEnd"/>
      <w:r w:rsidRPr="371B20AB">
        <w:rPr>
          <w:color w:val="000000" w:themeColor="text1"/>
          <w:sz w:val="28"/>
          <w:szCs w:val="28"/>
          <w:lang w:val="en-GB"/>
        </w:rPr>
        <w:t xml:space="preserve">, M. </w:t>
      </w:r>
      <w:proofErr w:type="gramStart"/>
      <w:r w:rsidRPr="371B20AB">
        <w:rPr>
          <w:color w:val="000000" w:themeColor="text1"/>
          <w:sz w:val="28"/>
          <w:szCs w:val="28"/>
          <w:lang w:val="en-GB"/>
        </w:rPr>
        <w:t>( 1995</w:t>
      </w:r>
      <w:proofErr w:type="gramEnd"/>
      <w:r w:rsidRPr="371B20AB">
        <w:rPr>
          <w:color w:val="000000" w:themeColor="text1"/>
          <w:sz w:val="28"/>
          <w:szCs w:val="28"/>
          <w:lang w:val="en-GB"/>
        </w:rPr>
        <w:t xml:space="preserve"> ) ‘Sample size in qualitative research’, </w:t>
      </w:r>
      <w:r w:rsidRPr="371B20AB">
        <w:rPr>
          <w:i/>
          <w:iCs/>
          <w:color w:val="000000" w:themeColor="text1"/>
          <w:sz w:val="28"/>
          <w:szCs w:val="28"/>
          <w:lang w:val="en-GB"/>
        </w:rPr>
        <w:t xml:space="preserve">Research in Nursing and Health, </w:t>
      </w:r>
      <w:r w:rsidRPr="371B20AB">
        <w:rPr>
          <w:color w:val="000000" w:themeColor="text1"/>
          <w:sz w:val="28"/>
          <w:szCs w:val="28"/>
          <w:lang w:val="en-GB"/>
        </w:rPr>
        <w:t>18 (2), pp. 179 - 183.</w:t>
      </w:r>
    </w:p>
    <w:p w14:paraId="699DD643"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Saunders, M., Lewis, P. and Thornhill, A. (2003) </w:t>
      </w:r>
      <w:r w:rsidRPr="371B20AB">
        <w:rPr>
          <w:i/>
          <w:iCs/>
          <w:color w:val="000000" w:themeColor="text1"/>
          <w:sz w:val="28"/>
          <w:szCs w:val="28"/>
          <w:lang w:val="en-GB"/>
        </w:rPr>
        <w:t xml:space="preserve">Research methods for business students. </w:t>
      </w:r>
      <w:r w:rsidRPr="371B20AB">
        <w:rPr>
          <w:color w:val="000000" w:themeColor="text1"/>
          <w:sz w:val="28"/>
          <w:szCs w:val="28"/>
          <w:lang w:val="en-GB"/>
        </w:rPr>
        <w:t>3rd ed. Harlow: Pearson Education Limited.</w:t>
      </w:r>
    </w:p>
    <w:p w14:paraId="6731AA92"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Schon, D. (1991) </w:t>
      </w:r>
      <w:r w:rsidRPr="371B20AB">
        <w:rPr>
          <w:i/>
          <w:iCs/>
          <w:color w:val="000000" w:themeColor="text1"/>
          <w:sz w:val="28"/>
          <w:szCs w:val="28"/>
          <w:lang w:val="en-GB"/>
        </w:rPr>
        <w:t>The Reflective Practitioner: How Professionals Think and Act</w:t>
      </w:r>
      <w:r w:rsidRPr="371B20AB">
        <w:rPr>
          <w:color w:val="000000" w:themeColor="text1"/>
          <w:sz w:val="28"/>
          <w:szCs w:val="28"/>
          <w:lang w:val="en-GB"/>
        </w:rPr>
        <w:t>. Oxford: Avebury.</w:t>
      </w:r>
    </w:p>
    <w:p w14:paraId="776981E5" w14:textId="77777777" w:rsidR="00C96DB6" w:rsidRDefault="00C96DB6" w:rsidP="371B20AB">
      <w:pPr>
        <w:rPr>
          <w:sz w:val="28"/>
          <w:szCs w:val="28"/>
        </w:rPr>
      </w:pPr>
      <w:r w:rsidRPr="371B20AB">
        <w:rPr>
          <w:sz w:val="28"/>
          <w:szCs w:val="28"/>
        </w:rPr>
        <w:t xml:space="preserve">Seipel, S.H. and Seeger, V. (2024) Impact of the Reggio Emilia Approach through short term study abroad and the lenses of Lundy's model: Space, voice, audience, and influence. </w:t>
      </w:r>
      <w:r w:rsidRPr="371B20AB">
        <w:rPr>
          <w:i/>
          <w:iCs/>
          <w:sz w:val="28"/>
          <w:szCs w:val="28"/>
        </w:rPr>
        <w:t>Educational Considerations</w:t>
      </w:r>
      <w:r w:rsidRPr="371B20AB">
        <w:rPr>
          <w:sz w:val="28"/>
          <w:szCs w:val="28"/>
        </w:rPr>
        <w:t xml:space="preserve">, </w:t>
      </w:r>
      <w:r w:rsidRPr="371B20AB">
        <w:rPr>
          <w:i/>
          <w:iCs/>
          <w:sz w:val="28"/>
          <w:szCs w:val="28"/>
        </w:rPr>
        <w:t>49</w:t>
      </w:r>
      <w:r w:rsidRPr="371B20AB">
        <w:rPr>
          <w:sz w:val="28"/>
          <w:szCs w:val="28"/>
        </w:rPr>
        <w:t>(3), p.5.</w:t>
      </w:r>
    </w:p>
    <w:p w14:paraId="25A92CBF" w14:textId="77777777" w:rsidR="00C96DB6" w:rsidRDefault="00C96DB6" w:rsidP="371B20AB">
      <w:pPr>
        <w:rPr>
          <w:sz w:val="28"/>
          <w:szCs w:val="28"/>
        </w:rPr>
      </w:pPr>
      <w:r w:rsidRPr="371B20AB">
        <w:rPr>
          <w:sz w:val="28"/>
          <w:szCs w:val="28"/>
        </w:rPr>
        <w:lastRenderedPageBreak/>
        <w:t xml:space="preserve">Sekar, S., </w:t>
      </w:r>
      <w:proofErr w:type="spellStart"/>
      <w:r w:rsidRPr="371B20AB">
        <w:rPr>
          <w:sz w:val="28"/>
          <w:szCs w:val="28"/>
        </w:rPr>
        <w:t>Krushnasamy</w:t>
      </w:r>
      <w:proofErr w:type="spellEnd"/>
      <w:r w:rsidRPr="371B20AB">
        <w:rPr>
          <w:sz w:val="28"/>
          <w:szCs w:val="28"/>
        </w:rPr>
        <w:t xml:space="preserve">, V.S., Abraham, S., Hemanathan, M. and </w:t>
      </w:r>
      <w:proofErr w:type="spellStart"/>
      <w:r w:rsidRPr="371B20AB">
        <w:rPr>
          <w:sz w:val="28"/>
          <w:szCs w:val="28"/>
        </w:rPr>
        <w:t>Murgai</w:t>
      </w:r>
      <w:proofErr w:type="spellEnd"/>
      <w:r w:rsidRPr="371B20AB">
        <w:rPr>
          <w:sz w:val="28"/>
          <w:szCs w:val="28"/>
        </w:rPr>
        <w:t xml:space="preserve">, A. (2024) ‘Teachers’ Ethical Professional Practices in Higher Education for Holistic Development of Students: A Roadmap to Success’, </w:t>
      </w:r>
      <w:r w:rsidRPr="371B20AB">
        <w:rPr>
          <w:i/>
          <w:iCs/>
          <w:sz w:val="28"/>
          <w:szCs w:val="28"/>
        </w:rPr>
        <w:t>Migration Letters</w:t>
      </w:r>
      <w:r w:rsidRPr="371B20AB">
        <w:rPr>
          <w:sz w:val="28"/>
          <w:szCs w:val="28"/>
        </w:rPr>
        <w:t xml:space="preserve">, </w:t>
      </w:r>
      <w:r w:rsidRPr="371B20AB">
        <w:rPr>
          <w:i/>
          <w:iCs/>
          <w:sz w:val="28"/>
          <w:szCs w:val="28"/>
        </w:rPr>
        <w:t>21</w:t>
      </w:r>
      <w:r w:rsidRPr="371B20AB">
        <w:rPr>
          <w:sz w:val="28"/>
          <w:szCs w:val="28"/>
        </w:rPr>
        <w:t>(3), pp.1092-1101.</w:t>
      </w:r>
    </w:p>
    <w:p w14:paraId="66266D48" w14:textId="77777777" w:rsidR="00C96DB6" w:rsidRDefault="00C96DB6" w:rsidP="371B20AB">
      <w:pPr>
        <w:spacing w:line="240" w:lineRule="auto"/>
        <w:jc w:val="both"/>
        <w:rPr>
          <w:color w:val="000000" w:themeColor="text1"/>
          <w:sz w:val="28"/>
          <w:szCs w:val="28"/>
          <w:lang w:val="en-GB"/>
        </w:rPr>
      </w:pPr>
      <w:r w:rsidRPr="371B20AB">
        <w:rPr>
          <w:color w:val="000000" w:themeColor="text1"/>
          <w:sz w:val="28"/>
          <w:szCs w:val="28"/>
          <w:lang w:val="en-GB"/>
        </w:rPr>
        <w:t xml:space="preserve">Shannon, P. and </w:t>
      </w:r>
      <w:proofErr w:type="spellStart"/>
      <w:r w:rsidRPr="371B20AB">
        <w:rPr>
          <w:color w:val="000000" w:themeColor="text1"/>
          <w:sz w:val="28"/>
          <w:szCs w:val="28"/>
          <w:lang w:val="en-GB"/>
        </w:rPr>
        <w:t>Hambacher</w:t>
      </w:r>
      <w:proofErr w:type="spellEnd"/>
      <w:r w:rsidRPr="371B20AB">
        <w:rPr>
          <w:color w:val="000000" w:themeColor="text1"/>
          <w:sz w:val="28"/>
          <w:szCs w:val="28"/>
          <w:lang w:val="en-GB"/>
        </w:rPr>
        <w:t xml:space="preserve">, E. (2014). ‘Authenticity in constructivist inquiry: Assessing an elusive construct’, </w:t>
      </w:r>
      <w:r w:rsidRPr="371B20AB">
        <w:rPr>
          <w:i/>
          <w:iCs/>
          <w:color w:val="000000" w:themeColor="text1"/>
          <w:sz w:val="28"/>
          <w:szCs w:val="28"/>
          <w:lang w:val="en-GB"/>
        </w:rPr>
        <w:t>Qualitative Report</w:t>
      </w:r>
      <w:r w:rsidRPr="371B20AB">
        <w:rPr>
          <w:color w:val="000000" w:themeColor="text1"/>
          <w:sz w:val="28"/>
          <w:szCs w:val="28"/>
          <w:lang w:val="en-GB"/>
        </w:rPr>
        <w:t xml:space="preserve">, 19(52), pp.1–13. </w:t>
      </w:r>
    </w:p>
    <w:p w14:paraId="6B3B5173" w14:textId="77777777" w:rsidR="00C96DB6" w:rsidRDefault="00C96DB6" w:rsidP="371B20AB">
      <w:pPr>
        <w:rPr>
          <w:color w:val="000000" w:themeColor="text1"/>
          <w:sz w:val="28"/>
          <w:szCs w:val="28"/>
          <w:lang w:val="en-GB"/>
        </w:rPr>
      </w:pPr>
      <w:r w:rsidRPr="371B20AB">
        <w:rPr>
          <w:color w:val="000000" w:themeColor="text1"/>
          <w:sz w:val="28"/>
          <w:szCs w:val="28"/>
        </w:rPr>
        <w:t xml:space="preserve">Sim, J. and Waterfield, J. (2019) ‘Focus group methodology: some ethical challenges’, </w:t>
      </w:r>
      <w:r w:rsidRPr="371B20AB">
        <w:rPr>
          <w:i/>
          <w:iCs/>
          <w:color w:val="000000" w:themeColor="text1"/>
          <w:sz w:val="28"/>
          <w:szCs w:val="28"/>
        </w:rPr>
        <w:t>Quality &amp; quantity</w:t>
      </w:r>
      <w:r w:rsidRPr="371B20AB">
        <w:rPr>
          <w:color w:val="000000" w:themeColor="text1"/>
          <w:sz w:val="28"/>
          <w:szCs w:val="28"/>
        </w:rPr>
        <w:t xml:space="preserve">, 53(6), pp. 3003–3022. </w:t>
      </w:r>
    </w:p>
    <w:p w14:paraId="5DB09100"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Sim, J., Saunders, B., Waterfield, J. and Kingstone, T., (2018) ‘Can sample size in qualitative research be determined a priori?’. </w:t>
      </w:r>
      <w:r w:rsidRPr="371B20AB">
        <w:rPr>
          <w:i/>
          <w:iCs/>
          <w:color w:val="000000" w:themeColor="text1"/>
          <w:sz w:val="28"/>
          <w:szCs w:val="28"/>
          <w:lang w:val="en-GB"/>
        </w:rPr>
        <w:t>International journal of social research methodology</w:t>
      </w:r>
      <w:r w:rsidRPr="371B20AB">
        <w:rPr>
          <w:color w:val="000000" w:themeColor="text1"/>
          <w:sz w:val="28"/>
          <w:szCs w:val="28"/>
          <w:lang w:val="en-GB"/>
        </w:rPr>
        <w:t xml:space="preserve">, </w:t>
      </w:r>
      <w:r w:rsidRPr="371B20AB">
        <w:rPr>
          <w:i/>
          <w:iCs/>
          <w:color w:val="000000" w:themeColor="text1"/>
          <w:sz w:val="28"/>
          <w:szCs w:val="28"/>
          <w:lang w:val="en-GB"/>
        </w:rPr>
        <w:t>21</w:t>
      </w:r>
      <w:r w:rsidRPr="371B20AB">
        <w:rPr>
          <w:color w:val="000000" w:themeColor="text1"/>
          <w:sz w:val="28"/>
          <w:szCs w:val="28"/>
          <w:lang w:val="en-GB"/>
        </w:rPr>
        <w:t>(5), pp.619-634.</w:t>
      </w:r>
    </w:p>
    <w:p w14:paraId="229F8CD3" w14:textId="77777777" w:rsidR="00C96DB6" w:rsidRDefault="00C96DB6" w:rsidP="371B20AB">
      <w:pPr>
        <w:spacing w:after="0" w:line="240" w:lineRule="auto"/>
        <w:jc w:val="both"/>
        <w:rPr>
          <w:color w:val="000000" w:themeColor="text1"/>
          <w:sz w:val="28"/>
          <w:szCs w:val="28"/>
          <w:lang w:val="en-GB"/>
        </w:rPr>
      </w:pPr>
    </w:p>
    <w:p w14:paraId="59B7A050" w14:textId="77777777" w:rsidR="00C96DB6" w:rsidRDefault="00C96DB6" w:rsidP="371B20AB">
      <w:pPr>
        <w:spacing w:after="0"/>
        <w:rPr>
          <w:sz w:val="28"/>
          <w:szCs w:val="28"/>
        </w:rPr>
      </w:pPr>
      <w:r w:rsidRPr="371B20AB">
        <w:rPr>
          <w:sz w:val="28"/>
          <w:szCs w:val="28"/>
        </w:rPr>
        <w:t xml:space="preserve">Siraj-Blatchford, I. and Sylva, K. (2004) ‘Researching pedagogy in English pre-schools’, </w:t>
      </w:r>
      <w:r w:rsidRPr="371B20AB">
        <w:rPr>
          <w:i/>
          <w:iCs/>
          <w:sz w:val="28"/>
          <w:szCs w:val="28"/>
        </w:rPr>
        <w:t>British educational research journal</w:t>
      </w:r>
      <w:r w:rsidRPr="371B20AB">
        <w:rPr>
          <w:sz w:val="28"/>
          <w:szCs w:val="28"/>
        </w:rPr>
        <w:t xml:space="preserve">, 30(5), pp. 713–730. Available at: </w:t>
      </w:r>
      <w:hyperlink r:id="rId18">
        <w:r w:rsidRPr="371B20AB">
          <w:rPr>
            <w:rStyle w:val="Hyperlink"/>
            <w:sz w:val="28"/>
            <w:szCs w:val="28"/>
          </w:rPr>
          <w:t>https://doi.org/10.1080/0141192042000234665</w:t>
        </w:r>
      </w:hyperlink>
      <w:r w:rsidRPr="371B20AB">
        <w:rPr>
          <w:sz w:val="28"/>
          <w:szCs w:val="28"/>
        </w:rPr>
        <w:t>.</w:t>
      </w:r>
    </w:p>
    <w:p w14:paraId="7EDB386B" w14:textId="77777777" w:rsidR="00C96DB6" w:rsidRDefault="00C96DB6" w:rsidP="371B20AB">
      <w:pPr>
        <w:spacing w:after="0"/>
        <w:rPr>
          <w:sz w:val="28"/>
          <w:szCs w:val="28"/>
        </w:rPr>
      </w:pPr>
    </w:p>
    <w:p w14:paraId="748E0BCE" w14:textId="77777777" w:rsidR="00C96DB6" w:rsidRDefault="00C96DB6" w:rsidP="371B20AB">
      <w:pPr>
        <w:rPr>
          <w:sz w:val="28"/>
          <w:szCs w:val="28"/>
        </w:rPr>
      </w:pPr>
      <w:r w:rsidRPr="371B20AB">
        <w:rPr>
          <w:sz w:val="28"/>
          <w:szCs w:val="28"/>
        </w:rPr>
        <w:t>Siraj-</w:t>
      </w:r>
      <w:proofErr w:type="spellStart"/>
      <w:proofErr w:type="gramStart"/>
      <w:r w:rsidRPr="371B20AB">
        <w:rPr>
          <w:sz w:val="28"/>
          <w:szCs w:val="28"/>
        </w:rPr>
        <w:t>Blatchford,I</w:t>
      </w:r>
      <w:proofErr w:type="spellEnd"/>
      <w:r w:rsidRPr="371B20AB">
        <w:rPr>
          <w:sz w:val="28"/>
          <w:szCs w:val="28"/>
        </w:rPr>
        <w:t>.</w:t>
      </w:r>
      <w:proofErr w:type="gramEnd"/>
      <w:r w:rsidRPr="371B20AB">
        <w:rPr>
          <w:sz w:val="28"/>
          <w:szCs w:val="28"/>
        </w:rPr>
        <w:t xml:space="preserve">, Sylva, K.,  </w:t>
      </w:r>
      <w:proofErr w:type="spellStart"/>
      <w:r w:rsidRPr="371B20AB">
        <w:rPr>
          <w:sz w:val="28"/>
          <w:szCs w:val="28"/>
        </w:rPr>
        <w:t>Muttock</w:t>
      </w:r>
      <w:proofErr w:type="spellEnd"/>
      <w:r w:rsidRPr="371B20AB">
        <w:rPr>
          <w:sz w:val="28"/>
          <w:szCs w:val="28"/>
        </w:rPr>
        <w:t>, S., Gilden, R. and Bel, D. (2002) ‘Researching Effective Pedagogy in the Early Years’, (Research Report No. 356), Department for Education, London</w:t>
      </w:r>
    </w:p>
    <w:p w14:paraId="0867C983"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Sixtensson, J. (2022) </w:t>
      </w:r>
      <w:r w:rsidRPr="371B20AB">
        <w:rPr>
          <w:i/>
          <w:iCs/>
          <w:color w:val="000000" w:themeColor="text1"/>
          <w:sz w:val="28"/>
          <w:szCs w:val="28"/>
          <w:lang w:val="en-GB"/>
        </w:rPr>
        <w:t xml:space="preserve">The politics and ethics of representation in qualitative research: addressing moments of discomfort, </w:t>
      </w:r>
      <w:r w:rsidRPr="371B20AB">
        <w:rPr>
          <w:color w:val="000000" w:themeColor="text1"/>
          <w:sz w:val="28"/>
          <w:szCs w:val="28"/>
          <w:lang w:val="en-GB"/>
        </w:rPr>
        <w:t>London; Routledge.</w:t>
      </w:r>
    </w:p>
    <w:p w14:paraId="00996E82" w14:textId="77777777" w:rsidR="00C96DB6" w:rsidRDefault="00C96DB6" w:rsidP="371B20AB">
      <w:pPr>
        <w:spacing w:after="0" w:line="240" w:lineRule="auto"/>
        <w:jc w:val="both"/>
        <w:rPr>
          <w:color w:val="000000" w:themeColor="text1"/>
          <w:sz w:val="28"/>
          <w:szCs w:val="28"/>
          <w:lang w:val="en-GB"/>
        </w:rPr>
      </w:pPr>
    </w:p>
    <w:p w14:paraId="10AA5AD1"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Smart, S. (2023) ‘Interview in Windrush Anniversary Special’, </w:t>
      </w:r>
      <w:proofErr w:type="spellStart"/>
      <w:r w:rsidRPr="371B20AB">
        <w:rPr>
          <w:i/>
          <w:iCs/>
          <w:color w:val="000000" w:themeColor="text1"/>
          <w:sz w:val="28"/>
          <w:szCs w:val="28"/>
          <w:lang w:val="en-GB"/>
        </w:rPr>
        <w:t>Xcellence</w:t>
      </w:r>
      <w:proofErr w:type="spellEnd"/>
      <w:r w:rsidRPr="371B20AB">
        <w:rPr>
          <w:i/>
          <w:iCs/>
          <w:color w:val="000000" w:themeColor="text1"/>
          <w:sz w:val="28"/>
          <w:szCs w:val="28"/>
          <w:lang w:val="en-GB"/>
        </w:rPr>
        <w:t xml:space="preserve"> Magazine, </w:t>
      </w:r>
      <w:r w:rsidRPr="371B20AB">
        <w:rPr>
          <w:color w:val="000000" w:themeColor="text1"/>
          <w:sz w:val="28"/>
          <w:szCs w:val="28"/>
          <w:lang w:val="en-GB"/>
        </w:rPr>
        <w:t>Summer 2023, pp. 15-16.</w:t>
      </w:r>
    </w:p>
    <w:p w14:paraId="0FACE44C" w14:textId="77777777" w:rsidR="00C96DB6" w:rsidRDefault="00C96DB6" w:rsidP="371B20AB">
      <w:pPr>
        <w:spacing w:after="0" w:line="240" w:lineRule="auto"/>
        <w:jc w:val="both"/>
        <w:rPr>
          <w:color w:val="000000" w:themeColor="text1"/>
          <w:sz w:val="28"/>
          <w:szCs w:val="28"/>
          <w:lang w:val="en-GB"/>
        </w:rPr>
      </w:pPr>
    </w:p>
    <w:p w14:paraId="726ACE8D" w14:textId="77777777" w:rsidR="00C96DB6" w:rsidRDefault="00C96DB6" w:rsidP="371B20AB">
      <w:pPr>
        <w:spacing w:after="0"/>
        <w:rPr>
          <w:sz w:val="28"/>
          <w:szCs w:val="28"/>
        </w:rPr>
      </w:pPr>
      <w:r w:rsidRPr="371B20AB">
        <w:rPr>
          <w:sz w:val="28"/>
          <w:szCs w:val="28"/>
        </w:rPr>
        <w:t xml:space="preserve">Sproule, L., Walsh, G. and McGuinness, C. (2019) ‘More than “just play”: picking out three dimensions of a balanced early years pedagogy’, </w:t>
      </w:r>
      <w:r w:rsidRPr="371B20AB">
        <w:rPr>
          <w:i/>
          <w:iCs/>
          <w:sz w:val="28"/>
          <w:szCs w:val="28"/>
        </w:rPr>
        <w:t>International journal of early years education</w:t>
      </w:r>
      <w:r w:rsidRPr="371B20AB">
        <w:rPr>
          <w:sz w:val="28"/>
          <w:szCs w:val="28"/>
        </w:rPr>
        <w:t xml:space="preserve">, 27(4), pp. 409–422. Available at: </w:t>
      </w:r>
      <w:hyperlink r:id="rId19">
        <w:r w:rsidRPr="371B20AB">
          <w:rPr>
            <w:rStyle w:val="Hyperlink"/>
            <w:sz w:val="28"/>
            <w:szCs w:val="28"/>
          </w:rPr>
          <w:t>https://doi.org/10.1080/09669760.2019.1628011</w:t>
        </w:r>
      </w:hyperlink>
      <w:r w:rsidRPr="371B20AB">
        <w:rPr>
          <w:sz w:val="28"/>
          <w:szCs w:val="28"/>
        </w:rPr>
        <w:t>.</w:t>
      </w:r>
    </w:p>
    <w:p w14:paraId="0682F422" w14:textId="77777777" w:rsidR="00C96DB6" w:rsidRDefault="00C96DB6" w:rsidP="371B20AB">
      <w:pPr>
        <w:spacing w:after="0" w:line="240" w:lineRule="auto"/>
        <w:jc w:val="both"/>
        <w:rPr>
          <w:color w:val="000000" w:themeColor="text1"/>
          <w:sz w:val="28"/>
          <w:szCs w:val="28"/>
          <w:lang w:val="en-GB"/>
        </w:rPr>
      </w:pPr>
      <w:r w:rsidRPr="371B20AB">
        <w:rPr>
          <w:color w:val="000000" w:themeColor="text1"/>
          <w:sz w:val="28"/>
          <w:szCs w:val="28"/>
          <w:lang w:val="en-GB"/>
        </w:rPr>
        <w:t xml:space="preserve">Tal, G., Dishon, G. and Vedder-Weiss, D. (2023) ‘“I know how to say it, but I still don’t know it in my hands’: examining practices and epistemology in Forest Education,”’ </w:t>
      </w:r>
      <w:r w:rsidRPr="371B20AB">
        <w:rPr>
          <w:i/>
          <w:iCs/>
          <w:color w:val="000000" w:themeColor="text1"/>
          <w:sz w:val="28"/>
          <w:szCs w:val="28"/>
          <w:lang w:val="en-GB"/>
        </w:rPr>
        <w:t>Environmental education research</w:t>
      </w:r>
      <w:r w:rsidRPr="371B20AB">
        <w:rPr>
          <w:color w:val="000000" w:themeColor="text1"/>
          <w:sz w:val="28"/>
          <w:szCs w:val="28"/>
          <w:lang w:val="en-GB"/>
        </w:rPr>
        <w:t xml:space="preserve">, 29(10), pp. 1502–1514. </w:t>
      </w:r>
    </w:p>
    <w:p w14:paraId="1599A93D" w14:textId="77777777" w:rsidR="00C96DB6" w:rsidRDefault="00C96DB6" w:rsidP="371B20AB">
      <w:pPr>
        <w:spacing w:after="0" w:line="240" w:lineRule="auto"/>
        <w:jc w:val="both"/>
        <w:rPr>
          <w:color w:val="000000" w:themeColor="text1"/>
          <w:sz w:val="28"/>
          <w:szCs w:val="28"/>
          <w:lang w:val="en-GB"/>
        </w:rPr>
      </w:pPr>
    </w:p>
    <w:p w14:paraId="68DC6808" w14:textId="77777777" w:rsidR="00C96DB6" w:rsidRDefault="00C96DB6" w:rsidP="371B20AB">
      <w:pPr>
        <w:spacing w:after="0"/>
        <w:rPr>
          <w:sz w:val="28"/>
          <w:szCs w:val="28"/>
        </w:rPr>
      </w:pPr>
      <w:r w:rsidRPr="371B20AB">
        <w:rPr>
          <w:color w:val="3A3A3A" w:themeColor="background2" w:themeShade="40"/>
          <w:sz w:val="28"/>
          <w:szCs w:val="28"/>
        </w:rPr>
        <w:lastRenderedPageBreak/>
        <w:t>Tinney, G. (2023) ‘</w:t>
      </w:r>
      <w:r w:rsidRPr="371B20AB">
        <w:rPr>
          <w:sz w:val="28"/>
          <w:szCs w:val="28"/>
        </w:rPr>
        <w:t>Big changes</w:t>
      </w:r>
      <w:r w:rsidRPr="371B20AB">
        <w:rPr>
          <w:color w:val="3A3A3A" w:themeColor="background2" w:themeShade="40"/>
          <w:sz w:val="28"/>
          <w:szCs w:val="28"/>
        </w:rPr>
        <w:t xml:space="preserve">! </w:t>
      </w:r>
      <w:r w:rsidRPr="371B20AB">
        <w:rPr>
          <w:sz w:val="28"/>
          <w:szCs w:val="28"/>
        </w:rPr>
        <w:t>The Great Outdoors</w:t>
      </w:r>
      <w:r w:rsidRPr="371B20AB">
        <w:rPr>
          <w:color w:val="3A3A3A" w:themeColor="background2" w:themeShade="40"/>
          <w:sz w:val="28"/>
          <w:szCs w:val="28"/>
        </w:rPr>
        <w:t xml:space="preserve"> and </w:t>
      </w:r>
      <w:r w:rsidRPr="371B20AB">
        <w:rPr>
          <w:sz w:val="28"/>
          <w:szCs w:val="28"/>
        </w:rPr>
        <w:t>the Curriculum for Wales’,</w:t>
      </w:r>
      <w:r w:rsidRPr="371B20AB">
        <w:rPr>
          <w:color w:val="3A3A3A" w:themeColor="background2" w:themeShade="40"/>
          <w:sz w:val="28"/>
          <w:szCs w:val="28"/>
        </w:rPr>
        <w:t xml:space="preserve"> </w:t>
      </w:r>
      <w:r w:rsidRPr="371B20AB">
        <w:rPr>
          <w:i/>
          <w:iCs/>
          <w:color w:val="3A3A3A" w:themeColor="background2" w:themeShade="40"/>
          <w:sz w:val="28"/>
          <w:szCs w:val="28"/>
        </w:rPr>
        <w:t>FORUM for promoting 3 - 19 comprehensive education</w:t>
      </w:r>
      <w:r w:rsidRPr="371B20AB">
        <w:rPr>
          <w:color w:val="3A3A3A" w:themeColor="background2" w:themeShade="40"/>
          <w:sz w:val="28"/>
          <w:szCs w:val="28"/>
        </w:rPr>
        <w:t>, 65 (1). pp. 63-75.</w:t>
      </w:r>
    </w:p>
    <w:p w14:paraId="6A8FF723"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Tobin, K.G. and Steinberg, S.R. (eds) (2015) </w:t>
      </w:r>
      <w:r w:rsidRPr="371B20AB">
        <w:rPr>
          <w:i/>
          <w:iCs/>
          <w:color w:val="000000" w:themeColor="text1"/>
          <w:sz w:val="28"/>
          <w:szCs w:val="28"/>
          <w:lang w:val="en-GB"/>
        </w:rPr>
        <w:t>Doing educational research: a handbook</w:t>
      </w:r>
      <w:r w:rsidRPr="371B20AB">
        <w:rPr>
          <w:color w:val="000000" w:themeColor="text1"/>
          <w:sz w:val="28"/>
          <w:szCs w:val="28"/>
          <w:lang w:val="en-GB"/>
        </w:rPr>
        <w:t xml:space="preserve">. 2nd </w:t>
      </w:r>
      <w:proofErr w:type="spellStart"/>
      <w:r w:rsidRPr="371B20AB">
        <w:rPr>
          <w:color w:val="000000" w:themeColor="text1"/>
          <w:sz w:val="28"/>
          <w:szCs w:val="28"/>
          <w:lang w:val="en-GB"/>
        </w:rPr>
        <w:t>edn</w:t>
      </w:r>
      <w:proofErr w:type="spellEnd"/>
      <w:r w:rsidRPr="371B20AB">
        <w:rPr>
          <w:color w:val="000000" w:themeColor="text1"/>
          <w:sz w:val="28"/>
          <w:szCs w:val="28"/>
          <w:lang w:val="en-GB"/>
        </w:rPr>
        <w:t>. Rotterdam, The Netherlands: Sense Publishers.</w:t>
      </w:r>
    </w:p>
    <w:p w14:paraId="3008D9B3" w14:textId="77777777" w:rsidR="00C96DB6" w:rsidRDefault="00C96DB6" w:rsidP="371B20AB">
      <w:pPr>
        <w:spacing w:line="240" w:lineRule="auto"/>
        <w:rPr>
          <w:color w:val="000000" w:themeColor="text1"/>
          <w:sz w:val="28"/>
          <w:szCs w:val="28"/>
          <w:lang w:val="en-GB"/>
        </w:rPr>
      </w:pPr>
      <w:proofErr w:type="spellStart"/>
      <w:r w:rsidRPr="371B20AB">
        <w:rPr>
          <w:color w:val="000000" w:themeColor="text1"/>
          <w:sz w:val="28"/>
          <w:szCs w:val="28"/>
          <w:lang w:val="en-GB"/>
        </w:rPr>
        <w:t>Trowler</w:t>
      </w:r>
      <w:proofErr w:type="spellEnd"/>
      <w:r w:rsidRPr="371B20AB">
        <w:rPr>
          <w:color w:val="000000" w:themeColor="text1"/>
          <w:sz w:val="28"/>
          <w:szCs w:val="28"/>
          <w:lang w:val="en-GB"/>
        </w:rPr>
        <w:t xml:space="preserve">, P. (2011)’ Researching your own institution’ , British Educational Research Association on-line resource Available at: </w:t>
      </w:r>
      <w:hyperlink r:id="rId20">
        <w:r w:rsidRPr="371B20AB">
          <w:rPr>
            <w:rStyle w:val="Hyperlink"/>
            <w:sz w:val="28"/>
            <w:szCs w:val="28"/>
            <w:lang w:val="en-GB"/>
          </w:rPr>
          <w:t>https://www.bera.ac.uk/publication/researching-your-own-institution-higher-education</w:t>
        </w:r>
      </w:hyperlink>
      <w:r w:rsidRPr="371B20AB">
        <w:rPr>
          <w:color w:val="000000" w:themeColor="text1"/>
          <w:sz w:val="28"/>
          <w:szCs w:val="28"/>
          <w:lang w:val="en-GB"/>
        </w:rPr>
        <w:t xml:space="preserve"> (Accessed: 14</w:t>
      </w:r>
      <w:r w:rsidRPr="371B20AB">
        <w:rPr>
          <w:color w:val="000000" w:themeColor="text1"/>
          <w:sz w:val="28"/>
          <w:szCs w:val="28"/>
          <w:vertAlign w:val="superscript"/>
          <w:lang w:val="en-GB"/>
        </w:rPr>
        <w:t>th</w:t>
      </w:r>
      <w:r w:rsidRPr="371B20AB">
        <w:rPr>
          <w:color w:val="000000" w:themeColor="text1"/>
          <w:sz w:val="28"/>
          <w:szCs w:val="28"/>
          <w:lang w:val="en-GB"/>
        </w:rPr>
        <w:t xml:space="preserve"> October 2023)</w:t>
      </w:r>
    </w:p>
    <w:p w14:paraId="5E9475A7" w14:textId="77777777" w:rsidR="00C96DB6" w:rsidRDefault="00C96DB6" w:rsidP="371B20AB">
      <w:pPr>
        <w:spacing w:after="0"/>
        <w:rPr>
          <w:sz w:val="28"/>
          <w:szCs w:val="28"/>
        </w:rPr>
      </w:pPr>
      <w:r w:rsidRPr="371B20AB">
        <w:rPr>
          <w:sz w:val="28"/>
          <w:szCs w:val="28"/>
        </w:rPr>
        <w:t xml:space="preserve">UNICEF (No Date) ‘How we Protect Children's Rights’, Available at: </w:t>
      </w:r>
      <w:hyperlink r:id="rId21">
        <w:r w:rsidRPr="371B20AB">
          <w:rPr>
            <w:rStyle w:val="Hyperlink"/>
            <w:sz w:val="28"/>
            <w:szCs w:val="28"/>
          </w:rPr>
          <w:t>UN Convention on Rights of a Child (UNCRC) - UNICEF UK</w:t>
        </w:r>
      </w:hyperlink>
      <w:r w:rsidRPr="371B20AB">
        <w:rPr>
          <w:sz w:val="28"/>
          <w:szCs w:val="28"/>
        </w:rPr>
        <w:t xml:space="preserve"> (Accessed: 11/06/24).</w:t>
      </w:r>
    </w:p>
    <w:p w14:paraId="00726868" w14:textId="77777777" w:rsidR="00C96DB6" w:rsidRDefault="00C96DB6" w:rsidP="371B20AB">
      <w:pPr>
        <w:spacing w:line="240" w:lineRule="auto"/>
        <w:ind w:left="-20" w:right="-20"/>
        <w:rPr>
          <w:color w:val="000000" w:themeColor="text1"/>
          <w:sz w:val="28"/>
          <w:szCs w:val="28"/>
          <w:lang w:val="en-GB"/>
        </w:rPr>
      </w:pPr>
      <w:r w:rsidRPr="371B20AB">
        <w:rPr>
          <w:color w:val="000000" w:themeColor="text1"/>
          <w:sz w:val="28"/>
          <w:szCs w:val="28"/>
          <w:lang w:val="en-GB"/>
        </w:rPr>
        <w:t xml:space="preserve">Van Manen, M. (1990) </w:t>
      </w:r>
      <w:r w:rsidRPr="371B20AB">
        <w:rPr>
          <w:i/>
          <w:iCs/>
          <w:color w:val="000000" w:themeColor="text1"/>
          <w:sz w:val="28"/>
          <w:szCs w:val="28"/>
          <w:lang w:val="en-GB"/>
        </w:rPr>
        <w:t xml:space="preserve">Researching lived experience: Human science for an action sensitive pedagogy. </w:t>
      </w:r>
      <w:r w:rsidRPr="371B20AB">
        <w:rPr>
          <w:color w:val="000000" w:themeColor="text1"/>
          <w:sz w:val="28"/>
          <w:szCs w:val="28"/>
          <w:lang w:val="en-GB"/>
        </w:rPr>
        <w:t xml:space="preserve"> Ontario: Althouse Press.</w:t>
      </w:r>
    </w:p>
    <w:p w14:paraId="401BFE00"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Van Manen, M. (1997). ‘From meaning to method’, </w:t>
      </w:r>
      <w:r w:rsidRPr="371B20AB">
        <w:rPr>
          <w:i/>
          <w:iCs/>
          <w:color w:val="000000" w:themeColor="text1"/>
          <w:sz w:val="28"/>
          <w:szCs w:val="28"/>
          <w:lang w:val="en-GB"/>
        </w:rPr>
        <w:t>Qualitative Health Research,</w:t>
      </w:r>
      <w:r w:rsidRPr="371B20AB">
        <w:rPr>
          <w:color w:val="000000" w:themeColor="text1"/>
          <w:sz w:val="28"/>
          <w:szCs w:val="28"/>
          <w:lang w:val="en-GB"/>
        </w:rPr>
        <w:t xml:space="preserve"> 7(3), 345–369.</w:t>
      </w:r>
    </w:p>
    <w:p w14:paraId="0CEC23E4" w14:textId="77777777" w:rsidR="00C96DB6" w:rsidRDefault="00C96DB6" w:rsidP="371B20AB">
      <w:pPr>
        <w:rPr>
          <w:sz w:val="28"/>
          <w:szCs w:val="28"/>
        </w:rPr>
      </w:pPr>
      <w:r w:rsidRPr="371B20AB">
        <w:rPr>
          <w:sz w:val="28"/>
          <w:szCs w:val="28"/>
        </w:rPr>
        <w:t xml:space="preserve">Wall, S., </w:t>
      </w:r>
      <w:proofErr w:type="spellStart"/>
      <w:r w:rsidRPr="371B20AB">
        <w:rPr>
          <w:sz w:val="28"/>
          <w:szCs w:val="28"/>
        </w:rPr>
        <w:t>Litjens</w:t>
      </w:r>
      <w:proofErr w:type="spellEnd"/>
      <w:r w:rsidRPr="371B20AB">
        <w:rPr>
          <w:sz w:val="28"/>
          <w:szCs w:val="28"/>
        </w:rPr>
        <w:t xml:space="preserve">, I. and </w:t>
      </w:r>
      <w:proofErr w:type="spellStart"/>
      <w:r w:rsidRPr="371B20AB">
        <w:rPr>
          <w:sz w:val="28"/>
          <w:szCs w:val="28"/>
        </w:rPr>
        <w:t>Taguma</w:t>
      </w:r>
      <w:proofErr w:type="spellEnd"/>
      <w:r w:rsidRPr="371B20AB">
        <w:rPr>
          <w:sz w:val="28"/>
          <w:szCs w:val="28"/>
        </w:rPr>
        <w:t>, M. (2015) P</w:t>
      </w:r>
      <w:r w:rsidRPr="371B20AB">
        <w:rPr>
          <w:i/>
          <w:iCs/>
          <w:sz w:val="28"/>
          <w:szCs w:val="28"/>
        </w:rPr>
        <w:t>edagogy in Early Childhood Education and Care (ECEC): An International Comparative Study of Approaches and Policies</w:t>
      </w:r>
      <w:r w:rsidRPr="371B20AB">
        <w:rPr>
          <w:sz w:val="28"/>
          <w:szCs w:val="28"/>
        </w:rPr>
        <w:t>. London: DfE</w:t>
      </w:r>
    </w:p>
    <w:p w14:paraId="5A299142" w14:textId="233C25B3" w:rsidR="00C96DB6" w:rsidRDefault="00C96DB6" w:rsidP="371B20AB">
      <w:pPr>
        <w:rPr>
          <w:sz w:val="28"/>
          <w:szCs w:val="28"/>
        </w:rPr>
      </w:pPr>
      <w:r w:rsidRPr="371B20AB">
        <w:rPr>
          <w:sz w:val="28"/>
          <w:szCs w:val="28"/>
        </w:rPr>
        <w:t xml:space="preserve">Waters-Davies, J., Tyrie, J., Chicken, S., Knight, C., &amp; Grout, E. (2023). Belonging, community and capability: listening to the voices of young children to </w:t>
      </w:r>
      <w:proofErr w:type="spellStart"/>
      <w:r w:rsidRPr="371B20AB">
        <w:rPr>
          <w:sz w:val="28"/>
          <w:szCs w:val="28"/>
        </w:rPr>
        <w:t>realise</w:t>
      </w:r>
      <w:proofErr w:type="spellEnd"/>
      <w:r w:rsidRPr="371B20AB">
        <w:rPr>
          <w:sz w:val="28"/>
          <w:szCs w:val="28"/>
        </w:rPr>
        <w:t xml:space="preserve"> process quality in early childhood curriculum enactment in Wales. </w:t>
      </w:r>
      <w:r w:rsidRPr="371B20AB">
        <w:rPr>
          <w:i/>
          <w:iCs/>
          <w:sz w:val="28"/>
          <w:szCs w:val="28"/>
        </w:rPr>
        <w:t>Education 3(13)</w:t>
      </w:r>
      <w:r w:rsidRPr="371B20AB">
        <w:rPr>
          <w:sz w:val="28"/>
          <w:szCs w:val="28"/>
        </w:rPr>
        <w:t xml:space="preserve">, </w:t>
      </w:r>
      <w:r>
        <w:rPr>
          <w:sz w:val="28"/>
          <w:szCs w:val="28"/>
        </w:rPr>
        <w:t>pp.</w:t>
      </w:r>
      <w:r w:rsidRPr="371B20AB">
        <w:rPr>
          <w:sz w:val="28"/>
          <w:szCs w:val="28"/>
        </w:rPr>
        <w:t xml:space="preserve">1–14. </w:t>
      </w:r>
    </w:p>
    <w:p w14:paraId="07B669FF" w14:textId="77777777" w:rsidR="00C96DB6" w:rsidRDefault="00C96DB6" w:rsidP="371B20AB">
      <w:pPr>
        <w:spacing w:line="278" w:lineRule="auto"/>
        <w:rPr>
          <w:color w:val="222222"/>
          <w:sz w:val="28"/>
          <w:szCs w:val="28"/>
        </w:rPr>
      </w:pPr>
      <w:r w:rsidRPr="371B20AB">
        <w:rPr>
          <w:color w:val="222222"/>
          <w:sz w:val="28"/>
          <w:szCs w:val="28"/>
        </w:rPr>
        <w:t xml:space="preserve">Weinberg, D.R. (2011) Montessori, Maslow, and self-actualization. </w:t>
      </w:r>
      <w:r w:rsidRPr="371B20AB">
        <w:rPr>
          <w:i/>
          <w:iCs/>
          <w:color w:val="222222"/>
          <w:sz w:val="28"/>
          <w:szCs w:val="28"/>
        </w:rPr>
        <w:t>Montessori Life</w:t>
      </w:r>
      <w:r w:rsidRPr="371B20AB">
        <w:rPr>
          <w:color w:val="222222"/>
          <w:sz w:val="28"/>
          <w:szCs w:val="28"/>
        </w:rPr>
        <w:t xml:space="preserve">, </w:t>
      </w:r>
      <w:r w:rsidRPr="371B20AB">
        <w:rPr>
          <w:i/>
          <w:iCs/>
          <w:color w:val="222222"/>
          <w:sz w:val="28"/>
          <w:szCs w:val="28"/>
        </w:rPr>
        <w:t>23</w:t>
      </w:r>
      <w:r w:rsidRPr="371B20AB">
        <w:rPr>
          <w:color w:val="222222"/>
          <w:sz w:val="28"/>
          <w:szCs w:val="28"/>
        </w:rPr>
        <w:t>(4), p.16.</w:t>
      </w:r>
    </w:p>
    <w:p w14:paraId="7C0D0704" w14:textId="77777777" w:rsidR="00C96DB6" w:rsidRDefault="00C96DB6" w:rsidP="371B20AB">
      <w:pPr>
        <w:rPr>
          <w:sz w:val="28"/>
          <w:szCs w:val="28"/>
        </w:rPr>
      </w:pPr>
      <w:r w:rsidRPr="371B20AB">
        <w:rPr>
          <w:sz w:val="28"/>
          <w:szCs w:val="28"/>
        </w:rPr>
        <w:t xml:space="preserve">Welsh Government (2021) Enabling Pathways: Consultation Document, </w:t>
      </w:r>
      <w:proofErr w:type="spellStart"/>
      <w:r w:rsidRPr="371B20AB">
        <w:rPr>
          <w:sz w:val="28"/>
          <w:szCs w:val="28"/>
        </w:rPr>
        <w:t>Avilable</w:t>
      </w:r>
      <w:proofErr w:type="spellEnd"/>
      <w:r w:rsidRPr="371B20AB">
        <w:rPr>
          <w:sz w:val="28"/>
          <w:szCs w:val="28"/>
        </w:rPr>
        <w:t xml:space="preserve"> at: </w:t>
      </w:r>
      <w:hyperlink r:id="rId22">
        <w:r w:rsidRPr="371B20AB">
          <w:rPr>
            <w:rStyle w:val="Hyperlink"/>
            <w:sz w:val="28"/>
            <w:szCs w:val="28"/>
          </w:rPr>
          <w:t>enabling-pathways-consultation-document_0.pdf (</w:t>
        </w:r>
        <w:proofErr w:type="spellStart"/>
        <w:r w:rsidRPr="371B20AB">
          <w:rPr>
            <w:rStyle w:val="Hyperlink"/>
            <w:sz w:val="28"/>
            <w:szCs w:val="28"/>
          </w:rPr>
          <w:t>gov.wales</w:t>
        </w:r>
        <w:proofErr w:type="spellEnd"/>
        <w:r w:rsidRPr="371B20AB">
          <w:rPr>
            <w:rStyle w:val="Hyperlink"/>
            <w:sz w:val="28"/>
            <w:szCs w:val="28"/>
          </w:rPr>
          <w:t>)</w:t>
        </w:r>
      </w:hyperlink>
      <w:r w:rsidRPr="371B20AB">
        <w:rPr>
          <w:sz w:val="28"/>
          <w:szCs w:val="28"/>
        </w:rPr>
        <w:t xml:space="preserve"> (Accessed: 12/06/24).</w:t>
      </w:r>
    </w:p>
    <w:p w14:paraId="1AD32B2D" w14:textId="77777777" w:rsidR="00C96DB6" w:rsidRDefault="00C96DB6" w:rsidP="371B20AB">
      <w:pPr>
        <w:rPr>
          <w:sz w:val="28"/>
          <w:szCs w:val="28"/>
        </w:rPr>
      </w:pPr>
      <w:r w:rsidRPr="371B20AB">
        <w:rPr>
          <w:color w:val="000000" w:themeColor="text1"/>
          <w:sz w:val="28"/>
          <w:szCs w:val="28"/>
        </w:rPr>
        <w:t xml:space="preserve">Welsh Government (2022) Independent Review: Registration of the Childcare, Play and Early Years (CPEY) Workforce in Wales. Available at: </w:t>
      </w:r>
      <w:hyperlink r:id="rId23">
        <w:r w:rsidRPr="371B20AB">
          <w:rPr>
            <w:rStyle w:val="Hyperlink"/>
            <w:color w:val="0563C1"/>
            <w:sz w:val="28"/>
            <w:szCs w:val="28"/>
          </w:rPr>
          <w:t xml:space="preserve">Independent </w:t>
        </w:r>
        <w:r w:rsidRPr="371B20AB">
          <w:rPr>
            <w:rStyle w:val="Hyperlink"/>
            <w:color w:val="0563C1"/>
            <w:sz w:val="28"/>
            <w:szCs w:val="28"/>
          </w:rPr>
          <w:lastRenderedPageBreak/>
          <w:t xml:space="preserve">Review: Registration of the Childcare, Play and Early Years Workforce </w:t>
        </w:r>
      </w:hyperlink>
      <w:hyperlink r:id="rId24">
        <w:r w:rsidRPr="371B20AB">
          <w:rPr>
            <w:rStyle w:val="Hyperlink"/>
            <w:color w:val="0563C1"/>
            <w:sz w:val="28"/>
            <w:szCs w:val="28"/>
          </w:rPr>
          <w:t>in Wales (</w:t>
        </w:r>
        <w:proofErr w:type="spellStart"/>
        <w:r w:rsidRPr="371B20AB">
          <w:rPr>
            <w:rStyle w:val="Hyperlink"/>
            <w:color w:val="0563C1"/>
            <w:sz w:val="28"/>
            <w:szCs w:val="28"/>
          </w:rPr>
          <w:t>gov.wales</w:t>
        </w:r>
        <w:proofErr w:type="spellEnd"/>
        <w:r w:rsidRPr="371B20AB">
          <w:rPr>
            <w:rStyle w:val="Hyperlink"/>
            <w:color w:val="0563C1"/>
            <w:sz w:val="28"/>
            <w:szCs w:val="28"/>
          </w:rPr>
          <w:t>)</w:t>
        </w:r>
      </w:hyperlink>
      <w:r w:rsidRPr="371B20AB">
        <w:rPr>
          <w:color w:val="000000" w:themeColor="text1"/>
          <w:sz w:val="28"/>
          <w:szCs w:val="28"/>
        </w:rPr>
        <w:t xml:space="preserve"> (Accessed: 25/01/24)</w:t>
      </w:r>
    </w:p>
    <w:p w14:paraId="322C279A" w14:textId="77777777" w:rsidR="00C96DB6" w:rsidRDefault="00C96DB6" w:rsidP="371B20AB">
      <w:pPr>
        <w:rPr>
          <w:sz w:val="28"/>
          <w:szCs w:val="28"/>
        </w:rPr>
      </w:pPr>
      <w:r w:rsidRPr="371B20AB">
        <w:rPr>
          <w:color w:val="000000" w:themeColor="text1"/>
          <w:sz w:val="28"/>
          <w:szCs w:val="28"/>
        </w:rPr>
        <w:t xml:space="preserve">Welsh Government (2023) Enabling Learning. Available at: </w:t>
      </w:r>
      <w:hyperlink r:id="rId25">
        <w:r w:rsidRPr="371B20AB">
          <w:rPr>
            <w:rStyle w:val="Hyperlink"/>
            <w:sz w:val="28"/>
            <w:szCs w:val="28"/>
          </w:rPr>
          <w:t>Enabling learning - Hwb (</w:t>
        </w:r>
        <w:proofErr w:type="spellStart"/>
        <w:r w:rsidRPr="371B20AB">
          <w:rPr>
            <w:rStyle w:val="Hyperlink"/>
            <w:sz w:val="28"/>
            <w:szCs w:val="28"/>
          </w:rPr>
          <w:t>gov.wales</w:t>
        </w:r>
        <w:proofErr w:type="spellEnd"/>
        <w:r w:rsidRPr="371B20AB">
          <w:rPr>
            <w:rStyle w:val="Hyperlink"/>
            <w:sz w:val="28"/>
            <w:szCs w:val="28"/>
          </w:rPr>
          <w:t>)</w:t>
        </w:r>
      </w:hyperlink>
      <w:r w:rsidRPr="371B20AB">
        <w:rPr>
          <w:sz w:val="28"/>
          <w:szCs w:val="28"/>
        </w:rPr>
        <w:t xml:space="preserve"> (Accessed: 19/06/24)</w:t>
      </w:r>
    </w:p>
    <w:p w14:paraId="62F81902" w14:textId="77777777" w:rsidR="00C96DB6" w:rsidRDefault="00C96DB6" w:rsidP="371B20AB">
      <w:pPr>
        <w:rPr>
          <w:sz w:val="28"/>
          <w:szCs w:val="28"/>
        </w:rPr>
      </w:pPr>
      <w:r w:rsidRPr="371B20AB">
        <w:rPr>
          <w:sz w:val="28"/>
          <w:szCs w:val="28"/>
        </w:rPr>
        <w:t xml:space="preserve">Welsh Government. (2020) Designing your Curriculum, Available at: </w:t>
      </w:r>
      <w:hyperlink r:id="rId26">
        <w:r w:rsidRPr="371B20AB">
          <w:rPr>
            <w:rStyle w:val="Hyperlink"/>
            <w:sz w:val="28"/>
            <w:szCs w:val="28"/>
          </w:rPr>
          <w:t>Introduction - Hwb (</w:t>
        </w:r>
        <w:proofErr w:type="spellStart"/>
        <w:r w:rsidRPr="371B20AB">
          <w:rPr>
            <w:rStyle w:val="Hyperlink"/>
            <w:sz w:val="28"/>
            <w:szCs w:val="28"/>
          </w:rPr>
          <w:t>gov.wales</w:t>
        </w:r>
        <w:proofErr w:type="spellEnd"/>
        <w:r w:rsidRPr="371B20AB">
          <w:rPr>
            <w:rStyle w:val="Hyperlink"/>
            <w:sz w:val="28"/>
            <w:szCs w:val="28"/>
          </w:rPr>
          <w:t>)</w:t>
        </w:r>
      </w:hyperlink>
      <w:r w:rsidRPr="371B20AB">
        <w:rPr>
          <w:sz w:val="28"/>
          <w:szCs w:val="28"/>
        </w:rPr>
        <w:t xml:space="preserve"> Accessed: 06/06/24. </w:t>
      </w:r>
    </w:p>
    <w:p w14:paraId="62E4484D" w14:textId="77777777" w:rsidR="00C96DB6" w:rsidRDefault="00C96DB6" w:rsidP="371B20AB">
      <w:pPr>
        <w:spacing w:line="240" w:lineRule="auto"/>
        <w:ind w:left="-20" w:right="-20"/>
        <w:jc w:val="both"/>
        <w:rPr>
          <w:color w:val="000000" w:themeColor="text1"/>
          <w:sz w:val="28"/>
          <w:szCs w:val="28"/>
          <w:lang w:val="en-GB"/>
        </w:rPr>
      </w:pPr>
      <w:proofErr w:type="spellStart"/>
      <w:r w:rsidRPr="371B20AB">
        <w:rPr>
          <w:color w:val="000000" w:themeColor="text1"/>
          <w:sz w:val="28"/>
          <w:szCs w:val="28"/>
          <w:lang w:val="en-GB"/>
        </w:rPr>
        <w:t>Zeleeva</w:t>
      </w:r>
      <w:proofErr w:type="spellEnd"/>
      <w:r w:rsidRPr="371B20AB">
        <w:rPr>
          <w:color w:val="000000" w:themeColor="text1"/>
          <w:sz w:val="28"/>
          <w:szCs w:val="28"/>
          <w:lang w:val="en-GB"/>
        </w:rPr>
        <w:t xml:space="preserve">, V. (2019) ‘Pedagogical Effects of Qualitative Research Methods (Focus Group and Phenomenological Interviews) in Pedagogical Training for Graduate and Postgraduate Students’, in </w:t>
      </w:r>
      <w:r w:rsidRPr="371B20AB">
        <w:rPr>
          <w:i/>
          <w:iCs/>
          <w:color w:val="000000" w:themeColor="text1"/>
          <w:sz w:val="28"/>
          <w:szCs w:val="28"/>
          <w:lang w:val="en-GB"/>
        </w:rPr>
        <w:t>ARPHA proceedings</w:t>
      </w:r>
      <w:r w:rsidRPr="371B20AB">
        <w:rPr>
          <w:color w:val="000000" w:themeColor="text1"/>
          <w:sz w:val="28"/>
          <w:szCs w:val="28"/>
          <w:lang w:val="en-GB"/>
        </w:rPr>
        <w:t>, Vol. 1: pp. 819–829.</w:t>
      </w:r>
    </w:p>
    <w:p w14:paraId="6AB6A55C" w14:textId="77777777" w:rsidR="00C96DB6" w:rsidRDefault="00C96DB6" w:rsidP="371B20AB">
      <w:pPr>
        <w:spacing w:line="240" w:lineRule="auto"/>
        <w:ind w:left="-20" w:right="-20"/>
        <w:jc w:val="both"/>
        <w:rPr>
          <w:color w:val="000000" w:themeColor="text1"/>
          <w:sz w:val="28"/>
          <w:szCs w:val="28"/>
          <w:lang w:val="en-GB"/>
        </w:rPr>
      </w:pPr>
      <w:r w:rsidRPr="371B20AB">
        <w:rPr>
          <w:color w:val="000000" w:themeColor="text1"/>
          <w:sz w:val="28"/>
          <w:szCs w:val="28"/>
          <w:lang w:val="en-GB"/>
        </w:rPr>
        <w:t xml:space="preserve">Zimmermann, J. (2015) </w:t>
      </w:r>
      <w:r w:rsidRPr="371B20AB">
        <w:rPr>
          <w:i/>
          <w:iCs/>
          <w:color w:val="000000" w:themeColor="text1"/>
          <w:sz w:val="28"/>
          <w:szCs w:val="28"/>
          <w:lang w:val="en-GB"/>
        </w:rPr>
        <w:t>What is hermeneutics?</w:t>
      </w:r>
      <w:r w:rsidRPr="371B20AB">
        <w:rPr>
          <w:color w:val="000000" w:themeColor="text1"/>
          <w:sz w:val="28"/>
          <w:szCs w:val="28"/>
          <w:lang w:val="en-GB"/>
        </w:rPr>
        <w:t xml:space="preserve"> </w:t>
      </w:r>
      <w:r w:rsidRPr="371B20AB">
        <w:rPr>
          <w:i/>
          <w:iCs/>
          <w:color w:val="000000" w:themeColor="text1"/>
          <w:sz w:val="28"/>
          <w:szCs w:val="28"/>
          <w:lang w:val="en-GB"/>
        </w:rPr>
        <w:t>Hermeneutics: A Very Short Introduction.</w:t>
      </w:r>
      <w:r w:rsidRPr="371B20AB">
        <w:rPr>
          <w:color w:val="000000" w:themeColor="text1"/>
          <w:sz w:val="28"/>
          <w:szCs w:val="28"/>
          <w:lang w:val="en-GB"/>
        </w:rPr>
        <w:t xml:space="preserve"> Oxford: Oxford Academic.</w:t>
      </w:r>
    </w:p>
    <w:sectPr w:rsidR="00C96DB6">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1760F3" w14:textId="77777777" w:rsidR="00311C8B" w:rsidRDefault="00311C8B" w:rsidP="00C96DB6">
      <w:pPr>
        <w:spacing w:after="0" w:line="240" w:lineRule="auto"/>
      </w:pPr>
      <w:r>
        <w:separator/>
      </w:r>
    </w:p>
  </w:endnote>
  <w:endnote w:type="continuationSeparator" w:id="0">
    <w:p w14:paraId="705A7848" w14:textId="77777777" w:rsidR="00311C8B" w:rsidRDefault="00311C8B" w:rsidP="00C96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027432"/>
      <w:docPartObj>
        <w:docPartGallery w:val="Page Numbers (Bottom of Page)"/>
        <w:docPartUnique/>
      </w:docPartObj>
    </w:sdtPr>
    <w:sdtEndPr>
      <w:rPr>
        <w:noProof/>
      </w:rPr>
    </w:sdtEndPr>
    <w:sdtContent>
      <w:p w14:paraId="544E3252" w14:textId="4CC34636" w:rsidR="00C96DB6" w:rsidRDefault="00C96DB6">
        <w:pPr>
          <w:pStyle w:val="Footer"/>
        </w:pPr>
        <w:r>
          <w:fldChar w:fldCharType="begin"/>
        </w:r>
        <w:r>
          <w:instrText xml:space="preserve"> PAGE   \* MERGEFORMAT </w:instrText>
        </w:r>
        <w:r>
          <w:fldChar w:fldCharType="separate"/>
        </w:r>
        <w:r>
          <w:rPr>
            <w:noProof/>
          </w:rPr>
          <w:t>2</w:t>
        </w:r>
        <w:r>
          <w:rPr>
            <w:noProof/>
          </w:rPr>
          <w:fldChar w:fldCharType="end"/>
        </w:r>
      </w:p>
    </w:sdtContent>
  </w:sdt>
  <w:p w14:paraId="22174BE5" w14:textId="77777777" w:rsidR="00C96DB6" w:rsidRDefault="00C96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6A8EA7" w14:textId="77777777" w:rsidR="00311C8B" w:rsidRDefault="00311C8B" w:rsidP="00C96DB6">
      <w:pPr>
        <w:spacing w:after="0" w:line="240" w:lineRule="auto"/>
      </w:pPr>
      <w:r>
        <w:separator/>
      </w:r>
    </w:p>
  </w:footnote>
  <w:footnote w:type="continuationSeparator" w:id="0">
    <w:p w14:paraId="343DE672" w14:textId="77777777" w:rsidR="00311C8B" w:rsidRDefault="00311C8B" w:rsidP="00C96D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8752352"/>
      <w:placeholder>
        <w:docPart w:val="B4F084DEDE5F47F3ABC0CEE70B8470A5"/>
      </w:placeholder>
      <w:temporary/>
      <w:showingPlcHdr/>
      <w15:appearance w15:val="hidden"/>
    </w:sdtPr>
    <w:sdtContent>
      <w:p w14:paraId="11CBA8EE" w14:textId="77777777" w:rsidR="00C96DB6" w:rsidRDefault="00C96DB6">
        <w:pPr>
          <w:pStyle w:val="Header"/>
        </w:pPr>
        <w:r>
          <w:t>[Type here]</w:t>
        </w:r>
      </w:p>
    </w:sdtContent>
  </w:sdt>
  <w:p w14:paraId="62E3F10C" w14:textId="77777777" w:rsidR="00C96DB6" w:rsidRDefault="00C96DB6">
    <w:pPr>
      <w:pStyle w:val="Header"/>
    </w:pPr>
  </w:p>
</w:hdr>
</file>

<file path=word/intelligence2.xml><?xml version="1.0" encoding="utf-8"?>
<int2:intelligence xmlns:int2="http://schemas.microsoft.com/office/intelligence/2020/intelligence" xmlns:oel="http://schemas.microsoft.com/office/2019/extlst">
  <int2:observations>
    <int2:textHash int2:hashCode="d86fu0WWIP2kl1" int2:id="tpCy4iyV">
      <int2:state int2:value="Rejected" int2:type="AugLoop_Text_Critique"/>
    </int2:textHash>
  </int2:observations>
  <int2:intelligenceSettings/>
  <int2:onDemandWorkflows>
    <int2:onDemandWorkflow int2:type="SimilarityCheck" int2:paragraphVersions="2C078E63-5B7C628E 1C2EACF5-36B01B5E 09625108-17960585 25FC175A-1E1D082A 62F5EF25-00B32688 2173C8D2-0A77610D 53936790-55CD32A1 1E5B4F18-42EB77F0 234D5DD0-5A93B7F5 368A7A6A-1378C7E8 09749D81-6125AE00 12EA45E7-375E4DC6 7C11508B-7F342D9F 3A1EFA09-033E0B93 68877144-48040BB2 17527723-637EBCF4 41A3FDBF-76F96087 25602217-3985EC88 4A872E4A-61CA90E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35089"/>
    <w:multiLevelType w:val="hybridMultilevel"/>
    <w:tmpl w:val="E34800CE"/>
    <w:lvl w:ilvl="0" w:tplc="5C36E0EA">
      <w:start w:val="3"/>
      <w:numFmt w:val="decimal"/>
      <w:lvlText w:val="%1."/>
      <w:lvlJc w:val="left"/>
      <w:pPr>
        <w:ind w:left="720" w:hanging="360"/>
      </w:pPr>
      <w:rPr>
        <w:rFonts w:ascii="Calibri" w:hAnsi="Calibri" w:hint="default"/>
      </w:rPr>
    </w:lvl>
    <w:lvl w:ilvl="1" w:tplc="F1F629EA">
      <w:start w:val="1"/>
      <w:numFmt w:val="lowerLetter"/>
      <w:lvlText w:val="%2."/>
      <w:lvlJc w:val="left"/>
      <w:pPr>
        <w:ind w:left="1440" w:hanging="360"/>
      </w:pPr>
    </w:lvl>
    <w:lvl w:ilvl="2" w:tplc="79984D30">
      <w:start w:val="1"/>
      <w:numFmt w:val="lowerRoman"/>
      <w:lvlText w:val="%3."/>
      <w:lvlJc w:val="right"/>
      <w:pPr>
        <w:ind w:left="2160" w:hanging="180"/>
      </w:pPr>
    </w:lvl>
    <w:lvl w:ilvl="3" w:tplc="7F02DF6E">
      <w:start w:val="1"/>
      <w:numFmt w:val="decimal"/>
      <w:lvlText w:val="%4."/>
      <w:lvlJc w:val="left"/>
      <w:pPr>
        <w:ind w:left="2880" w:hanging="360"/>
      </w:pPr>
    </w:lvl>
    <w:lvl w:ilvl="4" w:tplc="FCCE2FAA">
      <w:start w:val="1"/>
      <w:numFmt w:val="lowerLetter"/>
      <w:lvlText w:val="%5."/>
      <w:lvlJc w:val="left"/>
      <w:pPr>
        <w:ind w:left="3600" w:hanging="360"/>
      </w:pPr>
    </w:lvl>
    <w:lvl w:ilvl="5" w:tplc="DCBEED64">
      <w:start w:val="1"/>
      <w:numFmt w:val="lowerRoman"/>
      <w:lvlText w:val="%6."/>
      <w:lvlJc w:val="right"/>
      <w:pPr>
        <w:ind w:left="4320" w:hanging="180"/>
      </w:pPr>
    </w:lvl>
    <w:lvl w:ilvl="6" w:tplc="AE5ED160">
      <w:start w:val="1"/>
      <w:numFmt w:val="decimal"/>
      <w:lvlText w:val="%7."/>
      <w:lvlJc w:val="left"/>
      <w:pPr>
        <w:ind w:left="5040" w:hanging="360"/>
      </w:pPr>
    </w:lvl>
    <w:lvl w:ilvl="7" w:tplc="EBE2E1A6">
      <w:start w:val="1"/>
      <w:numFmt w:val="lowerLetter"/>
      <w:lvlText w:val="%8."/>
      <w:lvlJc w:val="left"/>
      <w:pPr>
        <w:ind w:left="5760" w:hanging="360"/>
      </w:pPr>
    </w:lvl>
    <w:lvl w:ilvl="8" w:tplc="62E433AA">
      <w:start w:val="1"/>
      <w:numFmt w:val="lowerRoman"/>
      <w:lvlText w:val="%9."/>
      <w:lvlJc w:val="right"/>
      <w:pPr>
        <w:ind w:left="6480" w:hanging="180"/>
      </w:pPr>
    </w:lvl>
  </w:abstractNum>
  <w:abstractNum w:abstractNumId="1" w15:restartNumberingAfterBreak="0">
    <w:nsid w:val="15D1A3AC"/>
    <w:multiLevelType w:val="hybridMultilevel"/>
    <w:tmpl w:val="8A74EC0E"/>
    <w:lvl w:ilvl="0" w:tplc="98964766">
      <w:start w:val="1"/>
      <w:numFmt w:val="decimal"/>
      <w:lvlText w:val="%1."/>
      <w:lvlJc w:val="left"/>
      <w:pPr>
        <w:ind w:left="720" w:hanging="360"/>
      </w:pPr>
      <w:rPr>
        <w:rFonts w:ascii="Calibri" w:hAnsi="Calibri" w:hint="default"/>
      </w:rPr>
    </w:lvl>
    <w:lvl w:ilvl="1" w:tplc="9BEC481E">
      <w:start w:val="1"/>
      <w:numFmt w:val="lowerLetter"/>
      <w:lvlText w:val="%2."/>
      <w:lvlJc w:val="left"/>
      <w:pPr>
        <w:ind w:left="1440" w:hanging="360"/>
      </w:pPr>
    </w:lvl>
    <w:lvl w:ilvl="2" w:tplc="387A2344">
      <w:start w:val="1"/>
      <w:numFmt w:val="lowerRoman"/>
      <w:lvlText w:val="%3."/>
      <w:lvlJc w:val="right"/>
      <w:pPr>
        <w:ind w:left="2160" w:hanging="180"/>
      </w:pPr>
    </w:lvl>
    <w:lvl w:ilvl="3" w:tplc="70A8550A">
      <w:start w:val="1"/>
      <w:numFmt w:val="decimal"/>
      <w:lvlText w:val="%4."/>
      <w:lvlJc w:val="left"/>
      <w:pPr>
        <w:ind w:left="2880" w:hanging="360"/>
      </w:pPr>
    </w:lvl>
    <w:lvl w:ilvl="4" w:tplc="C2D604EA">
      <w:start w:val="1"/>
      <w:numFmt w:val="lowerLetter"/>
      <w:lvlText w:val="%5."/>
      <w:lvlJc w:val="left"/>
      <w:pPr>
        <w:ind w:left="3600" w:hanging="360"/>
      </w:pPr>
    </w:lvl>
    <w:lvl w:ilvl="5" w:tplc="CD2C969C">
      <w:start w:val="1"/>
      <w:numFmt w:val="lowerRoman"/>
      <w:lvlText w:val="%6."/>
      <w:lvlJc w:val="right"/>
      <w:pPr>
        <w:ind w:left="4320" w:hanging="180"/>
      </w:pPr>
    </w:lvl>
    <w:lvl w:ilvl="6" w:tplc="83D608E2">
      <w:start w:val="1"/>
      <w:numFmt w:val="decimal"/>
      <w:lvlText w:val="%7."/>
      <w:lvlJc w:val="left"/>
      <w:pPr>
        <w:ind w:left="5040" w:hanging="360"/>
      </w:pPr>
    </w:lvl>
    <w:lvl w:ilvl="7" w:tplc="1C401ACE">
      <w:start w:val="1"/>
      <w:numFmt w:val="lowerLetter"/>
      <w:lvlText w:val="%8."/>
      <w:lvlJc w:val="left"/>
      <w:pPr>
        <w:ind w:left="5760" w:hanging="360"/>
      </w:pPr>
    </w:lvl>
    <w:lvl w:ilvl="8" w:tplc="D99818A0">
      <w:start w:val="1"/>
      <w:numFmt w:val="lowerRoman"/>
      <w:lvlText w:val="%9."/>
      <w:lvlJc w:val="right"/>
      <w:pPr>
        <w:ind w:left="6480" w:hanging="180"/>
      </w:pPr>
    </w:lvl>
  </w:abstractNum>
  <w:abstractNum w:abstractNumId="2" w15:restartNumberingAfterBreak="0">
    <w:nsid w:val="177415AC"/>
    <w:multiLevelType w:val="hybridMultilevel"/>
    <w:tmpl w:val="B542401A"/>
    <w:lvl w:ilvl="0" w:tplc="A290E162">
      <w:start w:val="1"/>
      <w:numFmt w:val="decimal"/>
      <w:lvlText w:val="%1."/>
      <w:lvlJc w:val="left"/>
      <w:pPr>
        <w:ind w:left="720" w:hanging="360"/>
      </w:pPr>
    </w:lvl>
    <w:lvl w:ilvl="1" w:tplc="24A648E0">
      <w:start w:val="1"/>
      <w:numFmt w:val="lowerLetter"/>
      <w:lvlText w:val="%2."/>
      <w:lvlJc w:val="left"/>
      <w:pPr>
        <w:ind w:left="1440" w:hanging="360"/>
      </w:pPr>
    </w:lvl>
    <w:lvl w:ilvl="2" w:tplc="382C53CA">
      <w:start w:val="1"/>
      <w:numFmt w:val="lowerRoman"/>
      <w:lvlText w:val="%3."/>
      <w:lvlJc w:val="right"/>
      <w:pPr>
        <w:ind w:left="2160" w:hanging="180"/>
      </w:pPr>
    </w:lvl>
    <w:lvl w:ilvl="3" w:tplc="E1A2C960">
      <w:start w:val="1"/>
      <w:numFmt w:val="decimal"/>
      <w:lvlText w:val="%4."/>
      <w:lvlJc w:val="left"/>
      <w:pPr>
        <w:ind w:left="2880" w:hanging="360"/>
      </w:pPr>
    </w:lvl>
    <w:lvl w:ilvl="4" w:tplc="14380EDE">
      <w:start w:val="1"/>
      <w:numFmt w:val="lowerLetter"/>
      <w:lvlText w:val="%5."/>
      <w:lvlJc w:val="left"/>
      <w:pPr>
        <w:ind w:left="3600" w:hanging="360"/>
      </w:pPr>
    </w:lvl>
    <w:lvl w:ilvl="5" w:tplc="BD9480BC">
      <w:start w:val="1"/>
      <w:numFmt w:val="lowerRoman"/>
      <w:lvlText w:val="%6."/>
      <w:lvlJc w:val="right"/>
      <w:pPr>
        <w:ind w:left="4320" w:hanging="180"/>
      </w:pPr>
    </w:lvl>
    <w:lvl w:ilvl="6" w:tplc="2EBEB470">
      <w:start w:val="1"/>
      <w:numFmt w:val="decimal"/>
      <w:lvlText w:val="%7."/>
      <w:lvlJc w:val="left"/>
      <w:pPr>
        <w:ind w:left="5040" w:hanging="360"/>
      </w:pPr>
    </w:lvl>
    <w:lvl w:ilvl="7" w:tplc="A8041AC4">
      <w:start w:val="1"/>
      <w:numFmt w:val="lowerLetter"/>
      <w:lvlText w:val="%8."/>
      <w:lvlJc w:val="left"/>
      <w:pPr>
        <w:ind w:left="5760" w:hanging="360"/>
      </w:pPr>
    </w:lvl>
    <w:lvl w:ilvl="8" w:tplc="1ED058A4">
      <w:start w:val="1"/>
      <w:numFmt w:val="lowerRoman"/>
      <w:lvlText w:val="%9."/>
      <w:lvlJc w:val="right"/>
      <w:pPr>
        <w:ind w:left="6480" w:hanging="180"/>
      </w:pPr>
    </w:lvl>
  </w:abstractNum>
  <w:abstractNum w:abstractNumId="3" w15:restartNumberingAfterBreak="0">
    <w:nsid w:val="1B925C87"/>
    <w:multiLevelType w:val="hybridMultilevel"/>
    <w:tmpl w:val="192E4D64"/>
    <w:lvl w:ilvl="0" w:tplc="697C579A">
      <w:start w:val="1"/>
      <w:numFmt w:val="bullet"/>
      <w:lvlText w:val=""/>
      <w:lvlJc w:val="left"/>
      <w:pPr>
        <w:ind w:left="720" w:hanging="360"/>
      </w:pPr>
      <w:rPr>
        <w:rFonts w:ascii="Symbol" w:hAnsi="Symbol" w:hint="default"/>
      </w:rPr>
    </w:lvl>
    <w:lvl w:ilvl="1" w:tplc="37E23EB8">
      <w:start w:val="1"/>
      <w:numFmt w:val="bullet"/>
      <w:lvlText w:val="o"/>
      <w:lvlJc w:val="left"/>
      <w:pPr>
        <w:ind w:left="1440" w:hanging="360"/>
      </w:pPr>
      <w:rPr>
        <w:rFonts w:ascii="Courier New" w:hAnsi="Courier New" w:hint="default"/>
      </w:rPr>
    </w:lvl>
    <w:lvl w:ilvl="2" w:tplc="971A2F04">
      <w:start w:val="1"/>
      <w:numFmt w:val="bullet"/>
      <w:lvlText w:val=""/>
      <w:lvlJc w:val="left"/>
      <w:pPr>
        <w:ind w:left="2160" w:hanging="360"/>
      </w:pPr>
      <w:rPr>
        <w:rFonts w:ascii="Wingdings" w:hAnsi="Wingdings" w:hint="default"/>
      </w:rPr>
    </w:lvl>
    <w:lvl w:ilvl="3" w:tplc="298071B4">
      <w:start w:val="1"/>
      <w:numFmt w:val="bullet"/>
      <w:lvlText w:val=""/>
      <w:lvlJc w:val="left"/>
      <w:pPr>
        <w:ind w:left="2880" w:hanging="360"/>
      </w:pPr>
      <w:rPr>
        <w:rFonts w:ascii="Symbol" w:hAnsi="Symbol" w:hint="default"/>
      </w:rPr>
    </w:lvl>
    <w:lvl w:ilvl="4" w:tplc="68643AF8">
      <w:start w:val="1"/>
      <w:numFmt w:val="bullet"/>
      <w:lvlText w:val="o"/>
      <w:lvlJc w:val="left"/>
      <w:pPr>
        <w:ind w:left="3600" w:hanging="360"/>
      </w:pPr>
      <w:rPr>
        <w:rFonts w:ascii="Courier New" w:hAnsi="Courier New" w:hint="default"/>
      </w:rPr>
    </w:lvl>
    <w:lvl w:ilvl="5" w:tplc="CBD09F34">
      <w:start w:val="1"/>
      <w:numFmt w:val="bullet"/>
      <w:lvlText w:val=""/>
      <w:lvlJc w:val="left"/>
      <w:pPr>
        <w:ind w:left="4320" w:hanging="360"/>
      </w:pPr>
      <w:rPr>
        <w:rFonts w:ascii="Wingdings" w:hAnsi="Wingdings" w:hint="default"/>
      </w:rPr>
    </w:lvl>
    <w:lvl w:ilvl="6" w:tplc="10A25BBA">
      <w:start w:val="1"/>
      <w:numFmt w:val="bullet"/>
      <w:lvlText w:val=""/>
      <w:lvlJc w:val="left"/>
      <w:pPr>
        <w:ind w:left="5040" w:hanging="360"/>
      </w:pPr>
      <w:rPr>
        <w:rFonts w:ascii="Symbol" w:hAnsi="Symbol" w:hint="default"/>
      </w:rPr>
    </w:lvl>
    <w:lvl w:ilvl="7" w:tplc="7C3C7C30">
      <w:start w:val="1"/>
      <w:numFmt w:val="bullet"/>
      <w:lvlText w:val="o"/>
      <w:lvlJc w:val="left"/>
      <w:pPr>
        <w:ind w:left="5760" w:hanging="360"/>
      </w:pPr>
      <w:rPr>
        <w:rFonts w:ascii="Courier New" w:hAnsi="Courier New" w:hint="default"/>
      </w:rPr>
    </w:lvl>
    <w:lvl w:ilvl="8" w:tplc="BA945672">
      <w:start w:val="1"/>
      <w:numFmt w:val="bullet"/>
      <w:lvlText w:val=""/>
      <w:lvlJc w:val="left"/>
      <w:pPr>
        <w:ind w:left="6480" w:hanging="360"/>
      </w:pPr>
      <w:rPr>
        <w:rFonts w:ascii="Wingdings" w:hAnsi="Wingdings" w:hint="default"/>
      </w:rPr>
    </w:lvl>
  </w:abstractNum>
  <w:abstractNum w:abstractNumId="4" w15:restartNumberingAfterBreak="0">
    <w:nsid w:val="1FB7E515"/>
    <w:multiLevelType w:val="hybridMultilevel"/>
    <w:tmpl w:val="B714004C"/>
    <w:lvl w:ilvl="0" w:tplc="BBF653BA">
      <w:start w:val="1"/>
      <w:numFmt w:val="decimal"/>
      <w:lvlText w:val="%1."/>
      <w:lvlJc w:val="left"/>
      <w:pPr>
        <w:ind w:left="720" w:hanging="360"/>
      </w:pPr>
      <w:rPr>
        <w:rFonts w:ascii="Calibri" w:hAnsi="Calibri" w:hint="default"/>
      </w:rPr>
    </w:lvl>
    <w:lvl w:ilvl="1" w:tplc="8B060AD6">
      <w:start w:val="1"/>
      <w:numFmt w:val="lowerLetter"/>
      <w:lvlText w:val="%2."/>
      <w:lvlJc w:val="left"/>
      <w:pPr>
        <w:ind w:left="1440" w:hanging="360"/>
      </w:pPr>
    </w:lvl>
    <w:lvl w:ilvl="2" w:tplc="2AC4271C">
      <w:start w:val="1"/>
      <w:numFmt w:val="lowerRoman"/>
      <w:lvlText w:val="%3."/>
      <w:lvlJc w:val="right"/>
      <w:pPr>
        <w:ind w:left="2160" w:hanging="180"/>
      </w:pPr>
    </w:lvl>
    <w:lvl w:ilvl="3" w:tplc="AA04EC62">
      <w:start w:val="1"/>
      <w:numFmt w:val="decimal"/>
      <w:lvlText w:val="%4."/>
      <w:lvlJc w:val="left"/>
      <w:pPr>
        <w:ind w:left="2880" w:hanging="360"/>
      </w:pPr>
    </w:lvl>
    <w:lvl w:ilvl="4" w:tplc="10BA114E">
      <w:start w:val="1"/>
      <w:numFmt w:val="lowerLetter"/>
      <w:lvlText w:val="%5."/>
      <w:lvlJc w:val="left"/>
      <w:pPr>
        <w:ind w:left="3600" w:hanging="360"/>
      </w:pPr>
    </w:lvl>
    <w:lvl w:ilvl="5" w:tplc="3ABA517E">
      <w:start w:val="1"/>
      <w:numFmt w:val="lowerRoman"/>
      <w:lvlText w:val="%6."/>
      <w:lvlJc w:val="right"/>
      <w:pPr>
        <w:ind w:left="4320" w:hanging="180"/>
      </w:pPr>
    </w:lvl>
    <w:lvl w:ilvl="6" w:tplc="BFAE0F0C">
      <w:start w:val="1"/>
      <w:numFmt w:val="decimal"/>
      <w:lvlText w:val="%7."/>
      <w:lvlJc w:val="left"/>
      <w:pPr>
        <w:ind w:left="5040" w:hanging="360"/>
      </w:pPr>
    </w:lvl>
    <w:lvl w:ilvl="7" w:tplc="AB28B586">
      <w:start w:val="1"/>
      <w:numFmt w:val="lowerLetter"/>
      <w:lvlText w:val="%8."/>
      <w:lvlJc w:val="left"/>
      <w:pPr>
        <w:ind w:left="5760" w:hanging="360"/>
      </w:pPr>
    </w:lvl>
    <w:lvl w:ilvl="8" w:tplc="6D34BC82">
      <w:start w:val="1"/>
      <w:numFmt w:val="lowerRoman"/>
      <w:lvlText w:val="%9."/>
      <w:lvlJc w:val="right"/>
      <w:pPr>
        <w:ind w:left="6480" w:hanging="180"/>
      </w:pPr>
    </w:lvl>
  </w:abstractNum>
  <w:abstractNum w:abstractNumId="5" w15:restartNumberingAfterBreak="0">
    <w:nsid w:val="2364E946"/>
    <w:multiLevelType w:val="hybridMultilevel"/>
    <w:tmpl w:val="DC0C5492"/>
    <w:lvl w:ilvl="0" w:tplc="C378515A">
      <w:start w:val="1"/>
      <w:numFmt w:val="bullet"/>
      <w:lvlText w:val=""/>
      <w:lvlJc w:val="left"/>
      <w:pPr>
        <w:ind w:left="720" w:hanging="360"/>
      </w:pPr>
      <w:rPr>
        <w:rFonts w:ascii="Symbol" w:hAnsi="Symbol" w:hint="default"/>
      </w:rPr>
    </w:lvl>
    <w:lvl w:ilvl="1" w:tplc="641E2B1A">
      <w:start w:val="1"/>
      <w:numFmt w:val="bullet"/>
      <w:lvlText w:val="o"/>
      <w:lvlJc w:val="left"/>
      <w:pPr>
        <w:ind w:left="1440" w:hanging="360"/>
      </w:pPr>
      <w:rPr>
        <w:rFonts w:ascii="Courier New" w:hAnsi="Courier New" w:hint="default"/>
      </w:rPr>
    </w:lvl>
    <w:lvl w:ilvl="2" w:tplc="CF00BA46">
      <w:start w:val="1"/>
      <w:numFmt w:val="bullet"/>
      <w:lvlText w:val=""/>
      <w:lvlJc w:val="left"/>
      <w:pPr>
        <w:ind w:left="2160" w:hanging="360"/>
      </w:pPr>
      <w:rPr>
        <w:rFonts w:ascii="Wingdings" w:hAnsi="Wingdings" w:hint="default"/>
      </w:rPr>
    </w:lvl>
    <w:lvl w:ilvl="3" w:tplc="9C4CA15A">
      <w:start w:val="1"/>
      <w:numFmt w:val="bullet"/>
      <w:lvlText w:val=""/>
      <w:lvlJc w:val="left"/>
      <w:pPr>
        <w:ind w:left="2880" w:hanging="360"/>
      </w:pPr>
      <w:rPr>
        <w:rFonts w:ascii="Symbol" w:hAnsi="Symbol" w:hint="default"/>
      </w:rPr>
    </w:lvl>
    <w:lvl w:ilvl="4" w:tplc="9AFE6A58">
      <w:start w:val="1"/>
      <w:numFmt w:val="bullet"/>
      <w:lvlText w:val="o"/>
      <w:lvlJc w:val="left"/>
      <w:pPr>
        <w:ind w:left="3600" w:hanging="360"/>
      </w:pPr>
      <w:rPr>
        <w:rFonts w:ascii="Courier New" w:hAnsi="Courier New" w:hint="default"/>
      </w:rPr>
    </w:lvl>
    <w:lvl w:ilvl="5" w:tplc="16A4D8DE">
      <w:start w:val="1"/>
      <w:numFmt w:val="bullet"/>
      <w:lvlText w:val=""/>
      <w:lvlJc w:val="left"/>
      <w:pPr>
        <w:ind w:left="4320" w:hanging="360"/>
      </w:pPr>
      <w:rPr>
        <w:rFonts w:ascii="Wingdings" w:hAnsi="Wingdings" w:hint="default"/>
      </w:rPr>
    </w:lvl>
    <w:lvl w:ilvl="6" w:tplc="7E38B97C">
      <w:start w:val="1"/>
      <w:numFmt w:val="bullet"/>
      <w:lvlText w:val=""/>
      <w:lvlJc w:val="left"/>
      <w:pPr>
        <w:ind w:left="5040" w:hanging="360"/>
      </w:pPr>
      <w:rPr>
        <w:rFonts w:ascii="Symbol" w:hAnsi="Symbol" w:hint="default"/>
      </w:rPr>
    </w:lvl>
    <w:lvl w:ilvl="7" w:tplc="57BC481C">
      <w:start w:val="1"/>
      <w:numFmt w:val="bullet"/>
      <w:lvlText w:val="o"/>
      <w:lvlJc w:val="left"/>
      <w:pPr>
        <w:ind w:left="5760" w:hanging="360"/>
      </w:pPr>
      <w:rPr>
        <w:rFonts w:ascii="Courier New" w:hAnsi="Courier New" w:hint="default"/>
      </w:rPr>
    </w:lvl>
    <w:lvl w:ilvl="8" w:tplc="D720959C">
      <w:start w:val="1"/>
      <w:numFmt w:val="bullet"/>
      <w:lvlText w:val=""/>
      <w:lvlJc w:val="left"/>
      <w:pPr>
        <w:ind w:left="6480" w:hanging="360"/>
      </w:pPr>
      <w:rPr>
        <w:rFonts w:ascii="Wingdings" w:hAnsi="Wingdings" w:hint="default"/>
      </w:rPr>
    </w:lvl>
  </w:abstractNum>
  <w:abstractNum w:abstractNumId="6" w15:restartNumberingAfterBreak="0">
    <w:nsid w:val="257F5FDF"/>
    <w:multiLevelType w:val="hybridMultilevel"/>
    <w:tmpl w:val="958CAC36"/>
    <w:lvl w:ilvl="0" w:tplc="031A626C">
      <w:start w:val="6"/>
      <w:numFmt w:val="decimal"/>
      <w:lvlText w:val="%1."/>
      <w:lvlJc w:val="left"/>
      <w:pPr>
        <w:ind w:left="720" w:hanging="360"/>
      </w:pPr>
      <w:rPr>
        <w:rFonts w:ascii="Calibri" w:hAnsi="Calibri" w:hint="default"/>
      </w:rPr>
    </w:lvl>
    <w:lvl w:ilvl="1" w:tplc="36F85B2C">
      <w:start w:val="1"/>
      <w:numFmt w:val="lowerLetter"/>
      <w:lvlText w:val="%2."/>
      <w:lvlJc w:val="left"/>
      <w:pPr>
        <w:ind w:left="1440" w:hanging="360"/>
      </w:pPr>
    </w:lvl>
    <w:lvl w:ilvl="2" w:tplc="33AA561E">
      <w:start w:val="1"/>
      <w:numFmt w:val="lowerRoman"/>
      <w:lvlText w:val="%3."/>
      <w:lvlJc w:val="right"/>
      <w:pPr>
        <w:ind w:left="2160" w:hanging="180"/>
      </w:pPr>
    </w:lvl>
    <w:lvl w:ilvl="3" w:tplc="2256B8A0">
      <w:start w:val="1"/>
      <w:numFmt w:val="decimal"/>
      <w:lvlText w:val="%4."/>
      <w:lvlJc w:val="left"/>
      <w:pPr>
        <w:ind w:left="2880" w:hanging="360"/>
      </w:pPr>
    </w:lvl>
    <w:lvl w:ilvl="4" w:tplc="89946D12">
      <w:start w:val="1"/>
      <w:numFmt w:val="lowerLetter"/>
      <w:lvlText w:val="%5."/>
      <w:lvlJc w:val="left"/>
      <w:pPr>
        <w:ind w:left="3600" w:hanging="360"/>
      </w:pPr>
    </w:lvl>
    <w:lvl w:ilvl="5" w:tplc="A50AF3A0">
      <w:start w:val="1"/>
      <w:numFmt w:val="lowerRoman"/>
      <w:lvlText w:val="%6."/>
      <w:lvlJc w:val="right"/>
      <w:pPr>
        <w:ind w:left="4320" w:hanging="180"/>
      </w:pPr>
    </w:lvl>
    <w:lvl w:ilvl="6" w:tplc="F5AC68CA">
      <w:start w:val="1"/>
      <w:numFmt w:val="decimal"/>
      <w:lvlText w:val="%7."/>
      <w:lvlJc w:val="left"/>
      <w:pPr>
        <w:ind w:left="5040" w:hanging="360"/>
      </w:pPr>
    </w:lvl>
    <w:lvl w:ilvl="7" w:tplc="8DB0358A">
      <w:start w:val="1"/>
      <w:numFmt w:val="lowerLetter"/>
      <w:lvlText w:val="%8."/>
      <w:lvlJc w:val="left"/>
      <w:pPr>
        <w:ind w:left="5760" w:hanging="360"/>
      </w:pPr>
    </w:lvl>
    <w:lvl w:ilvl="8" w:tplc="62E09E48">
      <w:start w:val="1"/>
      <w:numFmt w:val="lowerRoman"/>
      <w:lvlText w:val="%9."/>
      <w:lvlJc w:val="right"/>
      <w:pPr>
        <w:ind w:left="6480" w:hanging="180"/>
      </w:pPr>
    </w:lvl>
  </w:abstractNum>
  <w:abstractNum w:abstractNumId="7" w15:restartNumberingAfterBreak="0">
    <w:nsid w:val="36E960FA"/>
    <w:multiLevelType w:val="hybridMultilevel"/>
    <w:tmpl w:val="04964FB2"/>
    <w:lvl w:ilvl="0" w:tplc="CFCC5A6E">
      <w:start w:val="2"/>
      <w:numFmt w:val="decimal"/>
      <w:lvlText w:val="%1."/>
      <w:lvlJc w:val="left"/>
      <w:pPr>
        <w:ind w:left="720" w:hanging="360"/>
      </w:pPr>
      <w:rPr>
        <w:rFonts w:ascii="Calibri" w:hAnsi="Calibri" w:hint="default"/>
      </w:rPr>
    </w:lvl>
    <w:lvl w:ilvl="1" w:tplc="9D044D98">
      <w:start w:val="1"/>
      <w:numFmt w:val="lowerLetter"/>
      <w:lvlText w:val="%2."/>
      <w:lvlJc w:val="left"/>
      <w:pPr>
        <w:ind w:left="1440" w:hanging="360"/>
      </w:pPr>
    </w:lvl>
    <w:lvl w:ilvl="2" w:tplc="543AA3E6">
      <w:start w:val="1"/>
      <w:numFmt w:val="lowerRoman"/>
      <w:lvlText w:val="%3."/>
      <w:lvlJc w:val="right"/>
      <w:pPr>
        <w:ind w:left="2160" w:hanging="180"/>
      </w:pPr>
    </w:lvl>
    <w:lvl w:ilvl="3" w:tplc="4DFC38F4">
      <w:start w:val="1"/>
      <w:numFmt w:val="decimal"/>
      <w:lvlText w:val="%4."/>
      <w:lvlJc w:val="left"/>
      <w:pPr>
        <w:ind w:left="2880" w:hanging="360"/>
      </w:pPr>
    </w:lvl>
    <w:lvl w:ilvl="4" w:tplc="3E629572">
      <w:start w:val="1"/>
      <w:numFmt w:val="lowerLetter"/>
      <w:lvlText w:val="%5."/>
      <w:lvlJc w:val="left"/>
      <w:pPr>
        <w:ind w:left="3600" w:hanging="360"/>
      </w:pPr>
    </w:lvl>
    <w:lvl w:ilvl="5" w:tplc="D75C5B10">
      <w:start w:val="1"/>
      <w:numFmt w:val="lowerRoman"/>
      <w:lvlText w:val="%6."/>
      <w:lvlJc w:val="right"/>
      <w:pPr>
        <w:ind w:left="4320" w:hanging="180"/>
      </w:pPr>
    </w:lvl>
    <w:lvl w:ilvl="6" w:tplc="06E6FFCE">
      <w:start w:val="1"/>
      <w:numFmt w:val="decimal"/>
      <w:lvlText w:val="%7."/>
      <w:lvlJc w:val="left"/>
      <w:pPr>
        <w:ind w:left="5040" w:hanging="360"/>
      </w:pPr>
    </w:lvl>
    <w:lvl w:ilvl="7" w:tplc="25B2A742">
      <w:start w:val="1"/>
      <w:numFmt w:val="lowerLetter"/>
      <w:lvlText w:val="%8."/>
      <w:lvlJc w:val="left"/>
      <w:pPr>
        <w:ind w:left="5760" w:hanging="360"/>
      </w:pPr>
    </w:lvl>
    <w:lvl w:ilvl="8" w:tplc="365CF21A">
      <w:start w:val="1"/>
      <w:numFmt w:val="lowerRoman"/>
      <w:lvlText w:val="%9."/>
      <w:lvlJc w:val="right"/>
      <w:pPr>
        <w:ind w:left="6480" w:hanging="180"/>
      </w:pPr>
    </w:lvl>
  </w:abstractNum>
  <w:abstractNum w:abstractNumId="8" w15:restartNumberingAfterBreak="0">
    <w:nsid w:val="53F5C39A"/>
    <w:multiLevelType w:val="hybridMultilevel"/>
    <w:tmpl w:val="EDD83B12"/>
    <w:lvl w:ilvl="0" w:tplc="79D6AC8E">
      <w:start w:val="4"/>
      <w:numFmt w:val="decimal"/>
      <w:lvlText w:val="%1."/>
      <w:lvlJc w:val="left"/>
      <w:pPr>
        <w:ind w:left="720" w:hanging="360"/>
      </w:pPr>
      <w:rPr>
        <w:rFonts w:ascii="Calibri" w:hAnsi="Calibri" w:hint="default"/>
      </w:rPr>
    </w:lvl>
    <w:lvl w:ilvl="1" w:tplc="667E61F4">
      <w:start w:val="1"/>
      <w:numFmt w:val="lowerLetter"/>
      <w:lvlText w:val="%2."/>
      <w:lvlJc w:val="left"/>
      <w:pPr>
        <w:ind w:left="1440" w:hanging="360"/>
      </w:pPr>
    </w:lvl>
    <w:lvl w:ilvl="2" w:tplc="562C6A68">
      <w:start w:val="1"/>
      <w:numFmt w:val="lowerRoman"/>
      <w:lvlText w:val="%3."/>
      <w:lvlJc w:val="right"/>
      <w:pPr>
        <w:ind w:left="2160" w:hanging="180"/>
      </w:pPr>
    </w:lvl>
    <w:lvl w:ilvl="3" w:tplc="9BB4CEB6">
      <w:start w:val="1"/>
      <w:numFmt w:val="decimal"/>
      <w:lvlText w:val="%4."/>
      <w:lvlJc w:val="left"/>
      <w:pPr>
        <w:ind w:left="2880" w:hanging="360"/>
      </w:pPr>
    </w:lvl>
    <w:lvl w:ilvl="4" w:tplc="BF107378">
      <w:start w:val="1"/>
      <w:numFmt w:val="lowerLetter"/>
      <w:lvlText w:val="%5."/>
      <w:lvlJc w:val="left"/>
      <w:pPr>
        <w:ind w:left="3600" w:hanging="360"/>
      </w:pPr>
    </w:lvl>
    <w:lvl w:ilvl="5" w:tplc="65F25D58">
      <w:start w:val="1"/>
      <w:numFmt w:val="lowerRoman"/>
      <w:lvlText w:val="%6."/>
      <w:lvlJc w:val="right"/>
      <w:pPr>
        <w:ind w:left="4320" w:hanging="180"/>
      </w:pPr>
    </w:lvl>
    <w:lvl w:ilvl="6" w:tplc="750CADCA">
      <w:start w:val="1"/>
      <w:numFmt w:val="decimal"/>
      <w:lvlText w:val="%7."/>
      <w:lvlJc w:val="left"/>
      <w:pPr>
        <w:ind w:left="5040" w:hanging="360"/>
      </w:pPr>
    </w:lvl>
    <w:lvl w:ilvl="7" w:tplc="C17642B2">
      <w:start w:val="1"/>
      <w:numFmt w:val="lowerLetter"/>
      <w:lvlText w:val="%8."/>
      <w:lvlJc w:val="left"/>
      <w:pPr>
        <w:ind w:left="5760" w:hanging="360"/>
      </w:pPr>
    </w:lvl>
    <w:lvl w:ilvl="8" w:tplc="02FAA0FE">
      <w:start w:val="1"/>
      <w:numFmt w:val="lowerRoman"/>
      <w:lvlText w:val="%9."/>
      <w:lvlJc w:val="right"/>
      <w:pPr>
        <w:ind w:left="6480" w:hanging="180"/>
      </w:pPr>
    </w:lvl>
  </w:abstractNum>
  <w:abstractNum w:abstractNumId="9" w15:restartNumberingAfterBreak="0">
    <w:nsid w:val="6A2E14F9"/>
    <w:multiLevelType w:val="hybridMultilevel"/>
    <w:tmpl w:val="1FE601BA"/>
    <w:lvl w:ilvl="0" w:tplc="AD24B722">
      <w:start w:val="5"/>
      <w:numFmt w:val="decimal"/>
      <w:lvlText w:val="%1."/>
      <w:lvlJc w:val="left"/>
      <w:pPr>
        <w:ind w:left="720" w:hanging="360"/>
      </w:pPr>
      <w:rPr>
        <w:rFonts w:ascii="Calibri" w:hAnsi="Calibri" w:hint="default"/>
      </w:rPr>
    </w:lvl>
    <w:lvl w:ilvl="1" w:tplc="0396D68C">
      <w:start w:val="1"/>
      <w:numFmt w:val="lowerLetter"/>
      <w:lvlText w:val="%2."/>
      <w:lvlJc w:val="left"/>
      <w:pPr>
        <w:ind w:left="1440" w:hanging="360"/>
      </w:pPr>
    </w:lvl>
    <w:lvl w:ilvl="2" w:tplc="76C4AD0E">
      <w:start w:val="1"/>
      <w:numFmt w:val="lowerRoman"/>
      <w:lvlText w:val="%3."/>
      <w:lvlJc w:val="right"/>
      <w:pPr>
        <w:ind w:left="2160" w:hanging="180"/>
      </w:pPr>
    </w:lvl>
    <w:lvl w:ilvl="3" w:tplc="65BC46DE">
      <w:start w:val="1"/>
      <w:numFmt w:val="decimal"/>
      <w:lvlText w:val="%4."/>
      <w:lvlJc w:val="left"/>
      <w:pPr>
        <w:ind w:left="2880" w:hanging="360"/>
      </w:pPr>
    </w:lvl>
    <w:lvl w:ilvl="4" w:tplc="1D9AEB58">
      <w:start w:val="1"/>
      <w:numFmt w:val="lowerLetter"/>
      <w:lvlText w:val="%5."/>
      <w:lvlJc w:val="left"/>
      <w:pPr>
        <w:ind w:left="3600" w:hanging="360"/>
      </w:pPr>
    </w:lvl>
    <w:lvl w:ilvl="5" w:tplc="1826BE7A">
      <w:start w:val="1"/>
      <w:numFmt w:val="lowerRoman"/>
      <w:lvlText w:val="%6."/>
      <w:lvlJc w:val="right"/>
      <w:pPr>
        <w:ind w:left="4320" w:hanging="180"/>
      </w:pPr>
    </w:lvl>
    <w:lvl w:ilvl="6" w:tplc="C30E905E">
      <w:start w:val="1"/>
      <w:numFmt w:val="decimal"/>
      <w:lvlText w:val="%7."/>
      <w:lvlJc w:val="left"/>
      <w:pPr>
        <w:ind w:left="5040" w:hanging="360"/>
      </w:pPr>
    </w:lvl>
    <w:lvl w:ilvl="7" w:tplc="12C207DE">
      <w:start w:val="1"/>
      <w:numFmt w:val="lowerLetter"/>
      <w:lvlText w:val="%8."/>
      <w:lvlJc w:val="left"/>
      <w:pPr>
        <w:ind w:left="5760" w:hanging="360"/>
      </w:pPr>
    </w:lvl>
    <w:lvl w:ilvl="8" w:tplc="127EE02C">
      <w:start w:val="1"/>
      <w:numFmt w:val="lowerRoman"/>
      <w:lvlText w:val="%9."/>
      <w:lvlJc w:val="right"/>
      <w:pPr>
        <w:ind w:left="6480" w:hanging="180"/>
      </w:pPr>
    </w:lvl>
  </w:abstractNum>
  <w:num w:numId="1" w16cid:durableId="795100113">
    <w:abstractNumId w:val="4"/>
  </w:num>
  <w:num w:numId="2" w16cid:durableId="246380658">
    <w:abstractNumId w:val="6"/>
  </w:num>
  <w:num w:numId="3" w16cid:durableId="304311121">
    <w:abstractNumId w:val="9"/>
  </w:num>
  <w:num w:numId="4" w16cid:durableId="833959177">
    <w:abstractNumId w:val="8"/>
  </w:num>
  <w:num w:numId="5" w16cid:durableId="596720089">
    <w:abstractNumId w:val="0"/>
  </w:num>
  <w:num w:numId="6" w16cid:durableId="1604217739">
    <w:abstractNumId w:val="7"/>
  </w:num>
  <w:num w:numId="7" w16cid:durableId="354576347">
    <w:abstractNumId w:val="1"/>
  </w:num>
  <w:num w:numId="8" w16cid:durableId="1965848524">
    <w:abstractNumId w:val="3"/>
  </w:num>
  <w:num w:numId="9" w16cid:durableId="957493448">
    <w:abstractNumId w:val="5"/>
  </w:num>
  <w:num w:numId="10" w16cid:durableId="16937280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10BE50"/>
    <w:rsid w:val="0023040D"/>
    <w:rsid w:val="0024B93A"/>
    <w:rsid w:val="00311C8B"/>
    <w:rsid w:val="0034375A"/>
    <w:rsid w:val="00422AC2"/>
    <w:rsid w:val="00494957"/>
    <w:rsid w:val="004A1409"/>
    <w:rsid w:val="00694F1B"/>
    <w:rsid w:val="0071EF01"/>
    <w:rsid w:val="007F737A"/>
    <w:rsid w:val="0089B0F8"/>
    <w:rsid w:val="00BBC4A0"/>
    <w:rsid w:val="00C2C08C"/>
    <w:rsid w:val="00C96DB6"/>
    <w:rsid w:val="00D0BC8D"/>
    <w:rsid w:val="00DB6731"/>
    <w:rsid w:val="00DE2C28"/>
    <w:rsid w:val="00EC7F19"/>
    <w:rsid w:val="00FD4AD1"/>
    <w:rsid w:val="0114D859"/>
    <w:rsid w:val="0166C30D"/>
    <w:rsid w:val="0194352E"/>
    <w:rsid w:val="019A7851"/>
    <w:rsid w:val="019BACF5"/>
    <w:rsid w:val="01AB37E1"/>
    <w:rsid w:val="01D461A9"/>
    <w:rsid w:val="01EED086"/>
    <w:rsid w:val="01F3CF76"/>
    <w:rsid w:val="01F87055"/>
    <w:rsid w:val="0202774F"/>
    <w:rsid w:val="021B8360"/>
    <w:rsid w:val="0223B817"/>
    <w:rsid w:val="02500491"/>
    <w:rsid w:val="025B8852"/>
    <w:rsid w:val="027AADE9"/>
    <w:rsid w:val="028B6EEF"/>
    <w:rsid w:val="028BB1B9"/>
    <w:rsid w:val="02D38439"/>
    <w:rsid w:val="02D6A92B"/>
    <w:rsid w:val="02DD66E8"/>
    <w:rsid w:val="03005EDC"/>
    <w:rsid w:val="030BDC59"/>
    <w:rsid w:val="0334D10B"/>
    <w:rsid w:val="034AE3E5"/>
    <w:rsid w:val="0356639D"/>
    <w:rsid w:val="0360C88A"/>
    <w:rsid w:val="03975457"/>
    <w:rsid w:val="03B4D7CE"/>
    <w:rsid w:val="03B91475"/>
    <w:rsid w:val="03BF8B14"/>
    <w:rsid w:val="03D3DE5F"/>
    <w:rsid w:val="0401450E"/>
    <w:rsid w:val="04082E3A"/>
    <w:rsid w:val="040CCE4D"/>
    <w:rsid w:val="04265A41"/>
    <w:rsid w:val="0443DB48"/>
    <w:rsid w:val="045AF50B"/>
    <w:rsid w:val="048CFFB8"/>
    <w:rsid w:val="04A3E541"/>
    <w:rsid w:val="04C61E14"/>
    <w:rsid w:val="04D61FE9"/>
    <w:rsid w:val="04F6E9F6"/>
    <w:rsid w:val="050A4BF8"/>
    <w:rsid w:val="05317302"/>
    <w:rsid w:val="05341473"/>
    <w:rsid w:val="054241EE"/>
    <w:rsid w:val="0543B0EC"/>
    <w:rsid w:val="05469458"/>
    <w:rsid w:val="055A4572"/>
    <w:rsid w:val="05631E64"/>
    <w:rsid w:val="059692D2"/>
    <w:rsid w:val="059E8855"/>
    <w:rsid w:val="05A5D4C8"/>
    <w:rsid w:val="05AACFC5"/>
    <w:rsid w:val="05AF0797"/>
    <w:rsid w:val="065681BF"/>
    <w:rsid w:val="0688B335"/>
    <w:rsid w:val="069EA6BB"/>
    <w:rsid w:val="06ADC989"/>
    <w:rsid w:val="06CDE483"/>
    <w:rsid w:val="06E1FEAF"/>
    <w:rsid w:val="070700C5"/>
    <w:rsid w:val="072426C9"/>
    <w:rsid w:val="07346F15"/>
    <w:rsid w:val="0734CB4E"/>
    <w:rsid w:val="073F5279"/>
    <w:rsid w:val="07454FF0"/>
    <w:rsid w:val="07536AED"/>
    <w:rsid w:val="076E9561"/>
    <w:rsid w:val="07720C2F"/>
    <w:rsid w:val="07CB53FD"/>
    <w:rsid w:val="07CE33DE"/>
    <w:rsid w:val="07D19FD1"/>
    <w:rsid w:val="07E4D289"/>
    <w:rsid w:val="08159DE0"/>
    <w:rsid w:val="081F6EF4"/>
    <w:rsid w:val="0830F438"/>
    <w:rsid w:val="08678DB2"/>
    <w:rsid w:val="08892FEA"/>
    <w:rsid w:val="088BE4FF"/>
    <w:rsid w:val="088E2721"/>
    <w:rsid w:val="08926A88"/>
    <w:rsid w:val="0899ABE2"/>
    <w:rsid w:val="089A2BCF"/>
    <w:rsid w:val="08A7869B"/>
    <w:rsid w:val="08B25E83"/>
    <w:rsid w:val="08C9329F"/>
    <w:rsid w:val="08DE9E12"/>
    <w:rsid w:val="08E2F0AB"/>
    <w:rsid w:val="0914197A"/>
    <w:rsid w:val="096772C2"/>
    <w:rsid w:val="096CE84A"/>
    <w:rsid w:val="09B58371"/>
    <w:rsid w:val="09C6A71F"/>
    <w:rsid w:val="09DFD9FA"/>
    <w:rsid w:val="0A362C95"/>
    <w:rsid w:val="0A4B8606"/>
    <w:rsid w:val="0A592775"/>
    <w:rsid w:val="0A6272DF"/>
    <w:rsid w:val="0A9F1FE5"/>
    <w:rsid w:val="0ABCC684"/>
    <w:rsid w:val="0AC389D3"/>
    <w:rsid w:val="0AC9CB76"/>
    <w:rsid w:val="0AD0E2B6"/>
    <w:rsid w:val="0AD9D563"/>
    <w:rsid w:val="0B102B92"/>
    <w:rsid w:val="0B1D7289"/>
    <w:rsid w:val="0B461086"/>
    <w:rsid w:val="0B464DB5"/>
    <w:rsid w:val="0B54369C"/>
    <w:rsid w:val="0B7C0530"/>
    <w:rsid w:val="0B86651B"/>
    <w:rsid w:val="0B91FA4D"/>
    <w:rsid w:val="0BB3B2AE"/>
    <w:rsid w:val="0BCC1B39"/>
    <w:rsid w:val="0BEA02BA"/>
    <w:rsid w:val="0BEB59C4"/>
    <w:rsid w:val="0BEEE465"/>
    <w:rsid w:val="0BFA683A"/>
    <w:rsid w:val="0C154D0A"/>
    <w:rsid w:val="0C32657A"/>
    <w:rsid w:val="0C3F34DB"/>
    <w:rsid w:val="0C60D4D0"/>
    <w:rsid w:val="0C7531A4"/>
    <w:rsid w:val="0CA0426B"/>
    <w:rsid w:val="0D13CB9D"/>
    <w:rsid w:val="0D636D1B"/>
    <w:rsid w:val="0D73151D"/>
    <w:rsid w:val="0DD511AD"/>
    <w:rsid w:val="0DFD225D"/>
    <w:rsid w:val="0E1CDBF7"/>
    <w:rsid w:val="0E30DAA5"/>
    <w:rsid w:val="0E384E8D"/>
    <w:rsid w:val="0E506107"/>
    <w:rsid w:val="0E53E47C"/>
    <w:rsid w:val="0E6C0A58"/>
    <w:rsid w:val="0EC55C4C"/>
    <w:rsid w:val="0EDDE4FC"/>
    <w:rsid w:val="0EE0689C"/>
    <w:rsid w:val="0EEF90F8"/>
    <w:rsid w:val="0EF54248"/>
    <w:rsid w:val="0F09FCDE"/>
    <w:rsid w:val="0F66B1D7"/>
    <w:rsid w:val="0F6DDF0A"/>
    <w:rsid w:val="0F935CAA"/>
    <w:rsid w:val="0F970974"/>
    <w:rsid w:val="0F9B1377"/>
    <w:rsid w:val="0FAEB012"/>
    <w:rsid w:val="0FB42EBE"/>
    <w:rsid w:val="0FB4F060"/>
    <w:rsid w:val="0FC396F3"/>
    <w:rsid w:val="0FC4235A"/>
    <w:rsid w:val="0FE0BFAE"/>
    <w:rsid w:val="0FE61FDF"/>
    <w:rsid w:val="0FEC8912"/>
    <w:rsid w:val="100992B9"/>
    <w:rsid w:val="10276A97"/>
    <w:rsid w:val="104AF596"/>
    <w:rsid w:val="10559D73"/>
    <w:rsid w:val="105A43BB"/>
    <w:rsid w:val="105AC486"/>
    <w:rsid w:val="105EED60"/>
    <w:rsid w:val="106BD04F"/>
    <w:rsid w:val="107A21AE"/>
    <w:rsid w:val="10879AC2"/>
    <w:rsid w:val="1090480C"/>
    <w:rsid w:val="10A2A86A"/>
    <w:rsid w:val="10CEAC79"/>
    <w:rsid w:val="10E545C3"/>
    <w:rsid w:val="10F54C56"/>
    <w:rsid w:val="10F76A0B"/>
    <w:rsid w:val="1111B06D"/>
    <w:rsid w:val="111AA67D"/>
    <w:rsid w:val="111E4E64"/>
    <w:rsid w:val="11255CBD"/>
    <w:rsid w:val="114D6D14"/>
    <w:rsid w:val="115455BF"/>
    <w:rsid w:val="119A7F18"/>
    <w:rsid w:val="11E7FEA1"/>
    <w:rsid w:val="11F3FE44"/>
    <w:rsid w:val="121AC516"/>
    <w:rsid w:val="12538BC1"/>
    <w:rsid w:val="1259A7D2"/>
    <w:rsid w:val="1285FC62"/>
    <w:rsid w:val="129E786F"/>
    <w:rsid w:val="12D47A8B"/>
    <w:rsid w:val="12E46C53"/>
    <w:rsid w:val="1327F8F3"/>
    <w:rsid w:val="133BE9C0"/>
    <w:rsid w:val="1343F5E7"/>
    <w:rsid w:val="13563C3F"/>
    <w:rsid w:val="13590702"/>
    <w:rsid w:val="135CFBD1"/>
    <w:rsid w:val="1386C9CB"/>
    <w:rsid w:val="138807E4"/>
    <w:rsid w:val="13A06286"/>
    <w:rsid w:val="13A1CEC6"/>
    <w:rsid w:val="13F3ED1C"/>
    <w:rsid w:val="14ABE717"/>
    <w:rsid w:val="14CBE52B"/>
    <w:rsid w:val="14D131CE"/>
    <w:rsid w:val="14D69684"/>
    <w:rsid w:val="14F2DA2A"/>
    <w:rsid w:val="1502B3B3"/>
    <w:rsid w:val="15041450"/>
    <w:rsid w:val="1513B6AE"/>
    <w:rsid w:val="1523EAE4"/>
    <w:rsid w:val="154207B9"/>
    <w:rsid w:val="1549C9A0"/>
    <w:rsid w:val="155D4A2E"/>
    <w:rsid w:val="15622E3D"/>
    <w:rsid w:val="15926965"/>
    <w:rsid w:val="15A91D65"/>
    <w:rsid w:val="15AB0758"/>
    <w:rsid w:val="15D03D75"/>
    <w:rsid w:val="15DB8E3F"/>
    <w:rsid w:val="15E53216"/>
    <w:rsid w:val="1602B967"/>
    <w:rsid w:val="1625DA9C"/>
    <w:rsid w:val="164F64B1"/>
    <w:rsid w:val="165812CB"/>
    <w:rsid w:val="16838B20"/>
    <w:rsid w:val="168F7EF6"/>
    <w:rsid w:val="168FD91D"/>
    <w:rsid w:val="16B253C8"/>
    <w:rsid w:val="16B27377"/>
    <w:rsid w:val="16C7774E"/>
    <w:rsid w:val="16D0B3CC"/>
    <w:rsid w:val="16D4CBD1"/>
    <w:rsid w:val="16E67944"/>
    <w:rsid w:val="16EBD343"/>
    <w:rsid w:val="16F84F19"/>
    <w:rsid w:val="17056355"/>
    <w:rsid w:val="17182062"/>
    <w:rsid w:val="173BFB89"/>
    <w:rsid w:val="17453B15"/>
    <w:rsid w:val="1755FF91"/>
    <w:rsid w:val="1769471D"/>
    <w:rsid w:val="176AF3A5"/>
    <w:rsid w:val="176EE193"/>
    <w:rsid w:val="177A26F7"/>
    <w:rsid w:val="17BAF430"/>
    <w:rsid w:val="17CA51DF"/>
    <w:rsid w:val="17E73D6C"/>
    <w:rsid w:val="17E7E25A"/>
    <w:rsid w:val="17E917E9"/>
    <w:rsid w:val="17F25E50"/>
    <w:rsid w:val="18146E97"/>
    <w:rsid w:val="185F5982"/>
    <w:rsid w:val="18655BC3"/>
    <w:rsid w:val="186C8655"/>
    <w:rsid w:val="18960034"/>
    <w:rsid w:val="18E331F5"/>
    <w:rsid w:val="19018F75"/>
    <w:rsid w:val="19192ACA"/>
    <w:rsid w:val="1920D04E"/>
    <w:rsid w:val="197047F4"/>
    <w:rsid w:val="197F02D6"/>
    <w:rsid w:val="197F1130"/>
    <w:rsid w:val="1991D2CC"/>
    <w:rsid w:val="19B5EA04"/>
    <w:rsid w:val="19BCA825"/>
    <w:rsid w:val="19EFC01D"/>
    <w:rsid w:val="1A016AA8"/>
    <w:rsid w:val="1A1E8B1C"/>
    <w:rsid w:val="1A280DBD"/>
    <w:rsid w:val="1A2B7BC1"/>
    <w:rsid w:val="1A3FEC6A"/>
    <w:rsid w:val="1A40D645"/>
    <w:rsid w:val="1A4674BC"/>
    <w:rsid w:val="1A4B1EBF"/>
    <w:rsid w:val="1A653F56"/>
    <w:rsid w:val="1A66908B"/>
    <w:rsid w:val="1A77F6DE"/>
    <w:rsid w:val="1A85B50E"/>
    <w:rsid w:val="1A8AACD9"/>
    <w:rsid w:val="1AA5F048"/>
    <w:rsid w:val="1AB1CF4D"/>
    <w:rsid w:val="1AD59F51"/>
    <w:rsid w:val="1ADB1D6E"/>
    <w:rsid w:val="1AE7AF36"/>
    <w:rsid w:val="1AEC2D88"/>
    <w:rsid w:val="1AF1FB7F"/>
    <w:rsid w:val="1B0B3304"/>
    <w:rsid w:val="1B1C76F2"/>
    <w:rsid w:val="1B1FCA6D"/>
    <w:rsid w:val="1B4714BB"/>
    <w:rsid w:val="1B4FC339"/>
    <w:rsid w:val="1B62F595"/>
    <w:rsid w:val="1BA98EFE"/>
    <w:rsid w:val="1BABA794"/>
    <w:rsid w:val="1BB7C863"/>
    <w:rsid w:val="1BC28E56"/>
    <w:rsid w:val="1BDED56F"/>
    <w:rsid w:val="1BE4C7AD"/>
    <w:rsid w:val="1BEB96B1"/>
    <w:rsid w:val="1C09C77B"/>
    <w:rsid w:val="1C0AAD70"/>
    <w:rsid w:val="1C0B46B5"/>
    <w:rsid w:val="1C5CC659"/>
    <w:rsid w:val="1C6A97C0"/>
    <w:rsid w:val="1C88188C"/>
    <w:rsid w:val="1C8C2355"/>
    <w:rsid w:val="1C912E3C"/>
    <w:rsid w:val="1CCCF9F9"/>
    <w:rsid w:val="1CEEC265"/>
    <w:rsid w:val="1CEF904F"/>
    <w:rsid w:val="1D0A71A6"/>
    <w:rsid w:val="1D0EE5BA"/>
    <w:rsid w:val="1D11B63A"/>
    <w:rsid w:val="1D343235"/>
    <w:rsid w:val="1D553147"/>
    <w:rsid w:val="1D5FE68C"/>
    <w:rsid w:val="1D823CB3"/>
    <w:rsid w:val="1DD18AF4"/>
    <w:rsid w:val="1E034ED4"/>
    <w:rsid w:val="1E426ABD"/>
    <w:rsid w:val="1E455731"/>
    <w:rsid w:val="1E4BD5E6"/>
    <w:rsid w:val="1E658056"/>
    <w:rsid w:val="1EC29431"/>
    <w:rsid w:val="1EDC693F"/>
    <w:rsid w:val="1EFFD668"/>
    <w:rsid w:val="1F025C49"/>
    <w:rsid w:val="1F14071F"/>
    <w:rsid w:val="1F23DB1E"/>
    <w:rsid w:val="1F2C14AA"/>
    <w:rsid w:val="1F36E441"/>
    <w:rsid w:val="1F4362F3"/>
    <w:rsid w:val="1F58EBB6"/>
    <w:rsid w:val="1F6E9F34"/>
    <w:rsid w:val="1F7F1AC3"/>
    <w:rsid w:val="1FB4B833"/>
    <w:rsid w:val="1FD44EE6"/>
    <w:rsid w:val="2002E708"/>
    <w:rsid w:val="200AFB32"/>
    <w:rsid w:val="201028F4"/>
    <w:rsid w:val="2019E223"/>
    <w:rsid w:val="20429D07"/>
    <w:rsid w:val="2060256E"/>
    <w:rsid w:val="206D08BB"/>
    <w:rsid w:val="207AB244"/>
    <w:rsid w:val="208585E5"/>
    <w:rsid w:val="20AB7C07"/>
    <w:rsid w:val="20ADFBD6"/>
    <w:rsid w:val="21020CF2"/>
    <w:rsid w:val="212A1AB6"/>
    <w:rsid w:val="2152CAF9"/>
    <w:rsid w:val="215F0BEC"/>
    <w:rsid w:val="216C137D"/>
    <w:rsid w:val="217FD9E2"/>
    <w:rsid w:val="21966D41"/>
    <w:rsid w:val="21AD33DB"/>
    <w:rsid w:val="21B1FA5D"/>
    <w:rsid w:val="21D939E4"/>
    <w:rsid w:val="21F6BAE1"/>
    <w:rsid w:val="226DD515"/>
    <w:rsid w:val="227B7547"/>
    <w:rsid w:val="2284F848"/>
    <w:rsid w:val="229140A9"/>
    <w:rsid w:val="22F0D2EE"/>
    <w:rsid w:val="22F2DD32"/>
    <w:rsid w:val="231BBA91"/>
    <w:rsid w:val="231FAC9F"/>
    <w:rsid w:val="23225A8C"/>
    <w:rsid w:val="23239FE0"/>
    <w:rsid w:val="233A81FC"/>
    <w:rsid w:val="235C6C71"/>
    <w:rsid w:val="23862E89"/>
    <w:rsid w:val="238889E1"/>
    <w:rsid w:val="238CB602"/>
    <w:rsid w:val="23C261B1"/>
    <w:rsid w:val="23C426C2"/>
    <w:rsid w:val="23CA676E"/>
    <w:rsid w:val="23CF76C6"/>
    <w:rsid w:val="23D86EA0"/>
    <w:rsid w:val="23E236D3"/>
    <w:rsid w:val="23F1B924"/>
    <w:rsid w:val="23F97AA8"/>
    <w:rsid w:val="240004B4"/>
    <w:rsid w:val="240257B9"/>
    <w:rsid w:val="2419F8E5"/>
    <w:rsid w:val="242162EC"/>
    <w:rsid w:val="244719B0"/>
    <w:rsid w:val="2452DB35"/>
    <w:rsid w:val="246BAF00"/>
    <w:rsid w:val="246F5730"/>
    <w:rsid w:val="24741B22"/>
    <w:rsid w:val="248A58C0"/>
    <w:rsid w:val="24D7F43B"/>
    <w:rsid w:val="24DA1E75"/>
    <w:rsid w:val="24E73219"/>
    <w:rsid w:val="24F087B7"/>
    <w:rsid w:val="252B5632"/>
    <w:rsid w:val="252E7FB3"/>
    <w:rsid w:val="254FB131"/>
    <w:rsid w:val="2563192D"/>
    <w:rsid w:val="2578BBBB"/>
    <w:rsid w:val="258A1AC0"/>
    <w:rsid w:val="258C4CBA"/>
    <w:rsid w:val="258E4F2F"/>
    <w:rsid w:val="259B7337"/>
    <w:rsid w:val="25B830A1"/>
    <w:rsid w:val="25B8D889"/>
    <w:rsid w:val="25BF18F7"/>
    <w:rsid w:val="25C67586"/>
    <w:rsid w:val="26103124"/>
    <w:rsid w:val="2629386C"/>
    <w:rsid w:val="262B772D"/>
    <w:rsid w:val="262F9C1E"/>
    <w:rsid w:val="26416192"/>
    <w:rsid w:val="264F0565"/>
    <w:rsid w:val="2690DA2F"/>
    <w:rsid w:val="269CADEF"/>
    <w:rsid w:val="26B567E4"/>
    <w:rsid w:val="26CD11B3"/>
    <w:rsid w:val="26DC029E"/>
    <w:rsid w:val="26E3394E"/>
    <w:rsid w:val="26FF7D7C"/>
    <w:rsid w:val="2704CBEC"/>
    <w:rsid w:val="27165EA2"/>
    <w:rsid w:val="27465490"/>
    <w:rsid w:val="27565D7B"/>
    <w:rsid w:val="275D5E57"/>
    <w:rsid w:val="277DAE79"/>
    <w:rsid w:val="278AB5AA"/>
    <w:rsid w:val="27A26790"/>
    <w:rsid w:val="27D6609E"/>
    <w:rsid w:val="27E0DE55"/>
    <w:rsid w:val="280FE9CF"/>
    <w:rsid w:val="28280C5E"/>
    <w:rsid w:val="28300137"/>
    <w:rsid w:val="2852E7D4"/>
    <w:rsid w:val="28A5F1EA"/>
    <w:rsid w:val="28AB258E"/>
    <w:rsid w:val="28B6191D"/>
    <w:rsid w:val="28C0A0D7"/>
    <w:rsid w:val="28F746E1"/>
    <w:rsid w:val="28F7DDC8"/>
    <w:rsid w:val="290B18B3"/>
    <w:rsid w:val="290F42D4"/>
    <w:rsid w:val="29149B71"/>
    <w:rsid w:val="2914C7CB"/>
    <w:rsid w:val="2930CA6D"/>
    <w:rsid w:val="295A53E4"/>
    <w:rsid w:val="29789532"/>
    <w:rsid w:val="2993BA31"/>
    <w:rsid w:val="29AEC8AF"/>
    <w:rsid w:val="29AF1189"/>
    <w:rsid w:val="29C9E4C4"/>
    <w:rsid w:val="29DE67B1"/>
    <w:rsid w:val="29E3E942"/>
    <w:rsid w:val="29F11E4E"/>
    <w:rsid w:val="2A05DF5F"/>
    <w:rsid w:val="2A43C731"/>
    <w:rsid w:val="2A48EEF9"/>
    <w:rsid w:val="2A6E7553"/>
    <w:rsid w:val="2A7002CF"/>
    <w:rsid w:val="2A72F422"/>
    <w:rsid w:val="2A984C5B"/>
    <w:rsid w:val="2AA2EF0C"/>
    <w:rsid w:val="2AB67172"/>
    <w:rsid w:val="2AC68FBF"/>
    <w:rsid w:val="2AC8F187"/>
    <w:rsid w:val="2AF650CE"/>
    <w:rsid w:val="2AF8F1CA"/>
    <w:rsid w:val="2B10D14D"/>
    <w:rsid w:val="2B401F53"/>
    <w:rsid w:val="2B5D9184"/>
    <w:rsid w:val="2B7AE653"/>
    <w:rsid w:val="2BAA089A"/>
    <w:rsid w:val="2BBAAE17"/>
    <w:rsid w:val="2BC39292"/>
    <w:rsid w:val="2BD13F89"/>
    <w:rsid w:val="2BD32069"/>
    <w:rsid w:val="2BD9CBE4"/>
    <w:rsid w:val="2BE27A27"/>
    <w:rsid w:val="2BE6A080"/>
    <w:rsid w:val="2C0B99F2"/>
    <w:rsid w:val="2C25909D"/>
    <w:rsid w:val="2C364CA3"/>
    <w:rsid w:val="2C393E07"/>
    <w:rsid w:val="2C3C6844"/>
    <w:rsid w:val="2C583989"/>
    <w:rsid w:val="2C5EC484"/>
    <w:rsid w:val="2C80B1B1"/>
    <w:rsid w:val="2C94C151"/>
    <w:rsid w:val="2CC72243"/>
    <w:rsid w:val="2CDA6885"/>
    <w:rsid w:val="2CDBD469"/>
    <w:rsid w:val="2CED86E2"/>
    <w:rsid w:val="2CFFBB1A"/>
    <w:rsid w:val="2D27248C"/>
    <w:rsid w:val="2D497A87"/>
    <w:rsid w:val="2D66FD98"/>
    <w:rsid w:val="2D7920A3"/>
    <w:rsid w:val="2DAAC8EF"/>
    <w:rsid w:val="2DB945C0"/>
    <w:rsid w:val="2DC1F5BD"/>
    <w:rsid w:val="2DF479A3"/>
    <w:rsid w:val="2DFA74B7"/>
    <w:rsid w:val="2E1A740B"/>
    <w:rsid w:val="2E1AA071"/>
    <w:rsid w:val="2E2F262E"/>
    <w:rsid w:val="2E44D1A6"/>
    <w:rsid w:val="2E57B504"/>
    <w:rsid w:val="2E64FF17"/>
    <w:rsid w:val="2E6CF29D"/>
    <w:rsid w:val="2E8AAAA7"/>
    <w:rsid w:val="2EC19125"/>
    <w:rsid w:val="2EC1E7D0"/>
    <w:rsid w:val="2ED155FB"/>
    <w:rsid w:val="2EF528F1"/>
    <w:rsid w:val="2EFFFCBB"/>
    <w:rsid w:val="2F130346"/>
    <w:rsid w:val="2F1B7F70"/>
    <w:rsid w:val="2F1B9E22"/>
    <w:rsid w:val="2F1D6A47"/>
    <w:rsid w:val="2F37B98F"/>
    <w:rsid w:val="2F9EFED5"/>
    <w:rsid w:val="2FAC0845"/>
    <w:rsid w:val="2FBD67DE"/>
    <w:rsid w:val="2FCD84A2"/>
    <w:rsid w:val="2FD0324B"/>
    <w:rsid w:val="30042C6C"/>
    <w:rsid w:val="3011DEBD"/>
    <w:rsid w:val="301AF6D4"/>
    <w:rsid w:val="301B04DF"/>
    <w:rsid w:val="302A57D1"/>
    <w:rsid w:val="302E724D"/>
    <w:rsid w:val="303E82E3"/>
    <w:rsid w:val="30665221"/>
    <w:rsid w:val="30701EBE"/>
    <w:rsid w:val="3077DC97"/>
    <w:rsid w:val="307D5825"/>
    <w:rsid w:val="30B5E991"/>
    <w:rsid w:val="30BA8E5A"/>
    <w:rsid w:val="30D2A995"/>
    <w:rsid w:val="30E068BE"/>
    <w:rsid w:val="310A7EC4"/>
    <w:rsid w:val="3119B028"/>
    <w:rsid w:val="31279692"/>
    <w:rsid w:val="315F1EBA"/>
    <w:rsid w:val="3186E808"/>
    <w:rsid w:val="31A5F80D"/>
    <w:rsid w:val="31B402EE"/>
    <w:rsid w:val="321DFE26"/>
    <w:rsid w:val="322C943A"/>
    <w:rsid w:val="3271BFB7"/>
    <w:rsid w:val="3291DA43"/>
    <w:rsid w:val="329E2D04"/>
    <w:rsid w:val="32A86F3B"/>
    <w:rsid w:val="32EA34D1"/>
    <w:rsid w:val="32EED5D9"/>
    <w:rsid w:val="32F0DD19"/>
    <w:rsid w:val="3328C7DB"/>
    <w:rsid w:val="335680A1"/>
    <w:rsid w:val="337D9A49"/>
    <w:rsid w:val="33A1BE40"/>
    <w:rsid w:val="33C986DA"/>
    <w:rsid w:val="33E370C8"/>
    <w:rsid w:val="33FF5FE6"/>
    <w:rsid w:val="340750E8"/>
    <w:rsid w:val="34138F1A"/>
    <w:rsid w:val="3430500A"/>
    <w:rsid w:val="3454A7DF"/>
    <w:rsid w:val="34678930"/>
    <w:rsid w:val="346C5915"/>
    <w:rsid w:val="3477EFD0"/>
    <w:rsid w:val="34930AD3"/>
    <w:rsid w:val="34967F24"/>
    <w:rsid w:val="34A543EB"/>
    <w:rsid w:val="34BB4076"/>
    <w:rsid w:val="34BC8992"/>
    <w:rsid w:val="34D41626"/>
    <w:rsid w:val="34E91063"/>
    <w:rsid w:val="34EC8083"/>
    <w:rsid w:val="34F22705"/>
    <w:rsid w:val="35190E5A"/>
    <w:rsid w:val="3537389A"/>
    <w:rsid w:val="3596B6CD"/>
    <w:rsid w:val="35A5A3A0"/>
    <w:rsid w:val="35AF3D8C"/>
    <w:rsid w:val="35B3BB53"/>
    <w:rsid w:val="35CF9CD4"/>
    <w:rsid w:val="35E29EC8"/>
    <w:rsid w:val="35E871B2"/>
    <w:rsid w:val="360E9646"/>
    <w:rsid w:val="3622F558"/>
    <w:rsid w:val="36237704"/>
    <w:rsid w:val="362BB00B"/>
    <w:rsid w:val="3658340A"/>
    <w:rsid w:val="3663C4A1"/>
    <w:rsid w:val="36687AFB"/>
    <w:rsid w:val="367A3B0D"/>
    <w:rsid w:val="367E535E"/>
    <w:rsid w:val="369AF6B9"/>
    <w:rsid w:val="36B36649"/>
    <w:rsid w:val="36C34E3D"/>
    <w:rsid w:val="36C39306"/>
    <w:rsid w:val="36DC7A8C"/>
    <w:rsid w:val="36E36883"/>
    <w:rsid w:val="36E94AFF"/>
    <w:rsid w:val="36EBC271"/>
    <w:rsid w:val="36ECF2E4"/>
    <w:rsid w:val="36FB0633"/>
    <w:rsid w:val="37008548"/>
    <w:rsid w:val="370640A3"/>
    <w:rsid w:val="37190D57"/>
    <w:rsid w:val="371B20AB"/>
    <w:rsid w:val="37257E40"/>
    <w:rsid w:val="372DF060"/>
    <w:rsid w:val="3740F793"/>
    <w:rsid w:val="37491124"/>
    <w:rsid w:val="37535E6E"/>
    <w:rsid w:val="375C9535"/>
    <w:rsid w:val="37694774"/>
    <w:rsid w:val="378D01D0"/>
    <w:rsid w:val="3791FFFB"/>
    <w:rsid w:val="37A0CA2B"/>
    <w:rsid w:val="37A7A540"/>
    <w:rsid w:val="37B7217B"/>
    <w:rsid w:val="37DF52D9"/>
    <w:rsid w:val="37E53845"/>
    <w:rsid w:val="37E54BB9"/>
    <w:rsid w:val="38446712"/>
    <w:rsid w:val="38550185"/>
    <w:rsid w:val="389115F3"/>
    <w:rsid w:val="389D83B8"/>
    <w:rsid w:val="38A8BDE9"/>
    <w:rsid w:val="38B07683"/>
    <w:rsid w:val="38DA3A21"/>
    <w:rsid w:val="38DB5C04"/>
    <w:rsid w:val="38FB9494"/>
    <w:rsid w:val="391B6874"/>
    <w:rsid w:val="39354427"/>
    <w:rsid w:val="3956CF8D"/>
    <w:rsid w:val="398DF192"/>
    <w:rsid w:val="399A41A4"/>
    <w:rsid w:val="39A6F2B4"/>
    <w:rsid w:val="39BA2BD1"/>
    <w:rsid w:val="39BB6814"/>
    <w:rsid w:val="39C8684E"/>
    <w:rsid w:val="39D086CB"/>
    <w:rsid w:val="39D2622C"/>
    <w:rsid w:val="39EE8F36"/>
    <w:rsid w:val="3A6748CC"/>
    <w:rsid w:val="3A74030E"/>
    <w:rsid w:val="3A743161"/>
    <w:rsid w:val="3A803769"/>
    <w:rsid w:val="3A83A279"/>
    <w:rsid w:val="3A94E82C"/>
    <w:rsid w:val="3AABC76A"/>
    <w:rsid w:val="3AB8B081"/>
    <w:rsid w:val="3AD96805"/>
    <w:rsid w:val="3B151764"/>
    <w:rsid w:val="3B1558A5"/>
    <w:rsid w:val="3B5C3ED9"/>
    <w:rsid w:val="3BB51FC8"/>
    <w:rsid w:val="3BB9E70F"/>
    <w:rsid w:val="3BCC0707"/>
    <w:rsid w:val="3C24B4AF"/>
    <w:rsid w:val="3C261D26"/>
    <w:rsid w:val="3C26D0B0"/>
    <w:rsid w:val="3C443F63"/>
    <w:rsid w:val="3C4E74B4"/>
    <w:rsid w:val="3C5660DA"/>
    <w:rsid w:val="3C5A312A"/>
    <w:rsid w:val="3C6E4691"/>
    <w:rsid w:val="3C724EF9"/>
    <w:rsid w:val="3C827BEF"/>
    <w:rsid w:val="3CA85A7B"/>
    <w:rsid w:val="3CAC45C8"/>
    <w:rsid w:val="3CB330E7"/>
    <w:rsid w:val="3CC7179F"/>
    <w:rsid w:val="3CD3DA82"/>
    <w:rsid w:val="3CD50514"/>
    <w:rsid w:val="3CDD49E7"/>
    <w:rsid w:val="3CEA0B6E"/>
    <w:rsid w:val="3D2196FA"/>
    <w:rsid w:val="3D359DE3"/>
    <w:rsid w:val="3D5C3C91"/>
    <w:rsid w:val="3D751DB4"/>
    <w:rsid w:val="3DBA71C1"/>
    <w:rsid w:val="3DE97D46"/>
    <w:rsid w:val="3DFD1216"/>
    <w:rsid w:val="3E0B875D"/>
    <w:rsid w:val="3E232A5E"/>
    <w:rsid w:val="3E3213AA"/>
    <w:rsid w:val="3E327A39"/>
    <w:rsid w:val="3E3D5EE6"/>
    <w:rsid w:val="3E43A0A6"/>
    <w:rsid w:val="3E4BE9E6"/>
    <w:rsid w:val="3E65A4A3"/>
    <w:rsid w:val="3EA2A7C0"/>
    <w:rsid w:val="3EA6A9E7"/>
    <w:rsid w:val="3EAD5CCB"/>
    <w:rsid w:val="3EB0B6AE"/>
    <w:rsid w:val="3ECE105D"/>
    <w:rsid w:val="3EDDD090"/>
    <w:rsid w:val="3EE0FF96"/>
    <w:rsid w:val="3F1EBE8A"/>
    <w:rsid w:val="3F45EF12"/>
    <w:rsid w:val="3F468667"/>
    <w:rsid w:val="3F4CB780"/>
    <w:rsid w:val="3F50C50B"/>
    <w:rsid w:val="3F5E8F7E"/>
    <w:rsid w:val="3F66F7F9"/>
    <w:rsid w:val="3F728BC7"/>
    <w:rsid w:val="3FE205B4"/>
    <w:rsid w:val="4028B5EA"/>
    <w:rsid w:val="405C1B08"/>
    <w:rsid w:val="405D7977"/>
    <w:rsid w:val="40611841"/>
    <w:rsid w:val="40664CC6"/>
    <w:rsid w:val="40BB4EEC"/>
    <w:rsid w:val="40BEC4F8"/>
    <w:rsid w:val="40C8604D"/>
    <w:rsid w:val="41090484"/>
    <w:rsid w:val="4118214A"/>
    <w:rsid w:val="41256626"/>
    <w:rsid w:val="4129E0CE"/>
    <w:rsid w:val="415D5B2B"/>
    <w:rsid w:val="4161C0A2"/>
    <w:rsid w:val="417E5B79"/>
    <w:rsid w:val="41AE3FF3"/>
    <w:rsid w:val="4203CA7B"/>
    <w:rsid w:val="4224E6DB"/>
    <w:rsid w:val="4253CDF2"/>
    <w:rsid w:val="42635D3A"/>
    <w:rsid w:val="4270C0CA"/>
    <w:rsid w:val="427B872A"/>
    <w:rsid w:val="428378B1"/>
    <w:rsid w:val="42886C42"/>
    <w:rsid w:val="42929F94"/>
    <w:rsid w:val="42CC9DED"/>
    <w:rsid w:val="42D6A408"/>
    <w:rsid w:val="42E1DF5A"/>
    <w:rsid w:val="4303CCDE"/>
    <w:rsid w:val="433259D9"/>
    <w:rsid w:val="43395893"/>
    <w:rsid w:val="434051D7"/>
    <w:rsid w:val="43707974"/>
    <w:rsid w:val="43830912"/>
    <w:rsid w:val="4387B975"/>
    <w:rsid w:val="439B23B7"/>
    <w:rsid w:val="440531F0"/>
    <w:rsid w:val="442B958F"/>
    <w:rsid w:val="44389C1E"/>
    <w:rsid w:val="443C4BA9"/>
    <w:rsid w:val="4445DE85"/>
    <w:rsid w:val="444E14E7"/>
    <w:rsid w:val="4453EEC0"/>
    <w:rsid w:val="445763CB"/>
    <w:rsid w:val="446F20CC"/>
    <w:rsid w:val="447C09F0"/>
    <w:rsid w:val="449FB4F9"/>
    <w:rsid w:val="44A30143"/>
    <w:rsid w:val="44AB6870"/>
    <w:rsid w:val="44B15465"/>
    <w:rsid w:val="44E55580"/>
    <w:rsid w:val="44FD4864"/>
    <w:rsid w:val="450663ED"/>
    <w:rsid w:val="451A1A37"/>
    <w:rsid w:val="453010DE"/>
    <w:rsid w:val="453F70AC"/>
    <w:rsid w:val="4544FB46"/>
    <w:rsid w:val="455F7786"/>
    <w:rsid w:val="45E02373"/>
    <w:rsid w:val="45E95BA2"/>
    <w:rsid w:val="45FCBE09"/>
    <w:rsid w:val="46699C81"/>
    <w:rsid w:val="468F12A0"/>
    <w:rsid w:val="4692CDCF"/>
    <w:rsid w:val="46AAC5D1"/>
    <w:rsid w:val="46C1B82D"/>
    <w:rsid w:val="46CB1243"/>
    <w:rsid w:val="46D83ED1"/>
    <w:rsid w:val="473E41C5"/>
    <w:rsid w:val="476D9F30"/>
    <w:rsid w:val="47754BCE"/>
    <w:rsid w:val="47893568"/>
    <w:rsid w:val="479C890A"/>
    <w:rsid w:val="47A1A987"/>
    <w:rsid w:val="47D5A8A4"/>
    <w:rsid w:val="47E5B2FA"/>
    <w:rsid w:val="47F9E061"/>
    <w:rsid w:val="4806448C"/>
    <w:rsid w:val="4834B5DC"/>
    <w:rsid w:val="484620E8"/>
    <w:rsid w:val="4854EF0A"/>
    <w:rsid w:val="48667213"/>
    <w:rsid w:val="48687A55"/>
    <w:rsid w:val="4885E141"/>
    <w:rsid w:val="488E414E"/>
    <w:rsid w:val="4890AD1B"/>
    <w:rsid w:val="48D15028"/>
    <w:rsid w:val="48D2DB83"/>
    <w:rsid w:val="48D395CB"/>
    <w:rsid w:val="48FE0709"/>
    <w:rsid w:val="4907D8B4"/>
    <w:rsid w:val="490C5649"/>
    <w:rsid w:val="4924DD5A"/>
    <w:rsid w:val="492BF334"/>
    <w:rsid w:val="4931601E"/>
    <w:rsid w:val="493C457A"/>
    <w:rsid w:val="494FBB78"/>
    <w:rsid w:val="498057EA"/>
    <w:rsid w:val="498DB612"/>
    <w:rsid w:val="49AE0AD1"/>
    <w:rsid w:val="49C1A694"/>
    <w:rsid w:val="4A195344"/>
    <w:rsid w:val="4A1F1389"/>
    <w:rsid w:val="4A2119E0"/>
    <w:rsid w:val="4A2A79BA"/>
    <w:rsid w:val="4A39AA1B"/>
    <w:rsid w:val="4A794C58"/>
    <w:rsid w:val="4A7F7467"/>
    <w:rsid w:val="4A989935"/>
    <w:rsid w:val="4AC736B0"/>
    <w:rsid w:val="4AF2B9FC"/>
    <w:rsid w:val="4AFA8F45"/>
    <w:rsid w:val="4B04F9C0"/>
    <w:rsid w:val="4B3D399C"/>
    <w:rsid w:val="4B405948"/>
    <w:rsid w:val="4B4517EC"/>
    <w:rsid w:val="4B50D0D7"/>
    <w:rsid w:val="4B590644"/>
    <w:rsid w:val="4B713A68"/>
    <w:rsid w:val="4B749A66"/>
    <w:rsid w:val="4B8255A0"/>
    <w:rsid w:val="4BA0A44A"/>
    <w:rsid w:val="4BA6C5C0"/>
    <w:rsid w:val="4BB093F3"/>
    <w:rsid w:val="4BD2DBFA"/>
    <w:rsid w:val="4BD5C021"/>
    <w:rsid w:val="4BDD7C11"/>
    <w:rsid w:val="4C142BA1"/>
    <w:rsid w:val="4C21F0D9"/>
    <w:rsid w:val="4C33B256"/>
    <w:rsid w:val="4C3E7CDA"/>
    <w:rsid w:val="4C438CD8"/>
    <w:rsid w:val="4C86485D"/>
    <w:rsid w:val="4C8C5A0C"/>
    <w:rsid w:val="4C9D30C0"/>
    <w:rsid w:val="4CA0F450"/>
    <w:rsid w:val="4CC4B2B4"/>
    <w:rsid w:val="4CC6802E"/>
    <w:rsid w:val="4CF9ADA2"/>
    <w:rsid w:val="4CFE1772"/>
    <w:rsid w:val="4D09A464"/>
    <w:rsid w:val="4D0C7C48"/>
    <w:rsid w:val="4D1D006E"/>
    <w:rsid w:val="4D20526F"/>
    <w:rsid w:val="4D4B7125"/>
    <w:rsid w:val="4D4C1389"/>
    <w:rsid w:val="4D5DF941"/>
    <w:rsid w:val="4D62C6A3"/>
    <w:rsid w:val="4D8DBEA6"/>
    <w:rsid w:val="4DAA2D31"/>
    <w:rsid w:val="4DAF299F"/>
    <w:rsid w:val="4DBB22EA"/>
    <w:rsid w:val="4DF28289"/>
    <w:rsid w:val="4E0E3AAE"/>
    <w:rsid w:val="4E735677"/>
    <w:rsid w:val="4EA5C96B"/>
    <w:rsid w:val="4EBA5F4C"/>
    <w:rsid w:val="4EBEFE0F"/>
    <w:rsid w:val="4ECE49E6"/>
    <w:rsid w:val="4ECF8C5B"/>
    <w:rsid w:val="4ED9E0B7"/>
    <w:rsid w:val="4EF10BE6"/>
    <w:rsid w:val="4EF33E0C"/>
    <w:rsid w:val="4EFE37F2"/>
    <w:rsid w:val="4F121802"/>
    <w:rsid w:val="4F241BFF"/>
    <w:rsid w:val="4F3D57C9"/>
    <w:rsid w:val="4F5090D8"/>
    <w:rsid w:val="4F724CBF"/>
    <w:rsid w:val="4FA0A8A1"/>
    <w:rsid w:val="4FBDE181"/>
    <w:rsid w:val="4FC393B8"/>
    <w:rsid w:val="4FC8B9DE"/>
    <w:rsid w:val="4FD1D4B2"/>
    <w:rsid w:val="4FFB3EB3"/>
    <w:rsid w:val="4FFB9EE6"/>
    <w:rsid w:val="5054F94C"/>
    <w:rsid w:val="50739F73"/>
    <w:rsid w:val="5079CBBD"/>
    <w:rsid w:val="509181AC"/>
    <w:rsid w:val="50AC7614"/>
    <w:rsid w:val="50B16116"/>
    <w:rsid w:val="50C2E9C8"/>
    <w:rsid w:val="50DE0218"/>
    <w:rsid w:val="50EF5CAA"/>
    <w:rsid w:val="5104C4A3"/>
    <w:rsid w:val="51172A39"/>
    <w:rsid w:val="5119C1FE"/>
    <w:rsid w:val="511E780C"/>
    <w:rsid w:val="51366282"/>
    <w:rsid w:val="514A4224"/>
    <w:rsid w:val="51570F7C"/>
    <w:rsid w:val="516AF07D"/>
    <w:rsid w:val="516C25F9"/>
    <w:rsid w:val="51706617"/>
    <w:rsid w:val="517D8793"/>
    <w:rsid w:val="5182EF92"/>
    <w:rsid w:val="518E4B41"/>
    <w:rsid w:val="5199C9F9"/>
    <w:rsid w:val="519DC338"/>
    <w:rsid w:val="51A3CED3"/>
    <w:rsid w:val="51A3E893"/>
    <w:rsid w:val="51A77951"/>
    <w:rsid w:val="51C689AF"/>
    <w:rsid w:val="51D3F7BF"/>
    <w:rsid w:val="51D9699D"/>
    <w:rsid w:val="52073E77"/>
    <w:rsid w:val="521C1BA1"/>
    <w:rsid w:val="522B4164"/>
    <w:rsid w:val="524A1429"/>
    <w:rsid w:val="524E6142"/>
    <w:rsid w:val="5261ED93"/>
    <w:rsid w:val="527F2609"/>
    <w:rsid w:val="5292730D"/>
    <w:rsid w:val="52971344"/>
    <w:rsid w:val="52B105F8"/>
    <w:rsid w:val="52BA94C6"/>
    <w:rsid w:val="52C45BE8"/>
    <w:rsid w:val="52CD41C6"/>
    <w:rsid w:val="52EC88FE"/>
    <w:rsid w:val="52F0604E"/>
    <w:rsid w:val="5320034B"/>
    <w:rsid w:val="5324E247"/>
    <w:rsid w:val="532B17A2"/>
    <w:rsid w:val="533255C1"/>
    <w:rsid w:val="53377228"/>
    <w:rsid w:val="53444F8E"/>
    <w:rsid w:val="5363A7D5"/>
    <w:rsid w:val="536B9BB7"/>
    <w:rsid w:val="537A812C"/>
    <w:rsid w:val="53AC546D"/>
    <w:rsid w:val="53C5369F"/>
    <w:rsid w:val="53D8DE6B"/>
    <w:rsid w:val="540928CE"/>
    <w:rsid w:val="543436D0"/>
    <w:rsid w:val="5460D017"/>
    <w:rsid w:val="549409A6"/>
    <w:rsid w:val="54AC9C3D"/>
    <w:rsid w:val="54DA0F6F"/>
    <w:rsid w:val="54ED8B99"/>
    <w:rsid w:val="54F38C43"/>
    <w:rsid w:val="54FAC3F1"/>
    <w:rsid w:val="5510A4B9"/>
    <w:rsid w:val="55153871"/>
    <w:rsid w:val="551C3D42"/>
    <w:rsid w:val="55288398"/>
    <w:rsid w:val="554537A9"/>
    <w:rsid w:val="55524A72"/>
    <w:rsid w:val="5552A77F"/>
    <w:rsid w:val="5570D55C"/>
    <w:rsid w:val="557E7237"/>
    <w:rsid w:val="558F14C5"/>
    <w:rsid w:val="559AB5AC"/>
    <w:rsid w:val="55E30CB3"/>
    <w:rsid w:val="55F585C5"/>
    <w:rsid w:val="56117C26"/>
    <w:rsid w:val="562A2957"/>
    <w:rsid w:val="5638103E"/>
    <w:rsid w:val="563B4669"/>
    <w:rsid w:val="564D5139"/>
    <w:rsid w:val="565F38B7"/>
    <w:rsid w:val="567CF8DB"/>
    <w:rsid w:val="568AEFCB"/>
    <w:rsid w:val="56962193"/>
    <w:rsid w:val="5697E4DF"/>
    <w:rsid w:val="569C66EA"/>
    <w:rsid w:val="56B1712B"/>
    <w:rsid w:val="56C9F58E"/>
    <w:rsid w:val="57297D74"/>
    <w:rsid w:val="573398E4"/>
    <w:rsid w:val="57379CB5"/>
    <w:rsid w:val="57421694"/>
    <w:rsid w:val="574EEA21"/>
    <w:rsid w:val="5766EFCA"/>
    <w:rsid w:val="57752426"/>
    <w:rsid w:val="578A069F"/>
    <w:rsid w:val="578C47ED"/>
    <w:rsid w:val="57909480"/>
    <w:rsid w:val="57AC504C"/>
    <w:rsid w:val="57C3FBBC"/>
    <w:rsid w:val="57C9AA3A"/>
    <w:rsid w:val="5806CA2D"/>
    <w:rsid w:val="581F4663"/>
    <w:rsid w:val="583D91A7"/>
    <w:rsid w:val="5859B1B1"/>
    <w:rsid w:val="58795A4C"/>
    <w:rsid w:val="58908E33"/>
    <w:rsid w:val="5891556C"/>
    <w:rsid w:val="589B98F5"/>
    <w:rsid w:val="58EFA5D2"/>
    <w:rsid w:val="58F9C1BC"/>
    <w:rsid w:val="59246723"/>
    <w:rsid w:val="592B808B"/>
    <w:rsid w:val="592BF63B"/>
    <w:rsid w:val="592D32F3"/>
    <w:rsid w:val="593611D1"/>
    <w:rsid w:val="593BAF4C"/>
    <w:rsid w:val="5972BC8D"/>
    <w:rsid w:val="598582CB"/>
    <w:rsid w:val="59A50335"/>
    <w:rsid w:val="59B0C871"/>
    <w:rsid w:val="59BDE55A"/>
    <w:rsid w:val="59BE4C89"/>
    <w:rsid w:val="59E1708F"/>
    <w:rsid w:val="59EEDA1F"/>
    <w:rsid w:val="59F59FB5"/>
    <w:rsid w:val="59FBA035"/>
    <w:rsid w:val="5A114768"/>
    <w:rsid w:val="5A384DF2"/>
    <w:rsid w:val="5A3E71A7"/>
    <w:rsid w:val="5A462EA3"/>
    <w:rsid w:val="5A504D83"/>
    <w:rsid w:val="5A5AC1DD"/>
    <w:rsid w:val="5A5D397E"/>
    <w:rsid w:val="5A85895D"/>
    <w:rsid w:val="5A89401C"/>
    <w:rsid w:val="5A99549F"/>
    <w:rsid w:val="5A9C7657"/>
    <w:rsid w:val="5AA35317"/>
    <w:rsid w:val="5AB436FD"/>
    <w:rsid w:val="5ABE3043"/>
    <w:rsid w:val="5ADBCB8A"/>
    <w:rsid w:val="5B02CCD7"/>
    <w:rsid w:val="5B069BAE"/>
    <w:rsid w:val="5B701855"/>
    <w:rsid w:val="5B7050E7"/>
    <w:rsid w:val="5B716CCB"/>
    <w:rsid w:val="5B78C809"/>
    <w:rsid w:val="5B7A804E"/>
    <w:rsid w:val="5B863897"/>
    <w:rsid w:val="5BC4E06E"/>
    <w:rsid w:val="5BC8D92C"/>
    <w:rsid w:val="5BD26D21"/>
    <w:rsid w:val="5BDCFEA4"/>
    <w:rsid w:val="5C292206"/>
    <w:rsid w:val="5C41BCDE"/>
    <w:rsid w:val="5C59E0A7"/>
    <w:rsid w:val="5C6B13B3"/>
    <w:rsid w:val="5C78DAA3"/>
    <w:rsid w:val="5C7D541B"/>
    <w:rsid w:val="5C967365"/>
    <w:rsid w:val="5C98EEDC"/>
    <w:rsid w:val="5CA528C1"/>
    <w:rsid w:val="5CCDE99D"/>
    <w:rsid w:val="5CD40A2A"/>
    <w:rsid w:val="5CE583AB"/>
    <w:rsid w:val="5CE88273"/>
    <w:rsid w:val="5CFE9EE3"/>
    <w:rsid w:val="5D0A68E5"/>
    <w:rsid w:val="5D0BDB9A"/>
    <w:rsid w:val="5D241894"/>
    <w:rsid w:val="5D432590"/>
    <w:rsid w:val="5D4838D4"/>
    <w:rsid w:val="5D4B92CE"/>
    <w:rsid w:val="5D637E2F"/>
    <w:rsid w:val="5D66A67F"/>
    <w:rsid w:val="5D6DF7A1"/>
    <w:rsid w:val="5D705C6B"/>
    <w:rsid w:val="5D79A7FF"/>
    <w:rsid w:val="5DB740D8"/>
    <w:rsid w:val="5DE9EAC4"/>
    <w:rsid w:val="5DFAB3FF"/>
    <w:rsid w:val="5E0F7FCE"/>
    <w:rsid w:val="5E1B58F4"/>
    <w:rsid w:val="5E425FE1"/>
    <w:rsid w:val="5E435D47"/>
    <w:rsid w:val="5E43F4F6"/>
    <w:rsid w:val="5E48EDA7"/>
    <w:rsid w:val="5E6A52A2"/>
    <w:rsid w:val="5E6ABE12"/>
    <w:rsid w:val="5EBA3156"/>
    <w:rsid w:val="5EC4ECFA"/>
    <w:rsid w:val="5ED6B4A1"/>
    <w:rsid w:val="5EE16F42"/>
    <w:rsid w:val="5EFA7818"/>
    <w:rsid w:val="5F1D9115"/>
    <w:rsid w:val="5F4C54DD"/>
    <w:rsid w:val="5F549A85"/>
    <w:rsid w:val="5F6E7941"/>
    <w:rsid w:val="5F7EBCEA"/>
    <w:rsid w:val="5F86750C"/>
    <w:rsid w:val="5F899F34"/>
    <w:rsid w:val="5F90BC4A"/>
    <w:rsid w:val="5F90C4DB"/>
    <w:rsid w:val="5FA4EA4D"/>
    <w:rsid w:val="5FA77557"/>
    <w:rsid w:val="5FB2FEE1"/>
    <w:rsid w:val="5FBA6074"/>
    <w:rsid w:val="5FEA1729"/>
    <w:rsid w:val="5FEF31FB"/>
    <w:rsid w:val="5FF76DC4"/>
    <w:rsid w:val="60058FA4"/>
    <w:rsid w:val="60695BB2"/>
    <w:rsid w:val="60712EC6"/>
    <w:rsid w:val="60AAB07D"/>
    <w:rsid w:val="60B7C997"/>
    <w:rsid w:val="60BEBD9F"/>
    <w:rsid w:val="60E68E39"/>
    <w:rsid w:val="60FE8CC6"/>
    <w:rsid w:val="610C90C6"/>
    <w:rsid w:val="6183C35B"/>
    <w:rsid w:val="618A204A"/>
    <w:rsid w:val="61AFF928"/>
    <w:rsid w:val="61B00AC7"/>
    <w:rsid w:val="61F17426"/>
    <w:rsid w:val="6247715C"/>
    <w:rsid w:val="627A0F5C"/>
    <w:rsid w:val="628AE5F6"/>
    <w:rsid w:val="628CF947"/>
    <w:rsid w:val="629E555E"/>
    <w:rsid w:val="62B2435D"/>
    <w:rsid w:val="62C0FD67"/>
    <w:rsid w:val="62DBB650"/>
    <w:rsid w:val="62ECE973"/>
    <w:rsid w:val="63034552"/>
    <w:rsid w:val="6316E60D"/>
    <w:rsid w:val="634EA701"/>
    <w:rsid w:val="6365E392"/>
    <w:rsid w:val="6367423F"/>
    <w:rsid w:val="6371C439"/>
    <w:rsid w:val="639B88DE"/>
    <w:rsid w:val="63A47810"/>
    <w:rsid w:val="63D1D87A"/>
    <w:rsid w:val="63EC2517"/>
    <w:rsid w:val="641B3BEC"/>
    <w:rsid w:val="64256293"/>
    <w:rsid w:val="643221A7"/>
    <w:rsid w:val="64388535"/>
    <w:rsid w:val="643BFB54"/>
    <w:rsid w:val="64414949"/>
    <w:rsid w:val="6449C4A6"/>
    <w:rsid w:val="6496138A"/>
    <w:rsid w:val="649D2C6D"/>
    <w:rsid w:val="64A2E27E"/>
    <w:rsid w:val="64AF52F1"/>
    <w:rsid w:val="64BB162B"/>
    <w:rsid w:val="650E079A"/>
    <w:rsid w:val="65127632"/>
    <w:rsid w:val="6525D609"/>
    <w:rsid w:val="6528C8E0"/>
    <w:rsid w:val="654535A7"/>
    <w:rsid w:val="655BCC96"/>
    <w:rsid w:val="6569F218"/>
    <w:rsid w:val="6578C2A4"/>
    <w:rsid w:val="657C439A"/>
    <w:rsid w:val="65A2844B"/>
    <w:rsid w:val="65ABF2D0"/>
    <w:rsid w:val="65BDD40C"/>
    <w:rsid w:val="65C13ECB"/>
    <w:rsid w:val="65DE6458"/>
    <w:rsid w:val="65E74864"/>
    <w:rsid w:val="65F61178"/>
    <w:rsid w:val="65FA7D93"/>
    <w:rsid w:val="6605C228"/>
    <w:rsid w:val="661B7136"/>
    <w:rsid w:val="6627C336"/>
    <w:rsid w:val="663CF8D3"/>
    <w:rsid w:val="66472C03"/>
    <w:rsid w:val="66504CFA"/>
    <w:rsid w:val="667D750B"/>
    <w:rsid w:val="6680230F"/>
    <w:rsid w:val="669866BD"/>
    <w:rsid w:val="66C60ECF"/>
    <w:rsid w:val="66C66AAC"/>
    <w:rsid w:val="66F5EB45"/>
    <w:rsid w:val="6747DFA5"/>
    <w:rsid w:val="674C335B"/>
    <w:rsid w:val="675055D4"/>
    <w:rsid w:val="675C4DC1"/>
    <w:rsid w:val="676406B8"/>
    <w:rsid w:val="6785CAE0"/>
    <w:rsid w:val="67A22CA3"/>
    <w:rsid w:val="67ABAF22"/>
    <w:rsid w:val="67B7037F"/>
    <w:rsid w:val="67C6F33B"/>
    <w:rsid w:val="67CB4432"/>
    <w:rsid w:val="67F4DC76"/>
    <w:rsid w:val="680D1BC2"/>
    <w:rsid w:val="68175DBA"/>
    <w:rsid w:val="6847F27A"/>
    <w:rsid w:val="6873CA06"/>
    <w:rsid w:val="68B348CF"/>
    <w:rsid w:val="68BBC954"/>
    <w:rsid w:val="68C13756"/>
    <w:rsid w:val="68E9622A"/>
    <w:rsid w:val="68EA36FB"/>
    <w:rsid w:val="6910BE50"/>
    <w:rsid w:val="69148BF8"/>
    <w:rsid w:val="691F6ACE"/>
    <w:rsid w:val="6933ED0C"/>
    <w:rsid w:val="69349382"/>
    <w:rsid w:val="69420071"/>
    <w:rsid w:val="69654361"/>
    <w:rsid w:val="6967D689"/>
    <w:rsid w:val="69955973"/>
    <w:rsid w:val="699B3F30"/>
    <w:rsid w:val="699DEC35"/>
    <w:rsid w:val="69DFD5FE"/>
    <w:rsid w:val="6A03A751"/>
    <w:rsid w:val="6A18821D"/>
    <w:rsid w:val="6A36A800"/>
    <w:rsid w:val="6A37755D"/>
    <w:rsid w:val="6A575981"/>
    <w:rsid w:val="6A6AE2A6"/>
    <w:rsid w:val="6A9444CB"/>
    <w:rsid w:val="6AA3A0A7"/>
    <w:rsid w:val="6AB2FAF8"/>
    <w:rsid w:val="6AB6A63F"/>
    <w:rsid w:val="6AB78B47"/>
    <w:rsid w:val="6AB8E13C"/>
    <w:rsid w:val="6AD206A8"/>
    <w:rsid w:val="6AD50D3D"/>
    <w:rsid w:val="6AD813C9"/>
    <w:rsid w:val="6AD8F73D"/>
    <w:rsid w:val="6B29AD67"/>
    <w:rsid w:val="6B2F2D90"/>
    <w:rsid w:val="6B61B22D"/>
    <w:rsid w:val="6B8B1099"/>
    <w:rsid w:val="6BAE9F5D"/>
    <w:rsid w:val="6BBDC63E"/>
    <w:rsid w:val="6BC6447A"/>
    <w:rsid w:val="6BC6FDF9"/>
    <w:rsid w:val="6BCD77F7"/>
    <w:rsid w:val="6BD859B0"/>
    <w:rsid w:val="6BD96D18"/>
    <w:rsid w:val="6C0E64E4"/>
    <w:rsid w:val="6C11C08D"/>
    <w:rsid w:val="6C4B663A"/>
    <w:rsid w:val="6C530935"/>
    <w:rsid w:val="6C7A328B"/>
    <w:rsid w:val="6C83253A"/>
    <w:rsid w:val="6C85FCE5"/>
    <w:rsid w:val="6C8FDFF7"/>
    <w:rsid w:val="6CE4E870"/>
    <w:rsid w:val="6D02E02C"/>
    <w:rsid w:val="6D06EE0C"/>
    <w:rsid w:val="6D08A2DD"/>
    <w:rsid w:val="6D23D097"/>
    <w:rsid w:val="6D2DF0EE"/>
    <w:rsid w:val="6D331854"/>
    <w:rsid w:val="6D373918"/>
    <w:rsid w:val="6D6FB3EA"/>
    <w:rsid w:val="6D74A34D"/>
    <w:rsid w:val="6D7A83FC"/>
    <w:rsid w:val="6D84C23C"/>
    <w:rsid w:val="6D968BE9"/>
    <w:rsid w:val="6DEC9EBD"/>
    <w:rsid w:val="6DF0F852"/>
    <w:rsid w:val="6E28CF7E"/>
    <w:rsid w:val="6E2A21DD"/>
    <w:rsid w:val="6E361B5E"/>
    <w:rsid w:val="6E532B60"/>
    <w:rsid w:val="6E59EF2C"/>
    <w:rsid w:val="6E625480"/>
    <w:rsid w:val="6E62633F"/>
    <w:rsid w:val="6E698128"/>
    <w:rsid w:val="6E6D1AB2"/>
    <w:rsid w:val="6EABAACB"/>
    <w:rsid w:val="6EB8597E"/>
    <w:rsid w:val="6EB8A0A3"/>
    <w:rsid w:val="6ED5BA6A"/>
    <w:rsid w:val="6F04178C"/>
    <w:rsid w:val="6F1B79D5"/>
    <w:rsid w:val="6F328E0F"/>
    <w:rsid w:val="6F59AA53"/>
    <w:rsid w:val="6F8FA248"/>
    <w:rsid w:val="6FA2111E"/>
    <w:rsid w:val="6FCDC4D5"/>
    <w:rsid w:val="6FD695FA"/>
    <w:rsid w:val="6FF17699"/>
    <w:rsid w:val="70120802"/>
    <w:rsid w:val="7026409D"/>
    <w:rsid w:val="7045009C"/>
    <w:rsid w:val="707F5CF2"/>
    <w:rsid w:val="70A624A3"/>
    <w:rsid w:val="70CA824F"/>
    <w:rsid w:val="70F1CC73"/>
    <w:rsid w:val="711C4D22"/>
    <w:rsid w:val="711D8F6A"/>
    <w:rsid w:val="712D409F"/>
    <w:rsid w:val="716378CA"/>
    <w:rsid w:val="71930CC0"/>
    <w:rsid w:val="7193C69F"/>
    <w:rsid w:val="71AF6A6B"/>
    <w:rsid w:val="71B99E1B"/>
    <w:rsid w:val="71E098B2"/>
    <w:rsid w:val="71EE0D60"/>
    <w:rsid w:val="721EF0C8"/>
    <w:rsid w:val="722504CA"/>
    <w:rsid w:val="7228FB7F"/>
    <w:rsid w:val="72370BB4"/>
    <w:rsid w:val="7248A79E"/>
    <w:rsid w:val="725C0B45"/>
    <w:rsid w:val="72782224"/>
    <w:rsid w:val="728E1047"/>
    <w:rsid w:val="7299AB6A"/>
    <w:rsid w:val="72AE9F41"/>
    <w:rsid w:val="72EED2E7"/>
    <w:rsid w:val="72FDEAD6"/>
    <w:rsid w:val="731A47FA"/>
    <w:rsid w:val="73314515"/>
    <w:rsid w:val="7342149A"/>
    <w:rsid w:val="73513728"/>
    <w:rsid w:val="73589739"/>
    <w:rsid w:val="735AFC79"/>
    <w:rsid w:val="736FE80B"/>
    <w:rsid w:val="73706A3C"/>
    <w:rsid w:val="7381EA1F"/>
    <w:rsid w:val="7383D971"/>
    <w:rsid w:val="73A02673"/>
    <w:rsid w:val="73B6AD22"/>
    <w:rsid w:val="73D151AB"/>
    <w:rsid w:val="73D4E2B3"/>
    <w:rsid w:val="73E08CC9"/>
    <w:rsid w:val="73EB7198"/>
    <w:rsid w:val="742DE79F"/>
    <w:rsid w:val="743CD0C3"/>
    <w:rsid w:val="745C56B5"/>
    <w:rsid w:val="745EDA02"/>
    <w:rsid w:val="746C677C"/>
    <w:rsid w:val="7481590E"/>
    <w:rsid w:val="74FBF065"/>
    <w:rsid w:val="752095CA"/>
    <w:rsid w:val="75383FE3"/>
    <w:rsid w:val="75455570"/>
    <w:rsid w:val="7545B647"/>
    <w:rsid w:val="754FEB99"/>
    <w:rsid w:val="755BBCA6"/>
    <w:rsid w:val="756E1651"/>
    <w:rsid w:val="75B56E19"/>
    <w:rsid w:val="75F3AEFF"/>
    <w:rsid w:val="76249AF9"/>
    <w:rsid w:val="763ED85A"/>
    <w:rsid w:val="764426AA"/>
    <w:rsid w:val="764BE1B4"/>
    <w:rsid w:val="76CA4E4F"/>
    <w:rsid w:val="76CC8A3C"/>
    <w:rsid w:val="7703157B"/>
    <w:rsid w:val="771ED0CA"/>
    <w:rsid w:val="772D2534"/>
    <w:rsid w:val="7735E44B"/>
    <w:rsid w:val="774C606A"/>
    <w:rsid w:val="7769AB2F"/>
    <w:rsid w:val="776A431D"/>
    <w:rsid w:val="779766E4"/>
    <w:rsid w:val="77AB59C0"/>
    <w:rsid w:val="77ABB390"/>
    <w:rsid w:val="77AFE841"/>
    <w:rsid w:val="77B1530E"/>
    <w:rsid w:val="77E85AEE"/>
    <w:rsid w:val="783544A9"/>
    <w:rsid w:val="78368B6F"/>
    <w:rsid w:val="784D0921"/>
    <w:rsid w:val="785238CD"/>
    <w:rsid w:val="78712907"/>
    <w:rsid w:val="7876044B"/>
    <w:rsid w:val="78785C29"/>
    <w:rsid w:val="788BBD26"/>
    <w:rsid w:val="788E0572"/>
    <w:rsid w:val="78A7367D"/>
    <w:rsid w:val="78A7A386"/>
    <w:rsid w:val="78DB0107"/>
    <w:rsid w:val="78EF8655"/>
    <w:rsid w:val="78F5396D"/>
    <w:rsid w:val="78F7FE3D"/>
    <w:rsid w:val="79141AA7"/>
    <w:rsid w:val="7925B76D"/>
    <w:rsid w:val="7933CA63"/>
    <w:rsid w:val="794021B7"/>
    <w:rsid w:val="796FEEE6"/>
    <w:rsid w:val="797A2B2C"/>
    <w:rsid w:val="79842103"/>
    <w:rsid w:val="79A879FE"/>
    <w:rsid w:val="79AC7D8A"/>
    <w:rsid w:val="79C2C2E7"/>
    <w:rsid w:val="79D1D8D0"/>
    <w:rsid w:val="79F26753"/>
    <w:rsid w:val="79F65126"/>
    <w:rsid w:val="7A29E455"/>
    <w:rsid w:val="7A34BB7B"/>
    <w:rsid w:val="7A424E95"/>
    <w:rsid w:val="7A652324"/>
    <w:rsid w:val="7A94ACFD"/>
    <w:rsid w:val="7A9E0A05"/>
    <w:rsid w:val="7AA86728"/>
    <w:rsid w:val="7AD0037C"/>
    <w:rsid w:val="7AD24CF4"/>
    <w:rsid w:val="7B331CCE"/>
    <w:rsid w:val="7B44AF6A"/>
    <w:rsid w:val="7B486A9F"/>
    <w:rsid w:val="7B588000"/>
    <w:rsid w:val="7B62B5AB"/>
    <w:rsid w:val="7B7BB0F7"/>
    <w:rsid w:val="7B97699E"/>
    <w:rsid w:val="7BA49F9E"/>
    <w:rsid w:val="7BCA90F9"/>
    <w:rsid w:val="7BF467F4"/>
    <w:rsid w:val="7BF47E21"/>
    <w:rsid w:val="7BFFAB06"/>
    <w:rsid w:val="7C025A8D"/>
    <w:rsid w:val="7C0E0E89"/>
    <w:rsid w:val="7C1278A6"/>
    <w:rsid w:val="7C57585F"/>
    <w:rsid w:val="7C7EFA1C"/>
    <w:rsid w:val="7C8CC314"/>
    <w:rsid w:val="7C905C6A"/>
    <w:rsid w:val="7C9834B7"/>
    <w:rsid w:val="7CF340A7"/>
    <w:rsid w:val="7CFF93DF"/>
    <w:rsid w:val="7D0CFCB6"/>
    <w:rsid w:val="7D104C82"/>
    <w:rsid w:val="7D508F08"/>
    <w:rsid w:val="7D5AD1FB"/>
    <w:rsid w:val="7D684143"/>
    <w:rsid w:val="7D90FAA4"/>
    <w:rsid w:val="7D91F1FA"/>
    <w:rsid w:val="7D9899F1"/>
    <w:rsid w:val="7DB8C8F8"/>
    <w:rsid w:val="7DC86367"/>
    <w:rsid w:val="7DD52A70"/>
    <w:rsid w:val="7DE52770"/>
    <w:rsid w:val="7DE6E447"/>
    <w:rsid w:val="7DFE8005"/>
    <w:rsid w:val="7E0201CE"/>
    <w:rsid w:val="7E094A0E"/>
    <w:rsid w:val="7E2E8F88"/>
    <w:rsid w:val="7E3DE725"/>
    <w:rsid w:val="7E479D02"/>
    <w:rsid w:val="7E4A142E"/>
    <w:rsid w:val="7E55DC6C"/>
    <w:rsid w:val="7E660CC8"/>
    <w:rsid w:val="7E9E8C5C"/>
    <w:rsid w:val="7EA29BA0"/>
    <w:rsid w:val="7EB802CC"/>
    <w:rsid w:val="7EBD91EE"/>
    <w:rsid w:val="7EDC4342"/>
    <w:rsid w:val="7F0387BF"/>
    <w:rsid w:val="7F0E2524"/>
    <w:rsid w:val="7F1BD2F3"/>
    <w:rsid w:val="7F27690B"/>
    <w:rsid w:val="7F5B51D3"/>
    <w:rsid w:val="7F8606E4"/>
    <w:rsid w:val="7F92CF55"/>
    <w:rsid w:val="7FA6FC76"/>
    <w:rsid w:val="7FDB9EC5"/>
    <w:rsid w:val="7FF2EDE5"/>
    <w:rsid w:val="7FFF19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BE50"/>
  <w15:chartTrackingRefBased/>
  <w15:docId w15:val="{CB1F0187-D956-449D-A87A-9BB4FE99B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NoSpacing">
    <w:name w:val="No Spacing"/>
    <w:uiPriority w:val="1"/>
    <w:qFormat/>
    <w:pPr>
      <w:spacing w:after="0" w:line="240" w:lineRule="auto"/>
    </w:pPr>
  </w:style>
  <w:style w:type="character" w:customStyle="1" w:styleId="eop">
    <w:name w:val="eop"/>
    <w:basedOn w:val="DefaultParagraphFont"/>
    <w:uiPriority w:val="1"/>
    <w:rsid w:val="5D241894"/>
    <w:rPr>
      <w:rFonts w:asciiTheme="minorHAnsi" w:eastAsiaTheme="minorEastAsia" w:hAnsiTheme="minorHAnsi" w:cstheme="minorBidi"/>
      <w:sz w:val="24"/>
      <w:szCs w:val="24"/>
    </w:rPr>
  </w:style>
  <w:style w:type="character" w:styleId="UnresolvedMention">
    <w:name w:val="Unresolved Mention"/>
    <w:basedOn w:val="DefaultParagraphFont"/>
    <w:uiPriority w:val="99"/>
    <w:semiHidden/>
    <w:unhideWhenUsed/>
    <w:rsid w:val="00C96DB6"/>
    <w:rPr>
      <w:color w:val="605E5C"/>
      <w:shd w:val="clear" w:color="auto" w:fill="E1DFDD"/>
    </w:rPr>
  </w:style>
  <w:style w:type="paragraph" w:styleId="Header">
    <w:name w:val="header"/>
    <w:basedOn w:val="Normal"/>
    <w:link w:val="HeaderChar"/>
    <w:uiPriority w:val="99"/>
    <w:unhideWhenUsed/>
    <w:rsid w:val="00C96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DB6"/>
  </w:style>
  <w:style w:type="paragraph" w:styleId="Footer">
    <w:name w:val="footer"/>
    <w:basedOn w:val="Normal"/>
    <w:link w:val="FooterChar"/>
    <w:uiPriority w:val="99"/>
    <w:unhideWhenUsed/>
    <w:rsid w:val="00C96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DB6"/>
  </w:style>
  <w:style w:type="character" w:customStyle="1" w:styleId="normaltextrun">
    <w:name w:val="normaltextrun"/>
    <w:basedOn w:val="DefaultParagraphFont"/>
    <w:rsid w:val="007F73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3253999">
      <w:bodyDiv w:val="1"/>
      <w:marLeft w:val="0"/>
      <w:marRight w:val="0"/>
      <w:marTop w:val="0"/>
      <w:marBottom w:val="0"/>
      <w:divBdr>
        <w:top w:val="none" w:sz="0" w:space="0" w:color="auto"/>
        <w:left w:val="none" w:sz="0" w:space="0" w:color="auto"/>
        <w:bottom w:val="none" w:sz="0" w:space="0" w:color="auto"/>
        <w:right w:val="none" w:sz="0" w:space="0" w:color="auto"/>
      </w:divBdr>
      <w:divsChild>
        <w:div w:id="1042560632">
          <w:marLeft w:val="0"/>
          <w:marRight w:val="0"/>
          <w:marTop w:val="0"/>
          <w:marBottom w:val="0"/>
          <w:divBdr>
            <w:top w:val="none" w:sz="0" w:space="0" w:color="auto"/>
            <w:left w:val="none" w:sz="0" w:space="0" w:color="auto"/>
            <w:bottom w:val="none" w:sz="0" w:space="0" w:color="auto"/>
            <w:right w:val="none" w:sz="0" w:space="0" w:color="auto"/>
          </w:divBdr>
        </w:div>
        <w:div w:id="560336299">
          <w:marLeft w:val="0"/>
          <w:marRight w:val="0"/>
          <w:marTop w:val="0"/>
          <w:marBottom w:val="0"/>
          <w:divBdr>
            <w:top w:val="none" w:sz="0" w:space="0" w:color="auto"/>
            <w:left w:val="none" w:sz="0" w:space="0" w:color="auto"/>
            <w:bottom w:val="none" w:sz="0" w:space="0" w:color="auto"/>
            <w:right w:val="none" w:sz="0" w:space="0" w:color="auto"/>
          </w:divBdr>
        </w:div>
        <w:div w:id="1683193279">
          <w:marLeft w:val="0"/>
          <w:marRight w:val="0"/>
          <w:marTop w:val="0"/>
          <w:marBottom w:val="0"/>
          <w:divBdr>
            <w:top w:val="none" w:sz="0" w:space="0" w:color="auto"/>
            <w:left w:val="none" w:sz="0" w:space="0" w:color="auto"/>
            <w:bottom w:val="none" w:sz="0" w:space="0" w:color="auto"/>
            <w:right w:val="none" w:sz="0" w:space="0" w:color="auto"/>
          </w:divBdr>
        </w:div>
        <w:div w:id="8208503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92163241234800" TargetMode="External"/><Relationship Id="rId13" Type="http://schemas.openxmlformats.org/officeDocument/2006/relationships/hyperlink" Target="https://hdl.handle.net/1880/118502" TargetMode="External"/><Relationship Id="rId18" Type="http://schemas.openxmlformats.org/officeDocument/2006/relationships/hyperlink" Target="https://doi.org/10.1080/0141192042000234665" TargetMode="External"/><Relationship Id="rId26" Type="http://schemas.openxmlformats.org/officeDocument/2006/relationships/hyperlink" Target="https://hwb.gov.wales/curriculum-for-wales/designing-your-curriculum/introduction/" TargetMode="Externa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s://doi.org/10.1177/183693911604100405" TargetMode="External"/><Relationship Id="rId12" Type="http://schemas.openxmlformats.org/officeDocument/2006/relationships/hyperlink" Target="https://citeseerx.ist.psu.edu/document?repid=rep1&amp;type=pdf&amp;doi=53158c78b2c7caec7ffe728f1d286b7df36dd7a2" TargetMode="External"/><Relationship Id="rId17" Type="http://schemas.openxmlformats.org/officeDocument/2006/relationships/hyperlink" Target="https://doi.org/10.1007/978-3-030-72595-2_9" TargetMode="External"/><Relationship Id="rId25" Type="http://schemas.openxmlformats.org/officeDocument/2006/relationships/hyperlink" Target="https://hwb.gov.wales/curriculum-for-wales/designing-your-curriculum/enabling-learning/" TargetMode="External"/><Relationship Id="rId2" Type="http://schemas.openxmlformats.org/officeDocument/2006/relationships/styles" Target="styles.xml"/><Relationship Id="rId16" Type="http://schemas.openxmlformats.org/officeDocument/2006/relationships/hyperlink" Target="https://philarchive.org/archive/RESDAH-4" TargetMode="External"/><Relationship Id="rId20" Type="http://schemas.openxmlformats.org/officeDocument/2006/relationships/hyperlink" Target="https://www.bera.ac.uk/publication/researching-your-own-institution-higher-education"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7514032000732993" TargetMode="External"/><Relationship Id="rId24" Type="http://schemas.openxmlformats.org/officeDocument/2006/relationships/hyperlink" Target="https://www.gov.wales/sites/default/files/statistics-and-research/2022-07/independent-review-registration-of-the-childcare-play-and-early-years-workforce-in-wales.pdf"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d1wqtxts1xzle7.cloudfront.net/34337886/Husserlcrisis-libre.pdf?1406885518=&amp;response-content-disposition=inline%3B+filename%3DThe_Crisis_of_European_Sciences_and_Tran.pdf&amp;Expires=1713434701&amp;Signature=ePtQXj7SUQI7McZUTFoQnSLQS47kikwxfJ36aZMJxr~M0B2fLyTkALLUO9NsNP4htycdV0uMH0JBsx2KB8B6ZM8-GG25~3yMhB7zSiaUZ67uED9E6KcRWAmihmy5AMPqls-G6JwFxYcOr9fK8J3P9xr6JFv4lUV39aCi1K8FzaDBHBolUQ5vqG8td3F6vp~bX3Bb4pu6qFU0el2iAfZGb5tCRpCa0X0Mtey-UE2WOI3RHCbiQ9AwyQPhb3wN9Oto0z3Uoog6E1ZbKvgDneZWgEPljICKY9KcvwvekI1ARw2M1ONUqDxdtegYTVUzXF4XlC7oxlmAztd9hReX3CsGgw__&amp;Key-Pair-Id=APKAJLOHF5GGSLRBV4ZA" TargetMode="External"/><Relationship Id="rId23" Type="http://schemas.openxmlformats.org/officeDocument/2006/relationships/hyperlink" Target="https://www.gov.wales/sites/default/files/statistics-and-research/2022-07/independent-review-registration-of-the-childcare-play-and-early-years-workforce-in-wales.pdf" TargetMode="External"/><Relationship Id="rId28" Type="http://schemas.openxmlformats.org/officeDocument/2006/relationships/footer" Target="footer1.xml"/><Relationship Id="rId10" Type="http://schemas.openxmlformats.org/officeDocument/2006/relationships/hyperlink" Target="https://www.pacey.org.uk/Pacey/media/Website-files/Non-PACEY%20documents%20(PDFs)/a-workforce-in-crisis-saving-our-early-years.pdf" TargetMode="External"/><Relationship Id="rId19" Type="http://schemas.openxmlformats.org/officeDocument/2006/relationships/hyperlink" Target="https://doi.org/10.1080/09669760.2019.162801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online" TargetMode="External"/><Relationship Id="rId14" Type="http://schemas.openxmlformats.org/officeDocument/2006/relationships/hyperlink" Target="https://developingchild.harvard.edu/science/key-concepts/serve-and-return/" TargetMode="External"/><Relationship Id="rId22" Type="http://schemas.openxmlformats.org/officeDocument/2006/relationships/hyperlink" Target="https://www.gov.wales/sites/default/files/consultations/2021-05/enabling-pathways-consultation-document_0.pdf"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4F084DEDE5F47F3ABC0CEE70B8470A5"/>
        <w:category>
          <w:name w:val="General"/>
          <w:gallery w:val="placeholder"/>
        </w:category>
        <w:types>
          <w:type w:val="bbPlcHdr"/>
        </w:types>
        <w:behaviors>
          <w:behavior w:val="content"/>
        </w:behaviors>
        <w:guid w:val="{E04C30D0-E677-4FE4-ADE3-1E91A31B65FB}"/>
      </w:docPartPr>
      <w:docPartBody>
        <w:p w:rsidR="00000000" w:rsidRDefault="003537D7" w:rsidP="003537D7">
          <w:pPr>
            <w:pStyle w:val="B4F084DEDE5F47F3ABC0CEE70B8470A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7D7"/>
    <w:rsid w:val="001C6987"/>
    <w:rsid w:val="003537D7"/>
    <w:rsid w:val="004A14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F084DEDE5F47F3ABC0CEE70B8470A5">
    <w:name w:val="B4F084DEDE5F47F3ABC0CEE70B8470A5"/>
    <w:rsid w:val="003537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57</Pages>
  <Words>14089</Words>
  <Characters>80313</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Darby</dc:creator>
  <cp:keywords/>
  <dc:description/>
  <cp:lastModifiedBy>Paul Darby</cp:lastModifiedBy>
  <cp:revision>2</cp:revision>
  <dcterms:created xsi:type="dcterms:W3CDTF">2024-06-24T13:03:00Z</dcterms:created>
  <dcterms:modified xsi:type="dcterms:W3CDTF">2024-06-24T13:03:00Z</dcterms:modified>
</cp:coreProperties>
</file>