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2BCFC" w14:textId="40C1A1E7" w:rsidR="005A7B96" w:rsidRDefault="005A7B96" w:rsidP="005A7B96">
      <w:pPr>
        <w:spacing w:line="360" w:lineRule="auto"/>
        <w:jc w:val="center"/>
        <w:rPr>
          <w:rFonts w:ascii="Arial" w:hAnsi="Arial" w:cs="Arial"/>
          <w:b/>
          <w:bCs/>
        </w:rPr>
      </w:pPr>
      <w:r>
        <w:rPr>
          <w:noProof/>
        </w:rPr>
        <w:drawing>
          <wp:inline distT="0" distB="0" distL="0" distR="0" wp14:anchorId="5F6CFBA6" wp14:editId="533672ED">
            <wp:extent cx="5290886" cy="1513490"/>
            <wp:effectExtent l="0" t="0" r="508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44644" cy="1528868"/>
                    </a:xfrm>
                    <a:prstGeom prst="rect">
                      <a:avLst/>
                    </a:prstGeom>
                  </pic:spPr>
                </pic:pic>
              </a:graphicData>
            </a:graphic>
          </wp:inline>
        </w:drawing>
      </w:r>
    </w:p>
    <w:p w14:paraId="34A7EB29" w14:textId="77777777" w:rsidR="005A7B96" w:rsidRDefault="005A7B96" w:rsidP="00613D31">
      <w:pPr>
        <w:spacing w:line="360" w:lineRule="auto"/>
        <w:rPr>
          <w:rFonts w:ascii="Arial" w:hAnsi="Arial" w:cs="Arial"/>
          <w:b/>
          <w:bCs/>
        </w:rPr>
      </w:pPr>
    </w:p>
    <w:p w14:paraId="17820F1E" w14:textId="3D93A6D3" w:rsidR="005A7B96" w:rsidRPr="005A7B96" w:rsidRDefault="005A7B96" w:rsidP="005A7B96">
      <w:pPr>
        <w:spacing w:line="360" w:lineRule="auto"/>
        <w:rPr>
          <w:rFonts w:ascii="Arial" w:hAnsi="Arial" w:cs="Arial"/>
          <w:b/>
          <w:bCs/>
          <w:sz w:val="36"/>
          <w:szCs w:val="36"/>
        </w:rPr>
      </w:pPr>
      <w:r w:rsidRPr="005A7B96">
        <w:rPr>
          <w:rFonts w:ascii="Arial" w:hAnsi="Arial" w:cs="Arial"/>
          <w:b/>
          <w:bCs/>
          <w:sz w:val="36"/>
          <w:szCs w:val="36"/>
          <w:lang w:val="en-US"/>
        </w:rPr>
        <w:t xml:space="preserve">Student Number: </w:t>
      </w:r>
      <w:r>
        <w:rPr>
          <w:rFonts w:ascii="Arial" w:hAnsi="Arial" w:cs="Arial"/>
          <w:b/>
          <w:bCs/>
          <w:sz w:val="36"/>
          <w:szCs w:val="36"/>
          <w:lang w:val="en-US"/>
        </w:rPr>
        <w:tab/>
      </w:r>
      <w:r w:rsidRPr="005A7B96">
        <w:rPr>
          <w:rFonts w:ascii="Arial" w:hAnsi="Arial" w:cs="Arial"/>
          <w:b/>
          <w:bCs/>
          <w:sz w:val="36"/>
          <w:szCs w:val="36"/>
          <w:lang w:val="en-US"/>
        </w:rPr>
        <w:t>2219412</w:t>
      </w:r>
    </w:p>
    <w:p w14:paraId="738AB2EF" w14:textId="6473B255" w:rsidR="005A7B96" w:rsidRPr="005A7B96" w:rsidRDefault="005A7B96" w:rsidP="005A7B96">
      <w:pPr>
        <w:spacing w:line="360" w:lineRule="auto"/>
        <w:rPr>
          <w:rFonts w:ascii="Arial" w:hAnsi="Arial" w:cs="Arial"/>
          <w:b/>
          <w:bCs/>
          <w:sz w:val="36"/>
          <w:szCs w:val="36"/>
        </w:rPr>
      </w:pPr>
      <w:r w:rsidRPr="005A7B96">
        <w:rPr>
          <w:rFonts w:ascii="Arial" w:hAnsi="Arial" w:cs="Arial"/>
          <w:b/>
          <w:bCs/>
          <w:sz w:val="36"/>
          <w:szCs w:val="36"/>
          <w:lang w:val="en-US"/>
        </w:rPr>
        <w:t xml:space="preserve">Lecturer’s Name: </w:t>
      </w:r>
      <w:r>
        <w:rPr>
          <w:rFonts w:ascii="Arial" w:hAnsi="Arial" w:cs="Arial"/>
          <w:b/>
          <w:bCs/>
          <w:sz w:val="36"/>
          <w:szCs w:val="36"/>
          <w:lang w:val="en-US"/>
        </w:rPr>
        <w:tab/>
      </w:r>
      <w:r w:rsidRPr="005A7B96">
        <w:rPr>
          <w:rFonts w:ascii="Arial" w:hAnsi="Arial" w:cs="Arial"/>
          <w:b/>
          <w:bCs/>
          <w:sz w:val="36"/>
          <w:szCs w:val="36"/>
          <w:lang w:val="en-US"/>
        </w:rPr>
        <w:t xml:space="preserve">Dr Itse Olaoye </w:t>
      </w:r>
    </w:p>
    <w:p w14:paraId="551FA7EA" w14:textId="3A79A2A9" w:rsidR="005A7B96" w:rsidRDefault="005A7B96" w:rsidP="005A7B96">
      <w:pPr>
        <w:spacing w:line="360" w:lineRule="auto"/>
        <w:ind w:left="3600" w:hanging="3600"/>
        <w:rPr>
          <w:rFonts w:ascii="Arial" w:hAnsi="Arial" w:cs="Arial"/>
          <w:b/>
          <w:bCs/>
          <w:sz w:val="36"/>
          <w:szCs w:val="36"/>
          <w:lang w:val="en-US"/>
        </w:rPr>
      </w:pPr>
      <w:r w:rsidRPr="005A7B96">
        <w:rPr>
          <w:rFonts w:ascii="Arial" w:hAnsi="Arial" w:cs="Arial"/>
          <w:b/>
          <w:bCs/>
          <w:sz w:val="36"/>
          <w:szCs w:val="36"/>
          <w:lang w:val="en-US"/>
        </w:rPr>
        <w:t xml:space="preserve">Module Title: </w:t>
      </w:r>
      <w:r>
        <w:rPr>
          <w:rFonts w:ascii="Arial" w:hAnsi="Arial" w:cs="Arial"/>
          <w:b/>
          <w:bCs/>
          <w:sz w:val="36"/>
          <w:szCs w:val="36"/>
          <w:lang w:val="en-US"/>
        </w:rPr>
        <w:tab/>
        <w:t>Health, Wellbeing and Sustainable Development</w:t>
      </w:r>
    </w:p>
    <w:p w14:paraId="35DC248F" w14:textId="3C222D46" w:rsidR="005A7B96" w:rsidRDefault="005A7B96" w:rsidP="005A7B96">
      <w:pPr>
        <w:spacing w:line="360" w:lineRule="auto"/>
        <w:ind w:left="3600" w:hanging="3600"/>
        <w:rPr>
          <w:rFonts w:ascii="Arial" w:hAnsi="Arial" w:cs="Arial"/>
          <w:b/>
          <w:bCs/>
          <w:sz w:val="36"/>
          <w:szCs w:val="36"/>
          <w:lang w:val="en-US"/>
        </w:rPr>
      </w:pPr>
      <w:r w:rsidRPr="005A7B96">
        <w:rPr>
          <w:rFonts w:ascii="Arial" w:hAnsi="Arial" w:cs="Arial"/>
          <w:b/>
          <w:bCs/>
          <w:sz w:val="36"/>
          <w:szCs w:val="36"/>
          <w:lang w:val="en-US"/>
        </w:rPr>
        <w:t xml:space="preserve">Module </w:t>
      </w:r>
      <w:r>
        <w:rPr>
          <w:rFonts w:ascii="Arial" w:hAnsi="Arial" w:cs="Arial"/>
          <w:b/>
          <w:bCs/>
          <w:sz w:val="36"/>
          <w:szCs w:val="36"/>
          <w:lang w:val="en-US"/>
        </w:rPr>
        <w:t>Number</w:t>
      </w:r>
      <w:r w:rsidRPr="005A7B96">
        <w:rPr>
          <w:rFonts w:ascii="Arial" w:hAnsi="Arial" w:cs="Arial"/>
          <w:b/>
          <w:bCs/>
          <w:sz w:val="36"/>
          <w:szCs w:val="36"/>
          <w:lang w:val="en-US"/>
        </w:rPr>
        <w:t>:</w:t>
      </w:r>
      <w:r>
        <w:rPr>
          <w:rFonts w:ascii="Arial" w:hAnsi="Arial" w:cs="Arial"/>
          <w:b/>
          <w:bCs/>
          <w:sz w:val="36"/>
          <w:szCs w:val="36"/>
          <w:lang w:val="en-US"/>
        </w:rPr>
        <w:tab/>
        <w:t>(BMHP6030_LON)</w:t>
      </w:r>
      <w:r w:rsidRPr="005A7B96">
        <w:rPr>
          <w:rFonts w:ascii="Arial" w:hAnsi="Arial" w:cs="Arial"/>
          <w:b/>
          <w:bCs/>
          <w:sz w:val="36"/>
          <w:szCs w:val="36"/>
          <w:lang w:val="en-US"/>
        </w:rPr>
        <w:t xml:space="preserve"> </w:t>
      </w:r>
    </w:p>
    <w:p w14:paraId="644E32AE" w14:textId="0D782492" w:rsidR="005A7B96" w:rsidRPr="005A7B96" w:rsidRDefault="005A7B96" w:rsidP="00613D31">
      <w:pPr>
        <w:spacing w:line="360" w:lineRule="auto"/>
        <w:rPr>
          <w:rFonts w:ascii="Arial" w:hAnsi="Arial" w:cs="Arial"/>
          <w:b/>
          <w:bCs/>
          <w:sz w:val="36"/>
          <w:szCs w:val="36"/>
        </w:rPr>
      </w:pPr>
      <w:r>
        <w:rPr>
          <w:rFonts w:ascii="Arial" w:hAnsi="Arial" w:cs="Arial"/>
          <w:b/>
          <w:bCs/>
          <w:sz w:val="36"/>
          <w:szCs w:val="36"/>
          <w:lang w:val="en-US"/>
        </w:rPr>
        <w:tab/>
      </w:r>
    </w:p>
    <w:p w14:paraId="0B650BBE" w14:textId="77777777" w:rsidR="005A7B96" w:rsidRPr="005A7B96" w:rsidRDefault="005A7B96" w:rsidP="00613D31">
      <w:pPr>
        <w:spacing w:line="360" w:lineRule="auto"/>
        <w:rPr>
          <w:rFonts w:ascii="Arial" w:hAnsi="Arial" w:cs="Arial"/>
          <w:b/>
          <w:bCs/>
          <w:sz w:val="36"/>
          <w:szCs w:val="36"/>
        </w:rPr>
      </w:pPr>
    </w:p>
    <w:p w14:paraId="541D75AC" w14:textId="77777777" w:rsidR="005A7B96" w:rsidRDefault="005A7B96" w:rsidP="00613D31">
      <w:pPr>
        <w:spacing w:line="360" w:lineRule="auto"/>
        <w:rPr>
          <w:rFonts w:ascii="Arial" w:hAnsi="Arial" w:cs="Arial"/>
          <w:b/>
          <w:bCs/>
        </w:rPr>
      </w:pPr>
    </w:p>
    <w:p w14:paraId="4D4B91D1" w14:textId="77777777" w:rsidR="005A7B96" w:rsidRDefault="005A7B96" w:rsidP="00613D31">
      <w:pPr>
        <w:spacing w:line="360" w:lineRule="auto"/>
        <w:rPr>
          <w:rFonts w:ascii="Arial" w:hAnsi="Arial" w:cs="Arial"/>
          <w:b/>
          <w:bCs/>
        </w:rPr>
      </w:pPr>
    </w:p>
    <w:p w14:paraId="3574C0C9" w14:textId="77777777" w:rsidR="005A7B96" w:rsidRDefault="005A7B96" w:rsidP="00613D31">
      <w:pPr>
        <w:spacing w:line="360" w:lineRule="auto"/>
        <w:rPr>
          <w:rFonts w:ascii="Arial" w:hAnsi="Arial" w:cs="Arial"/>
          <w:b/>
          <w:bCs/>
        </w:rPr>
      </w:pPr>
    </w:p>
    <w:p w14:paraId="4338B649" w14:textId="77777777" w:rsidR="005A7B96" w:rsidRDefault="005A7B96" w:rsidP="00613D31">
      <w:pPr>
        <w:spacing w:line="360" w:lineRule="auto"/>
        <w:rPr>
          <w:rFonts w:ascii="Arial" w:hAnsi="Arial" w:cs="Arial"/>
          <w:b/>
          <w:bCs/>
        </w:rPr>
      </w:pPr>
    </w:p>
    <w:p w14:paraId="6BA29774" w14:textId="77777777" w:rsidR="005A7B96" w:rsidRDefault="005A7B96" w:rsidP="00613D31">
      <w:pPr>
        <w:spacing w:line="360" w:lineRule="auto"/>
        <w:rPr>
          <w:rFonts w:ascii="Arial" w:hAnsi="Arial" w:cs="Arial"/>
          <w:b/>
          <w:bCs/>
        </w:rPr>
      </w:pPr>
    </w:p>
    <w:p w14:paraId="28EAD7B9" w14:textId="77777777" w:rsidR="005A7B96" w:rsidRDefault="005A7B96" w:rsidP="00613D31">
      <w:pPr>
        <w:spacing w:line="360" w:lineRule="auto"/>
        <w:rPr>
          <w:rFonts w:ascii="Arial" w:hAnsi="Arial" w:cs="Arial"/>
          <w:b/>
          <w:bCs/>
        </w:rPr>
      </w:pPr>
    </w:p>
    <w:p w14:paraId="662991A5" w14:textId="77777777" w:rsidR="005A7B96" w:rsidRDefault="005A7B96" w:rsidP="00613D31">
      <w:pPr>
        <w:spacing w:line="360" w:lineRule="auto"/>
        <w:rPr>
          <w:rFonts w:ascii="Arial" w:hAnsi="Arial" w:cs="Arial"/>
          <w:b/>
          <w:bCs/>
        </w:rPr>
      </w:pPr>
    </w:p>
    <w:p w14:paraId="24B44367" w14:textId="77777777" w:rsidR="005A7B96" w:rsidRDefault="005A7B96" w:rsidP="00613D31">
      <w:pPr>
        <w:spacing w:line="360" w:lineRule="auto"/>
        <w:rPr>
          <w:rFonts w:ascii="Arial" w:hAnsi="Arial" w:cs="Arial"/>
          <w:b/>
          <w:bCs/>
        </w:rPr>
      </w:pPr>
    </w:p>
    <w:p w14:paraId="09360C8B" w14:textId="77777777" w:rsidR="005A7B96" w:rsidRDefault="005A7B96" w:rsidP="00613D31">
      <w:pPr>
        <w:spacing w:line="360" w:lineRule="auto"/>
        <w:rPr>
          <w:rFonts w:ascii="Arial" w:hAnsi="Arial" w:cs="Arial"/>
          <w:b/>
          <w:bCs/>
        </w:rPr>
      </w:pPr>
    </w:p>
    <w:p w14:paraId="06B87901" w14:textId="77777777" w:rsidR="005A7B96" w:rsidRDefault="005A7B96" w:rsidP="00613D31">
      <w:pPr>
        <w:spacing w:line="360" w:lineRule="auto"/>
        <w:rPr>
          <w:rFonts w:ascii="Arial" w:hAnsi="Arial" w:cs="Arial"/>
          <w:b/>
          <w:bCs/>
        </w:rPr>
      </w:pPr>
    </w:p>
    <w:p w14:paraId="158D678A" w14:textId="77777777" w:rsidR="005A7B96" w:rsidRDefault="005A7B96" w:rsidP="00613D31">
      <w:pPr>
        <w:spacing w:line="360" w:lineRule="auto"/>
        <w:rPr>
          <w:rFonts w:ascii="Arial" w:hAnsi="Arial" w:cs="Arial"/>
          <w:b/>
          <w:bCs/>
        </w:rPr>
      </w:pPr>
    </w:p>
    <w:p w14:paraId="173F3161" w14:textId="77777777" w:rsidR="005A7B96" w:rsidRDefault="005A7B96" w:rsidP="00613D31">
      <w:pPr>
        <w:spacing w:line="360" w:lineRule="auto"/>
        <w:rPr>
          <w:rFonts w:ascii="Arial" w:hAnsi="Arial" w:cs="Arial"/>
          <w:b/>
          <w:bCs/>
        </w:rPr>
      </w:pPr>
    </w:p>
    <w:p w14:paraId="755807CE" w14:textId="77777777" w:rsidR="005A7B96" w:rsidRDefault="005A7B96" w:rsidP="00613D31">
      <w:pPr>
        <w:spacing w:line="360" w:lineRule="auto"/>
        <w:rPr>
          <w:rFonts w:ascii="Arial" w:hAnsi="Arial" w:cs="Arial"/>
          <w:b/>
          <w:bCs/>
        </w:rPr>
      </w:pPr>
    </w:p>
    <w:p w14:paraId="5491DCB1" w14:textId="77777777" w:rsidR="005A7B96" w:rsidRDefault="005A7B96" w:rsidP="00613D31">
      <w:pPr>
        <w:spacing w:line="360" w:lineRule="auto"/>
        <w:rPr>
          <w:rFonts w:ascii="Arial" w:hAnsi="Arial" w:cs="Arial"/>
          <w:b/>
          <w:bCs/>
        </w:rPr>
      </w:pPr>
    </w:p>
    <w:p w14:paraId="73E4F9A1" w14:textId="2F9D8E1A" w:rsidR="00016C14" w:rsidRPr="00613D31" w:rsidRDefault="00016C14" w:rsidP="00613D31">
      <w:pPr>
        <w:spacing w:line="360" w:lineRule="auto"/>
        <w:rPr>
          <w:rFonts w:ascii="Arial" w:hAnsi="Arial" w:cs="Arial"/>
          <w:b/>
          <w:bCs/>
        </w:rPr>
      </w:pPr>
      <w:r w:rsidRPr="00613D31">
        <w:rPr>
          <w:rFonts w:ascii="Arial" w:hAnsi="Arial" w:cs="Arial"/>
          <w:b/>
          <w:bCs/>
        </w:rPr>
        <w:t>Table of contents</w:t>
      </w:r>
    </w:p>
    <w:bookmarkStart w:id="0" w:name="_Toc227577734" w:displacedByCustomXml="next"/>
    <w:sdt>
      <w:sdtPr>
        <w:rPr>
          <w:rFonts w:ascii="Arial" w:eastAsiaTheme="minorEastAsia" w:hAnsi="Arial" w:cs="Arial"/>
          <w:color w:val="auto"/>
          <w:kern w:val="2"/>
          <w:sz w:val="24"/>
          <w:szCs w:val="24"/>
          <w14:ligatures w14:val="standardContextual"/>
        </w:rPr>
        <w:id w:val="-240560301"/>
        <w:docPartObj>
          <w:docPartGallery w:val="Table of Contents"/>
          <w:docPartUnique/>
        </w:docPartObj>
      </w:sdtPr>
      <w:sdtEndPr>
        <w:rPr>
          <w:b/>
          <w:bCs/>
        </w:rPr>
      </w:sdtEndPr>
      <w:sdtContent>
        <w:p w14:paraId="73B555B1" w14:textId="03FC159A" w:rsidR="007D69A6" w:rsidRPr="00613D31" w:rsidRDefault="007D69A6" w:rsidP="00613D31">
          <w:pPr>
            <w:pStyle w:val="TOCHeading"/>
            <w:spacing w:line="360" w:lineRule="auto"/>
            <w:rPr>
              <w:rFonts w:ascii="Arial" w:hAnsi="Arial" w:cs="Arial"/>
              <w:sz w:val="24"/>
              <w:szCs w:val="24"/>
            </w:rPr>
          </w:pPr>
          <w:r w:rsidRPr="00613D31">
            <w:rPr>
              <w:rFonts w:ascii="Arial" w:hAnsi="Arial" w:cs="Arial"/>
              <w:sz w:val="24"/>
              <w:szCs w:val="24"/>
            </w:rPr>
            <w:t>Contents</w:t>
          </w:r>
        </w:p>
        <w:p w14:paraId="75A60D43" w14:textId="0CF2AB3A" w:rsidR="001423F6" w:rsidRDefault="007D69A6">
          <w:pPr>
            <w:pStyle w:val="TOC1"/>
            <w:tabs>
              <w:tab w:val="right" w:leader="dot" w:pos="9016"/>
            </w:tabs>
            <w:rPr>
              <w:noProof/>
            </w:rPr>
          </w:pPr>
          <w:r w:rsidRPr="00613D31">
            <w:rPr>
              <w:rFonts w:ascii="Arial" w:hAnsi="Arial" w:cs="Arial"/>
            </w:rPr>
            <w:fldChar w:fldCharType="begin"/>
          </w:r>
          <w:r w:rsidRPr="00613D31">
            <w:rPr>
              <w:rFonts w:ascii="Arial" w:hAnsi="Arial" w:cs="Arial"/>
            </w:rPr>
            <w:instrText xml:space="preserve"> TOC \o "1-3" \h \z \u </w:instrText>
          </w:r>
          <w:r w:rsidRPr="00613D31">
            <w:rPr>
              <w:rFonts w:ascii="Arial" w:hAnsi="Arial" w:cs="Arial"/>
            </w:rPr>
            <w:fldChar w:fldCharType="separate"/>
          </w:r>
          <w:hyperlink w:anchor="_Toc227738196" w:history="1">
            <w:r w:rsidR="001423F6" w:rsidRPr="00F6241F">
              <w:rPr>
                <w:rStyle w:val="Hyperlink"/>
                <w:noProof/>
              </w:rPr>
              <w:t>Introduction</w:t>
            </w:r>
            <w:r w:rsidR="001423F6">
              <w:rPr>
                <w:noProof/>
                <w:webHidden/>
              </w:rPr>
              <w:tab/>
            </w:r>
            <w:r w:rsidR="001423F6">
              <w:rPr>
                <w:noProof/>
                <w:webHidden/>
              </w:rPr>
              <w:fldChar w:fldCharType="begin"/>
            </w:r>
            <w:r w:rsidR="001423F6">
              <w:rPr>
                <w:noProof/>
                <w:webHidden/>
              </w:rPr>
              <w:instrText xml:space="preserve"> PAGEREF _Toc227738196 \h </w:instrText>
            </w:r>
            <w:r w:rsidR="001423F6">
              <w:rPr>
                <w:noProof/>
                <w:webHidden/>
              </w:rPr>
            </w:r>
            <w:r w:rsidR="001423F6">
              <w:rPr>
                <w:noProof/>
                <w:webHidden/>
              </w:rPr>
              <w:fldChar w:fldCharType="separate"/>
            </w:r>
            <w:r w:rsidR="001423F6">
              <w:rPr>
                <w:noProof/>
                <w:webHidden/>
              </w:rPr>
              <w:t>2</w:t>
            </w:r>
            <w:r w:rsidR="001423F6">
              <w:rPr>
                <w:noProof/>
                <w:webHidden/>
              </w:rPr>
              <w:fldChar w:fldCharType="end"/>
            </w:r>
          </w:hyperlink>
        </w:p>
        <w:p w14:paraId="7E57CCAE" w14:textId="07133D33" w:rsidR="001423F6" w:rsidRDefault="001423F6">
          <w:pPr>
            <w:pStyle w:val="TOC1"/>
            <w:tabs>
              <w:tab w:val="right" w:leader="dot" w:pos="9016"/>
            </w:tabs>
            <w:rPr>
              <w:noProof/>
            </w:rPr>
          </w:pPr>
          <w:hyperlink w:anchor="_Toc227738197" w:history="1">
            <w:r w:rsidRPr="00F6241F">
              <w:rPr>
                <w:rStyle w:val="Hyperlink"/>
                <w:noProof/>
              </w:rPr>
              <w:t>Sustainable Development Goal 3</w:t>
            </w:r>
            <w:r>
              <w:rPr>
                <w:noProof/>
                <w:webHidden/>
              </w:rPr>
              <w:tab/>
            </w:r>
            <w:r>
              <w:rPr>
                <w:noProof/>
                <w:webHidden/>
              </w:rPr>
              <w:fldChar w:fldCharType="begin"/>
            </w:r>
            <w:r>
              <w:rPr>
                <w:noProof/>
                <w:webHidden/>
              </w:rPr>
              <w:instrText xml:space="preserve"> PAGEREF _Toc227738197 \h </w:instrText>
            </w:r>
            <w:r>
              <w:rPr>
                <w:noProof/>
                <w:webHidden/>
              </w:rPr>
            </w:r>
            <w:r>
              <w:rPr>
                <w:noProof/>
                <w:webHidden/>
              </w:rPr>
              <w:fldChar w:fldCharType="separate"/>
            </w:r>
            <w:r>
              <w:rPr>
                <w:noProof/>
                <w:webHidden/>
              </w:rPr>
              <w:t>2</w:t>
            </w:r>
            <w:r>
              <w:rPr>
                <w:noProof/>
                <w:webHidden/>
              </w:rPr>
              <w:fldChar w:fldCharType="end"/>
            </w:r>
          </w:hyperlink>
        </w:p>
        <w:p w14:paraId="09542D78" w14:textId="3A0F8745" w:rsidR="001423F6" w:rsidRDefault="001423F6">
          <w:pPr>
            <w:pStyle w:val="TOC1"/>
            <w:tabs>
              <w:tab w:val="right" w:leader="dot" w:pos="9016"/>
            </w:tabs>
            <w:rPr>
              <w:noProof/>
            </w:rPr>
          </w:pPr>
          <w:hyperlink w:anchor="_Toc227738198" w:history="1">
            <w:r w:rsidRPr="00F6241F">
              <w:rPr>
                <w:rStyle w:val="Hyperlink"/>
                <w:noProof/>
              </w:rPr>
              <w:t>Sustainable Development Goal 4 - Quality Education</w:t>
            </w:r>
            <w:r>
              <w:rPr>
                <w:noProof/>
                <w:webHidden/>
              </w:rPr>
              <w:tab/>
            </w:r>
            <w:r>
              <w:rPr>
                <w:noProof/>
                <w:webHidden/>
              </w:rPr>
              <w:fldChar w:fldCharType="begin"/>
            </w:r>
            <w:r>
              <w:rPr>
                <w:noProof/>
                <w:webHidden/>
              </w:rPr>
              <w:instrText xml:space="preserve"> PAGEREF _Toc227738198 \h </w:instrText>
            </w:r>
            <w:r>
              <w:rPr>
                <w:noProof/>
                <w:webHidden/>
              </w:rPr>
            </w:r>
            <w:r>
              <w:rPr>
                <w:noProof/>
                <w:webHidden/>
              </w:rPr>
              <w:fldChar w:fldCharType="separate"/>
            </w:r>
            <w:r>
              <w:rPr>
                <w:noProof/>
                <w:webHidden/>
              </w:rPr>
              <w:t>4</w:t>
            </w:r>
            <w:r>
              <w:rPr>
                <w:noProof/>
                <w:webHidden/>
              </w:rPr>
              <w:fldChar w:fldCharType="end"/>
            </w:r>
          </w:hyperlink>
        </w:p>
        <w:p w14:paraId="7D610A9D" w14:textId="2A5E5C08" w:rsidR="001423F6" w:rsidRDefault="001423F6">
          <w:pPr>
            <w:pStyle w:val="TOC1"/>
            <w:tabs>
              <w:tab w:val="right" w:leader="dot" w:pos="9016"/>
            </w:tabs>
            <w:rPr>
              <w:noProof/>
            </w:rPr>
          </w:pPr>
          <w:hyperlink w:anchor="_Toc227738199" w:history="1">
            <w:r w:rsidRPr="00F6241F">
              <w:rPr>
                <w:rStyle w:val="Hyperlink"/>
                <w:noProof/>
              </w:rPr>
              <w:t>National well-being initiatives</w:t>
            </w:r>
            <w:r>
              <w:rPr>
                <w:noProof/>
                <w:webHidden/>
              </w:rPr>
              <w:tab/>
            </w:r>
            <w:r>
              <w:rPr>
                <w:noProof/>
                <w:webHidden/>
              </w:rPr>
              <w:fldChar w:fldCharType="begin"/>
            </w:r>
            <w:r>
              <w:rPr>
                <w:noProof/>
                <w:webHidden/>
              </w:rPr>
              <w:instrText xml:space="preserve"> PAGEREF _Toc227738199 \h </w:instrText>
            </w:r>
            <w:r>
              <w:rPr>
                <w:noProof/>
                <w:webHidden/>
              </w:rPr>
            </w:r>
            <w:r>
              <w:rPr>
                <w:noProof/>
                <w:webHidden/>
              </w:rPr>
              <w:fldChar w:fldCharType="separate"/>
            </w:r>
            <w:r>
              <w:rPr>
                <w:noProof/>
                <w:webHidden/>
              </w:rPr>
              <w:t>5</w:t>
            </w:r>
            <w:r>
              <w:rPr>
                <w:noProof/>
                <w:webHidden/>
              </w:rPr>
              <w:fldChar w:fldCharType="end"/>
            </w:r>
          </w:hyperlink>
        </w:p>
        <w:p w14:paraId="0EE127D1" w14:textId="149E50A0" w:rsidR="001423F6" w:rsidRDefault="001423F6">
          <w:pPr>
            <w:pStyle w:val="TOC1"/>
            <w:tabs>
              <w:tab w:val="right" w:leader="dot" w:pos="9016"/>
            </w:tabs>
            <w:rPr>
              <w:noProof/>
            </w:rPr>
          </w:pPr>
          <w:hyperlink w:anchor="_Toc227738200" w:history="1">
            <w:r w:rsidRPr="00F6241F">
              <w:rPr>
                <w:rStyle w:val="Hyperlink"/>
                <w:noProof/>
              </w:rPr>
              <w:t>Local well-being initiatives</w:t>
            </w:r>
            <w:r>
              <w:rPr>
                <w:noProof/>
                <w:webHidden/>
              </w:rPr>
              <w:tab/>
            </w:r>
            <w:r>
              <w:rPr>
                <w:noProof/>
                <w:webHidden/>
              </w:rPr>
              <w:fldChar w:fldCharType="begin"/>
            </w:r>
            <w:r>
              <w:rPr>
                <w:noProof/>
                <w:webHidden/>
              </w:rPr>
              <w:instrText xml:space="preserve"> PAGEREF _Toc227738200 \h </w:instrText>
            </w:r>
            <w:r>
              <w:rPr>
                <w:noProof/>
                <w:webHidden/>
              </w:rPr>
            </w:r>
            <w:r>
              <w:rPr>
                <w:noProof/>
                <w:webHidden/>
              </w:rPr>
              <w:fldChar w:fldCharType="separate"/>
            </w:r>
            <w:r>
              <w:rPr>
                <w:noProof/>
                <w:webHidden/>
              </w:rPr>
              <w:t>6</w:t>
            </w:r>
            <w:r>
              <w:rPr>
                <w:noProof/>
                <w:webHidden/>
              </w:rPr>
              <w:fldChar w:fldCharType="end"/>
            </w:r>
          </w:hyperlink>
        </w:p>
        <w:p w14:paraId="6EC13D49" w14:textId="2E6B5D0D" w:rsidR="001423F6" w:rsidRDefault="001423F6">
          <w:pPr>
            <w:pStyle w:val="TOC1"/>
            <w:tabs>
              <w:tab w:val="right" w:leader="dot" w:pos="9016"/>
            </w:tabs>
            <w:rPr>
              <w:noProof/>
            </w:rPr>
          </w:pPr>
          <w:hyperlink w:anchor="_Toc227738201" w:history="1">
            <w:r w:rsidRPr="00F6241F">
              <w:rPr>
                <w:rStyle w:val="Hyperlink"/>
                <w:noProof/>
              </w:rPr>
              <w:t>Recommendations</w:t>
            </w:r>
            <w:r>
              <w:rPr>
                <w:noProof/>
                <w:webHidden/>
              </w:rPr>
              <w:tab/>
            </w:r>
            <w:r>
              <w:rPr>
                <w:noProof/>
                <w:webHidden/>
              </w:rPr>
              <w:fldChar w:fldCharType="begin"/>
            </w:r>
            <w:r>
              <w:rPr>
                <w:noProof/>
                <w:webHidden/>
              </w:rPr>
              <w:instrText xml:space="preserve"> PAGEREF _Toc227738201 \h </w:instrText>
            </w:r>
            <w:r>
              <w:rPr>
                <w:noProof/>
                <w:webHidden/>
              </w:rPr>
            </w:r>
            <w:r>
              <w:rPr>
                <w:noProof/>
                <w:webHidden/>
              </w:rPr>
              <w:fldChar w:fldCharType="separate"/>
            </w:r>
            <w:r>
              <w:rPr>
                <w:noProof/>
                <w:webHidden/>
              </w:rPr>
              <w:t>8</w:t>
            </w:r>
            <w:r>
              <w:rPr>
                <w:noProof/>
                <w:webHidden/>
              </w:rPr>
              <w:fldChar w:fldCharType="end"/>
            </w:r>
          </w:hyperlink>
        </w:p>
        <w:p w14:paraId="06591ADA" w14:textId="377DEC7D" w:rsidR="001423F6" w:rsidRDefault="001423F6">
          <w:pPr>
            <w:pStyle w:val="TOC1"/>
            <w:tabs>
              <w:tab w:val="right" w:leader="dot" w:pos="9016"/>
            </w:tabs>
            <w:rPr>
              <w:noProof/>
            </w:rPr>
          </w:pPr>
          <w:hyperlink w:anchor="_Toc227738202" w:history="1">
            <w:r w:rsidRPr="00F6241F">
              <w:rPr>
                <w:rStyle w:val="Hyperlink"/>
                <w:noProof/>
              </w:rPr>
              <w:t>Conclusion</w:t>
            </w:r>
            <w:r>
              <w:rPr>
                <w:noProof/>
                <w:webHidden/>
              </w:rPr>
              <w:tab/>
            </w:r>
            <w:r>
              <w:rPr>
                <w:noProof/>
                <w:webHidden/>
              </w:rPr>
              <w:fldChar w:fldCharType="begin"/>
            </w:r>
            <w:r>
              <w:rPr>
                <w:noProof/>
                <w:webHidden/>
              </w:rPr>
              <w:instrText xml:space="preserve"> PAGEREF _Toc227738202 \h </w:instrText>
            </w:r>
            <w:r>
              <w:rPr>
                <w:noProof/>
                <w:webHidden/>
              </w:rPr>
            </w:r>
            <w:r>
              <w:rPr>
                <w:noProof/>
                <w:webHidden/>
              </w:rPr>
              <w:fldChar w:fldCharType="separate"/>
            </w:r>
            <w:r>
              <w:rPr>
                <w:noProof/>
                <w:webHidden/>
              </w:rPr>
              <w:t>8</w:t>
            </w:r>
            <w:r>
              <w:rPr>
                <w:noProof/>
                <w:webHidden/>
              </w:rPr>
              <w:fldChar w:fldCharType="end"/>
            </w:r>
          </w:hyperlink>
        </w:p>
        <w:p w14:paraId="2367BE17" w14:textId="4396CC9C" w:rsidR="001423F6" w:rsidRDefault="001423F6">
          <w:pPr>
            <w:pStyle w:val="TOC1"/>
            <w:tabs>
              <w:tab w:val="right" w:leader="dot" w:pos="9016"/>
            </w:tabs>
            <w:rPr>
              <w:noProof/>
            </w:rPr>
          </w:pPr>
          <w:hyperlink w:anchor="_Toc227738203" w:history="1">
            <w:r w:rsidRPr="00F6241F">
              <w:rPr>
                <w:rStyle w:val="Hyperlink"/>
                <w:noProof/>
              </w:rPr>
              <w:t>References</w:t>
            </w:r>
            <w:r>
              <w:rPr>
                <w:noProof/>
                <w:webHidden/>
              </w:rPr>
              <w:tab/>
            </w:r>
            <w:r>
              <w:rPr>
                <w:noProof/>
                <w:webHidden/>
              </w:rPr>
              <w:fldChar w:fldCharType="begin"/>
            </w:r>
            <w:r>
              <w:rPr>
                <w:noProof/>
                <w:webHidden/>
              </w:rPr>
              <w:instrText xml:space="preserve"> PAGEREF _Toc227738203 \h </w:instrText>
            </w:r>
            <w:r>
              <w:rPr>
                <w:noProof/>
                <w:webHidden/>
              </w:rPr>
            </w:r>
            <w:r>
              <w:rPr>
                <w:noProof/>
                <w:webHidden/>
              </w:rPr>
              <w:fldChar w:fldCharType="separate"/>
            </w:r>
            <w:r>
              <w:rPr>
                <w:noProof/>
                <w:webHidden/>
              </w:rPr>
              <w:t>9</w:t>
            </w:r>
            <w:r>
              <w:rPr>
                <w:noProof/>
                <w:webHidden/>
              </w:rPr>
              <w:fldChar w:fldCharType="end"/>
            </w:r>
          </w:hyperlink>
        </w:p>
        <w:p w14:paraId="0EA55047" w14:textId="5DF4483A" w:rsidR="007D69A6" w:rsidRPr="00613D31" w:rsidRDefault="007D69A6" w:rsidP="00613D31">
          <w:pPr>
            <w:spacing w:line="360" w:lineRule="auto"/>
            <w:rPr>
              <w:rFonts w:ascii="Arial" w:hAnsi="Arial" w:cs="Arial"/>
            </w:rPr>
          </w:pPr>
          <w:r w:rsidRPr="00613D31">
            <w:rPr>
              <w:rFonts w:ascii="Arial" w:hAnsi="Arial" w:cs="Arial"/>
              <w:b/>
              <w:bCs/>
            </w:rPr>
            <w:fldChar w:fldCharType="end"/>
          </w:r>
        </w:p>
      </w:sdtContent>
    </w:sdt>
    <w:p w14:paraId="0E6F104F" w14:textId="77777777" w:rsidR="007D69A6" w:rsidRPr="00613D31" w:rsidRDefault="007D69A6" w:rsidP="00613D31">
      <w:pPr>
        <w:pStyle w:val="Heading1"/>
        <w:spacing w:line="360" w:lineRule="auto"/>
        <w:rPr>
          <w:rFonts w:ascii="Arial" w:hAnsi="Arial" w:cs="Arial"/>
          <w:sz w:val="24"/>
          <w:szCs w:val="24"/>
        </w:rPr>
      </w:pPr>
    </w:p>
    <w:p w14:paraId="5EE71AB4" w14:textId="77777777" w:rsidR="007D69A6" w:rsidRPr="00613D31" w:rsidRDefault="007D69A6" w:rsidP="00613D31">
      <w:pPr>
        <w:pStyle w:val="Heading1"/>
        <w:spacing w:line="360" w:lineRule="auto"/>
        <w:rPr>
          <w:rFonts w:ascii="Arial" w:hAnsi="Arial" w:cs="Arial"/>
          <w:sz w:val="24"/>
          <w:szCs w:val="24"/>
        </w:rPr>
      </w:pPr>
    </w:p>
    <w:p w14:paraId="6B6D641E" w14:textId="77777777" w:rsidR="007D69A6" w:rsidRPr="00613D31" w:rsidRDefault="007D69A6" w:rsidP="00613D31">
      <w:pPr>
        <w:pStyle w:val="Heading1"/>
        <w:spacing w:line="360" w:lineRule="auto"/>
        <w:rPr>
          <w:rFonts w:ascii="Arial" w:hAnsi="Arial" w:cs="Arial"/>
          <w:sz w:val="24"/>
          <w:szCs w:val="24"/>
        </w:rPr>
      </w:pPr>
    </w:p>
    <w:p w14:paraId="3F6AF04C" w14:textId="77777777" w:rsidR="007D69A6" w:rsidRPr="00613D31" w:rsidRDefault="007D69A6" w:rsidP="00613D31">
      <w:pPr>
        <w:pStyle w:val="Heading1"/>
        <w:spacing w:line="360" w:lineRule="auto"/>
        <w:rPr>
          <w:rFonts w:ascii="Arial" w:hAnsi="Arial" w:cs="Arial"/>
          <w:sz w:val="24"/>
          <w:szCs w:val="24"/>
        </w:rPr>
      </w:pPr>
    </w:p>
    <w:p w14:paraId="5B54389C" w14:textId="77777777" w:rsidR="007D69A6" w:rsidRPr="00613D31" w:rsidRDefault="007D69A6" w:rsidP="00613D31">
      <w:pPr>
        <w:pStyle w:val="Heading1"/>
        <w:spacing w:line="360" w:lineRule="auto"/>
        <w:rPr>
          <w:rFonts w:ascii="Arial" w:hAnsi="Arial" w:cs="Arial"/>
          <w:sz w:val="24"/>
          <w:szCs w:val="24"/>
        </w:rPr>
      </w:pPr>
    </w:p>
    <w:p w14:paraId="0534BC8C" w14:textId="77777777" w:rsidR="007D69A6" w:rsidRPr="00613D31" w:rsidRDefault="007D69A6" w:rsidP="00613D31">
      <w:pPr>
        <w:pStyle w:val="Heading1"/>
        <w:spacing w:line="360" w:lineRule="auto"/>
        <w:rPr>
          <w:rFonts w:ascii="Arial" w:hAnsi="Arial" w:cs="Arial"/>
          <w:sz w:val="24"/>
          <w:szCs w:val="24"/>
        </w:rPr>
      </w:pPr>
    </w:p>
    <w:p w14:paraId="3E46B376" w14:textId="77777777" w:rsidR="007D69A6" w:rsidRPr="00613D31" w:rsidRDefault="007D69A6" w:rsidP="00613D31">
      <w:pPr>
        <w:pStyle w:val="Heading1"/>
        <w:spacing w:line="360" w:lineRule="auto"/>
        <w:rPr>
          <w:rFonts w:ascii="Arial" w:hAnsi="Arial" w:cs="Arial"/>
          <w:sz w:val="24"/>
          <w:szCs w:val="24"/>
        </w:rPr>
      </w:pPr>
    </w:p>
    <w:p w14:paraId="1EB1EB9D" w14:textId="77777777" w:rsidR="007D69A6" w:rsidRPr="00613D31" w:rsidRDefault="007D69A6" w:rsidP="00613D31">
      <w:pPr>
        <w:spacing w:line="360" w:lineRule="auto"/>
        <w:rPr>
          <w:rFonts w:ascii="Arial" w:hAnsi="Arial" w:cs="Arial"/>
        </w:rPr>
      </w:pPr>
    </w:p>
    <w:p w14:paraId="4851CAED" w14:textId="77777777" w:rsidR="00613D31" w:rsidRDefault="00613D31" w:rsidP="00613D31">
      <w:pPr>
        <w:pStyle w:val="Heading1"/>
        <w:spacing w:line="360" w:lineRule="auto"/>
        <w:rPr>
          <w:rFonts w:ascii="Arial" w:hAnsi="Arial" w:cs="Arial"/>
          <w:sz w:val="24"/>
          <w:szCs w:val="24"/>
        </w:rPr>
      </w:pPr>
    </w:p>
    <w:bookmarkEnd w:id="0"/>
    <w:p w14:paraId="08AF8EB2" w14:textId="77777777" w:rsidR="00613D31" w:rsidRDefault="00613D31" w:rsidP="00613D31">
      <w:pPr>
        <w:spacing w:line="360" w:lineRule="auto"/>
        <w:rPr>
          <w:rFonts w:ascii="Arial" w:hAnsi="Arial" w:cs="Arial"/>
        </w:rPr>
      </w:pPr>
    </w:p>
    <w:p w14:paraId="326EBC2E" w14:textId="77777777" w:rsidR="00613D31" w:rsidRDefault="00613D31" w:rsidP="00613D31">
      <w:pPr>
        <w:spacing w:line="360" w:lineRule="auto"/>
        <w:rPr>
          <w:rFonts w:ascii="Arial" w:hAnsi="Arial" w:cs="Arial"/>
        </w:rPr>
      </w:pPr>
    </w:p>
    <w:p w14:paraId="7AD2B0D3" w14:textId="6B50D093" w:rsidR="00613D31" w:rsidRPr="00ED3D47" w:rsidRDefault="00613D31" w:rsidP="00ED3D47">
      <w:pPr>
        <w:pStyle w:val="Heading1"/>
      </w:pPr>
      <w:bookmarkStart w:id="1" w:name="_Toc227738196"/>
      <w:r w:rsidRPr="00ED3D47">
        <w:t>Introduction</w:t>
      </w:r>
      <w:bookmarkEnd w:id="1"/>
    </w:p>
    <w:p w14:paraId="25ED5298" w14:textId="5D35FA5D" w:rsidR="00B9470E" w:rsidRPr="00613D31" w:rsidRDefault="00B9470E" w:rsidP="00613D31">
      <w:pPr>
        <w:spacing w:line="360" w:lineRule="auto"/>
        <w:rPr>
          <w:rFonts w:ascii="Arial" w:hAnsi="Arial" w:cs="Arial"/>
        </w:rPr>
      </w:pPr>
      <w:r w:rsidRPr="00613D31">
        <w:rPr>
          <w:rFonts w:ascii="Arial" w:hAnsi="Arial" w:cs="Arial"/>
        </w:rPr>
        <w:t xml:space="preserve">This report critically examines Sustainable Development Goal 3 (good health and </w:t>
      </w:r>
      <w:r w:rsidR="00016C14" w:rsidRPr="00613D31">
        <w:rPr>
          <w:rFonts w:ascii="Arial" w:hAnsi="Arial" w:cs="Arial"/>
        </w:rPr>
        <w:t>well-being</w:t>
      </w:r>
      <w:r w:rsidRPr="00613D31">
        <w:rPr>
          <w:rFonts w:ascii="Arial" w:hAnsi="Arial" w:cs="Arial"/>
        </w:rPr>
        <w:t xml:space="preserve">) and Goal 4 (quality education), analysing their impact on health, </w:t>
      </w:r>
      <w:r w:rsidR="00016C14" w:rsidRPr="00613D31">
        <w:rPr>
          <w:rFonts w:ascii="Arial" w:hAnsi="Arial" w:cs="Arial"/>
        </w:rPr>
        <w:t>well-being</w:t>
      </w:r>
      <w:r w:rsidRPr="00613D31">
        <w:rPr>
          <w:rFonts w:ascii="Arial" w:hAnsi="Arial" w:cs="Arial"/>
        </w:rPr>
        <w:t xml:space="preserve"> and sustainable development. It evaluates two national UK initiatives and two local Southwark initiatives, identifying strengths, limitations and recommendations for improvement. The analysis shows that while global goals provide essential frameworks, their success depends on evidence-based national policy and coordinated local action. By addressing health inequalities, improving education access and strengthening partnerships, sustainable </w:t>
      </w:r>
      <w:r w:rsidR="00016C14" w:rsidRPr="00613D31">
        <w:rPr>
          <w:rFonts w:ascii="Arial" w:hAnsi="Arial" w:cs="Arial"/>
        </w:rPr>
        <w:t>well-being</w:t>
      </w:r>
      <w:r w:rsidRPr="00613D31">
        <w:rPr>
          <w:rFonts w:ascii="Arial" w:hAnsi="Arial" w:cs="Arial"/>
        </w:rPr>
        <w:t xml:space="preserve"> can be achieved. The report demonstrates that health, education and community initiatives must work together for long-term social progress (United Nations, n.d.; WHO, n.d.).</w:t>
      </w:r>
    </w:p>
    <w:p w14:paraId="69999F79" w14:textId="5845D10E" w:rsidR="00016C14" w:rsidRPr="00613D31" w:rsidRDefault="00016C14" w:rsidP="00613D31">
      <w:pPr>
        <w:pStyle w:val="Heading1"/>
      </w:pPr>
      <w:bookmarkStart w:id="2" w:name="_Toc227577735"/>
      <w:bookmarkStart w:id="3" w:name="_Toc227738197"/>
      <w:r w:rsidRPr="00613D31">
        <w:t>Sustainable Development Goal 3</w:t>
      </w:r>
      <w:bookmarkEnd w:id="2"/>
      <w:bookmarkEnd w:id="3"/>
      <w:r w:rsidRPr="00613D31">
        <w:t xml:space="preserve"> </w:t>
      </w:r>
    </w:p>
    <w:p w14:paraId="3AAACB54" w14:textId="2E362564" w:rsidR="00D7796F" w:rsidRPr="00613D31" w:rsidRDefault="00D7796F" w:rsidP="00613D31">
      <w:pPr>
        <w:spacing w:line="360" w:lineRule="auto"/>
        <w:rPr>
          <w:rFonts w:ascii="Arial" w:hAnsi="Arial" w:cs="Arial"/>
        </w:rPr>
      </w:pPr>
      <w:r w:rsidRPr="00613D31">
        <w:rPr>
          <w:rFonts w:ascii="Arial" w:hAnsi="Arial" w:cs="Arial"/>
        </w:rPr>
        <w:t xml:space="preserve">Sustainable Development Goal 3 aims to ensure healthy lives and promote </w:t>
      </w:r>
      <w:r w:rsidR="00016C14" w:rsidRPr="00613D31">
        <w:rPr>
          <w:rFonts w:ascii="Arial" w:hAnsi="Arial" w:cs="Arial"/>
        </w:rPr>
        <w:t>well-being</w:t>
      </w:r>
      <w:r w:rsidRPr="00613D31">
        <w:rPr>
          <w:rFonts w:ascii="Arial" w:hAnsi="Arial" w:cs="Arial"/>
        </w:rPr>
        <w:t xml:space="preserve"> for all at all ages. It covers key areas such as maternal and child health, infectious diseases, non-communicable diseases, mental health and access to universal health coverage (United Nations Department of Economic and Social Affairs, n.d.; World Health </w:t>
      </w:r>
      <w:r w:rsidR="008B61C6" w:rsidRPr="00613D31">
        <w:rPr>
          <w:rFonts w:ascii="Arial" w:hAnsi="Arial" w:cs="Arial"/>
        </w:rPr>
        <w:t>Organisation</w:t>
      </w:r>
      <w:r w:rsidRPr="00613D31">
        <w:rPr>
          <w:rFonts w:ascii="Arial" w:hAnsi="Arial" w:cs="Arial"/>
        </w:rPr>
        <w:t>, n.d.). The goal is important because health affects people’s ability to learn, work, participate in family life and maintain a good quality of life. It also recognises that health is shaped by wider factors such as income, housing, education and access to services (United Nations Development Programme, n.d.).</w:t>
      </w:r>
    </w:p>
    <w:p w14:paraId="45471A60" w14:textId="14B42252" w:rsidR="00D7796F" w:rsidRPr="00613D31" w:rsidRDefault="00D7796F" w:rsidP="00613D31">
      <w:pPr>
        <w:spacing w:line="360" w:lineRule="auto"/>
        <w:rPr>
          <w:rFonts w:ascii="Arial" w:hAnsi="Arial" w:cs="Arial"/>
        </w:rPr>
      </w:pPr>
      <w:r w:rsidRPr="00613D31">
        <w:rPr>
          <w:rFonts w:ascii="Arial" w:hAnsi="Arial" w:cs="Arial"/>
        </w:rPr>
        <w:t>In the UK, SDG 3 remains highly relevant because</w:t>
      </w:r>
      <w:r w:rsidR="008B61C6" w:rsidRPr="00613D31">
        <w:rPr>
          <w:rFonts w:ascii="Arial" w:hAnsi="Arial" w:cs="Arial"/>
        </w:rPr>
        <w:t>,</w:t>
      </w:r>
      <w:r w:rsidRPr="00613D31">
        <w:rPr>
          <w:rFonts w:ascii="Arial" w:hAnsi="Arial" w:cs="Arial"/>
        </w:rPr>
        <w:t xml:space="preserve"> although the country has a strong healthcare system, there are still major inequalities in health outcomes between different regions and social groups. People living in more deprived areas often have shorter life expectancy, higher rates of long-term illness and more difficulty accessing services. Mental health needs, obesity, and pressure on NHS services also show that health and </w:t>
      </w:r>
      <w:r w:rsidR="00016C14" w:rsidRPr="00613D31">
        <w:rPr>
          <w:rFonts w:ascii="Arial" w:hAnsi="Arial" w:cs="Arial"/>
        </w:rPr>
        <w:t>well-being</w:t>
      </w:r>
      <w:r w:rsidRPr="00613D31">
        <w:rPr>
          <w:rFonts w:ascii="Arial" w:hAnsi="Arial" w:cs="Arial"/>
        </w:rPr>
        <w:t xml:space="preserve"> continue to be major concerns in the UK. This means the UK has made progress in healthcare provision, but there are still significant gaps in achieving health equity for all citizens.</w:t>
      </w:r>
    </w:p>
    <w:p w14:paraId="53CBABF1" w14:textId="40728CB7" w:rsidR="00D7796F" w:rsidRPr="00613D31" w:rsidRDefault="00D7796F" w:rsidP="00613D31">
      <w:pPr>
        <w:spacing w:line="360" w:lineRule="auto"/>
        <w:rPr>
          <w:rFonts w:ascii="Arial" w:hAnsi="Arial" w:cs="Arial"/>
        </w:rPr>
      </w:pPr>
      <w:r w:rsidRPr="00613D31">
        <w:rPr>
          <w:rFonts w:ascii="Arial" w:hAnsi="Arial" w:cs="Arial"/>
        </w:rPr>
        <w:t>A critical view of SDG 3 shows that healthcare services alone cannot solve these problems. Wider issues such as poverty, poor housing, unemployment and unequal access to prevention services continue to affect health outcomes. This suggests that progress towards SDG 3 in the UK depends not only on the NHS, but also on coordinated action across public health, social care, education and local government. SDG 3</w:t>
      </w:r>
      <w:r w:rsidR="00016C14" w:rsidRPr="00613D31">
        <w:rPr>
          <w:rFonts w:ascii="Arial" w:hAnsi="Arial" w:cs="Arial"/>
        </w:rPr>
        <w:t>,</w:t>
      </w:r>
      <w:r w:rsidRPr="00613D31">
        <w:rPr>
          <w:rFonts w:ascii="Arial" w:hAnsi="Arial" w:cs="Arial"/>
        </w:rPr>
        <w:t xml:space="preserve"> therefore</w:t>
      </w:r>
      <w:r w:rsidR="00016C14" w:rsidRPr="00613D31">
        <w:rPr>
          <w:rFonts w:ascii="Arial" w:hAnsi="Arial" w:cs="Arial"/>
        </w:rPr>
        <w:t>,</w:t>
      </w:r>
      <w:r w:rsidRPr="00613D31">
        <w:rPr>
          <w:rFonts w:ascii="Arial" w:hAnsi="Arial" w:cs="Arial"/>
        </w:rPr>
        <w:t xml:space="preserve"> remains an important framework for understanding both national health priorities and the need to reduce health inequalities in the UK.</w:t>
      </w:r>
    </w:p>
    <w:p w14:paraId="7106468D" w14:textId="2A907971" w:rsidR="007D69A6" w:rsidRPr="00613D31" w:rsidRDefault="00613D31" w:rsidP="00613D31">
      <w:pPr>
        <w:spacing w:line="360" w:lineRule="auto"/>
        <w:jc w:val="center"/>
        <w:rPr>
          <w:rFonts w:ascii="Arial" w:hAnsi="Arial" w:cs="Arial"/>
          <w:b/>
          <w:bCs/>
        </w:rPr>
      </w:pPr>
      <w:bookmarkStart w:id="4" w:name="_Toc227577736"/>
      <w:r w:rsidRPr="00613D31">
        <w:rPr>
          <w:rFonts w:ascii="Arial" w:hAnsi="Arial" w:cs="Arial"/>
          <w:noProof/>
        </w:rPr>
        <w:drawing>
          <wp:anchor distT="0" distB="0" distL="114300" distR="114300" simplePos="0" relativeHeight="251659264" behindDoc="0" locked="0" layoutInCell="1" allowOverlap="1" wp14:anchorId="37D566A9" wp14:editId="72A2E9A9">
            <wp:simplePos x="0" y="0"/>
            <wp:positionH relativeFrom="margin">
              <wp:posOffset>702994</wp:posOffset>
            </wp:positionH>
            <wp:positionV relativeFrom="paragraph">
              <wp:posOffset>300795</wp:posOffset>
            </wp:positionV>
            <wp:extent cx="4243705" cy="2744470"/>
            <wp:effectExtent l="76200" t="76200" r="137795" b="132080"/>
            <wp:wrapThrough wrapText="bothSides">
              <wp:wrapPolygon edited="0">
                <wp:start x="-194" y="-600"/>
                <wp:lineTo x="-388" y="-450"/>
                <wp:lineTo x="-388" y="21890"/>
                <wp:lineTo x="-194" y="22490"/>
                <wp:lineTo x="22010" y="22490"/>
                <wp:lineTo x="22204" y="21290"/>
                <wp:lineTo x="22204" y="1949"/>
                <wp:lineTo x="22010" y="-300"/>
                <wp:lineTo x="22010" y="-600"/>
                <wp:lineTo x="-194" y="-600"/>
              </wp:wrapPolygon>
            </wp:wrapThrough>
            <wp:docPr id="1045593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93056" name=""/>
                    <pic:cNvPicPr/>
                  </pic:nvPicPr>
                  <pic:blipFill rotWithShape="1">
                    <a:blip r:embed="rId9">
                      <a:extLst>
                        <a:ext uri="{28A0092B-C50C-407E-A947-70E740481C1C}">
                          <a14:useLocalDpi xmlns:a14="http://schemas.microsoft.com/office/drawing/2010/main" val="0"/>
                        </a:ext>
                      </a:extLst>
                    </a:blip>
                    <a:srcRect r="50474"/>
                    <a:stretch>
                      <a:fillRect/>
                    </a:stretch>
                  </pic:blipFill>
                  <pic:spPr bwMode="auto">
                    <a:xfrm>
                      <a:off x="0" y="0"/>
                      <a:ext cx="4243705" cy="2744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4"/>
    </w:p>
    <w:p w14:paraId="3E72EF05" w14:textId="2B63B12B" w:rsidR="007D69A6" w:rsidRPr="00613D31" w:rsidRDefault="007D69A6" w:rsidP="00613D31">
      <w:pPr>
        <w:spacing w:line="360" w:lineRule="auto"/>
        <w:jc w:val="center"/>
        <w:rPr>
          <w:rFonts w:ascii="Arial" w:hAnsi="Arial" w:cs="Arial"/>
          <w:b/>
          <w:bCs/>
        </w:rPr>
      </w:pPr>
    </w:p>
    <w:p w14:paraId="2826D313" w14:textId="23E215E8" w:rsidR="007D69A6" w:rsidRPr="00613D31" w:rsidRDefault="007D69A6" w:rsidP="00613D31">
      <w:pPr>
        <w:spacing w:line="360" w:lineRule="auto"/>
        <w:jc w:val="center"/>
        <w:rPr>
          <w:rFonts w:ascii="Arial" w:hAnsi="Arial" w:cs="Arial"/>
          <w:b/>
          <w:bCs/>
        </w:rPr>
      </w:pPr>
    </w:p>
    <w:p w14:paraId="458F6B81" w14:textId="77777777" w:rsidR="00613D31" w:rsidRDefault="00613D31" w:rsidP="00613D31">
      <w:pPr>
        <w:spacing w:line="360" w:lineRule="auto"/>
        <w:jc w:val="center"/>
        <w:rPr>
          <w:rFonts w:ascii="Arial" w:hAnsi="Arial" w:cs="Arial"/>
          <w:b/>
          <w:bCs/>
          <w:sz w:val="20"/>
          <w:szCs w:val="20"/>
        </w:rPr>
      </w:pPr>
    </w:p>
    <w:p w14:paraId="10DF08B9" w14:textId="77777777" w:rsidR="00613D31" w:rsidRDefault="00613D31" w:rsidP="00613D31">
      <w:pPr>
        <w:spacing w:line="360" w:lineRule="auto"/>
        <w:jc w:val="center"/>
        <w:rPr>
          <w:rFonts w:ascii="Arial" w:hAnsi="Arial" w:cs="Arial"/>
          <w:b/>
          <w:bCs/>
          <w:sz w:val="20"/>
          <w:szCs w:val="20"/>
        </w:rPr>
      </w:pPr>
    </w:p>
    <w:p w14:paraId="580ED8D1" w14:textId="77777777" w:rsidR="00613D31" w:rsidRDefault="00613D31" w:rsidP="00613D31">
      <w:pPr>
        <w:spacing w:line="360" w:lineRule="auto"/>
        <w:jc w:val="center"/>
        <w:rPr>
          <w:rFonts w:ascii="Arial" w:hAnsi="Arial" w:cs="Arial"/>
          <w:b/>
          <w:bCs/>
          <w:sz w:val="20"/>
          <w:szCs w:val="20"/>
        </w:rPr>
      </w:pPr>
    </w:p>
    <w:p w14:paraId="495B6C03" w14:textId="77777777" w:rsidR="00613D31" w:rsidRDefault="00613D31" w:rsidP="00613D31">
      <w:pPr>
        <w:spacing w:line="360" w:lineRule="auto"/>
        <w:jc w:val="center"/>
        <w:rPr>
          <w:rFonts w:ascii="Arial" w:hAnsi="Arial" w:cs="Arial"/>
          <w:b/>
          <w:bCs/>
          <w:sz w:val="20"/>
          <w:szCs w:val="20"/>
        </w:rPr>
      </w:pPr>
    </w:p>
    <w:p w14:paraId="164387F1" w14:textId="77777777" w:rsidR="00613D31" w:rsidRDefault="00613D31" w:rsidP="00613D31">
      <w:pPr>
        <w:spacing w:line="360" w:lineRule="auto"/>
        <w:jc w:val="center"/>
        <w:rPr>
          <w:rFonts w:ascii="Arial" w:hAnsi="Arial" w:cs="Arial"/>
          <w:b/>
          <w:bCs/>
          <w:sz w:val="20"/>
          <w:szCs w:val="20"/>
        </w:rPr>
      </w:pPr>
    </w:p>
    <w:p w14:paraId="4CC72474" w14:textId="77777777" w:rsidR="00613D31" w:rsidRDefault="00613D31" w:rsidP="00613D31">
      <w:pPr>
        <w:spacing w:line="360" w:lineRule="auto"/>
        <w:jc w:val="center"/>
        <w:rPr>
          <w:rFonts w:ascii="Arial" w:hAnsi="Arial" w:cs="Arial"/>
          <w:b/>
          <w:bCs/>
          <w:sz w:val="20"/>
          <w:szCs w:val="20"/>
        </w:rPr>
      </w:pPr>
    </w:p>
    <w:p w14:paraId="19B17AF3" w14:textId="77777777" w:rsidR="00613D31" w:rsidRPr="00613D31" w:rsidRDefault="00613D31" w:rsidP="00613D31">
      <w:pPr>
        <w:spacing w:line="360" w:lineRule="auto"/>
        <w:jc w:val="center"/>
        <w:rPr>
          <w:rFonts w:ascii="Arial" w:hAnsi="Arial" w:cs="Arial"/>
          <w:b/>
          <w:bCs/>
          <w:sz w:val="6"/>
          <w:szCs w:val="6"/>
        </w:rPr>
      </w:pPr>
    </w:p>
    <w:p w14:paraId="13311364" w14:textId="0ECE4172" w:rsidR="0049695F" w:rsidRPr="00613D31" w:rsidRDefault="0049695F" w:rsidP="00613D31">
      <w:pPr>
        <w:spacing w:line="360" w:lineRule="auto"/>
        <w:jc w:val="center"/>
        <w:rPr>
          <w:rFonts w:ascii="Arial" w:hAnsi="Arial" w:cs="Arial"/>
          <w:sz w:val="16"/>
          <w:szCs w:val="16"/>
        </w:rPr>
      </w:pPr>
      <w:r w:rsidRPr="00613D31">
        <w:rPr>
          <w:rFonts w:ascii="Arial" w:hAnsi="Arial" w:cs="Arial"/>
          <w:b/>
          <w:bCs/>
          <w:sz w:val="16"/>
          <w:szCs w:val="16"/>
        </w:rPr>
        <w:t xml:space="preserve">Figure 1: </w:t>
      </w:r>
      <w:r w:rsidRPr="00613D31">
        <w:rPr>
          <w:rFonts w:ascii="Arial" w:hAnsi="Arial" w:cs="Arial"/>
          <w:sz w:val="16"/>
          <w:szCs w:val="16"/>
        </w:rPr>
        <w:t>Excess weight (overweight or obese) among children in Southwark (Reception vs Year 6) (Southwark Council, 2025).</w:t>
      </w:r>
    </w:p>
    <w:p w14:paraId="537380F7" w14:textId="2EAB815F" w:rsidR="00613D31" w:rsidRPr="00613D31" w:rsidRDefault="00613D31" w:rsidP="00613D31">
      <w:pPr>
        <w:spacing w:line="360" w:lineRule="auto"/>
        <w:jc w:val="center"/>
        <w:rPr>
          <w:rFonts w:ascii="Arial" w:hAnsi="Arial" w:cs="Arial"/>
          <w:b/>
          <w:bCs/>
        </w:rPr>
      </w:pPr>
      <w:bookmarkStart w:id="5" w:name="_Toc227577737"/>
      <w:r w:rsidRPr="00613D31">
        <w:rPr>
          <w:rFonts w:ascii="Arial" w:hAnsi="Arial" w:cs="Arial"/>
          <w:noProof/>
        </w:rPr>
        <w:drawing>
          <wp:anchor distT="0" distB="0" distL="114300" distR="114300" simplePos="0" relativeHeight="251661312" behindDoc="0" locked="0" layoutInCell="1" allowOverlap="1" wp14:anchorId="1CCDEE43" wp14:editId="370119F4">
            <wp:simplePos x="0" y="0"/>
            <wp:positionH relativeFrom="margin">
              <wp:align>center</wp:align>
            </wp:positionH>
            <wp:positionV relativeFrom="paragraph">
              <wp:posOffset>81280</wp:posOffset>
            </wp:positionV>
            <wp:extent cx="4244340" cy="2724150"/>
            <wp:effectExtent l="76200" t="76200" r="137160" b="133350"/>
            <wp:wrapThrough wrapText="bothSides">
              <wp:wrapPolygon edited="0">
                <wp:start x="-194" y="-604"/>
                <wp:lineTo x="-388" y="-453"/>
                <wp:lineTo x="-388" y="21902"/>
                <wp:lineTo x="-194" y="22506"/>
                <wp:lineTo x="22007" y="22506"/>
                <wp:lineTo x="22201" y="21449"/>
                <wp:lineTo x="22201" y="1964"/>
                <wp:lineTo x="22007" y="-302"/>
                <wp:lineTo x="22007" y="-604"/>
                <wp:lineTo x="-194" y="-604"/>
              </wp:wrapPolygon>
            </wp:wrapThrough>
            <wp:docPr id="65515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93056" name=""/>
                    <pic:cNvPicPr/>
                  </pic:nvPicPr>
                  <pic:blipFill rotWithShape="1">
                    <a:blip r:embed="rId9">
                      <a:extLst>
                        <a:ext uri="{28A0092B-C50C-407E-A947-70E740481C1C}">
                          <a14:useLocalDpi xmlns:a14="http://schemas.microsoft.com/office/drawing/2010/main" val="0"/>
                        </a:ext>
                      </a:extLst>
                    </a:blip>
                    <a:srcRect l="50100"/>
                    <a:stretch>
                      <a:fillRect/>
                    </a:stretch>
                  </pic:blipFill>
                  <pic:spPr bwMode="auto">
                    <a:xfrm>
                      <a:off x="0" y="0"/>
                      <a:ext cx="4244340" cy="2724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5"/>
    </w:p>
    <w:p w14:paraId="310C1B61" w14:textId="576DE9B4" w:rsidR="00613D31" w:rsidRPr="00613D31" w:rsidRDefault="00613D31" w:rsidP="00613D31">
      <w:pPr>
        <w:spacing w:line="360" w:lineRule="auto"/>
        <w:jc w:val="center"/>
        <w:rPr>
          <w:rFonts w:ascii="Arial" w:hAnsi="Arial" w:cs="Arial"/>
          <w:b/>
          <w:bCs/>
        </w:rPr>
      </w:pPr>
    </w:p>
    <w:p w14:paraId="1CE87225" w14:textId="77777777" w:rsidR="00613D31" w:rsidRPr="00613D31" w:rsidRDefault="00613D31" w:rsidP="00613D31">
      <w:pPr>
        <w:spacing w:line="360" w:lineRule="auto"/>
        <w:jc w:val="center"/>
        <w:rPr>
          <w:rFonts w:ascii="Arial" w:hAnsi="Arial" w:cs="Arial"/>
          <w:b/>
          <w:bCs/>
        </w:rPr>
      </w:pPr>
    </w:p>
    <w:p w14:paraId="069E23C8" w14:textId="77777777" w:rsidR="00613D31" w:rsidRPr="00613D31" w:rsidRDefault="00613D31" w:rsidP="00613D31">
      <w:pPr>
        <w:spacing w:line="360" w:lineRule="auto"/>
        <w:jc w:val="center"/>
        <w:rPr>
          <w:rFonts w:ascii="Arial" w:hAnsi="Arial" w:cs="Arial"/>
          <w:b/>
          <w:bCs/>
        </w:rPr>
      </w:pPr>
    </w:p>
    <w:p w14:paraId="6059C728" w14:textId="77777777" w:rsidR="00613D31" w:rsidRPr="00613D31" w:rsidRDefault="00613D31" w:rsidP="00613D31">
      <w:pPr>
        <w:spacing w:line="360" w:lineRule="auto"/>
        <w:jc w:val="center"/>
        <w:rPr>
          <w:rFonts w:ascii="Arial" w:hAnsi="Arial" w:cs="Arial"/>
          <w:b/>
          <w:bCs/>
        </w:rPr>
      </w:pPr>
    </w:p>
    <w:p w14:paraId="27572390" w14:textId="77777777" w:rsidR="00613D31" w:rsidRPr="00613D31" w:rsidRDefault="00613D31" w:rsidP="00613D31">
      <w:pPr>
        <w:spacing w:line="360" w:lineRule="auto"/>
        <w:jc w:val="center"/>
        <w:rPr>
          <w:rFonts w:ascii="Arial" w:hAnsi="Arial" w:cs="Arial"/>
          <w:b/>
          <w:bCs/>
        </w:rPr>
      </w:pPr>
    </w:p>
    <w:p w14:paraId="62C658EA" w14:textId="77777777" w:rsidR="00613D31" w:rsidRPr="00613D31" w:rsidRDefault="00613D31" w:rsidP="00613D31">
      <w:pPr>
        <w:spacing w:line="360" w:lineRule="auto"/>
        <w:jc w:val="center"/>
        <w:rPr>
          <w:rFonts w:ascii="Arial" w:hAnsi="Arial" w:cs="Arial"/>
          <w:b/>
          <w:bCs/>
        </w:rPr>
      </w:pPr>
    </w:p>
    <w:p w14:paraId="765B4017" w14:textId="77777777" w:rsidR="00613D31" w:rsidRPr="00613D31" w:rsidRDefault="00613D31" w:rsidP="00613D31">
      <w:pPr>
        <w:spacing w:line="360" w:lineRule="auto"/>
        <w:rPr>
          <w:rFonts w:ascii="Arial" w:hAnsi="Arial" w:cs="Arial"/>
          <w:b/>
          <w:bCs/>
          <w:sz w:val="2"/>
          <w:szCs w:val="2"/>
        </w:rPr>
      </w:pPr>
    </w:p>
    <w:p w14:paraId="6D4EA54C" w14:textId="77777777" w:rsidR="00613D31" w:rsidRDefault="00613D31" w:rsidP="00613D31">
      <w:pPr>
        <w:spacing w:line="360" w:lineRule="auto"/>
        <w:jc w:val="center"/>
        <w:rPr>
          <w:rFonts w:ascii="Arial" w:hAnsi="Arial" w:cs="Arial"/>
          <w:b/>
          <w:bCs/>
          <w:sz w:val="20"/>
          <w:szCs w:val="20"/>
        </w:rPr>
      </w:pPr>
    </w:p>
    <w:p w14:paraId="153370D9" w14:textId="25B6B51B" w:rsidR="007B386E" w:rsidRPr="00613D31" w:rsidRDefault="0020730E" w:rsidP="00613D31">
      <w:pPr>
        <w:spacing w:line="360" w:lineRule="auto"/>
        <w:jc w:val="center"/>
        <w:rPr>
          <w:rFonts w:ascii="Arial" w:hAnsi="Arial" w:cs="Arial"/>
          <w:sz w:val="16"/>
          <w:szCs w:val="16"/>
        </w:rPr>
      </w:pPr>
      <w:r w:rsidRPr="00613D31">
        <w:rPr>
          <w:rFonts w:ascii="Arial" w:hAnsi="Arial" w:cs="Arial"/>
          <w:b/>
          <w:bCs/>
          <w:sz w:val="16"/>
          <w:szCs w:val="16"/>
        </w:rPr>
        <w:t>Figure 2:</w:t>
      </w:r>
      <w:r w:rsidRPr="00613D31">
        <w:rPr>
          <w:rFonts w:ascii="Arial" w:hAnsi="Arial" w:cs="Arial"/>
          <w:sz w:val="16"/>
          <w:szCs w:val="16"/>
        </w:rPr>
        <w:t xml:space="preserve"> </w:t>
      </w:r>
      <w:r w:rsidR="007B386E" w:rsidRPr="00613D31">
        <w:rPr>
          <w:rFonts w:ascii="Arial" w:hAnsi="Arial" w:cs="Arial"/>
          <w:i/>
          <w:iCs/>
          <w:sz w:val="16"/>
          <w:szCs w:val="16"/>
        </w:rPr>
        <w:t>Compared to Reception (21.7%), the prevalence of excess weight is almost twice as high among children in Year 6 (41.5%) in Southwark, indicating that risk increases across the primary school years (Southwark Council, 2025).</w:t>
      </w:r>
    </w:p>
    <w:p w14:paraId="2B55BF77" w14:textId="1F3A5606" w:rsidR="009967D2" w:rsidRPr="00613D31" w:rsidRDefault="00613D31" w:rsidP="00613D31">
      <w:pPr>
        <w:spacing w:line="360" w:lineRule="auto"/>
        <w:rPr>
          <w:rFonts w:ascii="Arial" w:hAnsi="Arial" w:cs="Arial"/>
        </w:rPr>
      </w:pPr>
      <w:r w:rsidRPr="00613D31">
        <w:rPr>
          <w:rFonts w:ascii="Arial" w:hAnsi="Arial" w:cs="Arial"/>
        </w:rPr>
        <w:t>T</w:t>
      </w:r>
      <w:r w:rsidR="009967D2" w:rsidRPr="00613D31">
        <w:rPr>
          <w:rFonts w:ascii="Arial" w:hAnsi="Arial" w:cs="Arial"/>
        </w:rPr>
        <w:t>his indicator can be used to judge prevention effectiveness in Southwark: success should mean lower excess weight over time and narrower inequality gaps. The rise from Reception (21.7%) to Year 6 (41.5%) suggests risk accumulates across primary school, so sustained action is needed. Reported differences between disadvantaged and least disadvantaged wards also indicate that universal provision alone may not reduce inequalities, supporting targeted, place-based programmes and clearer outcome reporting.</w:t>
      </w:r>
    </w:p>
    <w:p w14:paraId="4DC0E912" w14:textId="7C9EC879" w:rsidR="00016C14" w:rsidRPr="00613D31" w:rsidRDefault="00016C14" w:rsidP="00613D31">
      <w:pPr>
        <w:pStyle w:val="Heading1"/>
      </w:pPr>
      <w:bookmarkStart w:id="6" w:name="_Toc227577738"/>
      <w:bookmarkStart w:id="7" w:name="_Toc227738198"/>
      <w:r w:rsidRPr="00613D31">
        <w:t xml:space="preserve">Sustainable Development Goal 4 </w:t>
      </w:r>
      <w:r w:rsidR="009967D2" w:rsidRPr="00613D31">
        <w:t xml:space="preserve">- </w:t>
      </w:r>
      <w:r w:rsidRPr="00613D31">
        <w:t>Quality Education</w:t>
      </w:r>
      <w:bookmarkEnd w:id="6"/>
      <w:bookmarkEnd w:id="7"/>
      <w:r w:rsidRPr="00613D31">
        <w:t xml:space="preserve"> </w:t>
      </w:r>
    </w:p>
    <w:p w14:paraId="07B99496" w14:textId="237A7C74" w:rsidR="00FC4D7E" w:rsidRPr="00613D31" w:rsidRDefault="00FC4D7E" w:rsidP="00613D31">
      <w:pPr>
        <w:spacing w:line="360" w:lineRule="auto"/>
        <w:rPr>
          <w:rFonts w:ascii="Arial" w:hAnsi="Arial" w:cs="Arial"/>
        </w:rPr>
      </w:pPr>
      <w:r w:rsidRPr="00613D31">
        <w:rPr>
          <w:rFonts w:ascii="Arial" w:hAnsi="Arial" w:cs="Arial"/>
        </w:rPr>
        <w:t xml:space="preserve">Sustainable Development Goal 4 aims to ensure inclusive and equitable quality education and promote lifelong learning opportunities for all. It includes access to free primary and secondary education, equal opportunities for technical and higher education, and the development of literacy, numeracy and wider life skills needed for employment and sustainable development (United Nations Development Programme, n.d.; Global Goals, 2024). Education is important because it shapes people’s future opportunities, influences health literacy and improves social and economic participation. It also plays a major role in reducing inequality and supporting long-term </w:t>
      </w:r>
      <w:r w:rsidR="00016C14" w:rsidRPr="00613D31">
        <w:rPr>
          <w:rFonts w:ascii="Arial" w:hAnsi="Arial" w:cs="Arial"/>
        </w:rPr>
        <w:t>well-being</w:t>
      </w:r>
      <w:r w:rsidRPr="00613D31">
        <w:rPr>
          <w:rFonts w:ascii="Arial" w:hAnsi="Arial" w:cs="Arial"/>
        </w:rPr>
        <w:t>.</w:t>
      </w:r>
    </w:p>
    <w:p w14:paraId="7585FD34" w14:textId="7F9372E4" w:rsidR="00FC4D7E" w:rsidRPr="00613D31" w:rsidRDefault="00FC4D7E" w:rsidP="00613D31">
      <w:pPr>
        <w:spacing w:line="360" w:lineRule="auto"/>
        <w:rPr>
          <w:rFonts w:ascii="Arial" w:hAnsi="Arial" w:cs="Arial"/>
        </w:rPr>
      </w:pPr>
      <w:r w:rsidRPr="00613D31">
        <w:rPr>
          <w:rFonts w:ascii="Arial" w:hAnsi="Arial" w:cs="Arial"/>
        </w:rPr>
        <w:t xml:space="preserve">In the UK, SDG 4 is relevant because although education is widely available, not all learners experience the same level of quality or opportunity. Children and young people from disadvantaged backgrounds may face barriers such as low income, limited support at home, digital exclusion, and gaps in attainment. These differences can affect later life chances, employment prospects and overall </w:t>
      </w:r>
      <w:r w:rsidR="00016C14" w:rsidRPr="00613D31">
        <w:rPr>
          <w:rFonts w:ascii="Arial" w:hAnsi="Arial" w:cs="Arial"/>
        </w:rPr>
        <w:t>well-being</w:t>
      </w:r>
      <w:r w:rsidRPr="00613D31">
        <w:rPr>
          <w:rFonts w:ascii="Arial" w:hAnsi="Arial" w:cs="Arial"/>
        </w:rPr>
        <w:t xml:space="preserve">. The UK education </w:t>
      </w:r>
      <w:r w:rsidR="00016C14" w:rsidRPr="00613D31">
        <w:rPr>
          <w:rFonts w:ascii="Arial" w:hAnsi="Arial" w:cs="Arial"/>
        </w:rPr>
        <w:t>system,</w:t>
      </w:r>
      <w:r w:rsidRPr="00613D31">
        <w:rPr>
          <w:rFonts w:ascii="Arial" w:hAnsi="Arial" w:cs="Arial"/>
        </w:rPr>
        <w:t xml:space="preserve"> therefore</w:t>
      </w:r>
      <w:r w:rsidR="00016C14" w:rsidRPr="00613D31">
        <w:rPr>
          <w:rFonts w:ascii="Arial" w:hAnsi="Arial" w:cs="Arial"/>
        </w:rPr>
        <w:t>,</w:t>
      </w:r>
      <w:r w:rsidRPr="00613D31">
        <w:rPr>
          <w:rFonts w:ascii="Arial" w:hAnsi="Arial" w:cs="Arial"/>
        </w:rPr>
        <w:t xml:space="preserve"> shows progress in access, but it still faces challenges in achieving fairness and equal outcomes for all learners.</w:t>
      </w:r>
    </w:p>
    <w:p w14:paraId="08793A0F" w14:textId="7D109CCF" w:rsidR="006A2AFD" w:rsidRPr="00613D31" w:rsidRDefault="00FC4D7E" w:rsidP="00613D31">
      <w:pPr>
        <w:spacing w:line="360" w:lineRule="auto"/>
        <w:rPr>
          <w:rFonts w:ascii="Arial" w:hAnsi="Arial" w:cs="Arial"/>
        </w:rPr>
      </w:pPr>
      <w:r w:rsidRPr="00613D31">
        <w:rPr>
          <w:rFonts w:ascii="Arial" w:hAnsi="Arial" w:cs="Arial"/>
        </w:rPr>
        <w:t xml:space="preserve">A critical analysis of SDG 4 shows that quality education is not just about school attendance. It also depends on teaching standards, funding, inclusion and support for vulnerable learners. In the UK, issues such as educational inequality, attainment gaps and differences in access to resources show that there is still work to do. This means SDG 4 is an important framework for understanding how education contributes to health, </w:t>
      </w:r>
      <w:r w:rsidR="00016C14" w:rsidRPr="00613D31">
        <w:rPr>
          <w:rFonts w:ascii="Arial" w:hAnsi="Arial" w:cs="Arial"/>
        </w:rPr>
        <w:t>well-being,</w:t>
      </w:r>
      <w:r w:rsidRPr="00613D31">
        <w:rPr>
          <w:rFonts w:ascii="Arial" w:hAnsi="Arial" w:cs="Arial"/>
        </w:rPr>
        <w:t xml:space="preserve"> and sustainable development, but it also highlights the need for stronger action to reduce inequality and improve life chances across the UK.</w:t>
      </w:r>
    </w:p>
    <w:p w14:paraId="32A28A16" w14:textId="77777777" w:rsidR="008002C7" w:rsidRPr="00613D31" w:rsidRDefault="008002C7" w:rsidP="00613D31">
      <w:pPr>
        <w:spacing w:line="360" w:lineRule="auto"/>
        <w:rPr>
          <w:rFonts w:ascii="Arial" w:hAnsi="Arial" w:cs="Arial"/>
        </w:rPr>
      </w:pPr>
    </w:p>
    <w:p w14:paraId="75B1854C" w14:textId="1162E71D" w:rsidR="00016C14" w:rsidRPr="00613D31" w:rsidRDefault="00016C14" w:rsidP="00613D31">
      <w:pPr>
        <w:pStyle w:val="Heading1"/>
      </w:pPr>
      <w:bookmarkStart w:id="8" w:name="_Toc227577739"/>
      <w:bookmarkStart w:id="9" w:name="_Toc227738199"/>
      <w:r w:rsidRPr="00613D31">
        <w:t>National well-being initiatives</w:t>
      </w:r>
      <w:bookmarkEnd w:id="8"/>
      <w:bookmarkEnd w:id="9"/>
    </w:p>
    <w:p w14:paraId="5951E902" w14:textId="38913BE0" w:rsidR="005F4134" w:rsidRPr="00613D31" w:rsidRDefault="005F4134" w:rsidP="00613D31">
      <w:pPr>
        <w:spacing w:line="360" w:lineRule="auto"/>
        <w:rPr>
          <w:rFonts w:ascii="Arial" w:hAnsi="Arial" w:cs="Arial"/>
        </w:rPr>
      </w:pPr>
      <w:r w:rsidRPr="00613D31">
        <w:rPr>
          <w:rFonts w:ascii="Arial" w:hAnsi="Arial" w:cs="Arial"/>
        </w:rPr>
        <w:t xml:space="preserve">Two important UK national initiatives are the NHS Long Term Plan and the NHS prevention agenda. The NHS Long Term Plan is a national strategy that sets out priorities for improving care, preventing illness and making health services more effective over time. It is important because it focuses not only on treatment, but also on prevention, early intervention and reducing pressure on NHS services. This makes it relevant to both health and </w:t>
      </w:r>
      <w:r w:rsidR="00016C14" w:rsidRPr="00613D31">
        <w:rPr>
          <w:rFonts w:ascii="Arial" w:hAnsi="Arial" w:cs="Arial"/>
        </w:rPr>
        <w:t>well-being</w:t>
      </w:r>
      <w:r w:rsidRPr="00613D31">
        <w:rPr>
          <w:rFonts w:ascii="Arial" w:hAnsi="Arial" w:cs="Arial"/>
        </w:rPr>
        <w:t>, as well as sustainable development, because healthier populations are more likely to live longer, work productively and use services more efficiently.</w:t>
      </w:r>
    </w:p>
    <w:p w14:paraId="3B364902" w14:textId="2E81D51E" w:rsidR="008B61C6" w:rsidRPr="00613D31" w:rsidRDefault="008B61C6" w:rsidP="00613D31">
      <w:pPr>
        <w:spacing w:line="360" w:lineRule="auto"/>
        <w:rPr>
          <w:rFonts w:ascii="Arial" w:hAnsi="Arial" w:cs="Arial"/>
        </w:rPr>
      </w:pPr>
      <w:r w:rsidRPr="00613D31">
        <w:rPr>
          <w:rFonts w:ascii="Arial" w:hAnsi="Arial" w:cs="Arial"/>
        </w:rPr>
        <w:t xml:space="preserve">Using common evaluation criteria (clarity of aims, measurable outcomes, equity of impact and feasibility of delivery), the NHS Long Term Plan is strong in strategic direction but mixed in practical effectiveness. It sets clear national priorities (e.g., improving mental health services and long-term condition management) and promotes more integrated care across primary, community and hospital settings. These design features support effectiveness because they target high-burden conditions and encourage earlier intervention. However, the plan’s outcomes are difficult to achieve uniformly because delivery is constrained by workforce shortages, variable local capacity and differing baseline </w:t>
      </w:r>
      <w:r w:rsidR="009967D2" w:rsidRPr="00613D31">
        <w:rPr>
          <w:rFonts w:ascii="Arial" w:hAnsi="Arial" w:cs="Arial"/>
        </w:rPr>
        <w:t>needs</w:t>
      </w:r>
      <w:r w:rsidRPr="00613D31">
        <w:rPr>
          <w:rFonts w:ascii="Arial" w:hAnsi="Arial" w:cs="Arial"/>
        </w:rPr>
        <w:t xml:space="preserve">. This creates a risk of “postcode” differences, meaning benefits may be greater in areas with stronger staffing and infrastructure. Overall </w:t>
      </w:r>
      <w:r w:rsidR="009967D2" w:rsidRPr="00613D31">
        <w:rPr>
          <w:rFonts w:ascii="Arial" w:hAnsi="Arial" w:cs="Arial"/>
        </w:rPr>
        <w:t>conclusion</w:t>
      </w:r>
      <w:r w:rsidRPr="00613D31">
        <w:rPr>
          <w:rFonts w:ascii="Arial" w:hAnsi="Arial" w:cs="Arial"/>
        </w:rPr>
        <w:t>: the NHS Long Term Plan is potentially highly effective at improving population health, but its real-world effectiveness is currently moderate and uneven because implementation capacity limits consistent impact.</w:t>
      </w:r>
    </w:p>
    <w:p w14:paraId="448A01F9" w14:textId="710B6093" w:rsidR="008B61C6" w:rsidRPr="00613D31" w:rsidRDefault="008B61C6" w:rsidP="00613D31">
      <w:pPr>
        <w:spacing w:line="360" w:lineRule="auto"/>
        <w:rPr>
          <w:rFonts w:ascii="Arial" w:hAnsi="Arial" w:cs="Arial"/>
        </w:rPr>
      </w:pPr>
      <w:r w:rsidRPr="00613D31">
        <w:rPr>
          <w:rFonts w:ascii="Arial" w:hAnsi="Arial" w:cs="Arial"/>
        </w:rPr>
        <w:t xml:space="preserve">Applying the same criteria (measurability, reach, equity and sustainability), the NHS prevention agenda is a cost-effective approach in principle because it shifts focus from treatment to reducing risk and detecting illness earlier. Prevention is measurable through indicators such as screening uptake, smoking prevalence and obesity trends, and it supports sustainability by reducing avoidable demand on acute services over time. The main limitation is equity: people in deprived communities often face structural barriers (income, housing, time constraints, access to healthy food and safe spaces to exercise), so voluntary lifestyle interventions and standardised screening offers can have lower uptake among those at highest risk. Without targeted design, prevention can unintentionally widen gaps by benefiting already advantaged groups more. Overall </w:t>
      </w:r>
      <w:r w:rsidR="009967D2" w:rsidRPr="00613D31">
        <w:rPr>
          <w:rFonts w:ascii="Arial" w:hAnsi="Arial" w:cs="Arial"/>
        </w:rPr>
        <w:t>reasoning</w:t>
      </w:r>
      <w:r w:rsidRPr="00613D31">
        <w:rPr>
          <w:rFonts w:ascii="Arial" w:hAnsi="Arial" w:cs="Arial"/>
        </w:rPr>
        <w:t>: the prevention agenda is effective as a model for long-term wellbeing and system sustainability, but it is only partially effective at reducing health inequalities unless delivery is explicitly targeted to underserved populations.</w:t>
      </w:r>
    </w:p>
    <w:p w14:paraId="0D2BC96B" w14:textId="1331EEC9" w:rsidR="008B61C6" w:rsidRPr="00613D31" w:rsidRDefault="008B61C6" w:rsidP="00613D31">
      <w:pPr>
        <w:spacing w:line="360" w:lineRule="auto"/>
        <w:rPr>
          <w:rFonts w:ascii="Arial" w:hAnsi="Arial" w:cs="Arial"/>
        </w:rPr>
      </w:pPr>
      <w:r w:rsidRPr="00613D31">
        <w:rPr>
          <w:rFonts w:ascii="Arial" w:hAnsi="Arial" w:cs="Arial"/>
        </w:rPr>
        <w:t>Overall, both initiatives align strongly with SDG 3 because they prioritise prevention, early intervention and more integrated care. However, when judged against delivery feasibility and equity of outcomes, their effectiveness is constrained by workforce capacity, funding pressures and unequal access to preventive support. In other words, the policy intent is robust, but measurable improvements in wellbeing</w:t>
      </w:r>
      <w:r w:rsidR="00216018">
        <w:rPr>
          <w:rFonts w:ascii="Arial" w:hAnsi="Arial" w:cs="Arial"/>
        </w:rPr>
        <w:t xml:space="preserve">, </w:t>
      </w:r>
      <w:r w:rsidRPr="00613D31">
        <w:rPr>
          <w:rFonts w:ascii="Arial" w:hAnsi="Arial" w:cs="Arial"/>
        </w:rPr>
        <w:t>especially for the most deprived communities</w:t>
      </w:r>
      <w:r w:rsidR="00216018">
        <w:rPr>
          <w:rFonts w:ascii="Arial" w:hAnsi="Arial" w:cs="Arial"/>
        </w:rPr>
        <w:t xml:space="preserve">, </w:t>
      </w:r>
      <w:r w:rsidRPr="00613D31">
        <w:rPr>
          <w:rFonts w:ascii="Arial" w:hAnsi="Arial" w:cs="Arial"/>
        </w:rPr>
        <w:t>depend on targeted implementation and consistent local delivery.</w:t>
      </w:r>
    </w:p>
    <w:p w14:paraId="1CA30913" w14:textId="2C34B33C" w:rsidR="00016C14" w:rsidRPr="00613D31" w:rsidRDefault="00016C14" w:rsidP="00613D31">
      <w:pPr>
        <w:numPr>
          <w:ilvl w:val="0"/>
          <w:numId w:val="20"/>
        </w:numPr>
        <w:spacing w:line="360" w:lineRule="auto"/>
        <w:rPr>
          <w:rFonts w:ascii="Arial" w:hAnsi="Arial" w:cs="Arial"/>
        </w:rPr>
      </w:pPr>
      <w:r w:rsidRPr="00613D31">
        <w:rPr>
          <w:rFonts w:ascii="Arial" w:hAnsi="Arial" w:cs="Arial"/>
        </w:rPr>
        <w:t xml:space="preserve">Publish clear, measurable delivery milestones for the NHS Long Term Plan at </w:t>
      </w:r>
      <w:r w:rsidR="008B61C6" w:rsidRPr="00613D31">
        <w:rPr>
          <w:rFonts w:ascii="Arial" w:hAnsi="Arial" w:cs="Arial"/>
        </w:rPr>
        <w:t xml:space="preserve">the </w:t>
      </w:r>
      <w:r w:rsidRPr="00613D31">
        <w:rPr>
          <w:rFonts w:ascii="Arial" w:hAnsi="Arial" w:cs="Arial"/>
        </w:rPr>
        <w:t>regional level (workforce, waiting times, community services) and report progress consistently to reduce postcode variation.</w:t>
      </w:r>
    </w:p>
    <w:p w14:paraId="359FDD5E" w14:textId="77777777" w:rsidR="00016C14" w:rsidRPr="00613D31" w:rsidRDefault="00016C14" w:rsidP="00613D31">
      <w:pPr>
        <w:numPr>
          <w:ilvl w:val="0"/>
          <w:numId w:val="20"/>
        </w:numPr>
        <w:spacing w:line="360" w:lineRule="auto"/>
        <w:rPr>
          <w:rFonts w:ascii="Arial" w:hAnsi="Arial" w:cs="Arial"/>
        </w:rPr>
      </w:pPr>
      <w:r w:rsidRPr="00613D31">
        <w:rPr>
          <w:rFonts w:ascii="Arial" w:hAnsi="Arial" w:cs="Arial"/>
        </w:rPr>
        <w:t>Strengthen the prevention agenda by prioritising high-deprivation areas (targeted screening, community health programmes, food/physical activity access) so prevention reaches those at greatest risk.</w:t>
      </w:r>
    </w:p>
    <w:p w14:paraId="50FC3338" w14:textId="77777777" w:rsidR="00016C14" w:rsidRPr="00613D31" w:rsidRDefault="00016C14" w:rsidP="00613D31">
      <w:pPr>
        <w:numPr>
          <w:ilvl w:val="0"/>
          <w:numId w:val="20"/>
        </w:numPr>
        <w:spacing w:line="360" w:lineRule="auto"/>
        <w:rPr>
          <w:rFonts w:ascii="Arial" w:hAnsi="Arial" w:cs="Arial"/>
        </w:rPr>
      </w:pPr>
      <w:r w:rsidRPr="00613D31">
        <w:rPr>
          <w:rFonts w:ascii="Arial" w:hAnsi="Arial" w:cs="Arial"/>
        </w:rPr>
        <w:t>Improve integration between NHS, local authorities and voluntary sector partners to address wider determinants of health (housing, employment, education) alongside clinical prevention.</w:t>
      </w:r>
    </w:p>
    <w:p w14:paraId="3A98615A" w14:textId="653523F7" w:rsidR="00016C14" w:rsidRPr="00613D31" w:rsidRDefault="00016C14" w:rsidP="00613D31">
      <w:pPr>
        <w:pStyle w:val="Heading1"/>
      </w:pPr>
      <w:bookmarkStart w:id="10" w:name="_Toc227577741"/>
      <w:bookmarkStart w:id="11" w:name="_Toc227738200"/>
      <w:r w:rsidRPr="00613D31">
        <w:t xml:space="preserve">Local </w:t>
      </w:r>
      <w:r w:rsidR="008B61C6" w:rsidRPr="00613D31">
        <w:t>well-being</w:t>
      </w:r>
      <w:r w:rsidRPr="00613D31">
        <w:t xml:space="preserve"> initiatives</w:t>
      </w:r>
      <w:bookmarkEnd w:id="10"/>
      <w:bookmarkEnd w:id="11"/>
      <w:r w:rsidRPr="00613D31">
        <w:t xml:space="preserve"> </w:t>
      </w:r>
    </w:p>
    <w:p w14:paraId="203BF824" w14:textId="4524760E" w:rsidR="0059466F" w:rsidRPr="00613D31" w:rsidRDefault="0059466F" w:rsidP="00613D31">
      <w:pPr>
        <w:spacing w:line="360" w:lineRule="auto"/>
        <w:rPr>
          <w:rFonts w:ascii="Arial" w:hAnsi="Arial" w:cs="Arial"/>
        </w:rPr>
      </w:pPr>
      <w:r w:rsidRPr="00613D31">
        <w:rPr>
          <w:rFonts w:ascii="Arial" w:hAnsi="Arial" w:cs="Arial"/>
        </w:rPr>
        <w:t xml:space="preserve">Two strong local initiatives in Southwark are the Southwark Health and </w:t>
      </w:r>
      <w:r w:rsidR="00016C14" w:rsidRPr="00613D31">
        <w:rPr>
          <w:rFonts w:ascii="Arial" w:hAnsi="Arial" w:cs="Arial"/>
        </w:rPr>
        <w:t>Well-being</w:t>
      </w:r>
      <w:r w:rsidRPr="00613D31">
        <w:rPr>
          <w:rFonts w:ascii="Arial" w:hAnsi="Arial" w:cs="Arial"/>
        </w:rPr>
        <w:t xml:space="preserve"> Strategy and the Southwark Health and </w:t>
      </w:r>
      <w:r w:rsidR="00016C14" w:rsidRPr="00613D31">
        <w:rPr>
          <w:rFonts w:ascii="Arial" w:hAnsi="Arial" w:cs="Arial"/>
        </w:rPr>
        <w:t>Well-being</w:t>
      </w:r>
      <w:r w:rsidRPr="00613D31">
        <w:rPr>
          <w:rFonts w:ascii="Arial" w:hAnsi="Arial" w:cs="Arial"/>
        </w:rPr>
        <w:t xml:space="preserve"> Board. The Southwark Health and </w:t>
      </w:r>
      <w:r w:rsidR="00016C14" w:rsidRPr="00613D31">
        <w:rPr>
          <w:rFonts w:ascii="Arial" w:hAnsi="Arial" w:cs="Arial"/>
        </w:rPr>
        <w:t>Well-being</w:t>
      </w:r>
      <w:r w:rsidRPr="00613D31">
        <w:rPr>
          <w:rFonts w:ascii="Arial" w:hAnsi="Arial" w:cs="Arial"/>
        </w:rPr>
        <w:t xml:space="preserve"> Strategy is designed to improve health outcomes across the borough by focusing on prevention, community support and reducing inequalities between different neighbourhoods. It is important because it responds to local needs rather than relying only on national policy. This makes it relevant to health, </w:t>
      </w:r>
      <w:r w:rsidR="00016C14" w:rsidRPr="00613D31">
        <w:rPr>
          <w:rFonts w:ascii="Arial" w:hAnsi="Arial" w:cs="Arial"/>
        </w:rPr>
        <w:t>well-being</w:t>
      </w:r>
      <w:r w:rsidRPr="00613D31">
        <w:rPr>
          <w:rFonts w:ascii="Arial" w:hAnsi="Arial" w:cs="Arial"/>
        </w:rPr>
        <w:t xml:space="preserve"> and sustainable development, as it supports healthier communities and encourages long-term improvement in quality of life.</w:t>
      </w:r>
    </w:p>
    <w:p w14:paraId="308217D4" w14:textId="72C84997" w:rsidR="008B61C6" w:rsidRPr="00613D31" w:rsidRDefault="008B61C6" w:rsidP="00613D31">
      <w:pPr>
        <w:spacing w:line="360" w:lineRule="auto"/>
        <w:rPr>
          <w:rFonts w:ascii="Arial" w:hAnsi="Arial" w:cs="Arial"/>
        </w:rPr>
      </w:pPr>
      <w:r w:rsidRPr="00613D31">
        <w:rPr>
          <w:rFonts w:ascii="Arial" w:hAnsi="Arial" w:cs="Arial"/>
        </w:rPr>
        <w:t xml:space="preserve">Using evaluation criteria of local fit, measurability, equity of reach and deliverability, the Southwark Health and Well-being Strategy is well </w:t>
      </w:r>
      <w:r w:rsidR="00ED3D47" w:rsidRPr="00613D31">
        <w:rPr>
          <w:rFonts w:ascii="Arial" w:hAnsi="Arial" w:cs="Arial"/>
        </w:rPr>
        <w:t>designed,</w:t>
      </w:r>
      <w:r w:rsidRPr="00613D31">
        <w:rPr>
          <w:rFonts w:ascii="Arial" w:hAnsi="Arial" w:cs="Arial"/>
        </w:rPr>
        <w:t xml:space="preserve"> but its effectiveness depends on implementation. A key strength is local fit: it targets determinants that are particularly relevant in Southwark (e.g., mental health, housing pressures and deprivation), which increases the likelihood of meaningful impact compared with generic national programmes. Its effectiveness would be stronger where objectives are translated into measurable targets (such as service access, uptake of preventive programmes and neighbourhood-level outcomes) with transparent reporting. Constraints include limited local budgets, rising demand and the fact that some drivers of poor health (poverty and insecure work) sit beyond borough-level control. Overall </w:t>
      </w:r>
      <w:r w:rsidR="009967D2" w:rsidRPr="00613D31">
        <w:rPr>
          <w:rFonts w:ascii="Arial" w:hAnsi="Arial" w:cs="Arial"/>
        </w:rPr>
        <w:t>decision</w:t>
      </w:r>
      <w:r w:rsidRPr="00613D31">
        <w:rPr>
          <w:rFonts w:ascii="Arial" w:hAnsi="Arial" w:cs="Arial"/>
        </w:rPr>
        <w:t>: the strategy is likely effective at setting priorities and coordinating prevention, but its direct impact on inequalities is moderate unless it is resourced adequately and measured through clear, publicly reported outcomes in the most deprived areas.</w:t>
      </w:r>
    </w:p>
    <w:p w14:paraId="6197449E" w14:textId="406E940D" w:rsidR="008B61C6" w:rsidRPr="00613D31" w:rsidRDefault="008B61C6" w:rsidP="00613D31">
      <w:pPr>
        <w:spacing w:line="360" w:lineRule="auto"/>
        <w:rPr>
          <w:rFonts w:ascii="Arial" w:hAnsi="Arial" w:cs="Arial"/>
        </w:rPr>
      </w:pPr>
      <w:r w:rsidRPr="00613D31">
        <w:rPr>
          <w:rFonts w:ascii="Arial" w:hAnsi="Arial" w:cs="Arial"/>
        </w:rPr>
        <w:t xml:space="preserve">Against </w:t>
      </w:r>
      <w:r w:rsidR="009967D2" w:rsidRPr="00613D31">
        <w:rPr>
          <w:rFonts w:ascii="Arial" w:hAnsi="Arial" w:cs="Arial"/>
        </w:rPr>
        <w:t xml:space="preserve">the </w:t>
      </w:r>
      <w:r w:rsidRPr="00613D31">
        <w:rPr>
          <w:rFonts w:ascii="Arial" w:hAnsi="Arial" w:cs="Arial"/>
        </w:rPr>
        <w:t xml:space="preserve">criteria of governance effectiveness, accountability, stakeholder voice and ability to influence delivery, the Southwark Health and Well-being Board is a valuable mechanism but can be difficult to evaluate without visible outcome tracking. Its main strength is governance: by convening the council, NHS and community partners, it supports joint planning, reduces duplication and can align resources around shared priorities. This can improve effectiveness where decisions translate into coordinated commissioning and service change. Limitations include variable influence over partners’ budgets and priorities, and the risk that community participation becomes consultative rather than decision-shaping. Overall </w:t>
      </w:r>
      <w:r w:rsidR="009967D2" w:rsidRPr="00613D31">
        <w:rPr>
          <w:rFonts w:ascii="Arial" w:hAnsi="Arial" w:cs="Arial"/>
        </w:rPr>
        <w:t>conclusion</w:t>
      </w:r>
      <w:r w:rsidRPr="00613D31">
        <w:rPr>
          <w:rFonts w:ascii="Arial" w:hAnsi="Arial" w:cs="Arial"/>
        </w:rPr>
        <w:t>: the Board is effective at enabling joined-up planning, but its contribution to improved wellbeing is best described as indirect and depends on strong accountability arrangements and demonstrable follow-through on agreed actions.</w:t>
      </w:r>
    </w:p>
    <w:p w14:paraId="4469592F" w14:textId="17DFC19C" w:rsidR="008B61C6" w:rsidRPr="00613D31" w:rsidRDefault="008B61C6" w:rsidP="00613D31">
      <w:pPr>
        <w:spacing w:line="360" w:lineRule="auto"/>
        <w:rPr>
          <w:rFonts w:ascii="Arial" w:hAnsi="Arial" w:cs="Arial"/>
        </w:rPr>
      </w:pPr>
      <w:r w:rsidRPr="00613D31">
        <w:rPr>
          <w:rFonts w:ascii="Arial" w:hAnsi="Arial" w:cs="Arial"/>
        </w:rPr>
        <w:t xml:space="preserve">Overall, both local initiatives support SDG 3 through prevention and partnership working, but their effectiveness differs </w:t>
      </w:r>
      <w:r w:rsidR="009967D2" w:rsidRPr="00613D31">
        <w:rPr>
          <w:rFonts w:ascii="Arial" w:hAnsi="Arial" w:cs="Arial"/>
        </w:rPr>
        <w:t>depending on</w:t>
      </w:r>
      <w:r w:rsidRPr="00613D31">
        <w:rPr>
          <w:rFonts w:ascii="Arial" w:hAnsi="Arial" w:cs="Arial"/>
        </w:rPr>
        <w:t xml:space="preserve"> what is being judged. The Strategy scores well for relevance and priority-setting, while the Board is strongest as a coordination and governance tool. Their shared weakness is that </w:t>
      </w:r>
      <w:r w:rsidR="009967D2" w:rsidRPr="00613D31">
        <w:rPr>
          <w:rFonts w:ascii="Arial" w:hAnsi="Arial" w:cs="Arial"/>
        </w:rPr>
        <w:t xml:space="preserve">the </w:t>
      </w:r>
      <w:r w:rsidRPr="00613D31">
        <w:rPr>
          <w:rFonts w:ascii="Arial" w:hAnsi="Arial" w:cs="Arial"/>
        </w:rPr>
        <w:t>impact on inequalities can be hard to demonstrate without measurable targets, transparent reporting and sufficient resources to reach the most deprived neighbourhoods.</w:t>
      </w:r>
    </w:p>
    <w:p w14:paraId="7FA4F1BE" w14:textId="77777777" w:rsidR="00016C14" w:rsidRPr="00613D31" w:rsidRDefault="00016C14" w:rsidP="00613D31">
      <w:pPr>
        <w:numPr>
          <w:ilvl w:val="0"/>
          <w:numId w:val="19"/>
        </w:numPr>
        <w:spacing w:line="360" w:lineRule="auto"/>
        <w:rPr>
          <w:rFonts w:ascii="Arial" w:hAnsi="Arial" w:cs="Arial"/>
        </w:rPr>
      </w:pPr>
      <w:r w:rsidRPr="00613D31">
        <w:rPr>
          <w:rFonts w:ascii="Arial" w:hAnsi="Arial" w:cs="Arial"/>
        </w:rPr>
        <w:t>Use the Southwark Health and Wellbeing Strategy to set neighbourhood-level targets (e.g., mental health access, physical activity, healthy weight) and publish outcomes so residents can see measurable progress.</w:t>
      </w:r>
    </w:p>
    <w:p w14:paraId="75DB11E9" w14:textId="77777777" w:rsidR="00016C14" w:rsidRPr="00613D31" w:rsidRDefault="00016C14" w:rsidP="00613D31">
      <w:pPr>
        <w:numPr>
          <w:ilvl w:val="0"/>
          <w:numId w:val="19"/>
        </w:numPr>
        <w:spacing w:line="360" w:lineRule="auto"/>
        <w:rPr>
          <w:rFonts w:ascii="Arial" w:hAnsi="Arial" w:cs="Arial"/>
        </w:rPr>
      </w:pPr>
      <w:r w:rsidRPr="00613D31">
        <w:rPr>
          <w:rFonts w:ascii="Arial" w:hAnsi="Arial" w:cs="Arial"/>
        </w:rPr>
        <w:t>Strengthen community co-production through the Health and Wellbeing Board (regular listening sessions, voluntary sector representation, feedback loops) so priorities reflect lived experience in the most deprived wards.</w:t>
      </w:r>
    </w:p>
    <w:p w14:paraId="704B1CA4" w14:textId="77777777" w:rsidR="00016C14" w:rsidRPr="00613D31" w:rsidRDefault="00016C14" w:rsidP="00613D31">
      <w:pPr>
        <w:numPr>
          <w:ilvl w:val="0"/>
          <w:numId w:val="19"/>
        </w:numPr>
        <w:spacing w:line="360" w:lineRule="auto"/>
        <w:rPr>
          <w:rFonts w:ascii="Arial" w:hAnsi="Arial" w:cs="Arial"/>
        </w:rPr>
      </w:pPr>
      <w:r w:rsidRPr="00613D31">
        <w:rPr>
          <w:rFonts w:ascii="Arial" w:hAnsi="Arial" w:cs="Arial"/>
        </w:rPr>
        <w:t>Align local prevention with practical access support (outreach, translation, digital inclusion, transport) to improve uptake of services among groups facing barriers.</w:t>
      </w:r>
    </w:p>
    <w:p w14:paraId="360DAF37" w14:textId="1194CEF9" w:rsidR="001423F6" w:rsidRDefault="001423F6" w:rsidP="001423F6">
      <w:pPr>
        <w:pStyle w:val="Heading1"/>
      </w:pPr>
      <w:bookmarkStart w:id="12" w:name="_Toc227738201"/>
      <w:r>
        <w:t>Recommendations</w:t>
      </w:r>
      <w:bookmarkEnd w:id="12"/>
    </w:p>
    <w:p w14:paraId="1DBC82BB" w14:textId="0696C2ED" w:rsidR="00C34979" w:rsidRPr="00613D31" w:rsidRDefault="00016C14" w:rsidP="00613D31">
      <w:pPr>
        <w:spacing w:line="360" w:lineRule="auto"/>
        <w:rPr>
          <w:rFonts w:ascii="Arial" w:hAnsi="Arial" w:cs="Arial"/>
        </w:rPr>
      </w:pPr>
      <w:r w:rsidRPr="00613D31">
        <w:rPr>
          <w:rFonts w:ascii="Arial" w:hAnsi="Arial" w:cs="Arial"/>
        </w:rPr>
        <w:t>Drawing on the discussion of SDG 3</w:t>
      </w:r>
      <w:r w:rsidR="001423F6">
        <w:rPr>
          <w:rFonts w:ascii="Arial" w:hAnsi="Arial" w:cs="Arial"/>
        </w:rPr>
        <w:t xml:space="preserve"> and SDG 4, as well as</w:t>
      </w:r>
      <w:r w:rsidRPr="00613D31">
        <w:rPr>
          <w:rFonts w:ascii="Arial" w:hAnsi="Arial" w:cs="Arial"/>
        </w:rPr>
        <w:t xml:space="preserve"> national and local initiatives, the following cross-cutting recommendations summarise priority actions to strengthen health, </w:t>
      </w:r>
      <w:r w:rsidR="008B61C6" w:rsidRPr="00613D31">
        <w:rPr>
          <w:rFonts w:ascii="Arial" w:hAnsi="Arial" w:cs="Arial"/>
        </w:rPr>
        <w:t>well-being,</w:t>
      </w:r>
      <w:r w:rsidRPr="00613D31">
        <w:rPr>
          <w:rFonts w:ascii="Arial" w:hAnsi="Arial" w:cs="Arial"/>
        </w:rPr>
        <w:t xml:space="preserve"> and sustainable development.</w:t>
      </w:r>
    </w:p>
    <w:p w14:paraId="7C90D10F" w14:textId="77777777" w:rsidR="00016C14" w:rsidRPr="00613D31" w:rsidRDefault="00016C14" w:rsidP="00613D31">
      <w:pPr>
        <w:pStyle w:val="ListParagraph"/>
        <w:numPr>
          <w:ilvl w:val="0"/>
          <w:numId w:val="18"/>
        </w:numPr>
        <w:spacing w:line="360" w:lineRule="auto"/>
        <w:rPr>
          <w:rFonts w:ascii="Arial" w:hAnsi="Arial" w:cs="Arial"/>
        </w:rPr>
      </w:pPr>
      <w:r w:rsidRPr="00613D31">
        <w:rPr>
          <w:rFonts w:ascii="Arial" w:hAnsi="Arial" w:cs="Arial"/>
          <w:b/>
          <w:bCs/>
        </w:rPr>
        <w:t>Target prevention funding to deprived communities.</w:t>
      </w:r>
      <w:r w:rsidRPr="00613D31">
        <w:rPr>
          <w:rFonts w:ascii="Arial" w:hAnsi="Arial" w:cs="Arial"/>
        </w:rPr>
        <w:t xml:space="preserve"> Both the NHS prevention agenda and Southwark initiatives should allocate ring-fenced budgets specifically for high-deprivation areas. This would improve access to healthy food, physical activity programmes and early intervention for groups currently underserved, making national and local prevention efforts more equitable and effective.</w:t>
      </w:r>
    </w:p>
    <w:p w14:paraId="2D563FAB" w14:textId="49EC7700" w:rsidR="00016C14" w:rsidRPr="00613D31" w:rsidRDefault="00016C14" w:rsidP="00613D31">
      <w:pPr>
        <w:pStyle w:val="ListParagraph"/>
        <w:numPr>
          <w:ilvl w:val="0"/>
          <w:numId w:val="18"/>
        </w:numPr>
        <w:spacing w:line="360" w:lineRule="auto"/>
        <w:rPr>
          <w:rFonts w:ascii="Arial" w:hAnsi="Arial" w:cs="Arial"/>
        </w:rPr>
      </w:pPr>
      <w:r w:rsidRPr="00613D31">
        <w:rPr>
          <w:rFonts w:ascii="Arial" w:hAnsi="Arial" w:cs="Arial"/>
          <w:b/>
          <w:bCs/>
        </w:rPr>
        <w:t>Embed health literacy in education curricula.</w:t>
      </w:r>
      <w:r w:rsidRPr="00613D31">
        <w:rPr>
          <w:rFonts w:ascii="Arial" w:hAnsi="Arial" w:cs="Arial"/>
        </w:rPr>
        <w:t xml:space="preserve"> To support SDG 4 alongside SDG 3, UK schools and further education colleges should integrate mandatory health and well-being education focusing on nutrition, mental health and service navigation. This would build long-term capacity for individuals to manage their health, complement NHS prevention efforts and reduce future health inequalities.</w:t>
      </w:r>
    </w:p>
    <w:p w14:paraId="41923175" w14:textId="02521D14" w:rsidR="00016C14" w:rsidRPr="00A06F38" w:rsidRDefault="00016C14" w:rsidP="00A06F38">
      <w:pPr>
        <w:pStyle w:val="Heading1"/>
      </w:pPr>
      <w:bookmarkStart w:id="13" w:name="_Toc227577744"/>
      <w:bookmarkStart w:id="14" w:name="_Toc227738202"/>
      <w:r w:rsidRPr="00A06F38">
        <w:t>Conclusion</w:t>
      </w:r>
      <w:bookmarkEnd w:id="13"/>
      <w:bookmarkEnd w:id="14"/>
      <w:r w:rsidRPr="00A06F38">
        <w:t xml:space="preserve"> </w:t>
      </w:r>
    </w:p>
    <w:p w14:paraId="024A3523" w14:textId="65100098" w:rsidR="00D53E80" w:rsidRPr="00613D31" w:rsidRDefault="00D53E80" w:rsidP="00613D31">
      <w:pPr>
        <w:spacing w:line="360" w:lineRule="auto"/>
        <w:rPr>
          <w:rFonts w:ascii="Arial" w:hAnsi="Arial" w:cs="Arial"/>
        </w:rPr>
      </w:pPr>
      <w:r w:rsidRPr="00613D31">
        <w:rPr>
          <w:rFonts w:ascii="Arial" w:hAnsi="Arial" w:cs="Arial"/>
        </w:rPr>
        <w:t xml:space="preserve">This report has examined Sustainable Development Goal 3 and SDG 4, showing their importance for health, </w:t>
      </w:r>
      <w:r w:rsidR="00016C14" w:rsidRPr="00613D31">
        <w:rPr>
          <w:rFonts w:ascii="Arial" w:hAnsi="Arial" w:cs="Arial"/>
        </w:rPr>
        <w:t>well-being</w:t>
      </w:r>
      <w:r w:rsidRPr="00613D31">
        <w:rPr>
          <w:rFonts w:ascii="Arial" w:hAnsi="Arial" w:cs="Arial"/>
        </w:rPr>
        <w:t xml:space="preserve"> and sustainable development. SDG 3 highlights the need for universal health coverage and prevention, while SDG 4 supports long-term </w:t>
      </w:r>
      <w:r w:rsidR="00016C14" w:rsidRPr="00613D31">
        <w:rPr>
          <w:rFonts w:ascii="Arial" w:hAnsi="Arial" w:cs="Arial"/>
        </w:rPr>
        <w:t>well-being</w:t>
      </w:r>
      <w:r w:rsidRPr="00613D31">
        <w:rPr>
          <w:rFonts w:ascii="Arial" w:hAnsi="Arial" w:cs="Arial"/>
        </w:rPr>
        <w:t xml:space="preserve"> through education and opportunity. National initiatives such as the NHS Long Term Plan and prevention agenda, alongside Southwark’s local Health and </w:t>
      </w:r>
      <w:r w:rsidR="00016C14" w:rsidRPr="00613D31">
        <w:rPr>
          <w:rFonts w:ascii="Arial" w:hAnsi="Arial" w:cs="Arial"/>
        </w:rPr>
        <w:t>Well-being</w:t>
      </w:r>
      <w:r w:rsidRPr="00613D31">
        <w:rPr>
          <w:rFonts w:ascii="Arial" w:hAnsi="Arial" w:cs="Arial"/>
        </w:rPr>
        <w:t xml:space="preserve"> Strategy and Board, demonstrate progress but also reveal persistent inequalities in access and outcomes. Effective health improvement requires coordinated action across health, education, housing and community services to address both immediate needs and structural barriers. The recommendations provide a practical path forward for more equitable and sustainable </w:t>
      </w:r>
      <w:r w:rsidR="00016C14" w:rsidRPr="00613D31">
        <w:rPr>
          <w:rFonts w:ascii="Arial" w:hAnsi="Arial" w:cs="Arial"/>
        </w:rPr>
        <w:t>well-being</w:t>
      </w:r>
      <w:r w:rsidRPr="00613D31">
        <w:rPr>
          <w:rFonts w:ascii="Arial" w:hAnsi="Arial" w:cs="Arial"/>
        </w:rPr>
        <w:t xml:space="preserve"> gains.</w:t>
      </w:r>
    </w:p>
    <w:p w14:paraId="344B8572" w14:textId="77777777" w:rsidR="00A06F38" w:rsidRDefault="00A06F38" w:rsidP="00A06F38">
      <w:pPr>
        <w:pStyle w:val="Heading1"/>
        <w:rPr>
          <w:rStyle w:val="Heading1Char"/>
          <w:rFonts w:ascii="Arial" w:hAnsi="Arial" w:cs="Arial"/>
          <w:sz w:val="24"/>
          <w:szCs w:val="24"/>
        </w:rPr>
      </w:pPr>
      <w:bookmarkStart w:id="15" w:name="_Toc227577745"/>
    </w:p>
    <w:p w14:paraId="27E77CE4" w14:textId="3BCB00D4" w:rsidR="00016C14" w:rsidRPr="00A06F38" w:rsidRDefault="00016C14" w:rsidP="00A06F38">
      <w:pPr>
        <w:pStyle w:val="Heading1"/>
      </w:pPr>
      <w:bookmarkStart w:id="16" w:name="_Toc227738203"/>
      <w:r w:rsidRPr="00A06F38">
        <w:t>References</w:t>
      </w:r>
      <w:bookmarkEnd w:id="15"/>
      <w:bookmarkEnd w:id="16"/>
      <w:r w:rsidRPr="00A06F38">
        <w:t xml:space="preserve"> </w:t>
      </w:r>
    </w:p>
    <w:p w14:paraId="5D86671C" w14:textId="77777777" w:rsidR="00832C42" w:rsidRPr="00613D31" w:rsidRDefault="00832C42" w:rsidP="00613D31">
      <w:pPr>
        <w:spacing w:line="360" w:lineRule="auto"/>
        <w:rPr>
          <w:rFonts w:ascii="Arial" w:hAnsi="Arial" w:cs="Arial"/>
          <w:i/>
          <w:iCs/>
        </w:rPr>
      </w:pPr>
      <w:r w:rsidRPr="00613D31">
        <w:rPr>
          <w:rFonts w:ascii="Arial" w:hAnsi="Arial" w:cs="Arial"/>
          <w:i/>
          <w:iCs/>
        </w:rPr>
        <w:t>Global Goals (2024) Goal 4: Quality education. Available at: https://globalgoals.org/goals/4-quality-education/ (Accessed: 16 April 2026).</w:t>
      </w:r>
    </w:p>
    <w:p w14:paraId="082E949C" w14:textId="77777777" w:rsidR="00832C42" w:rsidRPr="00613D31" w:rsidRDefault="00832C42" w:rsidP="00613D31">
      <w:pPr>
        <w:spacing w:line="360" w:lineRule="auto"/>
        <w:rPr>
          <w:rFonts w:ascii="Arial" w:hAnsi="Arial" w:cs="Arial"/>
          <w:i/>
          <w:iCs/>
        </w:rPr>
      </w:pPr>
      <w:r w:rsidRPr="00613D31">
        <w:rPr>
          <w:rFonts w:ascii="Arial" w:hAnsi="Arial" w:cs="Arial"/>
          <w:i/>
          <w:iCs/>
        </w:rPr>
        <w:t>NHS England (n.d.) About the prevention programme. Available at: https://www.england.nhs.uk/ourwork/prevention/about-prevention-programme/ (Accessed: 16 April 2026).</w:t>
      </w:r>
    </w:p>
    <w:p w14:paraId="7E07ECAD" w14:textId="77777777" w:rsidR="00832C42" w:rsidRPr="00613D31" w:rsidRDefault="00832C42" w:rsidP="00613D31">
      <w:pPr>
        <w:spacing w:line="360" w:lineRule="auto"/>
        <w:rPr>
          <w:rFonts w:ascii="Arial" w:hAnsi="Arial" w:cs="Arial"/>
          <w:i/>
          <w:iCs/>
        </w:rPr>
      </w:pPr>
      <w:r w:rsidRPr="00613D31">
        <w:rPr>
          <w:rFonts w:ascii="Arial" w:hAnsi="Arial" w:cs="Arial"/>
          <w:i/>
          <w:iCs/>
        </w:rPr>
        <w:t>NHS England (n.d.) The NHS Long Term Plan. Available at: https://www.longtermplan.nhs.uk/ (Accessed: 16 April 2026).</w:t>
      </w:r>
    </w:p>
    <w:p w14:paraId="110F980B" w14:textId="77777777" w:rsidR="00832C42" w:rsidRPr="00613D31" w:rsidRDefault="00832C42" w:rsidP="00613D31">
      <w:pPr>
        <w:spacing w:line="360" w:lineRule="auto"/>
        <w:rPr>
          <w:rFonts w:ascii="Arial" w:hAnsi="Arial" w:cs="Arial"/>
          <w:i/>
          <w:iCs/>
        </w:rPr>
      </w:pPr>
      <w:r w:rsidRPr="00613D31">
        <w:rPr>
          <w:rFonts w:ascii="Arial" w:hAnsi="Arial" w:cs="Arial"/>
          <w:i/>
          <w:iCs/>
        </w:rPr>
        <w:t>Southwark Council (2022) Health and Well-being Strategy 2022-2027. Available at: https://www.southwark.gov.uk/health-and-well-being/health-and-well-being-strategy (Accessed: 16 April 2026).</w:t>
      </w:r>
    </w:p>
    <w:p w14:paraId="792D7406" w14:textId="77777777" w:rsidR="00882257" w:rsidRPr="00613D31" w:rsidRDefault="00882257" w:rsidP="00613D31">
      <w:pPr>
        <w:spacing w:line="360" w:lineRule="auto"/>
        <w:rPr>
          <w:rFonts w:ascii="Arial" w:hAnsi="Arial" w:cs="Arial"/>
        </w:rPr>
      </w:pPr>
      <w:r w:rsidRPr="00613D31">
        <w:rPr>
          <w:rFonts w:ascii="Arial" w:hAnsi="Arial" w:cs="Arial"/>
          <w:i/>
          <w:iCs/>
        </w:rPr>
        <w:t>Southwark Council (2025) Childhood Obesity: JSNA factsheet. Southwark’s Joint Strategic Needs Assessment. Southwark Public Health Division, May. Available at: https://www.southwark.gov.uk/sites/default/files/2025-08/Childhood-Obesity-JSNA-Factsheet.pdf (Accessed: 20 April 2026).</w:t>
      </w:r>
    </w:p>
    <w:p w14:paraId="5EDA3B34" w14:textId="77777777" w:rsidR="0049695F" w:rsidRPr="00613D31" w:rsidRDefault="0049695F" w:rsidP="00613D31">
      <w:pPr>
        <w:spacing w:line="360" w:lineRule="auto"/>
        <w:rPr>
          <w:rFonts w:ascii="Arial" w:hAnsi="Arial" w:cs="Arial"/>
        </w:rPr>
      </w:pPr>
      <w:r w:rsidRPr="00613D31">
        <w:rPr>
          <w:rFonts w:ascii="Arial" w:hAnsi="Arial" w:cs="Arial"/>
          <w:i/>
          <w:iCs/>
        </w:rPr>
        <w:t>Southwark Health and Well-being Board (2023) Joint Strategic Needs Assessment 2023. Available at: https://www.southwark.gov.uk/health-and-well-being/joint-strategic-needs-assessment (Accessed: 16 April 2026).</w:t>
      </w:r>
    </w:p>
    <w:p w14:paraId="6431FBE6" w14:textId="77777777" w:rsidR="00832C42" w:rsidRPr="00613D31" w:rsidRDefault="00832C42" w:rsidP="00613D31">
      <w:pPr>
        <w:spacing w:line="360" w:lineRule="auto"/>
        <w:rPr>
          <w:rFonts w:ascii="Arial" w:hAnsi="Arial" w:cs="Arial"/>
          <w:i/>
          <w:iCs/>
        </w:rPr>
      </w:pPr>
      <w:r w:rsidRPr="00613D31">
        <w:rPr>
          <w:rFonts w:ascii="Arial" w:hAnsi="Arial" w:cs="Arial"/>
          <w:i/>
          <w:iCs/>
        </w:rPr>
        <w:t>United Nations Department of Economic and Social Affairs (n.d.) Goal 3 | Department of Economic and Social Affairs. Available at: https://sdgs.un.org/goals/goal3 (Accessed: 16 April 2026).</w:t>
      </w:r>
    </w:p>
    <w:p w14:paraId="6C9992D3" w14:textId="77777777" w:rsidR="00832C42" w:rsidRPr="00613D31" w:rsidRDefault="00832C42" w:rsidP="00613D31">
      <w:pPr>
        <w:spacing w:line="360" w:lineRule="auto"/>
        <w:rPr>
          <w:rFonts w:ascii="Arial" w:hAnsi="Arial" w:cs="Arial"/>
          <w:i/>
          <w:iCs/>
        </w:rPr>
      </w:pPr>
      <w:r w:rsidRPr="00613D31">
        <w:rPr>
          <w:rFonts w:ascii="Arial" w:hAnsi="Arial" w:cs="Arial"/>
          <w:i/>
          <w:iCs/>
        </w:rPr>
        <w:t>United Nations Development Programme (n.d.) Goal 3: Good health and well-being. Available at: https://www.undp.org/sustainable-development-goals/good-health (Accessed: 16 April 2026).</w:t>
      </w:r>
    </w:p>
    <w:p w14:paraId="5AA2948C" w14:textId="77777777" w:rsidR="00832C42" w:rsidRPr="00613D31" w:rsidRDefault="00832C42" w:rsidP="00613D31">
      <w:pPr>
        <w:spacing w:line="360" w:lineRule="auto"/>
        <w:rPr>
          <w:rFonts w:ascii="Arial" w:hAnsi="Arial" w:cs="Arial"/>
          <w:i/>
          <w:iCs/>
        </w:rPr>
      </w:pPr>
      <w:r w:rsidRPr="00613D31">
        <w:rPr>
          <w:rFonts w:ascii="Arial" w:hAnsi="Arial" w:cs="Arial"/>
          <w:i/>
          <w:iCs/>
        </w:rPr>
        <w:t>United Nations Development Programme (n.d.) Goal 4: Quality education. Available at: https://www.undp.org/sustainable-development-goals/quality-education (Accessed: 16 April 2026).</w:t>
      </w:r>
    </w:p>
    <w:p w14:paraId="2A29AE48" w14:textId="77777777" w:rsidR="00832C42" w:rsidRPr="00613D31" w:rsidRDefault="00832C42" w:rsidP="00613D31">
      <w:pPr>
        <w:spacing w:line="360" w:lineRule="auto"/>
        <w:rPr>
          <w:rFonts w:ascii="Arial" w:hAnsi="Arial" w:cs="Arial"/>
          <w:i/>
          <w:iCs/>
        </w:rPr>
      </w:pPr>
      <w:r w:rsidRPr="00613D31">
        <w:rPr>
          <w:rFonts w:ascii="Arial" w:hAnsi="Arial" w:cs="Arial"/>
          <w:i/>
          <w:iCs/>
        </w:rPr>
        <w:t>World Health Organisation (n.d.) Targets of Sustainable Development Goal 3. Available at: https://www.who.int/europe/about-us/our-work/sustainable-development-goals/targets-of-sustainable-development-goal-3 (Accessed: 16 April 2026).</w:t>
      </w:r>
    </w:p>
    <w:p w14:paraId="44CAC1B8" w14:textId="77777777" w:rsidR="0020730E" w:rsidRPr="00613D31" w:rsidRDefault="0020730E" w:rsidP="00613D31">
      <w:pPr>
        <w:spacing w:line="360" w:lineRule="auto"/>
        <w:rPr>
          <w:rFonts w:ascii="Arial" w:hAnsi="Arial" w:cs="Arial"/>
          <w:i/>
          <w:iCs/>
        </w:rPr>
      </w:pPr>
    </w:p>
    <w:sectPr w:rsidR="0020730E" w:rsidRPr="00613D3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F37BC" w14:textId="77777777" w:rsidR="00E93982" w:rsidRDefault="00E93982" w:rsidP="00882257">
      <w:pPr>
        <w:spacing w:after="0" w:line="240" w:lineRule="auto"/>
      </w:pPr>
      <w:r>
        <w:separator/>
      </w:r>
    </w:p>
  </w:endnote>
  <w:endnote w:type="continuationSeparator" w:id="0">
    <w:p w14:paraId="610F853D" w14:textId="77777777" w:rsidR="00E93982" w:rsidRDefault="00E93982" w:rsidP="00882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3596829"/>
      <w:docPartObj>
        <w:docPartGallery w:val="Page Numbers (Bottom of Page)"/>
        <w:docPartUnique/>
      </w:docPartObj>
    </w:sdtPr>
    <w:sdtEndPr/>
    <w:sdtContent>
      <w:sdt>
        <w:sdtPr>
          <w:id w:val="1728636285"/>
          <w:docPartObj>
            <w:docPartGallery w:val="Page Numbers (Top of Page)"/>
            <w:docPartUnique/>
          </w:docPartObj>
        </w:sdtPr>
        <w:sdtEndPr/>
        <w:sdtContent>
          <w:p w14:paraId="27840F14" w14:textId="692B5CDD" w:rsidR="00882257" w:rsidRDefault="00882257">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5BAD40F4" w14:textId="77777777" w:rsidR="00882257" w:rsidRDefault="00882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11E1D" w14:textId="77777777" w:rsidR="00E93982" w:rsidRDefault="00E93982" w:rsidP="00882257">
      <w:pPr>
        <w:spacing w:after="0" w:line="240" w:lineRule="auto"/>
      </w:pPr>
      <w:r>
        <w:separator/>
      </w:r>
    </w:p>
  </w:footnote>
  <w:footnote w:type="continuationSeparator" w:id="0">
    <w:p w14:paraId="1B4C08AC" w14:textId="77777777" w:rsidR="00E93982" w:rsidRDefault="00E93982" w:rsidP="008822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E1553"/>
    <w:multiLevelType w:val="multilevel"/>
    <w:tmpl w:val="78109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D71B6A"/>
    <w:multiLevelType w:val="hybridMultilevel"/>
    <w:tmpl w:val="B1A8E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83C91"/>
    <w:multiLevelType w:val="multilevel"/>
    <w:tmpl w:val="70FCD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A17D07"/>
    <w:multiLevelType w:val="multilevel"/>
    <w:tmpl w:val="764A6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D54883"/>
    <w:multiLevelType w:val="multilevel"/>
    <w:tmpl w:val="F6BC3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BC2257"/>
    <w:multiLevelType w:val="multilevel"/>
    <w:tmpl w:val="3B8A9D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847123"/>
    <w:multiLevelType w:val="multilevel"/>
    <w:tmpl w:val="12466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FD0314"/>
    <w:multiLevelType w:val="hybridMultilevel"/>
    <w:tmpl w:val="8F1825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B27F22"/>
    <w:multiLevelType w:val="multilevel"/>
    <w:tmpl w:val="03C29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6B565B"/>
    <w:multiLevelType w:val="multilevel"/>
    <w:tmpl w:val="5E928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5B2618"/>
    <w:multiLevelType w:val="multilevel"/>
    <w:tmpl w:val="66902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CB6E21"/>
    <w:multiLevelType w:val="multilevel"/>
    <w:tmpl w:val="7BFE5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414D41"/>
    <w:multiLevelType w:val="multilevel"/>
    <w:tmpl w:val="E5266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655C0D"/>
    <w:multiLevelType w:val="multilevel"/>
    <w:tmpl w:val="5B7C0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13189B"/>
    <w:multiLevelType w:val="multilevel"/>
    <w:tmpl w:val="1B76ED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711515"/>
    <w:multiLevelType w:val="multilevel"/>
    <w:tmpl w:val="15FCA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07204E9"/>
    <w:multiLevelType w:val="hybridMultilevel"/>
    <w:tmpl w:val="37CC09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6A2707E"/>
    <w:multiLevelType w:val="hybridMultilevel"/>
    <w:tmpl w:val="D5B659B2"/>
    <w:lvl w:ilvl="0" w:tplc="08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8" w15:restartNumberingAfterBreak="0">
    <w:nsid w:val="7BF6704C"/>
    <w:multiLevelType w:val="multilevel"/>
    <w:tmpl w:val="ACE0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EC63E3"/>
    <w:multiLevelType w:val="multilevel"/>
    <w:tmpl w:val="80642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8120970">
    <w:abstractNumId w:val="7"/>
  </w:num>
  <w:num w:numId="2" w16cid:durableId="1202404081">
    <w:abstractNumId w:val="4"/>
  </w:num>
  <w:num w:numId="3" w16cid:durableId="761607508">
    <w:abstractNumId w:val="10"/>
  </w:num>
  <w:num w:numId="4" w16cid:durableId="1674722497">
    <w:abstractNumId w:val="3"/>
  </w:num>
  <w:num w:numId="5" w16cid:durableId="585307109">
    <w:abstractNumId w:val="8"/>
  </w:num>
  <w:num w:numId="6" w16cid:durableId="943457216">
    <w:abstractNumId w:val="1"/>
  </w:num>
  <w:num w:numId="7" w16cid:durableId="40791084">
    <w:abstractNumId w:val="9"/>
  </w:num>
  <w:num w:numId="8" w16cid:durableId="599291680">
    <w:abstractNumId w:val="11"/>
  </w:num>
  <w:num w:numId="9" w16cid:durableId="2102219915">
    <w:abstractNumId w:val="12"/>
  </w:num>
  <w:num w:numId="10" w16cid:durableId="360010399">
    <w:abstractNumId w:val="15"/>
  </w:num>
  <w:num w:numId="11" w16cid:durableId="504320202">
    <w:abstractNumId w:val="6"/>
  </w:num>
  <w:num w:numId="12" w16cid:durableId="1005090060">
    <w:abstractNumId w:val="0"/>
  </w:num>
  <w:num w:numId="13" w16cid:durableId="1025253042">
    <w:abstractNumId w:val="18"/>
  </w:num>
  <w:num w:numId="14" w16cid:durableId="522011942">
    <w:abstractNumId w:val="13"/>
  </w:num>
  <w:num w:numId="15" w16cid:durableId="418404848">
    <w:abstractNumId w:val="2"/>
  </w:num>
  <w:num w:numId="16" w16cid:durableId="697895481">
    <w:abstractNumId w:val="19"/>
  </w:num>
  <w:num w:numId="17" w16cid:durableId="300574626">
    <w:abstractNumId w:val="16"/>
  </w:num>
  <w:num w:numId="18" w16cid:durableId="1323123001">
    <w:abstractNumId w:val="17"/>
  </w:num>
  <w:num w:numId="19" w16cid:durableId="242885401">
    <w:abstractNumId w:val="5"/>
  </w:num>
  <w:num w:numId="20" w16cid:durableId="64057413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70E"/>
    <w:rsid w:val="00015038"/>
    <w:rsid w:val="00016C14"/>
    <w:rsid w:val="00026715"/>
    <w:rsid w:val="00084561"/>
    <w:rsid w:val="00091DA8"/>
    <w:rsid w:val="00093021"/>
    <w:rsid w:val="00093E38"/>
    <w:rsid w:val="000B0625"/>
    <w:rsid w:val="000D7BB6"/>
    <w:rsid w:val="00121802"/>
    <w:rsid w:val="00122074"/>
    <w:rsid w:val="001423F6"/>
    <w:rsid w:val="00172D0E"/>
    <w:rsid w:val="0017645F"/>
    <w:rsid w:val="0020730E"/>
    <w:rsid w:val="00216018"/>
    <w:rsid w:val="002238D6"/>
    <w:rsid w:val="00254546"/>
    <w:rsid w:val="00273148"/>
    <w:rsid w:val="002945F1"/>
    <w:rsid w:val="002B4CBB"/>
    <w:rsid w:val="002C4619"/>
    <w:rsid w:val="0030141C"/>
    <w:rsid w:val="00307A6F"/>
    <w:rsid w:val="003613D2"/>
    <w:rsid w:val="00386055"/>
    <w:rsid w:val="003B4D0D"/>
    <w:rsid w:val="003D28C1"/>
    <w:rsid w:val="003D7F33"/>
    <w:rsid w:val="003E1D07"/>
    <w:rsid w:val="00404AA5"/>
    <w:rsid w:val="0045388A"/>
    <w:rsid w:val="004602B5"/>
    <w:rsid w:val="004608EB"/>
    <w:rsid w:val="00476C13"/>
    <w:rsid w:val="0049695F"/>
    <w:rsid w:val="005768D1"/>
    <w:rsid w:val="00586798"/>
    <w:rsid w:val="0058771C"/>
    <w:rsid w:val="0059466F"/>
    <w:rsid w:val="005A7B96"/>
    <w:rsid w:val="005B2480"/>
    <w:rsid w:val="005C6BA2"/>
    <w:rsid w:val="005E7261"/>
    <w:rsid w:val="005F4134"/>
    <w:rsid w:val="00613D31"/>
    <w:rsid w:val="00631F22"/>
    <w:rsid w:val="00667FC1"/>
    <w:rsid w:val="006864FA"/>
    <w:rsid w:val="006A2AFD"/>
    <w:rsid w:val="00701355"/>
    <w:rsid w:val="00743227"/>
    <w:rsid w:val="00746F25"/>
    <w:rsid w:val="00760A3E"/>
    <w:rsid w:val="007B2112"/>
    <w:rsid w:val="007B386E"/>
    <w:rsid w:val="007D69A6"/>
    <w:rsid w:val="008002C7"/>
    <w:rsid w:val="00806A47"/>
    <w:rsid w:val="00832C42"/>
    <w:rsid w:val="008507C0"/>
    <w:rsid w:val="00882257"/>
    <w:rsid w:val="008B61C6"/>
    <w:rsid w:val="008F1316"/>
    <w:rsid w:val="009455A4"/>
    <w:rsid w:val="009967D2"/>
    <w:rsid w:val="009A6B34"/>
    <w:rsid w:val="009F4652"/>
    <w:rsid w:val="00A06F38"/>
    <w:rsid w:val="00AB22D4"/>
    <w:rsid w:val="00AD0403"/>
    <w:rsid w:val="00B50800"/>
    <w:rsid w:val="00B927C9"/>
    <w:rsid w:val="00B9470E"/>
    <w:rsid w:val="00C12884"/>
    <w:rsid w:val="00C322D3"/>
    <w:rsid w:val="00C34979"/>
    <w:rsid w:val="00CA3844"/>
    <w:rsid w:val="00CA6CD7"/>
    <w:rsid w:val="00D4299E"/>
    <w:rsid w:val="00D50835"/>
    <w:rsid w:val="00D526D3"/>
    <w:rsid w:val="00D53E80"/>
    <w:rsid w:val="00D7796F"/>
    <w:rsid w:val="00D80755"/>
    <w:rsid w:val="00DB79ED"/>
    <w:rsid w:val="00DC0D1E"/>
    <w:rsid w:val="00E93982"/>
    <w:rsid w:val="00ED3D47"/>
    <w:rsid w:val="00F03E8B"/>
    <w:rsid w:val="00F82930"/>
    <w:rsid w:val="00FB5987"/>
    <w:rsid w:val="00FC4D7E"/>
    <w:rsid w:val="00FE7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CF75B"/>
  <w15:chartTrackingRefBased/>
  <w15:docId w15:val="{04D64AF6-A64E-974D-9AF1-894109DD7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7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47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7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7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7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7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7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7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7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7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7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7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7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7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7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7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7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70E"/>
    <w:rPr>
      <w:rFonts w:eastAsiaTheme="majorEastAsia" w:cstheme="majorBidi"/>
      <w:color w:val="272727" w:themeColor="text1" w:themeTint="D8"/>
    </w:rPr>
  </w:style>
  <w:style w:type="paragraph" w:styleId="Title">
    <w:name w:val="Title"/>
    <w:basedOn w:val="Normal"/>
    <w:next w:val="Normal"/>
    <w:link w:val="TitleChar"/>
    <w:uiPriority w:val="10"/>
    <w:qFormat/>
    <w:rsid w:val="00B947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7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7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7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70E"/>
    <w:pPr>
      <w:spacing w:before="160"/>
      <w:jc w:val="center"/>
    </w:pPr>
    <w:rPr>
      <w:i/>
      <w:iCs/>
      <w:color w:val="404040" w:themeColor="text1" w:themeTint="BF"/>
    </w:rPr>
  </w:style>
  <w:style w:type="character" w:customStyle="1" w:styleId="QuoteChar">
    <w:name w:val="Quote Char"/>
    <w:basedOn w:val="DefaultParagraphFont"/>
    <w:link w:val="Quote"/>
    <w:uiPriority w:val="29"/>
    <w:rsid w:val="00B9470E"/>
    <w:rPr>
      <w:i/>
      <w:iCs/>
      <w:color w:val="404040" w:themeColor="text1" w:themeTint="BF"/>
    </w:rPr>
  </w:style>
  <w:style w:type="paragraph" w:styleId="ListParagraph">
    <w:name w:val="List Paragraph"/>
    <w:basedOn w:val="Normal"/>
    <w:uiPriority w:val="34"/>
    <w:qFormat/>
    <w:rsid w:val="00B9470E"/>
    <w:pPr>
      <w:ind w:left="720"/>
      <w:contextualSpacing/>
    </w:pPr>
  </w:style>
  <w:style w:type="character" w:styleId="IntenseEmphasis">
    <w:name w:val="Intense Emphasis"/>
    <w:basedOn w:val="DefaultParagraphFont"/>
    <w:uiPriority w:val="21"/>
    <w:qFormat/>
    <w:rsid w:val="00B9470E"/>
    <w:rPr>
      <w:i/>
      <w:iCs/>
      <w:color w:val="0F4761" w:themeColor="accent1" w:themeShade="BF"/>
    </w:rPr>
  </w:style>
  <w:style w:type="paragraph" w:styleId="IntenseQuote">
    <w:name w:val="Intense Quote"/>
    <w:basedOn w:val="Normal"/>
    <w:next w:val="Normal"/>
    <w:link w:val="IntenseQuoteChar"/>
    <w:uiPriority w:val="30"/>
    <w:qFormat/>
    <w:rsid w:val="00B947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70E"/>
    <w:rPr>
      <w:i/>
      <w:iCs/>
      <w:color w:val="0F4761" w:themeColor="accent1" w:themeShade="BF"/>
    </w:rPr>
  </w:style>
  <w:style w:type="character" w:styleId="IntenseReference">
    <w:name w:val="Intense Reference"/>
    <w:basedOn w:val="DefaultParagraphFont"/>
    <w:uiPriority w:val="32"/>
    <w:qFormat/>
    <w:rsid w:val="00B9470E"/>
    <w:rPr>
      <w:b/>
      <w:bCs/>
      <w:smallCaps/>
      <w:color w:val="0F4761" w:themeColor="accent1" w:themeShade="BF"/>
      <w:spacing w:val="5"/>
    </w:rPr>
  </w:style>
  <w:style w:type="paragraph" w:styleId="TOCHeading">
    <w:name w:val="TOC Heading"/>
    <w:basedOn w:val="Heading1"/>
    <w:next w:val="Normal"/>
    <w:uiPriority w:val="39"/>
    <w:unhideWhenUsed/>
    <w:qFormat/>
    <w:rsid w:val="008B61C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B61C6"/>
    <w:pPr>
      <w:spacing w:after="100"/>
    </w:pPr>
  </w:style>
  <w:style w:type="character" w:styleId="Hyperlink">
    <w:name w:val="Hyperlink"/>
    <w:basedOn w:val="DefaultParagraphFont"/>
    <w:uiPriority w:val="99"/>
    <w:unhideWhenUsed/>
    <w:rsid w:val="008B61C6"/>
    <w:rPr>
      <w:color w:val="467886" w:themeColor="hyperlink"/>
      <w:u w:val="single"/>
    </w:rPr>
  </w:style>
  <w:style w:type="character" w:styleId="UnresolvedMention">
    <w:name w:val="Unresolved Mention"/>
    <w:basedOn w:val="DefaultParagraphFont"/>
    <w:uiPriority w:val="99"/>
    <w:semiHidden/>
    <w:unhideWhenUsed/>
    <w:rsid w:val="007B386E"/>
    <w:rPr>
      <w:color w:val="605E5C"/>
      <w:shd w:val="clear" w:color="auto" w:fill="E1DFDD"/>
    </w:rPr>
  </w:style>
  <w:style w:type="paragraph" w:styleId="Header">
    <w:name w:val="header"/>
    <w:basedOn w:val="Normal"/>
    <w:link w:val="HeaderChar"/>
    <w:uiPriority w:val="99"/>
    <w:unhideWhenUsed/>
    <w:rsid w:val="00882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257"/>
  </w:style>
  <w:style w:type="paragraph" w:styleId="Footer">
    <w:name w:val="footer"/>
    <w:basedOn w:val="Normal"/>
    <w:link w:val="FooterChar"/>
    <w:uiPriority w:val="99"/>
    <w:unhideWhenUsed/>
    <w:rsid w:val="00882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D7D98-F73D-4EF1-B4F8-05F0965A5F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2659</Words>
  <Characters>15159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Jadesola Tompson</dc:creator>
  <cp:keywords/>
  <dc:description/>
  <cp:lastModifiedBy>Jadesola Tompson</cp:lastModifiedBy>
  <cp:revision>2</cp:revision>
  <dcterms:created xsi:type="dcterms:W3CDTF">2026-04-24T15:19:00Z</dcterms:created>
  <dcterms:modified xsi:type="dcterms:W3CDTF">2026-04-24T15:19:00Z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53c0ed90-277e-40fe-a147-1995a139bbe0</vt:lpwstr>
  </property>
</Properties>
</file>