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1969C0" w14:textId="08126844" w:rsidR="004F595E" w:rsidRDefault="004F595E" w:rsidP="00271CA3">
      <w:pPr>
        <w:spacing w:after="0" w:line="276" w:lineRule="auto"/>
        <w:ind w:left="567" w:right="531"/>
        <w:rPr>
          <w:rFonts w:ascii="Arial" w:eastAsia="Times New Roman" w:hAnsi="Arial" w:cs="Arial"/>
          <w:b/>
          <w:bCs/>
          <w:lang w:eastAsia="en-GB"/>
        </w:rPr>
      </w:pPr>
      <w:r>
        <w:rPr>
          <w:rFonts w:ascii="Arial" w:eastAsia="Times New Roman" w:hAnsi="Arial" w:cs="Arial"/>
          <w:b/>
          <w:bCs/>
          <w:lang w:eastAsia="en-GB"/>
        </w:rPr>
        <w:t>2319897 – Fraser DURSTON</w:t>
      </w:r>
    </w:p>
    <w:p w14:paraId="5CA37BF4" w14:textId="77777777" w:rsidR="004F595E" w:rsidRDefault="004F595E" w:rsidP="00271CA3">
      <w:pPr>
        <w:spacing w:after="0" w:line="276" w:lineRule="auto"/>
        <w:ind w:left="567" w:right="531"/>
        <w:rPr>
          <w:rFonts w:ascii="Arial" w:eastAsia="Times New Roman" w:hAnsi="Arial" w:cs="Arial"/>
          <w:b/>
          <w:bCs/>
          <w:lang w:eastAsia="en-GB"/>
        </w:rPr>
      </w:pPr>
    </w:p>
    <w:p w14:paraId="44E2C54B" w14:textId="73FFD19D" w:rsidR="00271CA3" w:rsidRDefault="00271CA3" w:rsidP="00271CA3">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Essay one – Maintaining Professional Standards</w:t>
      </w:r>
    </w:p>
    <w:p w14:paraId="4AB7A7B6" w14:textId="77777777" w:rsidR="00271CA3" w:rsidRPr="00F03007" w:rsidRDefault="00271CA3" w:rsidP="00271CA3">
      <w:pPr>
        <w:spacing w:after="0" w:line="276" w:lineRule="auto"/>
        <w:ind w:left="567" w:right="531"/>
        <w:rPr>
          <w:rFonts w:ascii="Arial" w:eastAsia="Times New Roman" w:hAnsi="Arial" w:cs="Arial"/>
          <w:lang w:eastAsia="en-GB"/>
        </w:rPr>
      </w:pPr>
      <w:r>
        <w:rPr>
          <w:rFonts w:ascii="Arial" w:eastAsia="Times New Roman" w:hAnsi="Arial" w:cs="Arial"/>
          <w:lang w:eastAsia="en-GB"/>
        </w:rPr>
        <w:t>Critically examine policing policies and procedures (e.g. PACE, Code of Ethics, NDM, use of BWV) aimed at reducing misconduct and malpractice by police officers. How might these increase public confidence in police?</w:t>
      </w:r>
    </w:p>
    <w:p w14:paraId="02A9C651" w14:textId="77777777" w:rsidR="00271CA3" w:rsidRDefault="00271CA3" w:rsidP="00271CA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Support</w:t>
      </w:r>
      <w:r w:rsidRPr="006C3C20">
        <w:rPr>
          <w:rFonts w:ascii="Arial" w:eastAsia="Times New Roman" w:hAnsi="Arial" w:cs="Arial"/>
          <w:lang w:eastAsia="en-GB"/>
        </w:rPr>
        <w:t xml:space="preserve"> your answer with relevant evidence drawn from academic sources.</w:t>
      </w:r>
    </w:p>
    <w:p w14:paraId="4629B2B2" w14:textId="77777777" w:rsidR="00271CA3" w:rsidRPr="004C73EC" w:rsidRDefault="00271CA3" w:rsidP="00271CA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NB – to </w:t>
      </w:r>
      <w:r>
        <w:rPr>
          <w:rFonts w:ascii="Arial" w:eastAsia="Times New Roman" w:hAnsi="Arial" w:cs="Arial"/>
          <w:i/>
          <w:iCs/>
          <w:lang w:eastAsia="en-GB"/>
        </w:rPr>
        <w:t>critically examine</w:t>
      </w:r>
      <w:r>
        <w:rPr>
          <w:rFonts w:ascii="Arial" w:eastAsia="Times New Roman" w:hAnsi="Arial" w:cs="Arial"/>
          <w:lang w:eastAsia="en-GB"/>
        </w:rPr>
        <w:t xml:space="preserve"> is to give a balanced answer that points out weaknesses as well as favourable aspects of the topic in question. </w:t>
      </w:r>
    </w:p>
    <w:p w14:paraId="48B92305" w14:textId="77777777" w:rsidR="00271CA3" w:rsidRPr="006C3C20" w:rsidRDefault="00271CA3" w:rsidP="00271CA3">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Word limit:</w:t>
      </w:r>
      <w:r w:rsidRPr="006C3C20">
        <w:rPr>
          <w:rFonts w:ascii="Arial" w:eastAsia="Times New Roman" w:hAnsi="Arial" w:cs="Arial"/>
          <w:lang w:eastAsia="en-GB"/>
        </w:rPr>
        <w:t xml:space="preserve"> 1000 words.</w:t>
      </w:r>
    </w:p>
    <w:p w14:paraId="018144D2" w14:textId="77777777" w:rsidR="00271CA3" w:rsidRDefault="00271CA3" w:rsidP="00271CA3"/>
    <w:p w14:paraId="5739E323" w14:textId="33AE9158" w:rsidR="00271CA3" w:rsidRDefault="000D1674" w:rsidP="00271CA3">
      <w:r>
        <w:t>This essay is</w:t>
      </w:r>
      <w:r w:rsidR="00271CA3">
        <w:t xml:space="preserve"> going to examine the ways in which that policies and procedures implemented by police forces are reducing misconduct and malpractice and how these policies and procedures are impacting on the public perception and confidence of the police.</w:t>
      </w:r>
    </w:p>
    <w:p w14:paraId="62CB8E0E" w14:textId="77777777" w:rsidR="00271CA3" w:rsidRPr="001874F9" w:rsidRDefault="00271CA3" w:rsidP="00271CA3">
      <w:r>
        <w:t xml:space="preserve">Policies and procedures are set out in many workplaces to provide employees clarity and consistency across the board, and they explain what employees need to do and the reasons behind them </w:t>
      </w:r>
      <w:r w:rsidRPr="001874F9">
        <w:t>(ICO, 2023)</w:t>
      </w:r>
      <w:r>
        <w:t>. This is highly important in policing as policies and procedures form the foundation of policing in the United Kingdom. Such policies and procedures include The Police and Criminal Evidence Act 1984 (PACE), The National Decision Model, and policies and procedures relating to the use of Body Worn Video (BWV) worn and used by police officers.</w:t>
      </w:r>
    </w:p>
    <w:p w14:paraId="36159A4F" w14:textId="77777777" w:rsidR="00271CA3" w:rsidRDefault="00271CA3" w:rsidP="00271CA3">
      <w:r>
        <w:t xml:space="preserve">PACE was introduced in 1984 to regain the public’s confidence in the English criminal justice system, following events that displayed unacceptable behaviours displayed by police officers prior to the introduction of PACE </w:t>
      </w:r>
      <w:r w:rsidRPr="00D664CF">
        <w:t>(Law Teacher, 2019</w:t>
      </w:r>
      <w:r>
        <w:t>b</w:t>
      </w:r>
      <w:r w:rsidRPr="00D664CF">
        <w:t>)</w:t>
      </w:r>
      <w:r>
        <w:t xml:space="preserve">. PACE was developed to display how the powers of police constables and the rights of the public are balanced </w:t>
      </w:r>
      <w:r w:rsidRPr="00C00D0A">
        <w:t>(Home Office, 2013)</w:t>
      </w:r>
      <w:r>
        <w:t xml:space="preserve">. PACE is accessible to everyone and states how the public should be treated when they are in contact with the police through nine codes held within PACE. These codes set out the specific ways in which that the public are to be treated, including their rights and the powers of police officers </w:t>
      </w:r>
      <w:r w:rsidRPr="007D6894">
        <w:t>(Home Office, 2013)</w:t>
      </w:r>
      <w:r>
        <w:t xml:space="preserve">. </w:t>
      </w:r>
    </w:p>
    <w:p w14:paraId="75CD9FC3" w14:textId="77777777" w:rsidR="00271CA3" w:rsidRDefault="00271CA3" w:rsidP="00271CA3">
      <w:r>
        <w:t xml:space="preserve">With the powers of the police and the rights of the public, displayed within the PACE codes of practice, along with the underlying philosophy of policing by consent </w:t>
      </w:r>
      <w:r w:rsidRPr="00783776">
        <w:t>(Home Office, 2012)</w:t>
      </w:r>
      <w:r>
        <w:t xml:space="preserve">, this reduces misconduct and malpractice by police officers. This is because officers have clear guidance regarding the treatment of the public and are being held accountable for their actions, which was not the case prior to the introduction of PACE. Before PACE was introduced, suspects were pressured into self-incriminating statements, no formal right to legal advice or visually recorded interviews </w:t>
      </w:r>
      <w:r w:rsidRPr="009E5500">
        <w:t>(Newburn, 2008)</w:t>
      </w:r>
      <w:r>
        <w:t xml:space="preserve">. With the introduction of PACE, such malpractices and misconduct has been reduced due to the legislation clearly setting out how the public are to be treated </w:t>
      </w:r>
      <w:r w:rsidRPr="009E5500">
        <w:t>(Home Office, 2013)</w:t>
      </w:r>
      <w:r>
        <w:t xml:space="preserve">. In 2023 there were 27,275 complaints made regarding police powers, policies and procedures </w:t>
      </w:r>
      <w:r w:rsidRPr="00226244">
        <w:t>(Home Office, 2024)</w:t>
      </w:r>
      <w:r>
        <w:t xml:space="preserve">. This indicates that in 2023, there was a high likelihood that police policies and procedures, including PACE, were not followed. In 2023, there was approximately 171,000 police officers employed within the United Kingdom, this means that 6.2% of police officers were the subject of complaints about in 2023. To some 6.2% would seem like a relatively low figure, but when police officers all become tarred with the same brush </w:t>
      </w:r>
      <w:r w:rsidRPr="005612E8">
        <w:t>(Griffin, 2021)</w:t>
      </w:r>
      <w:r>
        <w:t xml:space="preserve"> it becomes difficult for police officers to overcome these beliefs.</w:t>
      </w:r>
    </w:p>
    <w:p w14:paraId="6C76FE96" w14:textId="77777777" w:rsidR="00271CA3" w:rsidRDefault="00271CA3" w:rsidP="00271CA3">
      <w:r>
        <w:lastRenderedPageBreak/>
        <w:t xml:space="preserve">The National Decision Model (NDM) is central to how the police make their decisions. Decisions made using the NDM combine each of the elements of the NDM which include, the code of ethics, information and intelligence, assessing threats, considering powers and policies, options available, taking action and reviewing the decision </w:t>
      </w:r>
      <w:r w:rsidRPr="00BD710F">
        <w:t>(College Of Policing, 2013)</w:t>
      </w:r>
      <w:r>
        <w:t xml:space="preserve">. The use of the NDM reduces the risk of officers making wrong or poor decisions when responding to incidents. The NDM allows for members of the public to see that decisions made by the police have been thoroughly thought through with consideration for the impacts of those involved. This will ensure that public confidence remains with the police. If decisions have been made that have been negatively received by communities, the review section of the NDM allows for officers to learn, reflect and when responding to a similar incident this experience based learning will assist the officer in making better decisions. The NDM encourages police officers to consider the powers and policies available to them. This consideration for powers and policies leads to police officers making better informed decisions </w:t>
      </w:r>
      <w:r w:rsidRPr="00D53616">
        <w:t>(Edwards, 2021</w:t>
      </w:r>
      <w:r>
        <w:t xml:space="preserve">). These better-informed decisions impact the way that the public interact with the police. More positive interactions caused by fair and respectful decision making has been shown to increase public confidence in the police </w:t>
      </w:r>
      <w:r w:rsidRPr="005B6382">
        <w:t>(Hanway and Hambly, 2023</w:t>
      </w:r>
      <w:r>
        <w:t>).</w:t>
      </w:r>
    </w:p>
    <w:p w14:paraId="2C11BF59" w14:textId="77777777" w:rsidR="00271CA3" w:rsidRDefault="00271CA3" w:rsidP="00271CA3">
      <w:r>
        <w:t xml:space="preserve">The use of police BWV has been crucial in recent years in capturing evidence from the earliest possible moment upon police attendance, displaying scenes of crimes, searches </w:t>
      </w:r>
      <w:r w:rsidRPr="00AE1CF3">
        <w:t>(College of Policing, 2024)</w:t>
      </w:r>
      <w:r>
        <w:t xml:space="preserve"> and displaying to the public what officers come face to face with daily. BWV ensures that officers are accountable for their actions </w:t>
      </w:r>
      <w:r w:rsidRPr="00AE1CF3">
        <w:t xml:space="preserve">(Harrison, </w:t>
      </w:r>
      <w:proofErr w:type="spellStart"/>
      <w:r w:rsidRPr="00AE1CF3">
        <w:t>L’Hoiry</w:t>
      </w:r>
      <w:proofErr w:type="spellEnd"/>
      <w:r w:rsidRPr="00AE1CF3">
        <w:t xml:space="preserve"> and </w:t>
      </w:r>
      <w:proofErr w:type="spellStart"/>
      <w:r w:rsidRPr="00AE1CF3">
        <w:t>Santorso</w:t>
      </w:r>
      <w:proofErr w:type="spellEnd"/>
      <w:r w:rsidRPr="00AE1CF3">
        <w:t>, 2021)</w:t>
      </w:r>
      <w:r>
        <w:t xml:space="preserve">. The use of BWV ensures that the police are always transparent and accountable </w:t>
      </w:r>
      <w:r w:rsidRPr="002C1E61">
        <w:t>(COLWELL, 2022)</w:t>
      </w:r>
      <w:r>
        <w:t xml:space="preserve">. This transparency and accountability reduces malpractice and misconduct. This has been shown following research conducted by the University of Cambridge displayed that complaints from members of the public against the police reduces by 93% when BWV was utilised. It was found that officers modified their behaviours and that both suspects and officers were more accountable due to the usage of BWV </w:t>
      </w:r>
      <w:r w:rsidRPr="00805408">
        <w:t>(University of Cambridge, 2016)</w:t>
      </w:r>
      <w:r>
        <w:t xml:space="preserve">. Due to officers being aware that there is BWV activated and that they will be held accountable for their actions, this reduces malpractice and misconduct due to higher ranking officers addressing such negative behaviours </w:t>
      </w:r>
      <w:r w:rsidRPr="00FC08D0">
        <w:t>(Richards, 2022)</w:t>
      </w:r>
      <w:r>
        <w:t xml:space="preserve">. Officers are also fully aware that not complying with policies regarding BWV will be investigated further </w:t>
      </w:r>
      <w:r w:rsidRPr="00FC08D0">
        <w:t>(COLWELL, 2024)</w:t>
      </w:r>
      <w:r>
        <w:t>.</w:t>
      </w:r>
    </w:p>
    <w:p w14:paraId="3FE680BD" w14:textId="77777777" w:rsidR="00271CA3" w:rsidRDefault="00271CA3" w:rsidP="00271CA3">
      <w:r>
        <w:t xml:space="preserve">The use of BWV can be used to regain or build the trust of communities. This can be done when police forces release officers BWV to the public, mainly following incidents that have captures the media, or communities’ attention, in a positive or negative light. </w:t>
      </w:r>
    </w:p>
    <w:p w14:paraId="6A976994" w14:textId="03C8952E" w:rsidR="00271CA3" w:rsidRDefault="00271CA3" w:rsidP="00271CA3">
      <w:r>
        <w:t>All in all policies and procedures are put in place to prevent officers from acting in a way that would bring discredit to any police force. When policies and procedures are complied with, they provide transparency and improve trust from local communities. This is all working towards restoring and building the public’s trust in the police.</w:t>
      </w:r>
    </w:p>
    <w:p w14:paraId="13CFF1A5" w14:textId="77777777" w:rsidR="00D92126" w:rsidRDefault="00D92126" w:rsidP="00271CA3"/>
    <w:p w14:paraId="4DBA34FF" w14:textId="77777777" w:rsidR="00271CA3" w:rsidRDefault="00271CA3" w:rsidP="00271CA3">
      <w:r>
        <w:t>Bibliography:</w:t>
      </w:r>
    </w:p>
    <w:p w14:paraId="7B8FF97E" w14:textId="77777777" w:rsidR="00271CA3" w:rsidRPr="005B4FAE" w:rsidRDefault="00271CA3" w:rsidP="00271CA3">
      <w:r w:rsidRPr="005B4FAE">
        <w:t xml:space="preserve">College Of Policing (2013). </w:t>
      </w:r>
      <w:r w:rsidRPr="005B4FAE">
        <w:rPr>
          <w:i/>
          <w:iCs/>
        </w:rPr>
        <w:t>National Decision Model</w:t>
      </w:r>
      <w:r w:rsidRPr="005B4FAE">
        <w:t>. [online] College of Policing. Available at: https://www.college.police.uk/app/national-decision-model/national-decision-model [Accessed 26 Nov. 2024].</w:t>
      </w:r>
    </w:p>
    <w:p w14:paraId="5D635553" w14:textId="77777777" w:rsidR="00271CA3" w:rsidRPr="005B4FAE" w:rsidRDefault="00271CA3" w:rsidP="00271CA3">
      <w:r w:rsidRPr="005B4FAE">
        <w:lastRenderedPageBreak/>
        <w:t xml:space="preserve">College of Policing (2024). </w:t>
      </w:r>
      <w:r w:rsidRPr="005B4FAE">
        <w:rPr>
          <w:i/>
          <w:iCs/>
        </w:rPr>
        <w:t>Body-worn cameras – how and when to use | College of Policing</w:t>
      </w:r>
      <w:r w:rsidRPr="005B4FAE">
        <w:t>. [online] www.college.police.uk. Available at: https://www.college.police.uk/support-forces/practices/body-worn-cameras-how-and-when-use [Accessed 26 Nov. 2024].</w:t>
      </w:r>
    </w:p>
    <w:p w14:paraId="46CD496A" w14:textId="77777777" w:rsidR="00271CA3" w:rsidRPr="005B4FAE" w:rsidRDefault="00271CA3" w:rsidP="00271CA3">
      <w:r w:rsidRPr="005B4FAE">
        <w:t xml:space="preserve">COLWELL, J. (2022). </w:t>
      </w:r>
      <w:r w:rsidRPr="005B4FAE">
        <w:rPr>
          <w:i/>
          <w:iCs/>
        </w:rPr>
        <w:t>NPCC Body-Worn Video Guidance 2022</w:t>
      </w:r>
      <w:r w:rsidRPr="005B4FAE">
        <w:t xml:space="preserve">. </w:t>
      </w:r>
      <w:r w:rsidRPr="005B4FAE">
        <w:rPr>
          <w:i/>
          <w:iCs/>
        </w:rPr>
        <w:t>https://www.npcc.police.uk/SysSiteAssets/media/downloads/publications/publications-log/2022/npcc-bwv-guidance-document-1.pdf</w:t>
      </w:r>
      <w:r w:rsidRPr="005B4FAE">
        <w:t>.</w:t>
      </w:r>
    </w:p>
    <w:p w14:paraId="4C862F70" w14:textId="77777777" w:rsidR="00271CA3" w:rsidRPr="005B4FAE" w:rsidRDefault="00271CA3" w:rsidP="00271CA3">
      <w:r w:rsidRPr="005B4FAE">
        <w:t xml:space="preserve">COLWELL, J. (2024). </w:t>
      </w:r>
      <w:r w:rsidRPr="005B4FAE">
        <w:rPr>
          <w:i/>
          <w:iCs/>
        </w:rPr>
        <w:t>BODY-WORN VIDEO GUIDANCE 2024</w:t>
      </w:r>
      <w:r w:rsidRPr="005B4FAE">
        <w:t>. [online] Available at: https://www.npcc.police.uk/SysSiteAssets/media/downloads/publications/publications-log/local-policing-coordination-committee/2024/npcc-bwv-guidance-2024.pdf [Accessed 28 Nov. 2024].</w:t>
      </w:r>
    </w:p>
    <w:p w14:paraId="52D6C3E9" w14:textId="77777777" w:rsidR="00271CA3" w:rsidRPr="005B4FAE" w:rsidRDefault="00271CA3" w:rsidP="00271CA3">
      <w:r w:rsidRPr="005B4FAE">
        <w:t xml:space="preserve">Edwards, J. (2021). </w:t>
      </w:r>
      <w:r w:rsidRPr="005B4FAE">
        <w:rPr>
          <w:i/>
          <w:iCs/>
        </w:rPr>
        <w:t>Practitioner Perspectives of the Utility of the National Decision Model in Relation to Criminal Investigations and Response Policing - ProQuest</w:t>
      </w:r>
      <w:r w:rsidRPr="005B4FAE">
        <w:t>. [online] www.proquest.com. Available at: https://www.proquest.com/openview/80e8c3fc718fba7d282d21117363fc63/1?pq-origsite=gscholar&amp;cbl=2026366&amp;diss=y [Accessed 28 Nov. 2024].</w:t>
      </w:r>
    </w:p>
    <w:p w14:paraId="1426B4E3" w14:textId="77777777" w:rsidR="00271CA3" w:rsidRPr="005B4FAE" w:rsidRDefault="00271CA3" w:rsidP="00271CA3">
      <w:r w:rsidRPr="005B4FAE">
        <w:t xml:space="preserve">Griffin, N. (2021). International Journal for Crime, Justice and Social Democracy Volume 9, Issue 4. </w:t>
      </w:r>
      <w:r w:rsidRPr="005B4FAE">
        <w:rPr>
          <w:i/>
          <w:iCs/>
        </w:rPr>
        <w:t>#Notallcops: Exploring ‘rotten apple’ narratives in media reporting of lush’s 2018 ‘</w:t>
      </w:r>
      <w:proofErr w:type="spellStart"/>
      <w:r w:rsidRPr="005B4FAE">
        <w:rPr>
          <w:i/>
          <w:iCs/>
        </w:rPr>
        <w:t>spycops</w:t>
      </w:r>
      <w:proofErr w:type="spellEnd"/>
      <w:r w:rsidRPr="005B4FAE">
        <w:rPr>
          <w:i/>
          <w:iCs/>
        </w:rPr>
        <w:t>’ undercover policing campaign</w:t>
      </w:r>
      <w:r w:rsidRPr="005B4FAE">
        <w:t>, [online] 9(4). Available at: https://search.informit.org/doi/epdf/10.3316/informit.739002291232261 [Accessed 28 Nov. 2024].</w:t>
      </w:r>
    </w:p>
    <w:p w14:paraId="2BF629E1" w14:textId="77777777" w:rsidR="00271CA3" w:rsidRPr="005B4FAE" w:rsidRDefault="00271CA3" w:rsidP="00271CA3">
      <w:r w:rsidRPr="005B4FAE">
        <w:t xml:space="preserve">Hanway, P. and Hambly, O. (2023). </w:t>
      </w:r>
      <w:r w:rsidRPr="005B4FAE">
        <w:rPr>
          <w:i/>
          <w:iCs/>
        </w:rPr>
        <w:t>Public perceptions of policing: A review of research and literature</w:t>
      </w:r>
      <w:r w:rsidRPr="005B4FAE">
        <w:t>. [online] GOV.UK. Available at: https://www.gov.uk/government/publications/public-perceptions-of-policing-a-review-of-research-and-literature/public-perceptions-of-policing-a-review-of-research-and-literature [Accessed 28 Nov. 2024].</w:t>
      </w:r>
    </w:p>
    <w:p w14:paraId="1DB1662C" w14:textId="77777777" w:rsidR="00271CA3" w:rsidRPr="005B4FAE" w:rsidRDefault="00271CA3" w:rsidP="00271CA3">
      <w:r w:rsidRPr="005B4FAE">
        <w:t xml:space="preserve">Harrison, K., </w:t>
      </w:r>
      <w:proofErr w:type="spellStart"/>
      <w:r w:rsidRPr="005B4FAE">
        <w:t>L’Hoiry</w:t>
      </w:r>
      <w:proofErr w:type="spellEnd"/>
      <w:r w:rsidRPr="005B4FAE">
        <w:t xml:space="preserve">, X. and </w:t>
      </w:r>
      <w:proofErr w:type="spellStart"/>
      <w:r w:rsidRPr="005B4FAE">
        <w:t>Santorso</w:t>
      </w:r>
      <w:proofErr w:type="spellEnd"/>
      <w:r w:rsidRPr="005B4FAE">
        <w:t xml:space="preserve">, S. (2021). Exploring the impact of body-worn video on the everyday behaviours of police officers. </w:t>
      </w:r>
      <w:r w:rsidRPr="005B4FAE">
        <w:rPr>
          <w:i/>
          <w:iCs/>
        </w:rPr>
        <w:t>The Police Journal: Theory, Practice and Principles</w:t>
      </w:r>
      <w:r w:rsidRPr="005B4FAE">
        <w:t xml:space="preserve">, [online] 95(2), p.0032258X2110008. </w:t>
      </w:r>
      <w:proofErr w:type="spellStart"/>
      <w:r w:rsidRPr="005B4FAE">
        <w:t>doi:https</w:t>
      </w:r>
      <w:proofErr w:type="spellEnd"/>
      <w:r w:rsidRPr="005B4FAE">
        <w:t>://doi.org/10.1177/0032258x211000834.</w:t>
      </w:r>
    </w:p>
    <w:p w14:paraId="39A959C3" w14:textId="77777777" w:rsidR="00271CA3" w:rsidRPr="005B4FAE" w:rsidRDefault="00271CA3" w:rsidP="00271CA3">
      <w:r w:rsidRPr="005B4FAE">
        <w:t xml:space="preserve">Home Office (2012). </w:t>
      </w:r>
      <w:r w:rsidRPr="005B4FAE">
        <w:rPr>
          <w:i/>
          <w:iCs/>
        </w:rPr>
        <w:t>Definition of Policing by Consent</w:t>
      </w:r>
      <w:r w:rsidRPr="005B4FAE">
        <w:t>. [online] gov.uk. Available at: https://www.gov.uk/government/publications/policing-by-consent/definition-of-policing-by-consent [Accessed 28 Nov. 2024].</w:t>
      </w:r>
    </w:p>
    <w:p w14:paraId="30E55506" w14:textId="77777777" w:rsidR="00271CA3" w:rsidRPr="005B4FAE" w:rsidRDefault="00271CA3" w:rsidP="00271CA3">
      <w:r w:rsidRPr="005B4FAE">
        <w:t xml:space="preserve">Home Office (2013). </w:t>
      </w:r>
      <w:r w:rsidRPr="005B4FAE">
        <w:rPr>
          <w:i/>
          <w:iCs/>
        </w:rPr>
        <w:t>Police and Criminal Evidence Act 1984 (PACE) Codes of Practice</w:t>
      </w:r>
      <w:r w:rsidRPr="005B4FAE">
        <w:t>. [online] GOV.UK. Available at: https://www.gov.uk/guidance/police-and-criminal-evidence-act-1984-pace-codes-of-practice [Accessed 26 Nov. 2024].</w:t>
      </w:r>
    </w:p>
    <w:p w14:paraId="68FB9015" w14:textId="77777777" w:rsidR="00271CA3" w:rsidRPr="005B4FAE" w:rsidRDefault="00271CA3" w:rsidP="00271CA3">
      <w:r w:rsidRPr="005B4FAE">
        <w:t xml:space="preserve">Home Office (2024). </w:t>
      </w:r>
      <w:r w:rsidRPr="005B4FAE">
        <w:rPr>
          <w:i/>
          <w:iCs/>
        </w:rPr>
        <w:t>Police misconduct, England and Wales: year ending 31 March 2023</w:t>
      </w:r>
      <w:r w:rsidRPr="005B4FAE">
        <w:t>. [online] GOV.UK. Available at: https://www.gov.uk/government/statistics/police-misconduct-england-and-wales-year-ending-31-march-2023/police-misconduct-england-and-wales-year-ending-31-march-2023#chapter4 [Accessed 28 Nov. 2024].</w:t>
      </w:r>
    </w:p>
    <w:p w14:paraId="15D36BB8" w14:textId="77777777" w:rsidR="00271CA3" w:rsidRPr="005B4FAE" w:rsidRDefault="00271CA3" w:rsidP="00271CA3">
      <w:r w:rsidRPr="005B4FAE">
        <w:t xml:space="preserve">ICO (2023). </w:t>
      </w:r>
      <w:r w:rsidRPr="005B4FAE">
        <w:rPr>
          <w:i/>
          <w:iCs/>
        </w:rPr>
        <w:t>Policies and procedures</w:t>
      </w:r>
      <w:r w:rsidRPr="005B4FAE">
        <w:t>. [online] ico.org.uk. Available at: https://ico.org.uk/for-organisations/uk-gdpr-guidance-and-resources/accountability-and-governance/accountability-framework/policies-and-procedures/ [Accessed 26 Nov. 2024].</w:t>
      </w:r>
    </w:p>
    <w:p w14:paraId="6AD82F82" w14:textId="77777777" w:rsidR="00271CA3" w:rsidRPr="005B4FAE" w:rsidRDefault="00271CA3" w:rsidP="00271CA3">
      <w:proofErr w:type="spellStart"/>
      <w:r w:rsidRPr="005B4FAE">
        <w:lastRenderedPageBreak/>
        <w:t>LawTeacher</w:t>
      </w:r>
      <w:proofErr w:type="spellEnd"/>
      <w:r w:rsidRPr="005B4FAE">
        <w:t xml:space="preserve"> (2019a). </w:t>
      </w:r>
      <w:r w:rsidRPr="005B4FAE">
        <w:rPr>
          <w:i/>
          <w:iCs/>
        </w:rPr>
        <w:t>Criminal Law and Procedure for Police and Criminal Evidence</w:t>
      </w:r>
      <w:r w:rsidRPr="005B4FAE">
        <w:t>. [online] www.lawteacher.net. Available at: https://www.lawteacher.net/free-law-essays/criminal-law/criminal-law-and-procedure-for-police-and-criminal-evidence-law-essays.php.</w:t>
      </w:r>
    </w:p>
    <w:p w14:paraId="02A37AE0" w14:textId="77777777" w:rsidR="00271CA3" w:rsidRPr="005B4FAE" w:rsidRDefault="00271CA3" w:rsidP="00271CA3">
      <w:proofErr w:type="spellStart"/>
      <w:r w:rsidRPr="005B4FAE">
        <w:t>LawTeacher</w:t>
      </w:r>
      <w:proofErr w:type="spellEnd"/>
      <w:r w:rsidRPr="005B4FAE">
        <w:t xml:space="preserve"> (2019b). </w:t>
      </w:r>
      <w:r w:rsidRPr="005B4FAE">
        <w:rPr>
          <w:i/>
          <w:iCs/>
        </w:rPr>
        <w:t>Police and Criminal Evidence Act 1984</w:t>
      </w:r>
      <w:r w:rsidRPr="005B4FAE">
        <w:t>. [online] www.lawteacher.net. Available at: https://www.lawteacher.net/acts/police-and-criminal-evidence-act.php#citethis [Accessed 26 Nov. 2024].</w:t>
      </w:r>
    </w:p>
    <w:p w14:paraId="54ADA589" w14:textId="77777777" w:rsidR="00271CA3" w:rsidRPr="005B4FAE" w:rsidRDefault="00271CA3" w:rsidP="00271CA3">
      <w:r w:rsidRPr="005B4FAE">
        <w:t xml:space="preserve">Newburn, T. ed., (2008). </w:t>
      </w:r>
      <w:r w:rsidRPr="005B4FAE">
        <w:rPr>
          <w:i/>
          <w:iCs/>
        </w:rPr>
        <w:t>Handbook of Policing</w:t>
      </w:r>
      <w:r w:rsidRPr="005B4FAE">
        <w:t>. [online] https://ebookcentral.proquest.com/lib/trinity/detail.action?docID=483197. Available at: https://ebookcentral.proquest.com/lib/trinity/reader.action?docID=483197 [Accessed 28 Nov. 2024].</w:t>
      </w:r>
    </w:p>
    <w:p w14:paraId="24B46186" w14:textId="77777777" w:rsidR="00271CA3" w:rsidRPr="005B4FAE" w:rsidRDefault="00271CA3" w:rsidP="00271CA3">
      <w:r w:rsidRPr="005B4FAE">
        <w:t xml:space="preserve">Richards, G. (2022). </w:t>
      </w:r>
      <w:r w:rsidRPr="005B4FAE">
        <w:rPr>
          <w:i/>
          <w:iCs/>
        </w:rPr>
        <w:t>Police accountability</w:t>
      </w:r>
      <w:r w:rsidRPr="005B4FAE">
        <w:t>. [online] Institute for Government. Available at: https://www.instituteforgovernment.org.uk/article/explainer/police-accountability [Accessed 28 Nov. 2024].</w:t>
      </w:r>
    </w:p>
    <w:p w14:paraId="370E199D" w14:textId="77777777" w:rsidR="00271CA3" w:rsidRPr="005B4FAE" w:rsidRDefault="00271CA3" w:rsidP="00271CA3">
      <w:r w:rsidRPr="005B4FAE">
        <w:t xml:space="preserve">University of Cambridge (2016). </w:t>
      </w:r>
      <w:r w:rsidRPr="005B4FAE">
        <w:rPr>
          <w:i/>
          <w:iCs/>
        </w:rPr>
        <w:t>Use of body-worn cameras sees complaints against police ‘virtually vanish’, study finds</w:t>
      </w:r>
      <w:r w:rsidRPr="005B4FAE">
        <w:t>. [online] University of Cambridge. Available at: https://www.cam.ac.uk/research/news/use-of-body-worn-cameras-sees-complaints-against-police-virtually-vanish-study-finds [Accessed 26 Nov. 2024].</w:t>
      </w:r>
    </w:p>
    <w:p w14:paraId="618A863F" w14:textId="77777777" w:rsidR="001A4E4E" w:rsidRDefault="001A4E4E"/>
    <w:p w14:paraId="3F4B0A52" w14:textId="6A7D1093" w:rsidR="00271CA3" w:rsidRDefault="00271CA3">
      <w:r>
        <w:br w:type="page"/>
      </w:r>
    </w:p>
    <w:p w14:paraId="05EC1566" w14:textId="27B57B47" w:rsidR="00271CA3" w:rsidRPr="006C3C20" w:rsidRDefault="00271CA3" w:rsidP="00271CA3">
      <w:pPr>
        <w:spacing w:after="0" w:line="276" w:lineRule="auto"/>
        <w:ind w:left="567" w:right="531"/>
        <w:rPr>
          <w:rFonts w:ascii="Arial" w:eastAsia="Times New Roman" w:hAnsi="Arial" w:cs="Arial"/>
          <w:b/>
          <w:bCs/>
          <w:lang w:eastAsia="en-GB"/>
        </w:rPr>
      </w:pPr>
      <w:r>
        <w:rPr>
          <w:rFonts w:ascii="Arial" w:eastAsia="Times New Roman" w:hAnsi="Arial" w:cs="Arial"/>
          <w:b/>
          <w:bCs/>
          <w:lang w:eastAsia="en-GB"/>
        </w:rPr>
        <w:lastRenderedPageBreak/>
        <w:t>E</w:t>
      </w:r>
      <w:r w:rsidRPr="006C3C20">
        <w:rPr>
          <w:rFonts w:ascii="Arial" w:eastAsia="Times New Roman" w:hAnsi="Arial" w:cs="Arial"/>
          <w:b/>
          <w:bCs/>
          <w:lang w:eastAsia="en-GB"/>
        </w:rPr>
        <w:t xml:space="preserve">ssay </w:t>
      </w:r>
      <w:r>
        <w:rPr>
          <w:rFonts w:ascii="Arial" w:eastAsia="Times New Roman" w:hAnsi="Arial" w:cs="Arial"/>
          <w:b/>
          <w:bCs/>
          <w:lang w:eastAsia="en-GB"/>
        </w:rPr>
        <w:t>two – Public Protection</w:t>
      </w:r>
    </w:p>
    <w:p w14:paraId="4CFDA087" w14:textId="77777777" w:rsidR="00271CA3" w:rsidRPr="0008457B" w:rsidRDefault="00271CA3" w:rsidP="00271CA3">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What characteristics (socio-economic, psychological etc.) can make a person vulnerable to exploitation to criminal gangs? </w:t>
      </w:r>
    </w:p>
    <w:p w14:paraId="390436E8" w14:textId="77777777" w:rsidR="00271CA3" w:rsidRDefault="00271CA3" w:rsidP="00271CA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p>
    <w:p w14:paraId="2BF8E168" w14:textId="71BB3047" w:rsidR="00271CA3" w:rsidRDefault="00271CA3" w:rsidP="00271CA3">
      <w:pPr>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5E29366B" w14:textId="77777777" w:rsidR="00271CA3" w:rsidRDefault="00271CA3" w:rsidP="00271CA3">
      <w:pPr>
        <w:rPr>
          <w:rFonts w:ascii="Arial" w:eastAsia="Times New Roman" w:hAnsi="Arial" w:cs="Arial"/>
          <w:lang w:eastAsia="en-GB"/>
        </w:rPr>
      </w:pPr>
    </w:p>
    <w:p w14:paraId="5E62603F" w14:textId="77777777" w:rsidR="00271CA3" w:rsidRDefault="00271CA3" w:rsidP="00271CA3">
      <w:pPr>
        <w:spacing w:after="0" w:line="276" w:lineRule="auto"/>
        <w:ind w:right="531"/>
        <w:rPr>
          <w:rFonts w:ascii="Arial" w:eastAsia="Times New Roman" w:hAnsi="Arial" w:cs="Arial"/>
          <w:lang w:eastAsia="en-GB"/>
        </w:rPr>
      </w:pPr>
      <w:r w:rsidRPr="00186723">
        <w:rPr>
          <w:rFonts w:ascii="Arial" w:eastAsia="Times New Roman" w:hAnsi="Arial" w:cs="Arial"/>
          <w:lang w:eastAsia="en-GB"/>
        </w:rPr>
        <w:t xml:space="preserve">Criminal exploitation is a lesser-known type of modern slavery (National Crime Agency, 2018) and displaying vulnerabilities is a characteristic that criminal gangs look for in a person to then exploit them. This essay will explore the characteristics that can enable criminal gangs to target vulnerable people. The individuals at risk are usually ones that have been exposed to </w:t>
      </w:r>
      <w:r>
        <w:rPr>
          <w:rFonts w:ascii="Arial" w:eastAsia="Times New Roman" w:hAnsi="Arial" w:cs="Arial"/>
          <w:lang w:eastAsia="en-GB"/>
        </w:rPr>
        <w:t>A</w:t>
      </w:r>
      <w:r w:rsidRPr="00186723">
        <w:rPr>
          <w:rFonts w:ascii="Arial" w:eastAsia="Times New Roman" w:hAnsi="Arial" w:cs="Arial"/>
          <w:lang w:eastAsia="en-GB"/>
        </w:rPr>
        <w:t xml:space="preserve">dverse </w:t>
      </w:r>
      <w:r>
        <w:rPr>
          <w:rFonts w:ascii="Arial" w:eastAsia="Times New Roman" w:hAnsi="Arial" w:cs="Arial"/>
          <w:lang w:eastAsia="en-GB"/>
        </w:rPr>
        <w:t>C</w:t>
      </w:r>
      <w:r w:rsidRPr="00186723">
        <w:rPr>
          <w:rFonts w:ascii="Arial" w:eastAsia="Times New Roman" w:hAnsi="Arial" w:cs="Arial"/>
          <w:lang w:eastAsia="en-GB"/>
        </w:rPr>
        <w:t xml:space="preserve">hildhood </w:t>
      </w:r>
      <w:r>
        <w:rPr>
          <w:rFonts w:ascii="Arial" w:eastAsia="Times New Roman" w:hAnsi="Arial" w:cs="Arial"/>
          <w:lang w:eastAsia="en-GB"/>
        </w:rPr>
        <w:t>E</w:t>
      </w:r>
      <w:r w:rsidRPr="00186723">
        <w:rPr>
          <w:rFonts w:ascii="Arial" w:eastAsia="Times New Roman" w:hAnsi="Arial" w:cs="Arial"/>
          <w:lang w:eastAsia="en-GB"/>
        </w:rPr>
        <w:t>xperiences (ACEs), drug dependenc</w:t>
      </w:r>
      <w:r>
        <w:rPr>
          <w:rFonts w:ascii="Arial" w:eastAsia="Times New Roman" w:hAnsi="Arial" w:cs="Arial"/>
          <w:lang w:eastAsia="en-GB"/>
        </w:rPr>
        <w:t>ies</w:t>
      </w:r>
      <w:r w:rsidRPr="00186723">
        <w:rPr>
          <w:rFonts w:ascii="Arial" w:eastAsia="Times New Roman" w:hAnsi="Arial" w:cs="Arial"/>
          <w:lang w:eastAsia="en-GB"/>
        </w:rPr>
        <w:t xml:space="preserve"> and homelessness (The Centre for Social Justice, 2024).</w:t>
      </w:r>
    </w:p>
    <w:p w14:paraId="7F132D58" w14:textId="77777777" w:rsidR="00271CA3" w:rsidRPr="00186723" w:rsidRDefault="00271CA3" w:rsidP="00271CA3">
      <w:pPr>
        <w:spacing w:after="0" w:line="276" w:lineRule="auto"/>
        <w:ind w:right="531"/>
        <w:rPr>
          <w:rFonts w:ascii="Arial" w:eastAsia="Times New Roman" w:hAnsi="Arial" w:cs="Arial"/>
          <w:lang w:eastAsia="en-GB"/>
        </w:rPr>
      </w:pPr>
    </w:p>
    <w:p w14:paraId="1DBF8EB8" w14:textId="352FC9D8" w:rsidR="00271CA3" w:rsidRPr="00D92126" w:rsidRDefault="00271CA3" w:rsidP="00271CA3">
      <w:pPr>
        <w:spacing w:after="0" w:line="276" w:lineRule="auto"/>
        <w:ind w:right="531"/>
        <w:rPr>
          <w:rFonts w:ascii="Arial" w:eastAsia="Times New Roman" w:hAnsi="Arial" w:cs="Arial"/>
          <w:color w:val="FF0000"/>
          <w:lang w:eastAsia="en-GB"/>
        </w:rPr>
      </w:pPr>
      <w:r w:rsidRPr="00186723">
        <w:rPr>
          <w:rFonts w:ascii="Arial" w:eastAsia="Times New Roman" w:hAnsi="Arial" w:cs="Arial"/>
          <w:lang w:eastAsia="en-GB"/>
        </w:rPr>
        <w:t>Being vulnerable is defined as pe</w:t>
      </w:r>
      <w:r>
        <w:rPr>
          <w:rFonts w:ascii="Arial" w:eastAsia="Times New Roman" w:hAnsi="Arial" w:cs="Arial"/>
          <w:lang w:eastAsia="en-GB"/>
        </w:rPr>
        <w:t>ople</w:t>
      </w:r>
      <w:r w:rsidRPr="00186723">
        <w:rPr>
          <w:rFonts w:ascii="Arial" w:eastAsia="Times New Roman" w:hAnsi="Arial" w:cs="Arial"/>
          <w:lang w:eastAsia="en-GB"/>
        </w:rPr>
        <w:t xml:space="preserve"> who require special care, support or protection due to their age, disabilities or how likely they are to suffer from neglect (Office for Health Improvement and Disparities 2022). Being vulnerable makes a person more susceptible to exploitation as their perceptions of reality</w:t>
      </w:r>
      <w:r w:rsidR="00DC1627">
        <w:rPr>
          <w:rFonts w:ascii="Arial" w:eastAsia="Times New Roman" w:hAnsi="Arial" w:cs="Arial"/>
          <w:lang w:eastAsia="en-GB"/>
        </w:rPr>
        <w:t xml:space="preserve"> </w:t>
      </w:r>
      <w:r w:rsidR="00D92126">
        <w:rPr>
          <w:rFonts w:ascii="Arial" w:eastAsia="Times New Roman" w:hAnsi="Arial" w:cs="Arial"/>
          <w:lang w:eastAsia="en-GB"/>
        </w:rPr>
        <w:t>are</w:t>
      </w:r>
      <w:r w:rsidRPr="00186723">
        <w:rPr>
          <w:rFonts w:ascii="Arial" w:eastAsia="Times New Roman" w:hAnsi="Arial" w:cs="Arial"/>
          <w:lang w:eastAsia="en-GB"/>
        </w:rPr>
        <w:t xml:space="preserve"> either clouded due to mental health issues </w:t>
      </w:r>
      <w:r>
        <w:rPr>
          <w:rFonts w:ascii="Arial" w:eastAsia="Times New Roman" w:hAnsi="Arial" w:cs="Arial"/>
          <w:lang w:eastAsia="en-GB"/>
        </w:rPr>
        <w:t>and</w:t>
      </w:r>
      <w:r w:rsidRPr="00186723">
        <w:rPr>
          <w:rFonts w:ascii="Arial" w:eastAsia="Times New Roman" w:hAnsi="Arial" w:cs="Arial"/>
          <w:lang w:eastAsia="en-GB"/>
        </w:rPr>
        <w:t xml:space="preserve"> disabilities or are obscured by false promises and </w:t>
      </w:r>
      <w:r>
        <w:rPr>
          <w:rFonts w:ascii="Arial" w:eastAsia="Times New Roman" w:hAnsi="Arial" w:cs="Arial"/>
          <w:lang w:eastAsia="en-GB"/>
        </w:rPr>
        <w:t xml:space="preserve">the </w:t>
      </w:r>
      <w:r w:rsidRPr="00186723">
        <w:rPr>
          <w:rFonts w:ascii="Arial" w:eastAsia="Times New Roman" w:hAnsi="Arial" w:cs="Arial"/>
          <w:lang w:eastAsia="en-GB"/>
        </w:rPr>
        <w:t>lifestyles lead by senior gang members.</w:t>
      </w:r>
      <w:r w:rsidRPr="00186723">
        <w:rPr>
          <w:rFonts w:ascii="Times New Roman" w:eastAsia="Times New Roman" w:hAnsi="Times New Roman" w:cs="Times New Roman"/>
          <w:sz w:val="24"/>
          <w:szCs w:val="24"/>
          <w:lang w:eastAsia="en-GB"/>
          <w14:ligatures w14:val="none"/>
        </w:rPr>
        <w:t xml:space="preserve"> </w:t>
      </w:r>
      <w:r w:rsidRPr="00186723">
        <w:rPr>
          <w:rFonts w:ascii="Arial" w:eastAsia="Times New Roman" w:hAnsi="Arial" w:cs="Arial"/>
          <w:lang w:eastAsia="en-GB"/>
        </w:rPr>
        <w:t>(O’Hagan and Edmundson, 2021). This means that those who display vulnerabilities are targeted by criminal gangs and become vulnerable to exploitation.</w:t>
      </w:r>
    </w:p>
    <w:p w14:paraId="58D2E529" w14:textId="77777777" w:rsidR="00271CA3" w:rsidRPr="00186723" w:rsidRDefault="00271CA3" w:rsidP="00271CA3">
      <w:pPr>
        <w:spacing w:after="0" w:line="276" w:lineRule="auto"/>
        <w:ind w:right="531"/>
        <w:rPr>
          <w:rFonts w:ascii="Arial" w:eastAsia="Times New Roman" w:hAnsi="Arial" w:cs="Arial"/>
          <w:lang w:eastAsia="en-GB"/>
        </w:rPr>
      </w:pPr>
    </w:p>
    <w:p w14:paraId="2DAE3834" w14:textId="77777777" w:rsidR="00271CA3" w:rsidRPr="00186723" w:rsidRDefault="00271CA3" w:rsidP="00271CA3">
      <w:pPr>
        <w:spacing w:after="0" w:line="276" w:lineRule="auto"/>
        <w:ind w:right="531"/>
        <w:rPr>
          <w:rFonts w:ascii="Arial" w:eastAsia="Times New Roman" w:hAnsi="Arial" w:cs="Arial"/>
          <w:lang w:eastAsia="en-GB"/>
        </w:rPr>
      </w:pPr>
      <w:r w:rsidRPr="00186723">
        <w:rPr>
          <w:rFonts w:ascii="Arial" w:eastAsia="Times New Roman" w:hAnsi="Arial" w:cs="Arial"/>
          <w:lang w:eastAsia="en-GB"/>
        </w:rPr>
        <w:t>Traumatic events and unfavourable circumstances in a person’s life, especially within the early stages</w:t>
      </w:r>
      <w:r>
        <w:rPr>
          <w:rFonts w:ascii="Arial" w:eastAsia="Times New Roman" w:hAnsi="Arial" w:cs="Arial"/>
          <w:lang w:eastAsia="en-GB"/>
        </w:rPr>
        <w:t>,</w:t>
      </w:r>
      <w:r w:rsidRPr="00186723">
        <w:rPr>
          <w:rFonts w:ascii="Arial" w:eastAsia="Times New Roman" w:hAnsi="Arial" w:cs="Arial"/>
          <w:lang w:eastAsia="en-GB"/>
        </w:rPr>
        <w:t xml:space="preserve"> can shape the rest of their life and can make them more susceptible to being exploited by criminal gangs (Office for Health Improvement and Disparities (2022)). These traumatic events are referred to as Adverse Childhood Experiences (ACEs). ACEs are seen as significantly stressful and traumatic events or situations that happen during childhood, and they can be caused from a single event or due to a prolonged breaches of a child’s safety, security and trust during their upbringing (NHS, 2021). More than half of the children who are exploited sexually by criminal gangs’ present signs of ACEs that stem from the family disruption, with the most prevalent reasons being parental criminal past, the lack of a parental figures and siblings being removed from the family dynamic (Hanlin, Kivisto and Gold, 2024). Other examples of the causes of ACES include physical, sexual or emotional abuse to the child, living with someone who abuses drugs or alcohol, witnessing or being subject of domestic abuse and many more (NHS, 2021). </w:t>
      </w:r>
    </w:p>
    <w:p w14:paraId="0FAEE25C" w14:textId="77777777" w:rsidR="00271CA3" w:rsidRPr="00186723" w:rsidRDefault="00271CA3" w:rsidP="00271CA3">
      <w:pPr>
        <w:spacing w:after="0" w:line="276" w:lineRule="auto"/>
        <w:ind w:right="531"/>
        <w:rPr>
          <w:rFonts w:ascii="Arial" w:eastAsia="Times New Roman" w:hAnsi="Arial" w:cs="Arial"/>
          <w:lang w:eastAsia="en-GB"/>
        </w:rPr>
      </w:pPr>
    </w:p>
    <w:p w14:paraId="432E9121" w14:textId="77777777" w:rsidR="00271CA3" w:rsidRPr="00186723" w:rsidRDefault="00271CA3" w:rsidP="00271CA3">
      <w:pPr>
        <w:spacing w:after="0" w:line="276" w:lineRule="auto"/>
        <w:ind w:right="531"/>
        <w:rPr>
          <w:rFonts w:ascii="Arial" w:eastAsia="Times New Roman" w:hAnsi="Arial" w:cs="Arial"/>
          <w:lang w:eastAsia="en-GB"/>
        </w:rPr>
      </w:pPr>
      <w:r w:rsidRPr="00186723">
        <w:rPr>
          <w:rFonts w:ascii="Arial" w:eastAsia="Times New Roman" w:hAnsi="Arial" w:cs="Arial"/>
          <w:lang w:eastAsia="en-GB"/>
        </w:rPr>
        <w:t>A child who experiences ACEs growing up can lead them to exploitation. This is because children copy adults even to a fault (Telis, 2010) so they are more likely to be violent in school if they witness violence at home. This violence can lead to the child being expelled from school, causing them social isolation from their peer groups and therefore the youth idolise the lifestyle of senior gang member</w:t>
      </w:r>
      <w:r>
        <w:rPr>
          <w:rFonts w:ascii="Arial" w:eastAsia="Times New Roman" w:hAnsi="Arial" w:cs="Arial"/>
          <w:lang w:eastAsia="en-GB"/>
        </w:rPr>
        <w:t>s</w:t>
      </w:r>
      <w:r w:rsidRPr="00186723">
        <w:rPr>
          <w:rFonts w:ascii="Arial" w:eastAsia="Times New Roman" w:hAnsi="Arial" w:cs="Arial"/>
          <w:lang w:eastAsia="en-GB"/>
        </w:rPr>
        <w:t xml:space="preserve"> and </w:t>
      </w:r>
      <w:r>
        <w:rPr>
          <w:rFonts w:ascii="Arial" w:eastAsia="Times New Roman" w:hAnsi="Arial" w:cs="Arial"/>
          <w:lang w:eastAsia="en-GB"/>
        </w:rPr>
        <w:t>become</w:t>
      </w:r>
      <w:r w:rsidRPr="00186723">
        <w:rPr>
          <w:rFonts w:ascii="Arial" w:eastAsia="Times New Roman" w:hAnsi="Arial" w:cs="Arial"/>
          <w:lang w:eastAsia="en-GB"/>
        </w:rPr>
        <w:t xml:space="preserve"> easily exploitable (The Centre for Social Justice, 2024)</w:t>
      </w:r>
      <w:r w:rsidRPr="00186723">
        <w:rPr>
          <w:rFonts w:ascii="Times New Roman" w:eastAsia="Times New Roman" w:hAnsi="Times New Roman" w:cs="Times New Roman"/>
          <w:sz w:val="24"/>
          <w:szCs w:val="24"/>
          <w:lang w:eastAsia="en-GB"/>
          <w14:ligatures w14:val="none"/>
        </w:rPr>
        <w:t xml:space="preserve"> </w:t>
      </w:r>
      <w:r w:rsidRPr="00186723">
        <w:rPr>
          <w:rFonts w:ascii="Arial" w:eastAsia="Times New Roman" w:hAnsi="Arial" w:cs="Arial"/>
          <w:lang w:eastAsia="en-GB"/>
        </w:rPr>
        <w:t xml:space="preserve">(NSPCC, 2023) (O’Hagan and Edmundson, 2021). When a child becomes socially isolated from their peers, they look for friendships and attention from elsewhere. Criminal gangs are aware of this and generally target Caucasian children due to them being cheap to employ, easy to control and most importantly for the gangs, they are less likely to be detected as drugs </w:t>
      </w:r>
      <w:r w:rsidRPr="00186723">
        <w:rPr>
          <w:rFonts w:ascii="Arial" w:eastAsia="Times New Roman" w:hAnsi="Arial" w:cs="Arial"/>
          <w:lang w:eastAsia="en-GB"/>
        </w:rPr>
        <w:lastRenderedPageBreak/>
        <w:t>runners or members of a criminal gang (O’Hagan and Edmundson, 2021).The more time that a child is out of school, this gives criminal gangs more time to coerce and exploit them and the longer that a child is being exploited, the harder it becomes for them to leave (The Centre for Social Justice, 2024) as they feel like there is no way out after receiving gifts or owing debts to the gangs and due to threats that are often made to them they become too scared to leave (Stone, 2018) (O’Hagan and Edmundson, 2021). These ACEs that a child may experience does not always lead them to exploitation. Other factors such as having supportive families and other areas of support can held a child not become coerced in to in criminal activities (Office for Health Improvement and Disparities (2022)).</w:t>
      </w:r>
    </w:p>
    <w:p w14:paraId="6C82712F" w14:textId="77777777" w:rsidR="00271CA3" w:rsidRPr="00186723" w:rsidRDefault="00271CA3" w:rsidP="00271CA3">
      <w:pPr>
        <w:spacing w:after="0" w:line="276" w:lineRule="auto"/>
        <w:ind w:right="531"/>
        <w:rPr>
          <w:rFonts w:ascii="Arial" w:eastAsia="Times New Roman" w:hAnsi="Arial" w:cs="Arial"/>
          <w:lang w:eastAsia="en-GB"/>
        </w:rPr>
      </w:pPr>
    </w:p>
    <w:p w14:paraId="633CFBE0" w14:textId="46B011D9" w:rsidR="00271CA3" w:rsidRPr="00186723" w:rsidRDefault="00271CA3" w:rsidP="00271CA3">
      <w:pPr>
        <w:spacing w:after="0" w:line="276" w:lineRule="auto"/>
        <w:ind w:right="531"/>
        <w:rPr>
          <w:rFonts w:ascii="Arial" w:eastAsia="Times New Roman" w:hAnsi="Arial" w:cs="Arial"/>
          <w:lang w:eastAsia="en-GB"/>
        </w:rPr>
      </w:pPr>
      <w:r w:rsidRPr="00186723">
        <w:rPr>
          <w:rFonts w:ascii="Arial" w:eastAsia="Times New Roman" w:hAnsi="Arial" w:cs="Arial"/>
          <w:lang w:eastAsia="en-GB"/>
        </w:rPr>
        <w:t xml:space="preserve">Adults are also targeted, much for the same reasons as children are. The characteristics that criminal gangs look for in adults are those who are drug users already, have mental health issues or have disabilities (O’Hagan and Edmundson, 2021). </w:t>
      </w:r>
      <w:r w:rsidRPr="00D92126">
        <w:rPr>
          <w:rFonts w:ascii="Arial" w:eastAsia="Times New Roman" w:hAnsi="Arial" w:cs="Arial"/>
          <w:lang w:eastAsia="en-GB"/>
        </w:rPr>
        <w:t>Th</w:t>
      </w:r>
      <w:r w:rsidR="00D92126" w:rsidRPr="00D92126">
        <w:rPr>
          <w:rFonts w:ascii="Arial" w:eastAsia="Times New Roman" w:hAnsi="Arial" w:cs="Arial"/>
          <w:lang w:eastAsia="en-GB"/>
        </w:rPr>
        <w:t>e</w:t>
      </w:r>
      <w:r w:rsidRPr="00D92126">
        <w:rPr>
          <w:rFonts w:ascii="Arial" w:eastAsia="Times New Roman" w:hAnsi="Arial" w:cs="Arial"/>
          <w:lang w:eastAsia="en-GB"/>
        </w:rPr>
        <w:t xml:space="preserve"> reason criminal gangs look to build up drug debts with local drug users are because once a drug debt is established, it gives the gang more reason to coerce the subject into further criminal activities (O’Hagan and Edmundson, 2021). This is done when drugs are offered as a gift, before then gangs request payment for the drugs. Gangs know that payment is unable </w:t>
      </w:r>
      <w:r w:rsidRPr="00186723">
        <w:rPr>
          <w:rFonts w:ascii="Arial" w:eastAsia="Times New Roman" w:hAnsi="Arial" w:cs="Arial"/>
          <w:lang w:eastAsia="en-GB"/>
        </w:rPr>
        <w:t>to be made so the user is then in debt to the gang leading them to being exploited (The Centre for Social Justice, 2024). If debts are not paid to the criminal gangs, male adults are likely to become the subject to physical violence and female adults are more likely to suffer sexual exploitation rather than physical violence (O’Hagan and Edmundson, 2021).</w:t>
      </w:r>
    </w:p>
    <w:p w14:paraId="3597BE7B" w14:textId="77777777" w:rsidR="00271CA3" w:rsidRPr="00186723" w:rsidRDefault="00271CA3" w:rsidP="00271CA3">
      <w:pPr>
        <w:spacing w:after="0" w:line="276" w:lineRule="auto"/>
        <w:ind w:right="531"/>
        <w:rPr>
          <w:rFonts w:ascii="Arial" w:eastAsia="Times New Roman" w:hAnsi="Arial" w:cs="Arial"/>
          <w:lang w:eastAsia="en-GB"/>
        </w:rPr>
      </w:pPr>
    </w:p>
    <w:p w14:paraId="19734310" w14:textId="6BA98E24" w:rsidR="00271CA3" w:rsidRPr="00186723" w:rsidRDefault="00271CA3" w:rsidP="00271CA3">
      <w:pPr>
        <w:spacing w:after="0" w:line="276" w:lineRule="auto"/>
        <w:ind w:right="531"/>
        <w:rPr>
          <w:rFonts w:ascii="Arial" w:eastAsia="Times New Roman" w:hAnsi="Arial" w:cs="Arial"/>
          <w:lang w:eastAsia="en-GB"/>
        </w:rPr>
      </w:pPr>
      <w:r w:rsidRPr="00186723">
        <w:rPr>
          <w:rFonts w:ascii="Arial" w:eastAsia="Times New Roman" w:hAnsi="Arial" w:cs="Arial"/>
          <w:lang w:eastAsia="en-GB"/>
        </w:rPr>
        <w:t>Socio-economic disadvantaged people are more susceptible to being exploited by criminal gangs. This is because they see the lifestyle that the senior gang members are leading with new cars, designer clothing and watches, and in general the lifestyle that they lead, and they see this as a way out of their current situation (O’Hagan and Edmundson, 2021). This is not always the case and, in most cases, those who are being exploited get moved from the cities to rural areas to work (O’Hagan and Edmundson, 2021). This is because it is harder for the police to detect those being exploited by criminal gangs in rural and sub-urban areas. Runners are also made to use the rail network or private vehicles to transport drugs as these methods are harder to detect (</w:t>
      </w:r>
      <w:proofErr w:type="spellStart"/>
      <w:r w:rsidRPr="00186723">
        <w:rPr>
          <w:rFonts w:ascii="Arial" w:eastAsia="Times New Roman" w:hAnsi="Arial" w:cs="Arial"/>
          <w:lang w:eastAsia="en-GB"/>
        </w:rPr>
        <w:t>CrimeStoppers</w:t>
      </w:r>
      <w:proofErr w:type="spellEnd"/>
      <w:r w:rsidRPr="00186723">
        <w:rPr>
          <w:rFonts w:ascii="Arial" w:eastAsia="Times New Roman" w:hAnsi="Arial" w:cs="Arial"/>
          <w:lang w:eastAsia="en-GB"/>
        </w:rPr>
        <w:t>, 2021). Being moved to rural areas, often away from their families and friends, it is more difficult for those involved to find a way out as a lot of the time they are unaware of where they are, leading them to being exploited long term.</w:t>
      </w:r>
    </w:p>
    <w:p w14:paraId="75E07023" w14:textId="77777777" w:rsidR="00271CA3" w:rsidRPr="00186723" w:rsidRDefault="00271CA3" w:rsidP="00271CA3">
      <w:pPr>
        <w:spacing w:after="0" w:line="276" w:lineRule="auto"/>
        <w:ind w:left="567" w:right="531"/>
        <w:rPr>
          <w:rFonts w:ascii="Arial" w:eastAsia="Times New Roman" w:hAnsi="Arial" w:cs="Arial"/>
          <w:lang w:eastAsia="en-GB"/>
        </w:rPr>
      </w:pPr>
    </w:p>
    <w:p w14:paraId="3E3AD8D0" w14:textId="77777777" w:rsidR="00271CA3" w:rsidRPr="00186723" w:rsidRDefault="00271CA3" w:rsidP="00271CA3">
      <w:pPr>
        <w:spacing w:after="0" w:line="276" w:lineRule="auto"/>
        <w:ind w:right="531"/>
        <w:rPr>
          <w:rFonts w:ascii="Arial" w:eastAsia="Times New Roman" w:hAnsi="Arial" w:cs="Arial"/>
          <w:lang w:eastAsia="en-GB"/>
        </w:rPr>
      </w:pPr>
      <w:r w:rsidRPr="00186723">
        <w:rPr>
          <w:rFonts w:ascii="Arial" w:eastAsia="Times New Roman" w:hAnsi="Arial" w:cs="Arial"/>
          <w:lang w:eastAsia="en-GB"/>
        </w:rPr>
        <w:t>In several cases, drug users are homeless and are offered a place to live from the local gangs, this not only gives the user a place to live and through the colder months somewhere out of the elements, but it serves as a place that they are able to use drugs in private. Much the same as drug debts, criminal gangs use the housing to build up drug debts to ensure that the user is unable to leave through fear of violence or being evicted from the property, making them homeless again (The Centre for Social Justice, 2024).</w:t>
      </w:r>
    </w:p>
    <w:p w14:paraId="729C8531" w14:textId="77777777" w:rsidR="00271CA3" w:rsidRPr="00186723" w:rsidRDefault="00271CA3" w:rsidP="00271CA3">
      <w:pPr>
        <w:spacing w:after="0" w:line="276" w:lineRule="auto"/>
        <w:ind w:right="531"/>
        <w:rPr>
          <w:rFonts w:ascii="Arial" w:eastAsia="Times New Roman" w:hAnsi="Arial" w:cs="Arial"/>
          <w:lang w:eastAsia="en-GB"/>
        </w:rPr>
      </w:pPr>
    </w:p>
    <w:p w14:paraId="3ED252D1" w14:textId="2FB64AF0" w:rsidR="00271CA3" w:rsidRDefault="00271CA3" w:rsidP="00271CA3">
      <w:pPr>
        <w:spacing w:after="0" w:line="276" w:lineRule="auto"/>
        <w:ind w:right="531"/>
        <w:rPr>
          <w:rFonts w:ascii="Arial" w:eastAsia="Times New Roman" w:hAnsi="Arial" w:cs="Arial"/>
          <w:lang w:eastAsia="en-GB"/>
        </w:rPr>
      </w:pPr>
      <w:r w:rsidRPr="00186723">
        <w:rPr>
          <w:rFonts w:ascii="Arial" w:eastAsia="Times New Roman" w:hAnsi="Arial" w:cs="Arial"/>
          <w:lang w:eastAsia="en-GB"/>
        </w:rPr>
        <w:t>To conclude, this essay has explored several factors that can make a person more vulnerable to exploitation by criminal gangs. ACE’s, drug decencies and social issues are all contributing factors to criminal gang exploitation of young people.</w:t>
      </w:r>
    </w:p>
    <w:p w14:paraId="25BFE9EE" w14:textId="77777777" w:rsidR="00271CA3" w:rsidRDefault="00271CA3" w:rsidP="00271CA3">
      <w:pPr>
        <w:spacing w:after="0" w:line="276" w:lineRule="auto"/>
        <w:ind w:left="567" w:right="531"/>
        <w:rPr>
          <w:rFonts w:ascii="Arial" w:eastAsia="Times New Roman" w:hAnsi="Arial" w:cs="Arial"/>
          <w:lang w:eastAsia="en-GB"/>
        </w:rPr>
      </w:pPr>
    </w:p>
    <w:p w14:paraId="4E7E064F" w14:textId="77777777" w:rsidR="00271CA3" w:rsidRDefault="00271CA3" w:rsidP="00271CA3">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Bibliography </w:t>
      </w:r>
    </w:p>
    <w:p w14:paraId="53C4DD0A" w14:textId="77777777" w:rsidR="00271CA3" w:rsidRDefault="00271CA3" w:rsidP="00271CA3">
      <w:pPr>
        <w:spacing w:after="0" w:line="276" w:lineRule="auto"/>
        <w:ind w:left="567" w:right="531"/>
        <w:rPr>
          <w:rFonts w:ascii="Arial" w:eastAsia="Times New Roman" w:hAnsi="Arial" w:cs="Arial"/>
          <w:lang w:eastAsia="en-GB"/>
        </w:rPr>
      </w:pPr>
    </w:p>
    <w:p w14:paraId="4260A864" w14:textId="77777777" w:rsidR="00271CA3" w:rsidRDefault="00271CA3" w:rsidP="00271CA3">
      <w:pPr>
        <w:spacing w:after="0" w:line="276" w:lineRule="auto"/>
        <w:ind w:left="567" w:right="531"/>
        <w:rPr>
          <w:rFonts w:ascii="Arial" w:eastAsia="Times New Roman" w:hAnsi="Arial" w:cs="Arial"/>
          <w:lang w:eastAsia="en-GB"/>
        </w:rPr>
      </w:pPr>
      <w:proofErr w:type="spellStart"/>
      <w:r w:rsidRPr="00DB4AAE">
        <w:rPr>
          <w:rFonts w:ascii="Arial" w:eastAsia="Times New Roman" w:hAnsi="Arial" w:cs="Arial"/>
          <w:lang w:eastAsia="en-GB"/>
        </w:rPr>
        <w:t>CrimeStoppers</w:t>
      </w:r>
      <w:proofErr w:type="spellEnd"/>
      <w:r w:rsidRPr="00DB4AAE">
        <w:rPr>
          <w:rFonts w:ascii="Arial" w:eastAsia="Times New Roman" w:hAnsi="Arial" w:cs="Arial"/>
          <w:lang w:eastAsia="en-GB"/>
        </w:rPr>
        <w:t xml:space="preserve"> (2021). </w:t>
      </w:r>
      <w:r w:rsidRPr="00DB4AAE">
        <w:rPr>
          <w:rFonts w:ascii="Arial" w:eastAsia="Times New Roman" w:hAnsi="Arial" w:cs="Arial"/>
          <w:i/>
          <w:iCs/>
          <w:lang w:eastAsia="en-GB"/>
        </w:rPr>
        <w:t>County Lines</w:t>
      </w:r>
      <w:r w:rsidRPr="00DB4AAE">
        <w:rPr>
          <w:rFonts w:ascii="Arial" w:eastAsia="Times New Roman" w:hAnsi="Arial" w:cs="Arial"/>
          <w:lang w:eastAsia="en-GB"/>
        </w:rPr>
        <w:t xml:space="preserve">. [online] Crimestoppers-uk.org. Available at: </w:t>
      </w:r>
      <w:hyperlink r:id="rId5" w:history="1">
        <w:r w:rsidRPr="00DB4AAE">
          <w:rPr>
            <w:rStyle w:val="Hyperlink"/>
            <w:rFonts w:ascii="Arial" w:eastAsia="Times New Roman" w:hAnsi="Arial" w:cs="Arial"/>
            <w:lang w:eastAsia="en-GB"/>
          </w:rPr>
          <w:t>https://crimestoppers-uk.org/keeping-safe/community-family/county-line</w:t>
        </w:r>
      </w:hyperlink>
      <w:r>
        <w:rPr>
          <w:rFonts w:ascii="Arial" w:eastAsia="Times New Roman" w:hAnsi="Arial" w:cs="Arial"/>
          <w:lang w:eastAsia="en-GB"/>
        </w:rPr>
        <w:t xml:space="preserve"> </w:t>
      </w:r>
      <w:r w:rsidRPr="00DB4AAE">
        <w:rPr>
          <w:rFonts w:ascii="Arial" w:eastAsia="Times New Roman" w:hAnsi="Arial" w:cs="Arial"/>
          <w:lang w:eastAsia="en-GB"/>
        </w:rPr>
        <w:t>[Accessed 17 Sep. 2024].</w:t>
      </w:r>
    </w:p>
    <w:p w14:paraId="1128E36A" w14:textId="77777777" w:rsidR="00271CA3" w:rsidRPr="00DB4AAE" w:rsidRDefault="00271CA3" w:rsidP="00271CA3">
      <w:pPr>
        <w:spacing w:after="0" w:line="276" w:lineRule="auto"/>
        <w:ind w:left="567" w:right="531"/>
        <w:rPr>
          <w:rFonts w:ascii="Arial" w:eastAsia="Times New Roman" w:hAnsi="Arial" w:cs="Arial"/>
          <w:lang w:eastAsia="en-GB"/>
        </w:rPr>
      </w:pPr>
    </w:p>
    <w:p w14:paraId="68A9203D" w14:textId="77777777" w:rsidR="00271CA3" w:rsidRPr="00DB4AAE" w:rsidRDefault="00271CA3" w:rsidP="00271CA3">
      <w:pPr>
        <w:spacing w:after="0" w:line="276" w:lineRule="auto"/>
        <w:ind w:left="567" w:right="531"/>
        <w:rPr>
          <w:rFonts w:ascii="Arial" w:eastAsia="Times New Roman" w:hAnsi="Arial" w:cs="Arial"/>
          <w:lang w:eastAsia="en-GB"/>
        </w:rPr>
      </w:pPr>
      <w:r w:rsidRPr="00DB4AAE">
        <w:rPr>
          <w:rFonts w:ascii="Arial" w:eastAsia="Times New Roman" w:hAnsi="Arial" w:cs="Arial"/>
          <w:lang w:eastAsia="en-GB"/>
        </w:rPr>
        <w:t xml:space="preserve">Hanlin, H., Kivisto, A. and Gold, C. (2024). Exploring the Link among adverse childhood experiences and commercial sexual exploitation. </w:t>
      </w:r>
      <w:r w:rsidRPr="00DB4AAE">
        <w:rPr>
          <w:rFonts w:ascii="Arial" w:eastAsia="Times New Roman" w:hAnsi="Arial" w:cs="Arial"/>
          <w:i/>
          <w:iCs/>
          <w:lang w:eastAsia="en-GB"/>
        </w:rPr>
        <w:t>Child Protection and Practice</w:t>
      </w:r>
      <w:r w:rsidRPr="00DB4AAE">
        <w:rPr>
          <w:rFonts w:ascii="Arial" w:eastAsia="Times New Roman" w:hAnsi="Arial" w:cs="Arial"/>
          <w:lang w:eastAsia="en-GB"/>
        </w:rPr>
        <w:t xml:space="preserve">, [online] 2, p.100042. </w:t>
      </w:r>
      <w:proofErr w:type="spellStart"/>
      <w:r w:rsidRPr="00DB4AAE">
        <w:rPr>
          <w:rFonts w:ascii="Arial" w:eastAsia="Times New Roman" w:hAnsi="Arial" w:cs="Arial"/>
          <w:lang w:eastAsia="en-GB"/>
        </w:rPr>
        <w:t>doi</w:t>
      </w:r>
      <w:proofErr w:type="spellEnd"/>
      <w:r w:rsidRPr="00DB4AAE">
        <w:rPr>
          <w:rFonts w:ascii="Arial" w:eastAsia="Times New Roman" w:hAnsi="Arial" w:cs="Arial"/>
          <w:lang w:eastAsia="en-GB"/>
        </w:rPr>
        <w:t>:</w:t>
      </w:r>
      <w:r>
        <w:rPr>
          <w:rFonts w:ascii="Arial" w:eastAsia="Times New Roman" w:hAnsi="Arial" w:cs="Arial"/>
          <w:lang w:eastAsia="en-GB"/>
        </w:rPr>
        <w:t xml:space="preserve"> </w:t>
      </w:r>
      <w:hyperlink r:id="rId6" w:history="1">
        <w:r w:rsidRPr="00DB4AAE">
          <w:rPr>
            <w:rStyle w:val="Hyperlink"/>
            <w:rFonts w:ascii="Arial" w:eastAsia="Times New Roman" w:hAnsi="Arial" w:cs="Arial"/>
            <w:lang w:eastAsia="en-GB"/>
          </w:rPr>
          <w:t>https://doi.org/10.1016/j.chipro.2024.100042</w:t>
        </w:r>
      </w:hyperlink>
      <w:r>
        <w:rPr>
          <w:rFonts w:ascii="Arial" w:eastAsia="Times New Roman" w:hAnsi="Arial" w:cs="Arial"/>
          <w:lang w:eastAsia="en-GB"/>
        </w:rPr>
        <w:t xml:space="preserve"> </w:t>
      </w:r>
      <w:r w:rsidRPr="00DB4AAE">
        <w:rPr>
          <w:rFonts w:ascii="Arial" w:eastAsia="Times New Roman" w:hAnsi="Arial" w:cs="Arial"/>
          <w:lang w:eastAsia="en-GB"/>
        </w:rPr>
        <w:t>[Accessed 17 Sep. 2024].</w:t>
      </w:r>
    </w:p>
    <w:p w14:paraId="3B46AFFC" w14:textId="77777777" w:rsidR="00271CA3" w:rsidRDefault="00271CA3" w:rsidP="00271CA3">
      <w:pPr>
        <w:spacing w:after="0" w:line="276" w:lineRule="auto"/>
        <w:ind w:left="567" w:right="531"/>
        <w:rPr>
          <w:rFonts w:ascii="Arial" w:eastAsia="Times New Roman" w:hAnsi="Arial" w:cs="Arial"/>
          <w:lang w:eastAsia="en-GB"/>
        </w:rPr>
      </w:pPr>
    </w:p>
    <w:p w14:paraId="21DA18A3" w14:textId="77777777" w:rsidR="00271CA3" w:rsidRPr="00DB4AAE" w:rsidRDefault="00271CA3" w:rsidP="00271CA3">
      <w:pPr>
        <w:spacing w:after="0" w:line="276" w:lineRule="auto"/>
        <w:ind w:left="567" w:right="531"/>
        <w:rPr>
          <w:rFonts w:ascii="Arial" w:eastAsia="Times New Roman" w:hAnsi="Arial" w:cs="Arial"/>
          <w:lang w:eastAsia="en-GB"/>
        </w:rPr>
      </w:pPr>
      <w:r w:rsidRPr="00DB4AAE">
        <w:rPr>
          <w:rFonts w:ascii="Arial" w:eastAsia="Times New Roman" w:hAnsi="Arial" w:cs="Arial"/>
          <w:lang w:eastAsia="en-GB"/>
        </w:rPr>
        <w:t xml:space="preserve">National Crime Agency (2018). </w:t>
      </w:r>
      <w:r w:rsidRPr="00DB4AAE">
        <w:rPr>
          <w:rFonts w:ascii="Arial" w:eastAsia="Times New Roman" w:hAnsi="Arial" w:cs="Arial"/>
          <w:i/>
          <w:iCs/>
          <w:lang w:eastAsia="en-GB"/>
        </w:rPr>
        <w:t>Criminal Exploitation</w:t>
      </w:r>
      <w:r w:rsidRPr="00DB4AAE">
        <w:rPr>
          <w:rFonts w:ascii="Arial" w:eastAsia="Times New Roman" w:hAnsi="Arial" w:cs="Arial"/>
          <w:lang w:eastAsia="en-GB"/>
        </w:rPr>
        <w:t xml:space="preserve">. [online] National Crime Agency. Available at: </w:t>
      </w:r>
      <w:hyperlink r:id="rId7" w:history="1">
        <w:r w:rsidRPr="00DB4AAE">
          <w:rPr>
            <w:rStyle w:val="Hyperlink"/>
            <w:rFonts w:ascii="Arial" w:eastAsia="Times New Roman" w:hAnsi="Arial" w:cs="Arial"/>
            <w:lang w:eastAsia="en-GB"/>
          </w:rPr>
          <w:t>https://www.nationalcrimeagency.gov.uk/who-we-are/publications/254-guidance-for-ngos-on-how-to-identify-and-support-victims-of-criminal-exploitation/file</w:t>
        </w:r>
      </w:hyperlink>
      <w:r>
        <w:rPr>
          <w:rFonts w:ascii="Arial" w:eastAsia="Times New Roman" w:hAnsi="Arial" w:cs="Arial"/>
          <w:lang w:eastAsia="en-GB"/>
        </w:rPr>
        <w:t xml:space="preserve"> </w:t>
      </w:r>
      <w:r w:rsidRPr="00DB4AAE">
        <w:rPr>
          <w:rFonts w:ascii="Arial" w:eastAsia="Times New Roman" w:hAnsi="Arial" w:cs="Arial"/>
          <w:lang w:eastAsia="en-GB"/>
        </w:rPr>
        <w:t>[Accessed 17 Sep. 2024].</w:t>
      </w:r>
    </w:p>
    <w:p w14:paraId="46EFE0A2" w14:textId="77777777" w:rsidR="00271CA3" w:rsidRDefault="00271CA3" w:rsidP="00271CA3">
      <w:pPr>
        <w:spacing w:after="0" w:line="276" w:lineRule="auto"/>
        <w:ind w:left="567" w:right="531"/>
        <w:rPr>
          <w:rFonts w:ascii="Arial" w:eastAsia="Times New Roman" w:hAnsi="Arial" w:cs="Arial"/>
          <w:lang w:eastAsia="en-GB"/>
        </w:rPr>
      </w:pPr>
    </w:p>
    <w:p w14:paraId="7B898243" w14:textId="77777777" w:rsidR="00271CA3" w:rsidRDefault="00271CA3" w:rsidP="00271CA3">
      <w:pPr>
        <w:spacing w:after="0" w:line="276" w:lineRule="auto"/>
        <w:ind w:left="567" w:right="531"/>
        <w:rPr>
          <w:rFonts w:ascii="Arial" w:eastAsia="Times New Roman" w:hAnsi="Arial" w:cs="Arial"/>
          <w:lang w:eastAsia="en-GB"/>
        </w:rPr>
      </w:pPr>
      <w:r w:rsidRPr="00DB4AAE">
        <w:rPr>
          <w:rFonts w:ascii="Arial" w:eastAsia="Times New Roman" w:hAnsi="Arial" w:cs="Arial"/>
          <w:lang w:eastAsia="en-GB"/>
        </w:rPr>
        <w:t xml:space="preserve">NHS (2021). </w:t>
      </w:r>
      <w:r w:rsidRPr="00DB4AAE">
        <w:rPr>
          <w:rFonts w:ascii="Arial" w:eastAsia="Times New Roman" w:hAnsi="Arial" w:cs="Arial"/>
          <w:i/>
          <w:iCs/>
          <w:lang w:eastAsia="en-GB"/>
        </w:rPr>
        <w:t>Adverse Childhood Experiences (ACEs) and Attachment</w:t>
      </w:r>
      <w:r w:rsidRPr="00DB4AAE">
        <w:rPr>
          <w:rFonts w:ascii="Arial" w:eastAsia="Times New Roman" w:hAnsi="Arial" w:cs="Arial"/>
          <w:lang w:eastAsia="en-GB"/>
        </w:rPr>
        <w:t xml:space="preserve">. [online] NHS. Available at: </w:t>
      </w:r>
      <w:hyperlink r:id="rId8" w:history="1">
        <w:r w:rsidRPr="00DB4AAE">
          <w:rPr>
            <w:rStyle w:val="Hyperlink"/>
            <w:rFonts w:ascii="Arial" w:eastAsia="Times New Roman" w:hAnsi="Arial" w:cs="Arial"/>
            <w:lang w:eastAsia="en-GB"/>
          </w:rPr>
          <w:t>https://mft.nhs.uk/rmch/services/camhs/young-people/adverse-childhood-experiences-aces-and-attachment/</w:t>
        </w:r>
      </w:hyperlink>
      <w:r>
        <w:rPr>
          <w:rFonts w:ascii="Arial" w:eastAsia="Times New Roman" w:hAnsi="Arial" w:cs="Arial"/>
          <w:lang w:eastAsia="en-GB"/>
        </w:rPr>
        <w:t xml:space="preserve"> </w:t>
      </w:r>
      <w:r w:rsidRPr="00DB4AAE">
        <w:rPr>
          <w:rFonts w:ascii="Arial" w:eastAsia="Times New Roman" w:hAnsi="Arial" w:cs="Arial"/>
          <w:lang w:eastAsia="en-GB"/>
        </w:rPr>
        <w:t>[Accessed 17 Sep. 2024].</w:t>
      </w:r>
    </w:p>
    <w:p w14:paraId="65573541" w14:textId="77777777" w:rsidR="00271CA3" w:rsidRPr="00DB4AAE" w:rsidRDefault="00271CA3" w:rsidP="00271CA3">
      <w:pPr>
        <w:spacing w:after="0" w:line="276" w:lineRule="auto"/>
        <w:ind w:left="567" w:right="531"/>
        <w:rPr>
          <w:rFonts w:ascii="Arial" w:eastAsia="Times New Roman" w:hAnsi="Arial" w:cs="Arial"/>
          <w:lang w:eastAsia="en-GB"/>
        </w:rPr>
      </w:pPr>
    </w:p>
    <w:p w14:paraId="5DA2F4A0" w14:textId="77777777" w:rsidR="00271CA3" w:rsidRDefault="00271CA3" w:rsidP="00271CA3">
      <w:pPr>
        <w:spacing w:after="0" w:line="276" w:lineRule="auto"/>
        <w:ind w:left="567" w:right="531"/>
        <w:rPr>
          <w:rFonts w:ascii="Arial" w:eastAsia="Times New Roman" w:hAnsi="Arial" w:cs="Arial"/>
          <w:lang w:eastAsia="en-GB"/>
        </w:rPr>
      </w:pPr>
      <w:r w:rsidRPr="00DB4AAE">
        <w:rPr>
          <w:rFonts w:ascii="Arial" w:eastAsia="Times New Roman" w:hAnsi="Arial" w:cs="Arial"/>
          <w:lang w:eastAsia="en-GB"/>
        </w:rPr>
        <w:t xml:space="preserve">NSPCC (2023). </w:t>
      </w:r>
      <w:r w:rsidRPr="00DB4AAE">
        <w:rPr>
          <w:rFonts w:ascii="Arial" w:eastAsia="Times New Roman" w:hAnsi="Arial" w:cs="Arial"/>
          <w:i/>
          <w:iCs/>
          <w:lang w:eastAsia="en-GB"/>
        </w:rPr>
        <w:t>Criminal Exploitation and Gangs</w:t>
      </w:r>
      <w:r w:rsidRPr="00DB4AAE">
        <w:rPr>
          <w:rFonts w:ascii="Arial" w:eastAsia="Times New Roman" w:hAnsi="Arial" w:cs="Arial"/>
          <w:lang w:eastAsia="en-GB"/>
        </w:rPr>
        <w:t xml:space="preserve">. [online] NSPCC. Available at: </w:t>
      </w:r>
      <w:hyperlink r:id="rId9" w:anchor="recruited" w:history="1">
        <w:r w:rsidRPr="00DB4AAE">
          <w:rPr>
            <w:rStyle w:val="Hyperlink"/>
            <w:rFonts w:ascii="Arial" w:eastAsia="Times New Roman" w:hAnsi="Arial" w:cs="Arial"/>
            <w:lang w:eastAsia="en-GB"/>
          </w:rPr>
          <w:t>https://www.nspcc.org.uk/what-is-child-abuse/types-of-abuse/gangs-criminal-exploitation/#recruited</w:t>
        </w:r>
      </w:hyperlink>
      <w:r>
        <w:rPr>
          <w:rFonts w:ascii="Arial" w:eastAsia="Times New Roman" w:hAnsi="Arial" w:cs="Arial"/>
          <w:lang w:eastAsia="en-GB"/>
        </w:rPr>
        <w:t xml:space="preserve"> </w:t>
      </w:r>
      <w:r w:rsidRPr="00DB4AAE">
        <w:rPr>
          <w:rFonts w:ascii="Arial" w:eastAsia="Times New Roman" w:hAnsi="Arial" w:cs="Arial"/>
          <w:lang w:eastAsia="en-GB"/>
        </w:rPr>
        <w:t>[Accessed 17 Sep. 2024].</w:t>
      </w:r>
    </w:p>
    <w:p w14:paraId="4F8F7B2F" w14:textId="77777777" w:rsidR="00271CA3" w:rsidRPr="00DB4AAE" w:rsidRDefault="00271CA3" w:rsidP="00271CA3">
      <w:pPr>
        <w:spacing w:after="0" w:line="276" w:lineRule="auto"/>
        <w:ind w:left="567" w:right="531"/>
        <w:rPr>
          <w:rFonts w:ascii="Arial" w:eastAsia="Times New Roman" w:hAnsi="Arial" w:cs="Arial"/>
          <w:lang w:eastAsia="en-GB"/>
        </w:rPr>
      </w:pPr>
    </w:p>
    <w:p w14:paraId="4E75AAD7" w14:textId="77777777" w:rsidR="00271CA3" w:rsidRPr="00DB4AAE" w:rsidRDefault="00271CA3" w:rsidP="00271CA3">
      <w:pPr>
        <w:spacing w:after="0" w:line="276" w:lineRule="auto"/>
        <w:ind w:left="567" w:right="531"/>
        <w:rPr>
          <w:rFonts w:ascii="Arial" w:eastAsia="Times New Roman" w:hAnsi="Arial" w:cs="Arial"/>
          <w:lang w:eastAsia="en-GB"/>
        </w:rPr>
      </w:pPr>
      <w:r w:rsidRPr="00DB4AAE">
        <w:rPr>
          <w:rFonts w:ascii="Arial" w:eastAsia="Times New Roman" w:hAnsi="Arial" w:cs="Arial"/>
          <w:lang w:eastAsia="en-GB"/>
        </w:rPr>
        <w:t xml:space="preserve">O’Hagan, A. and Edmundson, C.J. (2021). County lines: The exploitation of vulnerable members of society. </w:t>
      </w:r>
      <w:r w:rsidRPr="00DB4AAE">
        <w:rPr>
          <w:rFonts w:ascii="Arial" w:eastAsia="Times New Roman" w:hAnsi="Arial" w:cs="Arial"/>
          <w:i/>
          <w:iCs/>
          <w:lang w:eastAsia="en-GB"/>
        </w:rPr>
        <w:t>Forensic Research &amp; Criminology International Journal</w:t>
      </w:r>
      <w:r w:rsidRPr="00DB4AAE">
        <w:rPr>
          <w:rFonts w:ascii="Arial" w:eastAsia="Times New Roman" w:hAnsi="Arial" w:cs="Arial"/>
          <w:lang w:eastAsia="en-GB"/>
        </w:rPr>
        <w:t xml:space="preserve">, [online] 9(2), pp.47–57. </w:t>
      </w:r>
      <w:proofErr w:type="spellStart"/>
      <w:r w:rsidRPr="00DB4AAE">
        <w:rPr>
          <w:rFonts w:ascii="Arial" w:eastAsia="Times New Roman" w:hAnsi="Arial" w:cs="Arial"/>
          <w:lang w:eastAsia="en-GB"/>
        </w:rPr>
        <w:t>doi</w:t>
      </w:r>
      <w:proofErr w:type="spellEnd"/>
      <w:r w:rsidRPr="00DB4AAE">
        <w:rPr>
          <w:rFonts w:ascii="Arial" w:eastAsia="Times New Roman" w:hAnsi="Arial" w:cs="Arial"/>
          <w:lang w:eastAsia="en-GB"/>
        </w:rPr>
        <w:t>:</w:t>
      </w:r>
      <w:r>
        <w:rPr>
          <w:rFonts w:ascii="Arial" w:eastAsia="Times New Roman" w:hAnsi="Arial" w:cs="Arial"/>
          <w:lang w:eastAsia="en-GB"/>
        </w:rPr>
        <w:t xml:space="preserve"> </w:t>
      </w:r>
      <w:hyperlink r:id="rId10" w:history="1">
        <w:r w:rsidRPr="00DB4AAE">
          <w:rPr>
            <w:rStyle w:val="Hyperlink"/>
            <w:rFonts w:ascii="Arial" w:eastAsia="Times New Roman" w:hAnsi="Arial" w:cs="Arial"/>
            <w:lang w:eastAsia="en-GB"/>
          </w:rPr>
          <w:t>https://doi.org/10.15406/frcij.2021.09.00340</w:t>
        </w:r>
      </w:hyperlink>
      <w:r>
        <w:rPr>
          <w:rFonts w:ascii="Arial" w:eastAsia="Times New Roman" w:hAnsi="Arial" w:cs="Arial"/>
          <w:lang w:eastAsia="en-GB"/>
        </w:rPr>
        <w:t xml:space="preserve"> </w:t>
      </w:r>
      <w:r w:rsidRPr="00DB4AAE">
        <w:rPr>
          <w:rFonts w:ascii="Arial" w:eastAsia="Times New Roman" w:hAnsi="Arial" w:cs="Arial"/>
          <w:lang w:eastAsia="en-GB"/>
        </w:rPr>
        <w:t>[Accessed 17 Sep. 2024].</w:t>
      </w:r>
    </w:p>
    <w:p w14:paraId="1327E21C" w14:textId="77777777" w:rsidR="00271CA3" w:rsidRDefault="00271CA3" w:rsidP="00271CA3">
      <w:pPr>
        <w:spacing w:after="0" w:line="276" w:lineRule="auto"/>
        <w:ind w:left="567" w:right="531"/>
        <w:rPr>
          <w:rFonts w:ascii="Arial" w:eastAsia="Times New Roman" w:hAnsi="Arial" w:cs="Arial"/>
          <w:lang w:eastAsia="en-GB"/>
        </w:rPr>
      </w:pPr>
    </w:p>
    <w:p w14:paraId="7C1A0424" w14:textId="77777777" w:rsidR="00271CA3" w:rsidRDefault="00271CA3" w:rsidP="00271CA3">
      <w:pPr>
        <w:spacing w:after="0" w:line="276" w:lineRule="auto"/>
        <w:ind w:left="567" w:right="531"/>
        <w:rPr>
          <w:rFonts w:ascii="Arial" w:eastAsia="Times New Roman" w:hAnsi="Arial" w:cs="Arial"/>
          <w:lang w:eastAsia="en-GB"/>
        </w:rPr>
      </w:pPr>
      <w:r w:rsidRPr="00DB4AAE">
        <w:rPr>
          <w:rFonts w:ascii="Arial" w:eastAsia="Times New Roman" w:hAnsi="Arial" w:cs="Arial"/>
          <w:lang w:eastAsia="en-GB"/>
        </w:rPr>
        <w:t xml:space="preserve">Office for Health Improvement and Disparities (2022). </w:t>
      </w:r>
      <w:r w:rsidRPr="00DB4AAE">
        <w:rPr>
          <w:rFonts w:ascii="Arial" w:eastAsia="Times New Roman" w:hAnsi="Arial" w:cs="Arial"/>
          <w:i/>
          <w:iCs/>
          <w:lang w:eastAsia="en-GB"/>
        </w:rPr>
        <w:t>Vulnerabilities: Applying All Our Health</w:t>
      </w:r>
      <w:r w:rsidRPr="00DB4AAE">
        <w:rPr>
          <w:rFonts w:ascii="Arial" w:eastAsia="Times New Roman" w:hAnsi="Arial" w:cs="Arial"/>
          <w:lang w:eastAsia="en-GB"/>
        </w:rPr>
        <w:t xml:space="preserve">. [online] Gov.uk. Available at: </w:t>
      </w:r>
      <w:hyperlink r:id="rId11" w:history="1">
        <w:r w:rsidRPr="00DB4AAE">
          <w:rPr>
            <w:rStyle w:val="Hyperlink"/>
            <w:rFonts w:ascii="Arial" w:eastAsia="Times New Roman" w:hAnsi="Arial" w:cs="Arial"/>
            <w:lang w:eastAsia="en-GB"/>
          </w:rPr>
          <w:t>https://www.gov.uk/government/publications/vulnerabilities-applying-all-our-health/vulnerabilities-applying-all-our-health</w:t>
        </w:r>
      </w:hyperlink>
      <w:r>
        <w:rPr>
          <w:rFonts w:ascii="Arial" w:eastAsia="Times New Roman" w:hAnsi="Arial" w:cs="Arial"/>
          <w:lang w:eastAsia="en-GB"/>
        </w:rPr>
        <w:t xml:space="preserve"> </w:t>
      </w:r>
      <w:r w:rsidRPr="00DB4AAE">
        <w:rPr>
          <w:rFonts w:ascii="Arial" w:eastAsia="Times New Roman" w:hAnsi="Arial" w:cs="Arial"/>
          <w:lang w:eastAsia="en-GB"/>
        </w:rPr>
        <w:t>[Accessed 17 Sep. 2024].</w:t>
      </w:r>
    </w:p>
    <w:p w14:paraId="0D1DCD38" w14:textId="77777777" w:rsidR="00271CA3" w:rsidRPr="00DB4AAE" w:rsidRDefault="00271CA3" w:rsidP="00271CA3">
      <w:pPr>
        <w:spacing w:after="0" w:line="276" w:lineRule="auto"/>
        <w:ind w:left="567" w:right="531"/>
        <w:rPr>
          <w:rFonts w:ascii="Arial" w:eastAsia="Times New Roman" w:hAnsi="Arial" w:cs="Arial"/>
          <w:lang w:eastAsia="en-GB"/>
        </w:rPr>
      </w:pPr>
    </w:p>
    <w:p w14:paraId="4B56A5CD" w14:textId="77777777" w:rsidR="00271CA3" w:rsidRDefault="00271CA3" w:rsidP="00271CA3">
      <w:pPr>
        <w:spacing w:after="0" w:line="276" w:lineRule="auto"/>
        <w:ind w:left="567" w:right="531"/>
        <w:rPr>
          <w:rFonts w:ascii="Arial" w:eastAsia="Times New Roman" w:hAnsi="Arial" w:cs="Arial"/>
          <w:lang w:eastAsia="en-GB"/>
        </w:rPr>
      </w:pPr>
      <w:r w:rsidRPr="00DB4AAE">
        <w:rPr>
          <w:rFonts w:ascii="Arial" w:eastAsia="Times New Roman" w:hAnsi="Arial" w:cs="Arial"/>
          <w:lang w:eastAsia="en-GB"/>
        </w:rPr>
        <w:t xml:space="preserve">Stone, N. (2018). Child Criminal Exploitation: ‘County Lines’, Trafficking and Cuckooing. </w:t>
      </w:r>
      <w:r w:rsidRPr="00DB4AAE">
        <w:rPr>
          <w:rFonts w:ascii="Arial" w:eastAsia="Times New Roman" w:hAnsi="Arial" w:cs="Arial"/>
          <w:i/>
          <w:iCs/>
          <w:lang w:eastAsia="en-GB"/>
        </w:rPr>
        <w:t>Youth Justice</w:t>
      </w:r>
      <w:r w:rsidRPr="00DB4AAE">
        <w:rPr>
          <w:rFonts w:ascii="Arial" w:eastAsia="Times New Roman" w:hAnsi="Arial" w:cs="Arial"/>
          <w:lang w:eastAsia="en-GB"/>
        </w:rPr>
        <w:t xml:space="preserve">, 18(3), pp.285–293. </w:t>
      </w:r>
      <w:proofErr w:type="spellStart"/>
      <w:r w:rsidRPr="00DB4AAE">
        <w:rPr>
          <w:rFonts w:ascii="Arial" w:eastAsia="Times New Roman" w:hAnsi="Arial" w:cs="Arial"/>
          <w:lang w:eastAsia="en-GB"/>
        </w:rPr>
        <w:t>doi</w:t>
      </w:r>
      <w:proofErr w:type="spellEnd"/>
      <w:r w:rsidRPr="00DB4AAE">
        <w:rPr>
          <w:rFonts w:ascii="Arial" w:eastAsia="Times New Roman" w:hAnsi="Arial" w:cs="Arial"/>
          <w:lang w:eastAsia="en-GB"/>
        </w:rPr>
        <w:t>:</w:t>
      </w:r>
      <w:r>
        <w:rPr>
          <w:rFonts w:ascii="Arial" w:eastAsia="Times New Roman" w:hAnsi="Arial" w:cs="Arial"/>
          <w:lang w:eastAsia="en-GB"/>
        </w:rPr>
        <w:t xml:space="preserve"> </w:t>
      </w:r>
      <w:hyperlink r:id="rId12" w:history="1">
        <w:r w:rsidRPr="00DB4AAE">
          <w:rPr>
            <w:rStyle w:val="Hyperlink"/>
            <w:rFonts w:ascii="Arial" w:eastAsia="Times New Roman" w:hAnsi="Arial" w:cs="Arial"/>
            <w:lang w:eastAsia="en-GB"/>
          </w:rPr>
          <w:t>https://doi.org/10.1177/1473225418810833</w:t>
        </w:r>
      </w:hyperlink>
      <w:r>
        <w:rPr>
          <w:rFonts w:ascii="Arial" w:eastAsia="Times New Roman" w:hAnsi="Arial" w:cs="Arial"/>
          <w:lang w:eastAsia="en-GB"/>
        </w:rPr>
        <w:t xml:space="preserve">  </w:t>
      </w:r>
      <w:r w:rsidRPr="00DB4AAE">
        <w:rPr>
          <w:rFonts w:ascii="Arial" w:eastAsia="Times New Roman" w:hAnsi="Arial" w:cs="Arial"/>
          <w:lang w:eastAsia="en-GB"/>
        </w:rPr>
        <w:t>[Accessed 17 Sep. 2024].</w:t>
      </w:r>
    </w:p>
    <w:p w14:paraId="562375C0" w14:textId="77777777" w:rsidR="00271CA3" w:rsidRPr="00DB4AAE" w:rsidRDefault="00271CA3" w:rsidP="00271CA3">
      <w:pPr>
        <w:spacing w:after="0" w:line="276" w:lineRule="auto"/>
        <w:ind w:left="567" w:right="531"/>
        <w:rPr>
          <w:rFonts w:ascii="Arial" w:eastAsia="Times New Roman" w:hAnsi="Arial" w:cs="Arial"/>
          <w:lang w:eastAsia="en-GB"/>
        </w:rPr>
      </w:pPr>
    </w:p>
    <w:p w14:paraId="29691D25" w14:textId="77777777" w:rsidR="00271CA3" w:rsidRDefault="00271CA3" w:rsidP="00271CA3">
      <w:pPr>
        <w:spacing w:after="0" w:line="276" w:lineRule="auto"/>
        <w:ind w:left="567" w:right="531"/>
        <w:rPr>
          <w:rFonts w:ascii="Arial" w:eastAsia="Times New Roman" w:hAnsi="Arial" w:cs="Arial"/>
          <w:lang w:eastAsia="en-GB"/>
        </w:rPr>
      </w:pPr>
      <w:r w:rsidRPr="00DB4AAE">
        <w:rPr>
          <w:rFonts w:ascii="Arial" w:eastAsia="Times New Roman" w:hAnsi="Arial" w:cs="Arial"/>
          <w:lang w:eastAsia="en-GB"/>
        </w:rPr>
        <w:t xml:space="preserve">Telis, G. (2010). </w:t>
      </w:r>
      <w:r w:rsidRPr="00DB4AAE">
        <w:rPr>
          <w:rFonts w:ascii="Arial" w:eastAsia="Times New Roman" w:hAnsi="Arial" w:cs="Arial"/>
          <w:i/>
          <w:iCs/>
          <w:lang w:eastAsia="en-GB"/>
        </w:rPr>
        <w:t>Kids Overimitate Adults, Regardless of Culture</w:t>
      </w:r>
      <w:r w:rsidRPr="00DB4AAE">
        <w:rPr>
          <w:rFonts w:ascii="Arial" w:eastAsia="Times New Roman" w:hAnsi="Arial" w:cs="Arial"/>
          <w:lang w:eastAsia="en-GB"/>
        </w:rPr>
        <w:t xml:space="preserve">. [online] www.science.org. Available at: </w:t>
      </w:r>
      <w:hyperlink r:id="rId13" w:history="1">
        <w:r w:rsidRPr="00DB4AAE">
          <w:rPr>
            <w:rStyle w:val="Hyperlink"/>
            <w:rFonts w:ascii="Arial" w:eastAsia="Times New Roman" w:hAnsi="Arial" w:cs="Arial"/>
            <w:lang w:eastAsia="en-GB"/>
          </w:rPr>
          <w:t>https://www.science.org/content/article/kids-overimitate-adults-regardless-culture</w:t>
        </w:r>
      </w:hyperlink>
      <w:r>
        <w:rPr>
          <w:rFonts w:ascii="Arial" w:eastAsia="Times New Roman" w:hAnsi="Arial" w:cs="Arial"/>
          <w:lang w:eastAsia="en-GB"/>
        </w:rPr>
        <w:t xml:space="preserve"> </w:t>
      </w:r>
      <w:r w:rsidRPr="00DB4AAE">
        <w:rPr>
          <w:rFonts w:ascii="Arial" w:eastAsia="Times New Roman" w:hAnsi="Arial" w:cs="Arial"/>
          <w:lang w:eastAsia="en-GB"/>
        </w:rPr>
        <w:t>[Accessed 17 Sep. 2024].</w:t>
      </w:r>
    </w:p>
    <w:p w14:paraId="408FD87A" w14:textId="77777777" w:rsidR="00271CA3" w:rsidRPr="00DB4AAE" w:rsidRDefault="00271CA3" w:rsidP="00271CA3">
      <w:pPr>
        <w:spacing w:after="0" w:line="276" w:lineRule="auto"/>
        <w:ind w:left="567" w:right="531"/>
        <w:rPr>
          <w:rFonts w:ascii="Arial" w:eastAsia="Times New Roman" w:hAnsi="Arial" w:cs="Arial"/>
          <w:lang w:eastAsia="en-GB"/>
        </w:rPr>
      </w:pPr>
    </w:p>
    <w:p w14:paraId="1A275EFB" w14:textId="3000163B" w:rsidR="00271CA3" w:rsidRDefault="00271CA3" w:rsidP="00271CA3">
      <w:pPr>
        <w:spacing w:after="0" w:line="276" w:lineRule="auto"/>
        <w:ind w:left="567" w:right="531"/>
        <w:rPr>
          <w:rFonts w:ascii="Arial" w:eastAsia="Times New Roman" w:hAnsi="Arial" w:cs="Arial"/>
          <w:lang w:eastAsia="en-GB"/>
        </w:rPr>
      </w:pPr>
      <w:r w:rsidRPr="00DB4AAE">
        <w:rPr>
          <w:rFonts w:ascii="Arial" w:eastAsia="Times New Roman" w:hAnsi="Arial" w:cs="Arial"/>
          <w:lang w:eastAsia="en-GB"/>
        </w:rPr>
        <w:t xml:space="preserve">The Centre for Social Justice (2024). </w:t>
      </w:r>
      <w:r w:rsidRPr="00DB4AAE">
        <w:rPr>
          <w:rFonts w:ascii="Arial" w:eastAsia="Times New Roman" w:hAnsi="Arial" w:cs="Arial"/>
          <w:i/>
          <w:iCs/>
          <w:lang w:eastAsia="en-GB"/>
        </w:rPr>
        <w:t>Criminal exploitation: Modern slavery by another name</w:t>
      </w:r>
      <w:r w:rsidRPr="00DB4AAE">
        <w:rPr>
          <w:rFonts w:ascii="Arial" w:eastAsia="Times New Roman" w:hAnsi="Arial" w:cs="Arial"/>
          <w:lang w:eastAsia="en-GB"/>
        </w:rPr>
        <w:t xml:space="preserve">. [online] Available at: </w:t>
      </w:r>
      <w:hyperlink r:id="rId14" w:history="1">
        <w:r w:rsidRPr="00DB4AAE">
          <w:rPr>
            <w:rStyle w:val="Hyperlink"/>
            <w:rFonts w:ascii="Arial" w:eastAsia="Times New Roman" w:hAnsi="Arial" w:cs="Arial"/>
            <w:lang w:eastAsia="en-GB"/>
          </w:rPr>
          <w:t>https://www.centreforsocialjustice.org.uk/wp-content/uploads/2024/02/CSJ-JC_Criminal_exploitation.pdf</w:t>
        </w:r>
      </w:hyperlink>
      <w:r>
        <w:rPr>
          <w:rFonts w:ascii="Arial" w:eastAsia="Times New Roman" w:hAnsi="Arial" w:cs="Arial"/>
          <w:lang w:eastAsia="en-GB"/>
        </w:rPr>
        <w:t xml:space="preserve"> </w:t>
      </w:r>
      <w:r w:rsidRPr="00DB4AAE">
        <w:rPr>
          <w:rFonts w:ascii="Arial" w:eastAsia="Times New Roman" w:hAnsi="Arial" w:cs="Arial"/>
          <w:lang w:eastAsia="en-GB"/>
        </w:rPr>
        <w:t>[Accessed 17 Sep. 2024].</w:t>
      </w:r>
    </w:p>
    <w:p w14:paraId="51AB2356" w14:textId="77777777" w:rsidR="00271CA3" w:rsidRDefault="00271CA3" w:rsidP="00271CA3">
      <w:pPr>
        <w:spacing w:after="0" w:line="276" w:lineRule="auto"/>
        <w:ind w:left="567" w:right="531"/>
        <w:rPr>
          <w:rFonts w:ascii="Arial" w:eastAsia="Times New Roman" w:hAnsi="Arial" w:cs="Arial"/>
          <w:lang w:eastAsia="en-GB"/>
        </w:rPr>
      </w:pPr>
    </w:p>
    <w:p w14:paraId="5E19D3DB" w14:textId="77777777" w:rsidR="00271CA3" w:rsidRDefault="00271CA3" w:rsidP="00271CA3">
      <w:pPr>
        <w:spacing w:after="0" w:line="276" w:lineRule="auto"/>
        <w:ind w:left="567" w:right="531"/>
        <w:rPr>
          <w:rFonts w:ascii="Arial" w:eastAsia="Times New Roman" w:hAnsi="Arial" w:cs="Arial"/>
          <w:lang w:eastAsia="en-GB"/>
        </w:rPr>
      </w:pPr>
    </w:p>
    <w:p w14:paraId="236D75DB" w14:textId="67A9BFBD" w:rsidR="00271CA3" w:rsidRDefault="00271CA3">
      <w:pPr>
        <w:rPr>
          <w:rFonts w:ascii="Arial" w:eastAsia="Times New Roman" w:hAnsi="Arial" w:cs="Arial"/>
          <w:lang w:eastAsia="en-GB"/>
        </w:rPr>
      </w:pPr>
      <w:r>
        <w:rPr>
          <w:rFonts w:ascii="Arial" w:eastAsia="Times New Roman" w:hAnsi="Arial" w:cs="Arial"/>
          <w:lang w:eastAsia="en-GB"/>
        </w:rPr>
        <w:br w:type="page"/>
      </w:r>
    </w:p>
    <w:p w14:paraId="3D1745F8" w14:textId="77777777" w:rsidR="00271CA3" w:rsidRPr="006C3C20" w:rsidRDefault="00271CA3" w:rsidP="00271CA3">
      <w:pPr>
        <w:overflowPunct w:val="0"/>
        <w:autoSpaceDE w:val="0"/>
        <w:autoSpaceDN w:val="0"/>
        <w:adjustRightInd w:val="0"/>
        <w:spacing w:after="0" w:line="276" w:lineRule="auto"/>
        <w:ind w:right="531" w:firstLine="567"/>
        <w:textAlignment w:val="baseline"/>
        <w:rPr>
          <w:rFonts w:ascii="Arial" w:eastAsia="Times New Roman" w:hAnsi="Arial" w:cs="Arial"/>
          <w:lang w:eastAsia="en-GB"/>
        </w:rPr>
      </w:pPr>
      <w:r w:rsidRPr="006C3C20">
        <w:rPr>
          <w:rFonts w:ascii="Arial" w:eastAsia="Times New Roman" w:hAnsi="Arial" w:cs="Arial"/>
          <w:b/>
          <w:bCs/>
          <w:lang w:eastAsia="en-GB"/>
        </w:rPr>
        <w:lastRenderedPageBreak/>
        <w:t>Essay t</w:t>
      </w:r>
      <w:r>
        <w:rPr>
          <w:rFonts w:ascii="Arial" w:eastAsia="Times New Roman" w:hAnsi="Arial" w:cs="Arial"/>
          <w:b/>
          <w:bCs/>
          <w:lang w:eastAsia="en-GB"/>
        </w:rPr>
        <w:t>hree – Vulnerability &amp; Risk</w:t>
      </w:r>
    </w:p>
    <w:p w14:paraId="40E417EE" w14:textId="77777777" w:rsidR="00271CA3" w:rsidRPr="00503777" w:rsidRDefault="00271CA3" w:rsidP="00271CA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Is early intervention an effective means of preventing young people from offending? What increases or detracts from its effectiveness?</w:t>
      </w:r>
    </w:p>
    <w:p w14:paraId="0976E154" w14:textId="77777777" w:rsidR="00271CA3" w:rsidRPr="00503777" w:rsidRDefault="00271CA3" w:rsidP="00271CA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p>
    <w:p w14:paraId="30AEFB27" w14:textId="77777777" w:rsidR="00271CA3" w:rsidRDefault="00271CA3" w:rsidP="00271CA3">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43E5E461" w14:textId="77777777" w:rsidR="00271CA3" w:rsidRDefault="00271CA3" w:rsidP="00271CA3">
      <w:pPr>
        <w:spacing w:after="0" w:line="276" w:lineRule="auto"/>
        <w:ind w:left="567" w:right="531"/>
        <w:rPr>
          <w:rFonts w:ascii="Arial" w:eastAsia="Times New Roman" w:hAnsi="Arial" w:cs="Arial"/>
          <w:lang w:eastAsia="en-GB"/>
        </w:rPr>
      </w:pPr>
    </w:p>
    <w:p w14:paraId="65773594" w14:textId="77777777" w:rsidR="00271CA3" w:rsidRPr="00D21CED" w:rsidRDefault="00271CA3" w:rsidP="00271CA3">
      <w:pPr>
        <w:spacing w:after="0" w:line="276" w:lineRule="auto"/>
        <w:ind w:left="567" w:right="531"/>
        <w:rPr>
          <w:rFonts w:ascii="Arial" w:eastAsia="Times New Roman" w:hAnsi="Arial" w:cs="Arial"/>
          <w:lang w:eastAsia="en-GB"/>
        </w:rPr>
      </w:pPr>
    </w:p>
    <w:p w14:paraId="294F4E87" w14:textId="74BEED0F" w:rsidR="00271CA3" w:rsidRPr="00D21CED" w:rsidRDefault="00271CA3" w:rsidP="00271CA3">
      <w:pPr>
        <w:spacing w:after="0" w:line="276" w:lineRule="auto"/>
        <w:ind w:left="567" w:right="531"/>
        <w:rPr>
          <w:rFonts w:ascii="Arial" w:eastAsia="Times New Roman" w:hAnsi="Arial" w:cs="Arial"/>
          <w:lang w:eastAsia="en-GB"/>
        </w:rPr>
      </w:pPr>
      <w:r w:rsidRPr="00D21CED">
        <w:rPr>
          <w:rFonts w:ascii="Arial" w:eastAsia="Times New Roman" w:hAnsi="Arial" w:cs="Arial"/>
          <w:lang w:eastAsia="en-GB"/>
        </w:rPr>
        <w:t>Early interventions have been used for several years in various settings as a method to prevent people from leaving the beaten track</w:t>
      </w:r>
      <w:r>
        <w:rPr>
          <w:rFonts w:ascii="Arial" w:eastAsia="Times New Roman" w:hAnsi="Arial" w:cs="Arial"/>
          <w:lang w:eastAsia="en-GB"/>
        </w:rPr>
        <w:t xml:space="preserve"> </w:t>
      </w:r>
      <w:r w:rsidRPr="00D21CED">
        <w:rPr>
          <w:rFonts w:ascii="Arial" w:eastAsia="Times New Roman" w:hAnsi="Arial" w:cs="Arial"/>
          <w:lang w:eastAsia="en-GB"/>
        </w:rPr>
        <w:t xml:space="preserve">and becoming victim to negative consequences. </w:t>
      </w:r>
      <w:r w:rsidR="000D1674">
        <w:rPr>
          <w:rFonts w:ascii="Arial" w:eastAsia="Times New Roman" w:hAnsi="Arial" w:cs="Arial"/>
          <w:lang w:eastAsia="en-GB"/>
        </w:rPr>
        <w:t>T</w:t>
      </w:r>
      <w:r w:rsidRPr="00D21CED">
        <w:rPr>
          <w:rFonts w:ascii="Arial" w:eastAsia="Times New Roman" w:hAnsi="Arial" w:cs="Arial"/>
          <w:lang w:eastAsia="en-GB"/>
        </w:rPr>
        <w:t>his essay will explore</w:t>
      </w:r>
      <w:r w:rsidR="000D1674">
        <w:rPr>
          <w:rFonts w:ascii="Arial" w:eastAsia="Times New Roman" w:hAnsi="Arial" w:cs="Arial"/>
          <w:lang w:eastAsia="en-GB"/>
        </w:rPr>
        <w:t xml:space="preserve"> </w:t>
      </w:r>
      <w:r>
        <w:rPr>
          <w:rFonts w:ascii="Arial" w:eastAsia="Times New Roman" w:hAnsi="Arial" w:cs="Arial"/>
          <w:lang w:eastAsia="en-GB"/>
        </w:rPr>
        <w:t>e</w:t>
      </w:r>
      <w:r w:rsidRPr="00D21CED">
        <w:rPr>
          <w:rFonts w:ascii="Arial" w:eastAsia="Times New Roman" w:hAnsi="Arial" w:cs="Arial"/>
          <w:lang w:eastAsia="en-GB"/>
        </w:rPr>
        <w:t xml:space="preserve">arly </w:t>
      </w:r>
      <w:r w:rsidR="000D1674">
        <w:rPr>
          <w:rFonts w:ascii="Arial" w:eastAsia="Times New Roman" w:hAnsi="Arial" w:cs="Arial"/>
          <w:lang w:eastAsia="en-GB"/>
        </w:rPr>
        <w:t>i</w:t>
      </w:r>
      <w:r w:rsidRPr="00D21CED">
        <w:rPr>
          <w:rFonts w:ascii="Arial" w:eastAsia="Times New Roman" w:hAnsi="Arial" w:cs="Arial"/>
          <w:lang w:eastAsia="en-GB"/>
        </w:rPr>
        <w:t xml:space="preserve">nterventions and </w:t>
      </w:r>
      <w:r w:rsidR="000D1674">
        <w:rPr>
          <w:rFonts w:ascii="Arial" w:eastAsia="Times New Roman" w:hAnsi="Arial" w:cs="Arial"/>
          <w:lang w:eastAsia="en-GB"/>
        </w:rPr>
        <w:t>their</w:t>
      </w:r>
      <w:r w:rsidRPr="00D21CED">
        <w:rPr>
          <w:rFonts w:ascii="Arial" w:eastAsia="Times New Roman" w:hAnsi="Arial" w:cs="Arial"/>
          <w:lang w:eastAsia="en-GB"/>
        </w:rPr>
        <w:t xml:space="preserve"> effectiveness in preventing young people from offending. </w:t>
      </w:r>
    </w:p>
    <w:p w14:paraId="628449C3" w14:textId="77777777" w:rsidR="00271CA3" w:rsidRPr="00D21CED" w:rsidRDefault="00271CA3" w:rsidP="00271CA3">
      <w:pPr>
        <w:spacing w:after="0" w:line="276" w:lineRule="auto"/>
        <w:ind w:left="567" w:right="531"/>
        <w:rPr>
          <w:rFonts w:ascii="Arial" w:eastAsia="Times New Roman" w:hAnsi="Arial" w:cs="Arial"/>
          <w:lang w:eastAsia="en-GB"/>
        </w:rPr>
      </w:pPr>
    </w:p>
    <w:p w14:paraId="080EAAF0" w14:textId="49DD7471" w:rsidR="00271CA3" w:rsidRPr="00D21CED" w:rsidRDefault="00271CA3" w:rsidP="00271CA3">
      <w:pPr>
        <w:spacing w:after="0" w:line="276" w:lineRule="auto"/>
        <w:ind w:left="567" w:right="531"/>
        <w:rPr>
          <w:rFonts w:ascii="Arial" w:eastAsia="Times New Roman" w:hAnsi="Arial" w:cs="Arial"/>
          <w:lang w:eastAsia="en-GB"/>
        </w:rPr>
      </w:pPr>
      <w:r w:rsidRPr="00D21CED">
        <w:rPr>
          <w:rFonts w:ascii="Arial" w:eastAsia="Times New Roman" w:hAnsi="Arial" w:cs="Arial"/>
          <w:lang w:eastAsia="en-GB"/>
        </w:rPr>
        <w:t xml:space="preserve">Early intervention is a form of </w:t>
      </w:r>
      <w:r w:rsidRPr="00D92126">
        <w:rPr>
          <w:rFonts w:ascii="Arial" w:eastAsia="Times New Roman" w:hAnsi="Arial" w:cs="Arial"/>
          <w:lang w:eastAsia="en-GB"/>
        </w:rPr>
        <w:t xml:space="preserve">support that </w:t>
      </w:r>
      <w:r w:rsidR="00D92126" w:rsidRPr="00D92126">
        <w:rPr>
          <w:rFonts w:ascii="Arial" w:eastAsia="Times New Roman" w:hAnsi="Arial" w:cs="Arial"/>
          <w:lang w:eastAsia="en-GB"/>
        </w:rPr>
        <w:t>aims</w:t>
      </w:r>
      <w:r w:rsidRPr="00D92126">
        <w:rPr>
          <w:rFonts w:ascii="Arial" w:eastAsia="Times New Roman" w:hAnsi="Arial" w:cs="Arial"/>
          <w:lang w:eastAsia="en-GB"/>
        </w:rPr>
        <w:t xml:space="preserve"> to improve the outcomes for children and/or preventing them from requiring further </w:t>
      </w:r>
      <w:r w:rsidRPr="00D21CED">
        <w:rPr>
          <w:rFonts w:ascii="Arial" w:eastAsia="Times New Roman" w:hAnsi="Arial" w:cs="Arial"/>
          <w:lang w:eastAsia="en-GB"/>
        </w:rPr>
        <w:t xml:space="preserve">support or risks. The services provided through early intervention allow for a well-rounded approach from multiple agencies to support families who do not meet the threshold for a statutory intervention. Research suggests that </w:t>
      </w:r>
      <w:r>
        <w:rPr>
          <w:rFonts w:ascii="Arial" w:eastAsia="Times New Roman" w:hAnsi="Arial" w:cs="Arial"/>
          <w:lang w:eastAsia="en-GB"/>
        </w:rPr>
        <w:t>e</w:t>
      </w:r>
      <w:r w:rsidRPr="00D21CED">
        <w:rPr>
          <w:rFonts w:ascii="Arial" w:eastAsia="Times New Roman" w:hAnsi="Arial" w:cs="Arial"/>
          <w:lang w:eastAsia="en-GB"/>
        </w:rPr>
        <w:t xml:space="preserve">arly intervention can help protect children from harm, reduce referrals required to protection services, improve long-term outcomes for a child and improve the home life of those who engage with the services. </w:t>
      </w:r>
      <w:r w:rsidRPr="00776922">
        <w:rPr>
          <w:rFonts w:ascii="Arial" w:eastAsia="Times New Roman" w:hAnsi="Arial" w:cs="Arial"/>
          <w:lang w:eastAsia="en-GB"/>
        </w:rPr>
        <w:t>(National Society for the Prevention of Cruelty to Children, 2023)</w:t>
      </w:r>
      <w:r w:rsidRPr="00D21CED">
        <w:rPr>
          <w:rFonts w:ascii="Arial" w:eastAsia="Times New Roman" w:hAnsi="Arial" w:cs="Arial"/>
          <w:lang w:eastAsia="en-GB"/>
        </w:rPr>
        <w:t xml:space="preserve">. </w:t>
      </w:r>
    </w:p>
    <w:p w14:paraId="35C07EA6" w14:textId="77777777" w:rsidR="00271CA3" w:rsidRPr="00D21CED" w:rsidRDefault="00271CA3" w:rsidP="00271CA3">
      <w:pPr>
        <w:spacing w:after="0" w:line="276" w:lineRule="auto"/>
        <w:ind w:left="567" w:right="531"/>
        <w:rPr>
          <w:rFonts w:ascii="Arial" w:eastAsia="Times New Roman" w:hAnsi="Arial" w:cs="Arial"/>
          <w:lang w:eastAsia="en-GB"/>
        </w:rPr>
      </w:pPr>
    </w:p>
    <w:p w14:paraId="34C76864" w14:textId="77777777" w:rsidR="00271CA3" w:rsidRPr="00776922" w:rsidRDefault="00271CA3" w:rsidP="00271CA3">
      <w:pPr>
        <w:spacing w:after="0" w:line="276" w:lineRule="auto"/>
        <w:ind w:left="567" w:right="531"/>
        <w:rPr>
          <w:rFonts w:ascii="Arial" w:eastAsia="Times New Roman" w:hAnsi="Arial" w:cs="Arial"/>
          <w:lang w:eastAsia="en-GB"/>
        </w:rPr>
      </w:pPr>
      <w:r w:rsidRPr="00D21CED">
        <w:rPr>
          <w:rFonts w:ascii="Arial" w:eastAsia="Times New Roman" w:hAnsi="Arial" w:cs="Arial"/>
          <w:lang w:eastAsia="en-GB"/>
        </w:rPr>
        <w:t xml:space="preserve">Children as young as five years old can be subject to early intervention methods to prevent the child and family falling into the </w:t>
      </w:r>
      <w:r w:rsidRPr="009352B2">
        <w:rPr>
          <w:rFonts w:ascii="Arial" w:eastAsia="Times New Roman" w:hAnsi="Arial" w:cs="Arial"/>
          <w:lang w:eastAsia="en-GB"/>
        </w:rPr>
        <w:t>problem family category</w:t>
      </w:r>
      <w:r w:rsidRPr="00D21CED">
        <w:rPr>
          <w:rFonts w:ascii="Arial" w:eastAsia="Times New Roman" w:hAnsi="Arial" w:cs="Arial"/>
          <w:lang w:eastAsia="en-GB"/>
        </w:rPr>
        <w:t xml:space="preserve">. A problem family displays the following characteristics, </w:t>
      </w:r>
      <w:r w:rsidRPr="00D21CED">
        <w:rPr>
          <w:rFonts w:ascii="Arial" w:hAnsi="Arial" w:cs="Arial"/>
        </w:rPr>
        <w:t xml:space="preserve">socio-economic disadvantages, parents who have low educational backgrounds, stresses from within the family set up and poor parenting skills </w:t>
      </w:r>
      <w:r w:rsidRPr="00776922">
        <w:rPr>
          <w:rFonts w:ascii="Arial" w:hAnsi="Arial" w:cs="Arial"/>
        </w:rPr>
        <w:t>(</w:t>
      </w:r>
      <w:proofErr w:type="spellStart"/>
      <w:r w:rsidRPr="00776922">
        <w:rPr>
          <w:rFonts w:ascii="Arial" w:hAnsi="Arial" w:cs="Arial"/>
        </w:rPr>
        <w:t>Deković</w:t>
      </w:r>
      <w:proofErr w:type="spellEnd"/>
      <w:r w:rsidRPr="00776922">
        <w:rPr>
          <w:rFonts w:ascii="Arial" w:hAnsi="Arial" w:cs="Arial"/>
        </w:rPr>
        <w:t xml:space="preserve"> et al., 2011)</w:t>
      </w:r>
      <w:r w:rsidRPr="00D21CED">
        <w:rPr>
          <w:rFonts w:ascii="Arial" w:eastAsia="Times New Roman" w:hAnsi="Arial" w:cs="Arial"/>
          <w:lang w:eastAsia="en-GB"/>
        </w:rPr>
        <w:t xml:space="preserve">. There is an argument that mainstream services should be prioritised, rather than the reliance on early intervention to support children, especially those who are living in deprived areas </w:t>
      </w:r>
      <w:r w:rsidRPr="00EA0A50">
        <w:rPr>
          <w:rFonts w:ascii="Arial" w:eastAsia="Times New Roman" w:hAnsi="Arial" w:cs="Arial"/>
          <w:lang w:eastAsia="en-GB"/>
        </w:rPr>
        <w:t>(Solomon and Blythe, 2009)</w:t>
      </w:r>
      <w:r>
        <w:rPr>
          <w:rFonts w:ascii="Arial" w:eastAsia="Times New Roman" w:hAnsi="Arial" w:cs="Arial"/>
          <w:lang w:eastAsia="en-GB"/>
        </w:rPr>
        <w:t>,</w:t>
      </w:r>
      <w:r w:rsidRPr="00D21CED">
        <w:rPr>
          <w:rFonts w:ascii="Arial" w:eastAsia="Times New Roman" w:hAnsi="Arial" w:cs="Arial"/>
          <w:lang w:eastAsia="en-GB"/>
        </w:rPr>
        <w:t xml:space="preserve"> and therefore more likely to become involved in youth offending. This has been shown as when early interventions are incorporated too late, or not at all. Children become more likely to engage with deviant social groups, leading to further negative influences and increasing the likelihood of failures in school, not engaging with society and the involvement in criminal activities</w:t>
      </w:r>
      <w:r>
        <w:rPr>
          <w:rFonts w:ascii="Arial" w:eastAsia="Times New Roman" w:hAnsi="Arial" w:cs="Arial"/>
          <w:lang w:eastAsia="en-GB"/>
        </w:rPr>
        <w:t xml:space="preserve"> </w:t>
      </w:r>
      <w:r w:rsidRPr="00776922">
        <w:rPr>
          <w:rFonts w:ascii="Arial" w:eastAsia="Times New Roman" w:hAnsi="Arial" w:cs="Arial"/>
          <w:lang w:eastAsia="en-GB"/>
        </w:rPr>
        <w:t>(</w:t>
      </w:r>
      <w:proofErr w:type="spellStart"/>
      <w:r w:rsidRPr="00776922">
        <w:rPr>
          <w:rFonts w:ascii="Arial" w:eastAsia="Times New Roman" w:hAnsi="Arial" w:cs="Arial"/>
          <w:lang w:eastAsia="en-GB"/>
        </w:rPr>
        <w:t>Deković</w:t>
      </w:r>
      <w:proofErr w:type="spellEnd"/>
      <w:r w:rsidRPr="00776922">
        <w:rPr>
          <w:rFonts w:ascii="Arial" w:eastAsia="Times New Roman" w:hAnsi="Arial" w:cs="Arial"/>
          <w:lang w:eastAsia="en-GB"/>
        </w:rPr>
        <w:t xml:space="preserve"> et al., 2011)</w:t>
      </w:r>
      <w:r w:rsidRPr="00D21CED">
        <w:rPr>
          <w:rFonts w:ascii="Arial" w:eastAsia="Times New Roman" w:hAnsi="Arial" w:cs="Arial"/>
          <w:lang w:eastAsia="en-GB"/>
        </w:rPr>
        <w:t>.</w:t>
      </w:r>
    </w:p>
    <w:p w14:paraId="60FCA61C" w14:textId="77777777" w:rsidR="00271CA3" w:rsidRDefault="00271CA3" w:rsidP="00271CA3">
      <w:pPr>
        <w:spacing w:after="0" w:line="276" w:lineRule="auto"/>
        <w:ind w:left="567" w:right="531"/>
        <w:rPr>
          <w:rFonts w:ascii="Arial" w:eastAsia="Times New Roman" w:hAnsi="Arial" w:cs="Arial"/>
          <w:lang w:eastAsia="en-GB"/>
        </w:rPr>
      </w:pPr>
    </w:p>
    <w:p w14:paraId="577D5B95" w14:textId="77777777" w:rsidR="00271CA3" w:rsidRDefault="00271CA3" w:rsidP="00271CA3">
      <w:pPr>
        <w:spacing w:after="0" w:line="276" w:lineRule="auto"/>
        <w:ind w:left="567" w:right="531"/>
        <w:rPr>
          <w:rFonts w:ascii="Arial" w:eastAsia="Times New Roman" w:hAnsi="Arial" w:cs="Arial"/>
          <w:lang w:eastAsia="en-GB"/>
        </w:rPr>
      </w:pPr>
    </w:p>
    <w:p w14:paraId="7F2F540B" w14:textId="72A10A1D" w:rsidR="00271CA3" w:rsidRPr="00165B63" w:rsidRDefault="00271CA3" w:rsidP="00271CA3">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There are two main types of early interventions. Individual interventions and community interventions. Individual interventions are a one-to-one intervention that solely works to help one child at a time in a one-to-one setting. Individual interventions are focused at working with children to help promote positive changes and provide support to them in a one-to-one setting </w:t>
      </w:r>
      <w:r w:rsidRPr="00854330">
        <w:rPr>
          <w:rFonts w:ascii="Arial" w:eastAsia="Times New Roman" w:hAnsi="Arial" w:cs="Arial"/>
          <w:lang w:eastAsia="en-GB"/>
        </w:rPr>
        <w:t>(HSR Psychology, n.d.)</w:t>
      </w:r>
      <w:r>
        <w:rPr>
          <w:rFonts w:ascii="Arial" w:eastAsia="Times New Roman" w:hAnsi="Arial" w:cs="Arial"/>
          <w:lang w:eastAsia="en-GB"/>
        </w:rPr>
        <w:t xml:space="preserve">. Individual interventions consist of several different interventions, examples of which include, Cognitive behavioural therapy, anger management, relationship interventions and several more </w:t>
      </w:r>
      <w:r w:rsidRPr="00854330">
        <w:rPr>
          <w:rFonts w:ascii="Arial" w:eastAsia="Times New Roman" w:hAnsi="Arial" w:cs="Arial"/>
          <w:lang w:eastAsia="en-GB"/>
        </w:rPr>
        <w:t>(HSR Psychology, n.d.)</w:t>
      </w:r>
      <w:r>
        <w:rPr>
          <w:rFonts w:ascii="Arial" w:eastAsia="Times New Roman" w:hAnsi="Arial" w:cs="Arial"/>
          <w:lang w:eastAsia="en-GB"/>
        </w:rPr>
        <w:t xml:space="preserve">. There are several ways in which a one-to-one intervention </w:t>
      </w:r>
      <w:r w:rsidR="003F6754">
        <w:rPr>
          <w:rFonts w:ascii="Arial" w:eastAsia="Times New Roman" w:hAnsi="Arial" w:cs="Arial"/>
          <w:lang w:eastAsia="en-GB"/>
        </w:rPr>
        <w:t>works,</w:t>
      </w:r>
      <w:r>
        <w:rPr>
          <w:rFonts w:ascii="Arial" w:eastAsia="Times New Roman" w:hAnsi="Arial" w:cs="Arial"/>
          <w:lang w:eastAsia="en-GB"/>
        </w:rPr>
        <w:t xml:space="preserve"> and these interventions can be tailored to suit the needs of individuals </w:t>
      </w:r>
      <w:r w:rsidRPr="00EA0A50">
        <w:rPr>
          <w:rFonts w:ascii="Arial" w:eastAsia="Times New Roman" w:hAnsi="Arial" w:cs="Arial"/>
          <w:lang w:eastAsia="en-GB"/>
        </w:rPr>
        <w:t>(Thompson, 2021)</w:t>
      </w:r>
      <w:r>
        <w:rPr>
          <w:rFonts w:ascii="Arial" w:eastAsia="Times New Roman" w:hAnsi="Arial" w:cs="Arial"/>
          <w:lang w:eastAsia="en-GB"/>
        </w:rPr>
        <w:t xml:space="preserve">. Individual interventions aim to improve progress, raise confidence and improve wellbeing of the child </w:t>
      </w:r>
      <w:r w:rsidRPr="00854330">
        <w:rPr>
          <w:rFonts w:ascii="Arial" w:eastAsia="Times New Roman" w:hAnsi="Arial" w:cs="Arial"/>
          <w:lang w:eastAsia="en-GB"/>
        </w:rPr>
        <w:t xml:space="preserve">(HSR </w:t>
      </w:r>
      <w:r w:rsidRPr="00854330">
        <w:rPr>
          <w:rFonts w:ascii="Arial" w:eastAsia="Times New Roman" w:hAnsi="Arial" w:cs="Arial"/>
          <w:lang w:eastAsia="en-GB"/>
        </w:rPr>
        <w:lastRenderedPageBreak/>
        <w:t>Psychology, n.d.)</w:t>
      </w:r>
      <w:r>
        <w:rPr>
          <w:rFonts w:ascii="Arial" w:eastAsia="Times New Roman" w:hAnsi="Arial" w:cs="Arial"/>
          <w:lang w:eastAsia="en-GB"/>
        </w:rPr>
        <w:t xml:space="preserve">, by working with the child to provide a bespoke intervention consisting of one or a combination of interventions, working to assist the child in the areas identified in each personal case to provide the best intervention possible for the child. </w:t>
      </w:r>
      <w:r w:rsidRPr="00EA0A50">
        <w:rPr>
          <w:rFonts w:ascii="Arial" w:eastAsia="Times New Roman" w:hAnsi="Arial" w:cs="Arial"/>
          <w:lang w:eastAsia="en-GB"/>
        </w:rPr>
        <w:t>(</w:t>
      </w:r>
      <w:proofErr w:type="spellStart"/>
      <w:r w:rsidRPr="00EA0A50">
        <w:rPr>
          <w:rFonts w:ascii="Arial" w:eastAsia="Times New Roman" w:hAnsi="Arial" w:cs="Arial"/>
          <w:lang w:eastAsia="en-GB"/>
        </w:rPr>
        <w:t>CareLearning</w:t>
      </w:r>
      <w:proofErr w:type="spellEnd"/>
      <w:r w:rsidRPr="00EA0A50">
        <w:rPr>
          <w:rFonts w:ascii="Arial" w:eastAsia="Times New Roman" w:hAnsi="Arial" w:cs="Arial"/>
          <w:lang w:eastAsia="en-GB"/>
        </w:rPr>
        <w:t>, 2024)</w:t>
      </w:r>
      <w:r>
        <w:rPr>
          <w:rFonts w:ascii="Arial" w:eastAsia="Times New Roman" w:hAnsi="Arial" w:cs="Arial"/>
          <w:lang w:eastAsia="en-GB"/>
        </w:rPr>
        <w:t xml:space="preserve">. </w:t>
      </w:r>
    </w:p>
    <w:p w14:paraId="55B81FEF" w14:textId="77777777" w:rsidR="00271CA3" w:rsidRDefault="00271CA3" w:rsidP="00271CA3">
      <w:pPr>
        <w:spacing w:after="0" w:line="276" w:lineRule="auto"/>
        <w:ind w:left="567" w:right="531"/>
        <w:rPr>
          <w:rFonts w:ascii="Arial" w:eastAsia="Times New Roman" w:hAnsi="Arial" w:cs="Arial"/>
          <w:lang w:eastAsia="en-GB"/>
        </w:rPr>
      </w:pPr>
    </w:p>
    <w:p w14:paraId="13ADEA12" w14:textId="77777777" w:rsidR="00271CA3" w:rsidRPr="00006235" w:rsidRDefault="00271CA3" w:rsidP="00271CA3">
      <w:pPr>
        <w:spacing w:after="0" w:line="276" w:lineRule="auto"/>
        <w:ind w:left="567" w:right="531"/>
        <w:rPr>
          <w:rFonts w:ascii="Arial" w:eastAsia="Times New Roman" w:hAnsi="Arial" w:cs="Arial"/>
          <w:lang w:eastAsia="en-GB"/>
        </w:rPr>
      </w:pPr>
      <w:r>
        <w:rPr>
          <w:rFonts w:ascii="Arial" w:eastAsia="Times New Roman" w:hAnsi="Arial" w:cs="Arial"/>
          <w:lang w:eastAsia="en-GB"/>
        </w:rPr>
        <w:t>The second type of early intervention is the community intervention. Communities are identified on their geographical locations or places of interest and strategies and interventions can be tailored to suit the demographic and needs of the communities accordingly (</w:t>
      </w:r>
      <w:r w:rsidRPr="003C5746">
        <w:rPr>
          <w:rFonts w:ascii="Arial" w:eastAsia="Times New Roman" w:hAnsi="Arial" w:cs="Arial"/>
          <w:lang w:eastAsia="en-GB"/>
        </w:rPr>
        <w:t>GOV</w:t>
      </w:r>
      <w:r>
        <w:rPr>
          <w:rFonts w:ascii="Arial" w:eastAsia="Times New Roman" w:hAnsi="Arial" w:cs="Arial"/>
          <w:lang w:eastAsia="en-GB"/>
        </w:rPr>
        <w:t xml:space="preserve">). </w:t>
      </w:r>
      <w:r w:rsidRPr="003C5746">
        <w:rPr>
          <w:rFonts w:ascii="Arial" w:eastAsia="Times New Roman" w:hAnsi="Arial" w:cs="Arial"/>
          <w:lang w:eastAsia="en-GB"/>
        </w:rPr>
        <w:t>This</w:t>
      </w:r>
      <w:r>
        <w:rPr>
          <w:rFonts w:ascii="Arial" w:eastAsia="Times New Roman" w:hAnsi="Arial" w:cs="Arial"/>
          <w:lang w:eastAsia="en-GB"/>
        </w:rPr>
        <w:t xml:space="preserve"> community approach is targeted, not at individuals, but groups of children who have been identified to be at risk of the adverse effects of falling into the problem family category and being susceptible to the influences of others who are involved in criminal activities. Community interventions can consist of high-profile policing patrols in areas that are typically associated with crime to display a presence in the area and prevent children from offending </w:t>
      </w:r>
      <w:r w:rsidRPr="00EA0A50">
        <w:rPr>
          <w:rFonts w:ascii="Arial" w:eastAsia="Times New Roman" w:hAnsi="Arial" w:cs="Arial"/>
          <w:lang w:eastAsia="en-GB"/>
        </w:rPr>
        <w:t>(Thompson, 2021)</w:t>
      </w:r>
      <w:r>
        <w:rPr>
          <w:rFonts w:ascii="Arial" w:eastAsia="Times New Roman" w:hAnsi="Arial" w:cs="Arial"/>
          <w:lang w:eastAsia="en-GB"/>
        </w:rPr>
        <w:t xml:space="preserve">. Another community intervention is a preventative programme. These programmes are aimed at teaching children the potential impacts of their actions and discourage certain activities. These programmes include drug and knife awareness, adolescent pregnancy awareness, anti-gang initiatives and suicide prevention courses </w:t>
      </w:r>
      <w:r w:rsidRPr="007C20BB">
        <w:rPr>
          <w:rFonts w:ascii="Arial" w:eastAsia="Times New Roman" w:hAnsi="Arial" w:cs="Arial"/>
          <w:lang w:eastAsia="en-GB"/>
        </w:rPr>
        <w:t xml:space="preserve">(Social Work Degree </w:t>
      </w:r>
      <w:proofErr w:type="spellStart"/>
      <w:r w:rsidRPr="007C20BB">
        <w:rPr>
          <w:rFonts w:ascii="Arial" w:eastAsia="Times New Roman" w:hAnsi="Arial" w:cs="Arial"/>
          <w:lang w:eastAsia="en-GB"/>
        </w:rPr>
        <w:t>Center</w:t>
      </w:r>
      <w:proofErr w:type="spellEnd"/>
      <w:r w:rsidRPr="007C20BB">
        <w:rPr>
          <w:rFonts w:ascii="Arial" w:eastAsia="Times New Roman" w:hAnsi="Arial" w:cs="Arial"/>
          <w:lang w:eastAsia="en-GB"/>
        </w:rPr>
        <w:t>, n.d.)</w:t>
      </w:r>
      <w:r>
        <w:rPr>
          <w:rFonts w:ascii="Arial" w:eastAsia="Times New Roman" w:hAnsi="Arial" w:cs="Arial"/>
          <w:lang w:eastAsia="en-GB"/>
        </w:rPr>
        <w:t>.</w:t>
      </w:r>
    </w:p>
    <w:p w14:paraId="11F96AA4" w14:textId="77777777" w:rsidR="00271CA3" w:rsidRDefault="00271CA3" w:rsidP="00271CA3">
      <w:pPr>
        <w:spacing w:after="0" w:line="276" w:lineRule="auto"/>
        <w:ind w:left="567" w:right="531"/>
        <w:rPr>
          <w:rFonts w:ascii="Arial" w:eastAsia="Times New Roman" w:hAnsi="Arial" w:cs="Arial"/>
          <w:lang w:eastAsia="en-GB"/>
        </w:rPr>
      </w:pPr>
    </w:p>
    <w:p w14:paraId="287CCE9A" w14:textId="77777777" w:rsidR="00271CA3" w:rsidRDefault="00271CA3" w:rsidP="00271CA3">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Both individual and community approaches to early intervention have their benefits. The benefits of the individual approaches are that the interventions are targeted directly and are focused to meet the vulnerabilities and needs of the child who is accessing the interventions </w:t>
      </w:r>
      <w:r w:rsidRPr="00854330">
        <w:rPr>
          <w:rFonts w:ascii="Arial" w:eastAsia="Times New Roman" w:hAnsi="Arial" w:cs="Arial"/>
          <w:lang w:eastAsia="en-GB"/>
        </w:rPr>
        <w:t>(HSR Psychology, n.d.)</w:t>
      </w:r>
      <w:r>
        <w:rPr>
          <w:rFonts w:ascii="Arial" w:eastAsia="Times New Roman" w:hAnsi="Arial" w:cs="Arial"/>
          <w:lang w:eastAsia="en-GB"/>
        </w:rPr>
        <w:t xml:space="preserve">. This means that the child should receive a better experience from interventions due to the tailored approach. A community approach is a more cost-effective way to target larger groups of children who need early interventions </w:t>
      </w:r>
      <w:r w:rsidRPr="00BF6B24">
        <w:rPr>
          <w:rFonts w:ascii="Arial" w:eastAsia="Times New Roman" w:hAnsi="Arial" w:cs="Arial"/>
          <w:lang w:eastAsia="en-GB"/>
        </w:rPr>
        <w:t>(Stevens, 2011)</w:t>
      </w:r>
      <w:r>
        <w:rPr>
          <w:rFonts w:ascii="Arial" w:eastAsia="Times New Roman" w:hAnsi="Arial" w:cs="Arial"/>
          <w:lang w:eastAsia="en-GB"/>
        </w:rPr>
        <w:t>.</w:t>
      </w:r>
    </w:p>
    <w:p w14:paraId="570EA630" w14:textId="77777777" w:rsidR="00271CA3" w:rsidRDefault="00271CA3" w:rsidP="00271CA3">
      <w:pPr>
        <w:spacing w:after="0" w:line="276" w:lineRule="auto"/>
        <w:ind w:left="567" w:right="531"/>
        <w:rPr>
          <w:rFonts w:ascii="Arial" w:eastAsia="Times New Roman" w:hAnsi="Arial" w:cs="Arial"/>
          <w:lang w:eastAsia="en-GB"/>
        </w:rPr>
      </w:pPr>
    </w:p>
    <w:p w14:paraId="680A5AC6" w14:textId="77777777" w:rsidR="00271CA3" w:rsidRDefault="00271CA3" w:rsidP="00271CA3">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Research shows that early interventions do indicate reduced levels of criminal activity, reduced levels of drug and alcohol dependencies </w:t>
      </w:r>
      <w:r w:rsidRPr="00BF6B24">
        <w:rPr>
          <w:rFonts w:ascii="Arial" w:eastAsia="Times New Roman" w:hAnsi="Arial" w:cs="Arial"/>
          <w:lang w:eastAsia="en-GB"/>
        </w:rPr>
        <w:t>(Substance Abuse and Mental Health Services Administration (US), 2019)</w:t>
      </w:r>
      <w:r>
        <w:rPr>
          <w:rFonts w:ascii="Arial" w:eastAsia="Times New Roman" w:hAnsi="Arial" w:cs="Arial"/>
          <w:lang w:eastAsia="en-GB"/>
        </w:rPr>
        <w:t xml:space="preserve"> and an increase in the socio-economic wellbeing of a person later in their life, further leading to the decrease in likelihood of their children then becoming involved in adverse activities.</w:t>
      </w:r>
    </w:p>
    <w:p w14:paraId="704947E0" w14:textId="77777777" w:rsidR="00271CA3" w:rsidRDefault="00271CA3" w:rsidP="00271CA3">
      <w:pPr>
        <w:spacing w:after="0" w:line="276" w:lineRule="auto"/>
        <w:ind w:left="567" w:right="531"/>
        <w:rPr>
          <w:rFonts w:ascii="Arial" w:eastAsia="Times New Roman" w:hAnsi="Arial" w:cs="Arial"/>
          <w:lang w:eastAsia="en-GB"/>
        </w:rPr>
      </w:pPr>
    </w:p>
    <w:p w14:paraId="4657566F" w14:textId="77777777" w:rsidR="00271CA3" w:rsidRDefault="00271CA3" w:rsidP="00271CA3">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As with any initiative, there are many factors that will increase or decrease from its effectiveness. The quality of the delivery of each early intervention can significantly impact the effectiveness. The higher the quality of the delivery, the more likely the interventions are going to have their desired effects </w:t>
      </w:r>
      <w:r w:rsidRPr="00EA0A50">
        <w:rPr>
          <w:rFonts w:ascii="Arial" w:eastAsia="Times New Roman" w:hAnsi="Arial" w:cs="Arial"/>
          <w:lang w:eastAsia="en-GB"/>
        </w:rPr>
        <w:t>(Thompson, 2021)</w:t>
      </w:r>
      <w:r>
        <w:rPr>
          <w:rFonts w:ascii="Arial" w:eastAsia="Times New Roman" w:hAnsi="Arial" w:cs="Arial"/>
          <w:lang w:eastAsia="en-GB"/>
        </w:rPr>
        <w:t xml:space="preserve">. Sustained engagement is another key factor in the effectiveness of early interventions, allowing for prolonged, stable relationships with intervention workers has been shown to improve the effectiveness of early intervention </w:t>
      </w:r>
      <w:r w:rsidRPr="007C20BB">
        <w:rPr>
          <w:rFonts w:ascii="Arial" w:eastAsia="Times New Roman" w:hAnsi="Arial" w:cs="Arial"/>
          <w:lang w:eastAsia="en-GB"/>
        </w:rPr>
        <w:t>(Harvard University, 2009)</w:t>
      </w:r>
      <w:r>
        <w:rPr>
          <w:rFonts w:ascii="Arial" w:eastAsia="Times New Roman" w:hAnsi="Arial" w:cs="Arial"/>
          <w:lang w:eastAsia="en-GB"/>
        </w:rPr>
        <w:t xml:space="preserve">. This is because the relationships built improve the engagement from the children as they look to the deliverers of the interventions as positive role models in their lives </w:t>
      </w:r>
      <w:r w:rsidRPr="007C20BB">
        <w:rPr>
          <w:rFonts w:ascii="Arial" w:eastAsia="Times New Roman" w:hAnsi="Arial" w:cs="Arial"/>
          <w:lang w:eastAsia="en-GB"/>
        </w:rPr>
        <w:t>(Winter, 2019)</w:t>
      </w:r>
      <w:r>
        <w:rPr>
          <w:rFonts w:ascii="Arial" w:eastAsia="Times New Roman" w:hAnsi="Arial" w:cs="Arial"/>
          <w:lang w:eastAsia="en-GB"/>
        </w:rPr>
        <w:t>.</w:t>
      </w:r>
    </w:p>
    <w:p w14:paraId="1F9BB61F" w14:textId="77777777" w:rsidR="00271CA3" w:rsidRDefault="00271CA3" w:rsidP="00271CA3">
      <w:pPr>
        <w:spacing w:after="0" w:line="276" w:lineRule="auto"/>
        <w:ind w:left="567" w:right="531"/>
        <w:rPr>
          <w:rFonts w:ascii="Arial" w:eastAsia="Times New Roman" w:hAnsi="Arial" w:cs="Arial"/>
          <w:lang w:eastAsia="en-GB"/>
        </w:rPr>
      </w:pPr>
    </w:p>
    <w:p w14:paraId="33A675EA" w14:textId="77777777" w:rsidR="00271CA3" w:rsidRDefault="00271CA3" w:rsidP="00271CA3">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There are some factors that decrease the effectiveness of early interventions such as a lack of resources and a stigmatisation around the use of early interventions. There are many pressures on companies and services due to the </w:t>
      </w:r>
      <w:r>
        <w:rPr>
          <w:rFonts w:ascii="Arial" w:eastAsia="Times New Roman" w:hAnsi="Arial" w:cs="Arial"/>
          <w:lang w:eastAsia="en-GB"/>
        </w:rPr>
        <w:lastRenderedPageBreak/>
        <w:t xml:space="preserve">high number of children attempting to access services. In England there are over 250,000 children waiting to access mental health services </w:t>
      </w:r>
      <w:r w:rsidRPr="007C20BB">
        <w:rPr>
          <w:rFonts w:ascii="Arial" w:eastAsia="Times New Roman" w:hAnsi="Arial" w:cs="Arial"/>
          <w:lang w:eastAsia="en-GB"/>
        </w:rPr>
        <w:t>(Children's Commissioner, 2024)</w:t>
      </w:r>
      <w:r>
        <w:rPr>
          <w:rFonts w:ascii="Arial" w:eastAsia="Times New Roman" w:hAnsi="Arial" w:cs="Arial"/>
          <w:lang w:eastAsia="en-GB"/>
        </w:rPr>
        <w:t xml:space="preserve">. This indicates that the services and infrastructure are struggling to accommodate for the number of children who are in need of these early interventions. The targeting of early interventions to communities and areas can lead to the stigmatisation of the people that the interventions are aimed at helping </w:t>
      </w:r>
      <w:r w:rsidRPr="007C20BB">
        <w:rPr>
          <w:rFonts w:ascii="Arial" w:eastAsia="Times New Roman" w:hAnsi="Arial" w:cs="Arial"/>
          <w:lang w:eastAsia="en-GB"/>
        </w:rPr>
        <w:t>(Ross et al., 2010)</w:t>
      </w:r>
      <w:r>
        <w:rPr>
          <w:rFonts w:ascii="Arial" w:eastAsia="Times New Roman" w:hAnsi="Arial" w:cs="Arial"/>
          <w:lang w:eastAsia="en-GB"/>
        </w:rPr>
        <w:t xml:space="preserve">. This stigmatisation can lead to children feeling that they are a problem already, leading to the disengagement from services and thus having the opposite effect than what was expected </w:t>
      </w:r>
      <w:r w:rsidRPr="007C20BB">
        <w:rPr>
          <w:rFonts w:ascii="Arial" w:eastAsia="Times New Roman" w:hAnsi="Arial" w:cs="Arial"/>
          <w:lang w:eastAsia="en-GB"/>
        </w:rPr>
        <w:t>(Ross et al., 2010)</w:t>
      </w:r>
      <w:r>
        <w:rPr>
          <w:rFonts w:ascii="Arial" w:eastAsia="Times New Roman" w:hAnsi="Arial" w:cs="Arial"/>
          <w:lang w:eastAsia="en-GB"/>
        </w:rPr>
        <w:t>. This would lead to a decrease in the effectiveness of the early interventions.</w:t>
      </w:r>
    </w:p>
    <w:p w14:paraId="140663C2" w14:textId="77777777" w:rsidR="00271CA3" w:rsidRDefault="00271CA3" w:rsidP="00271CA3">
      <w:pPr>
        <w:spacing w:after="0" w:line="276" w:lineRule="auto"/>
        <w:ind w:left="567" w:right="531"/>
        <w:rPr>
          <w:rFonts w:ascii="Arial" w:eastAsia="Times New Roman" w:hAnsi="Arial" w:cs="Arial"/>
          <w:lang w:eastAsia="en-GB"/>
        </w:rPr>
      </w:pPr>
    </w:p>
    <w:p w14:paraId="542DC378" w14:textId="77777777" w:rsidR="00271CA3" w:rsidRPr="00BB02DC" w:rsidRDefault="00271CA3" w:rsidP="00271CA3">
      <w:pPr>
        <w:spacing w:after="0" w:line="276" w:lineRule="auto"/>
        <w:ind w:left="567" w:right="531"/>
        <w:rPr>
          <w:rFonts w:ascii="Arial" w:eastAsia="Times New Roman" w:hAnsi="Arial" w:cs="Arial"/>
          <w:lang w:eastAsia="en-GB"/>
        </w:rPr>
      </w:pPr>
      <w:r>
        <w:rPr>
          <w:rFonts w:ascii="Arial" w:eastAsia="Times New Roman" w:hAnsi="Arial" w:cs="Arial"/>
          <w:lang w:eastAsia="en-GB"/>
        </w:rPr>
        <w:t>To conclude, this essay has explored what early interventions are, if they are an effective way to prevent young people from offending and the factors that affect its effectiveness both positively and negatively.</w:t>
      </w:r>
    </w:p>
    <w:p w14:paraId="02BBCE03" w14:textId="77777777" w:rsidR="00271CA3" w:rsidRDefault="00271CA3" w:rsidP="00271CA3">
      <w:pPr>
        <w:spacing w:after="0" w:line="276" w:lineRule="auto"/>
        <w:ind w:left="567" w:right="531"/>
        <w:rPr>
          <w:rFonts w:ascii="Arial" w:eastAsia="Times New Roman" w:hAnsi="Arial" w:cs="Arial"/>
          <w:lang w:eastAsia="en-GB"/>
        </w:rPr>
      </w:pPr>
    </w:p>
    <w:p w14:paraId="79DAEF00" w14:textId="77777777" w:rsidR="00271CA3" w:rsidRDefault="00271CA3" w:rsidP="00271CA3">
      <w:pPr>
        <w:spacing w:after="0" w:line="276" w:lineRule="auto"/>
        <w:ind w:left="567" w:right="531"/>
        <w:rPr>
          <w:rFonts w:ascii="Arial" w:eastAsia="Times New Roman" w:hAnsi="Arial" w:cs="Arial"/>
          <w:lang w:eastAsia="en-GB"/>
        </w:rPr>
      </w:pPr>
    </w:p>
    <w:p w14:paraId="5F0FCFC2" w14:textId="77777777" w:rsidR="00271CA3" w:rsidRDefault="00271CA3" w:rsidP="00271CA3">
      <w:pPr>
        <w:spacing w:after="0" w:line="276" w:lineRule="auto"/>
        <w:ind w:left="567" w:right="531"/>
        <w:rPr>
          <w:rFonts w:ascii="Arial" w:eastAsia="Times New Roman" w:hAnsi="Arial" w:cs="Arial"/>
          <w:lang w:eastAsia="en-GB"/>
        </w:rPr>
      </w:pPr>
      <w:r>
        <w:rPr>
          <w:rFonts w:ascii="Arial" w:eastAsia="Times New Roman" w:hAnsi="Arial" w:cs="Arial"/>
          <w:lang w:eastAsia="en-GB"/>
        </w:rPr>
        <w:t>Bibliography</w:t>
      </w:r>
    </w:p>
    <w:p w14:paraId="7CA22083" w14:textId="77777777" w:rsidR="00271CA3" w:rsidRPr="00AB0CE5" w:rsidRDefault="00271CA3" w:rsidP="00271CA3">
      <w:pPr>
        <w:spacing w:after="0" w:line="276" w:lineRule="auto"/>
        <w:ind w:left="567" w:right="531"/>
      </w:pPr>
    </w:p>
    <w:p w14:paraId="72C63607" w14:textId="77777777" w:rsidR="00271CA3" w:rsidRPr="00BF6B24" w:rsidRDefault="00271CA3" w:rsidP="00271CA3">
      <w:pPr>
        <w:spacing w:after="0" w:line="276" w:lineRule="auto"/>
        <w:ind w:left="567" w:right="531"/>
        <w:rPr>
          <w:rFonts w:ascii="Arial" w:eastAsia="Times New Roman" w:hAnsi="Arial" w:cs="Arial"/>
          <w:lang w:eastAsia="en-GB"/>
        </w:rPr>
      </w:pPr>
      <w:proofErr w:type="spellStart"/>
      <w:r w:rsidRPr="00BF6B24">
        <w:rPr>
          <w:rFonts w:ascii="Arial" w:eastAsia="Times New Roman" w:hAnsi="Arial" w:cs="Arial"/>
          <w:lang w:eastAsia="en-GB"/>
        </w:rPr>
        <w:t>CareLearning</w:t>
      </w:r>
      <w:proofErr w:type="spellEnd"/>
      <w:r w:rsidRPr="00BF6B24">
        <w:rPr>
          <w:rFonts w:ascii="Arial" w:eastAsia="Times New Roman" w:hAnsi="Arial" w:cs="Arial"/>
          <w:lang w:eastAsia="en-GB"/>
        </w:rPr>
        <w:t xml:space="preserve"> (2024). </w:t>
      </w:r>
      <w:r w:rsidRPr="00BF6B24">
        <w:rPr>
          <w:rFonts w:ascii="Arial" w:eastAsia="Times New Roman" w:hAnsi="Arial" w:cs="Arial"/>
          <w:i/>
          <w:iCs/>
          <w:lang w:eastAsia="en-GB"/>
        </w:rPr>
        <w:t>4.3 Explain Strategies For Early Intervention - Care Learning</w:t>
      </w:r>
      <w:r w:rsidRPr="00BF6B24">
        <w:rPr>
          <w:rFonts w:ascii="Arial" w:eastAsia="Times New Roman" w:hAnsi="Arial" w:cs="Arial"/>
          <w:lang w:eastAsia="en-GB"/>
        </w:rPr>
        <w:t xml:space="preserve">. [online] Care Learning. Available at: </w:t>
      </w:r>
      <w:hyperlink r:id="rId15" w:history="1">
        <w:r w:rsidRPr="00BF6B24">
          <w:rPr>
            <w:rStyle w:val="Hyperlink"/>
            <w:rFonts w:ascii="Arial" w:eastAsia="Times New Roman" w:hAnsi="Arial" w:cs="Arial"/>
            <w:lang w:eastAsia="en-GB"/>
          </w:rPr>
          <w:t>https://carelearning.org.uk/qualifications/level-3-diploma-eyp/unit-313-needs/4-3-explain-strategies-for-early-intervention/</w:t>
        </w:r>
      </w:hyperlink>
      <w:r>
        <w:rPr>
          <w:rFonts w:ascii="Arial" w:eastAsia="Times New Roman" w:hAnsi="Arial" w:cs="Arial"/>
          <w:lang w:eastAsia="en-GB"/>
        </w:rPr>
        <w:t xml:space="preserve"> </w:t>
      </w:r>
      <w:r w:rsidRPr="00BF6B24">
        <w:rPr>
          <w:rFonts w:ascii="Arial" w:eastAsia="Times New Roman" w:hAnsi="Arial" w:cs="Arial"/>
          <w:lang w:eastAsia="en-GB"/>
        </w:rPr>
        <w:t>[Accessed 16 Oct. 2024].</w:t>
      </w:r>
    </w:p>
    <w:p w14:paraId="39138EDF" w14:textId="77777777" w:rsidR="00271CA3" w:rsidRDefault="00271CA3" w:rsidP="00271CA3">
      <w:pPr>
        <w:spacing w:after="0" w:line="276" w:lineRule="auto"/>
        <w:ind w:left="567" w:right="531"/>
        <w:rPr>
          <w:rFonts w:ascii="Arial" w:eastAsia="Times New Roman" w:hAnsi="Arial" w:cs="Arial"/>
          <w:lang w:eastAsia="en-GB"/>
        </w:rPr>
      </w:pPr>
    </w:p>
    <w:p w14:paraId="3E5CE33E" w14:textId="77777777" w:rsidR="00271CA3" w:rsidRDefault="00271CA3" w:rsidP="00271CA3">
      <w:pPr>
        <w:spacing w:after="0" w:line="276" w:lineRule="auto"/>
        <w:ind w:left="567" w:right="531"/>
        <w:rPr>
          <w:rFonts w:ascii="Arial" w:eastAsia="Times New Roman" w:hAnsi="Arial" w:cs="Arial"/>
          <w:lang w:eastAsia="en-GB"/>
        </w:rPr>
      </w:pPr>
      <w:r w:rsidRPr="00BF6B24">
        <w:rPr>
          <w:rFonts w:ascii="Arial" w:eastAsia="Times New Roman" w:hAnsi="Arial" w:cs="Arial"/>
          <w:lang w:eastAsia="en-GB"/>
        </w:rPr>
        <w:t xml:space="preserve">Children's Commissioner (2024). </w:t>
      </w:r>
      <w:r w:rsidRPr="00BF6B24">
        <w:rPr>
          <w:rFonts w:ascii="Arial" w:eastAsia="Times New Roman" w:hAnsi="Arial" w:cs="Arial"/>
          <w:i/>
          <w:iCs/>
          <w:lang w:eastAsia="en-GB"/>
        </w:rPr>
        <w:t>Over a quarter of a million children still waiting for mental health support</w:t>
      </w:r>
      <w:r w:rsidRPr="00BF6B24">
        <w:rPr>
          <w:rFonts w:ascii="Arial" w:eastAsia="Times New Roman" w:hAnsi="Arial" w:cs="Arial"/>
          <w:lang w:eastAsia="en-GB"/>
        </w:rPr>
        <w:t xml:space="preserve">. [online] Children’s Commissioner for England. Available at: </w:t>
      </w:r>
      <w:hyperlink r:id="rId16" w:history="1">
        <w:r w:rsidRPr="00BF6B24">
          <w:rPr>
            <w:rStyle w:val="Hyperlink"/>
            <w:rFonts w:ascii="Arial" w:eastAsia="Times New Roman" w:hAnsi="Arial" w:cs="Arial"/>
            <w:lang w:eastAsia="en-GB"/>
          </w:rPr>
          <w:t>https://www.childrenscommissioner.gov.uk/blog/over-a-quarter-of-a-million-children-still-waiting-for-mental-health-support/</w:t>
        </w:r>
      </w:hyperlink>
      <w:r>
        <w:rPr>
          <w:rFonts w:ascii="Arial" w:eastAsia="Times New Roman" w:hAnsi="Arial" w:cs="Arial"/>
          <w:lang w:eastAsia="en-GB"/>
        </w:rPr>
        <w:t xml:space="preserve"> </w:t>
      </w:r>
      <w:r w:rsidRPr="00BF6B24">
        <w:rPr>
          <w:rFonts w:ascii="Arial" w:eastAsia="Times New Roman" w:hAnsi="Arial" w:cs="Arial"/>
          <w:lang w:eastAsia="en-GB"/>
        </w:rPr>
        <w:t xml:space="preserve"> [Accessed 16 Oct. 2024].</w:t>
      </w:r>
    </w:p>
    <w:p w14:paraId="0C86A063" w14:textId="77777777" w:rsidR="00271CA3" w:rsidRPr="00BF6B24" w:rsidRDefault="00271CA3" w:rsidP="00271CA3">
      <w:pPr>
        <w:spacing w:after="0" w:line="276" w:lineRule="auto"/>
        <w:ind w:left="567" w:right="531"/>
        <w:rPr>
          <w:rFonts w:ascii="Arial" w:eastAsia="Times New Roman" w:hAnsi="Arial" w:cs="Arial"/>
          <w:lang w:eastAsia="en-GB"/>
        </w:rPr>
      </w:pPr>
    </w:p>
    <w:p w14:paraId="23C3A7CB" w14:textId="77777777" w:rsidR="00271CA3" w:rsidRDefault="00271CA3" w:rsidP="00271CA3">
      <w:pPr>
        <w:spacing w:after="0" w:line="276" w:lineRule="auto"/>
        <w:ind w:left="567" w:right="531"/>
        <w:rPr>
          <w:rFonts w:ascii="Arial" w:eastAsia="Times New Roman" w:hAnsi="Arial" w:cs="Arial"/>
          <w:lang w:eastAsia="en-GB"/>
        </w:rPr>
      </w:pPr>
      <w:proofErr w:type="spellStart"/>
      <w:r w:rsidRPr="00BF6B24">
        <w:rPr>
          <w:rFonts w:ascii="Arial" w:eastAsia="Times New Roman" w:hAnsi="Arial" w:cs="Arial"/>
          <w:lang w:eastAsia="en-GB"/>
        </w:rPr>
        <w:t>Deković</w:t>
      </w:r>
      <w:proofErr w:type="spellEnd"/>
      <w:r w:rsidRPr="00BF6B24">
        <w:rPr>
          <w:rFonts w:ascii="Arial" w:eastAsia="Times New Roman" w:hAnsi="Arial" w:cs="Arial"/>
          <w:lang w:eastAsia="en-GB"/>
        </w:rPr>
        <w:t xml:space="preserve">, M., </w:t>
      </w:r>
      <w:proofErr w:type="spellStart"/>
      <w:r w:rsidRPr="00BF6B24">
        <w:rPr>
          <w:rFonts w:ascii="Arial" w:eastAsia="Times New Roman" w:hAnsi="Arial" w:cs="Arial"/>
          <w:lang w:eastAsia="en-GB"/>
        </w:rPr>
        <w:t>Slagt</w:t>
      </w:r>
      <w:proofErr w:type="spellEnd"/>
      <w:r w:rsidRPr="00BF6B24">
        <w:rPr>
          <w:rFonts w:ascii="Arial" w:eastAsia="Times New Roman" w:hAnsi="Arial" w:cs="Arial"/>
          <w:lang w:eastAsia="en-GB"/>
        </w:rPr>
        <w:t xml:space="preserve">, M.I., Asscher, J.J., </w:t>
      </w:r>
      <w:proofErr w:type="spellStart"/>
      <w:r w:rsidRPr="00BF6B24">
        <w:rPr>
          <w:rFonts w:ascii="Arial" w:eastAsia="Times New Roman" w:hAnsi="Arial" w:cs="Arial"/>
          <w:lang w:eastAsia="en-GB"/>
        </w:rPr>
        <w:t>Boendermaker</w:t>
      </w:r>
      <w:proofErr w:type="spellEnd"/>
      <w:r w:rsidRPr="00BF6B24">
        <w:rPr>
          <w:rFonts w:ascii="Arial" w:eastAsia="Times New Roman" w:hAnsi="Arial" w:cs="Arial"/>
          <w:lang w:eastAsia="en-GB"/>
        </w:rPr>
        <w:t xml:space="preserve">, L., </w:t>
      </w:r>
      <w:proofErr w:type="spellStart"/>
      <w:r w:rsidRPr="00BF6B24">
        <w:rPr>
          <w:rFonts w:ascii="Arial" w:eastAsia="Times New Roman" w:hAnsi="Arial" w:cs="Arial"/>
          <w:lang w:eastAsia="en-GB"/>
        </w:rPr>
        <w:t>Eichelsheim</w:t>
      </w:r>
      <w:proofErr w:type="spellEnd"/>
      <w:r w:rsidRPr="00BF6B24">
        <w:rPr>
          <w:rFonts w:ascii="Arial" w:eastAsia="Times New Roman" w:hAnsi="Arial" w:cs="Arial"/>
          <w:lang w:eastAsia="en-GB"/>
        </w:rPr>
        <w:t xml:space="preserve">, V.I. and </w:t>
      </w:r>
      <w:proofErr w:type="spellStart"/>
      <w:r w:rsidRPr="00BF6B24">
        <w:rPr>
          <w:rFonts w:ascii="Arial" w:eastAsia="Times New Roman" w:hAnsi="Arial" w:cs="Arial"/>
          <w:lang w:eastAsia="en-GB"/>
        </w:rPr>
        <w:t>Prinzie</w:t>
      </w:r>
      <w:proofErr w:type="spellEnd"/>
      <w:r w:rsidRPr="00BF6B24">
        <w:rPr>
          <w:rFonts w:ascii="Arial" w:eastAsia="Times New Roman" w:hAnsi="Arial" w:cs="Arial"/>
          <w:lang w:eastAsia="en-GB"/>
        </w:rPr>
        <w:t xml:space="preserve">, P. (2011). Effects of early prevention programs on adult criminal offending: A meta-analysis. </w:t>
      </w:r>
      <w:r w:rsidRPr="00BF6B24">
        <w:rPr>
          <w:rFonts w:ascii="Arial" w:eastAsia="Times New Roman" w:hAnsi="Arial" w:cs="Arial"/>
          <w:i/>
          <w:iCs/>
          <w:lang w:eastAsia="en-GB"/>
        </w:rPr>
        <w:t>Clinical Psychology Review</w:t>
      </w:r>
      <w:r w:rsidRPr="00BF6B24">
        <w:rPr>
          <w:rFonts w:ascii="Arial" w:eastAsia="Times New Roman" w:hAnsi="Arial" w:cs="Arial"/>
          <w:lang w:eastAsia="en-GB"/>
        </w:rPr>
        <w:t xml:space="preserve">, 31(4), pp.532–544. </w:t>
      </w:r>
      <w:proofErr w:type="spellStart"/>
      <w:r w:rsidRPr="00BF6B24">
        <w:rPr>
          <w:rFonts w:ascii="Arial" w:eastAsia="Times New Roman" w:hAnsi="Arial" w:cs="Arial"/>
          <w:lang w:eastAsia="en-GB"/>
        </w:rPr>
        <w:t>doi</w:t>
      </w:r>
      <w:proofErr w:type="spellEnd"/>
      <w:r w:rsidRPr="00BF6B24">
        <w:rPr>
          <w:rFonts w:ascii="Arial" w:eastAsia="Times New Roman" w:hAnsi="Arial" w:cs="Arial"/>
          <w:lang w:eastAsia="en-GB"/>
        </w:rPr>
        <w:t>:</w:t>
      </w:r>
      <w:r>
        <w:rPr>
          <w:rFonts w:ascii="Arial" w:eastAsia="Times New Roman" w:hAnsi="Arial" w:cs="Arial"/>
          <w:lang w:eastAsia="en-GB"/>
        </w:rPr>
        <w:t xml:space="preserve"> </w:t>
      </w:r>
      <w:hyperlink r:id="rId17" w:history="1">
        <w:r w:rsidRPr="00BF6B24">
          <w:rPr>
            <w:rStyle w:val="Hyperlink"/>
            <w:rFonts w:ascii="Arial" w:eastAsia="Times New Roman" w:hAnsi="Arial" w:cs="Arial"/>
            <w:lang w:eastAsia="en-GB"/>
          </w:rPr>
          <w:t>https://doi.org/10.1016/j.cpr.2010.12.003</w:t>
        </w:r>
      </w:hyperlink>
      <w:r>
        <w:rPr>
          <w:rFonts w:ascii="Arial" w:eastAsia="Times New Roman" w:hAnsi="Arial" w:cs="Arial"/>
          <w:lang w:eastAsia="en-GB"/>
        </w:rPr>
        <w:t xml:space="preserve"> </w:t>
      </w:r>
      <w:r w:rsidRPr="00BF6B24">
        <w:rPr>
          <w:rFonts w:ascii="Arial" w:eastAsia="Times New Roman" w:hAnsi="Arial" w:cs="Arial"/>
          <w:lang w:eastAsia="en-GB"/>
        </w:rPr>
        <w:t>.</w:t>
      </w:r>
    </w:p>
    <w:p w14:paraId="2408E892" w14:textId="77777777" w:rsidR="00271CA3" w:rsidRPr="00BF6B24" w:rsidRDefault="00271CA3" w:rsidP="00271CA3">
      <w:pPr>
        <w:spacing w:after="0" w:line="276" w:lineRule="auto"/>
        <w:ind w:left="567" w:right="531"/>
        <w:rPr>
          <w:rFonts w:ascii="Arial" w:eastAsia="Times New Roman" w:hAnsi="Arial" w:cs="Arial"/>
          <w:lang w:eastAsia="en-GB"/>
        </w:rPr>
      </w:pPr>
    </w:p>
    <w:p w14:paraId="04CEEA01" w14:textId="77777777" w:rsidR="00271CA3" w:rsidRDefault="00271CA3" w:rsidP="00271CA3">
      <w:pPr>
        <w:spacing w:after="0" w:line="276" w:lineRule="auto"/>
        <w:ind w:left="567" w:right="531"/>
        <w:rPr>
          <w:rFonts w:ascii="Arial" w:eastAsia="Times New Roman" w:hAnsi="Arial" w:cs="Arial"/>
          <w:lang w:eastAsia="en-GB"/>
        </w:rPr>
      </w:pPr>
      <w:r w:rsidRPr="00BF6B24">
        <w:rPr>
          <w:rFonts w:ascii="Arial" w:eastAsia="Times New Roman" w:hAnsi="Arial" w:cs="Arial"/>
          <w:lang w:eastAsia="en-GB"/>
        </w:rPr>
        <w:t xml:space="preserve">Harvard University (2009). </w:t>
      </w:r>
      <w:proofErr w:type="spellStart"/>
      <w:r w:rsidRPr="00BF6B24">
        <w:rPr>
          <w:rFonts w:ascii="Arial" w:eastAsia="Times New Roman" w:hAnsi="Arial" w:cs="Arial"/>
          <w:i/>
          <w:iCs/>
          <w:lang w:eastAsia="en-GB"/>
        </w:rPr>
        <w:t>InBrief</w:t>
      </w:r>
      <w:proofErr w:type="spellEnd"/>
      <w:r w:rsidRPr="00BF6B24">
        <w:rPr>
          <w:rFonts w:ascii="Arial" w:eastAsia="Times New Roman" w:hAnsi="Arial" w:cs="Arial"/>
          <w:i/>
          <w:iCs/>
          <w:lang w:eastAsia="en-GB"/>
        </w:rPr>
        <w:t>: Early Childhood Program Effectiveness</w:t>
      </w:r>
      <w:r w:rsidRPr="00BF6B24">
        <w:rPr>
          <w:rFonts w:ascii="Arial" w:eastAsia="Times New Roman" w:hAnsi="Arial" w:cs="Arial"/>
          <w:lang w:eastAsia="en-GB"/>
        </w:rPr>
        <w:t xml:space="preserve">. [online] </w:t>
      </w:r>
      <w:proofErr w:type="spellStart"/>
      <w:r w:rsidRPr="00BF6B24">
        <w:rPr>
          <w:rFonts w:ascii="Arial" w:eastAsia="Times New Roman" w:hAnsi="Arial" w:cs="Arial"/>
          <w:lang w:eastAsia="en-GB"/>
        </w:rPr>
        <w:t>Center</w:t>
      </w:r>
      <w:proofErr w:type="spellEnd"/>
      <w:r w:rsidRPr="00BF6B24">
        <w:rPr>
          <w:rFonts w:ascii="Arial" w:eastAsia="Times New Roman" w:hAnsi="Arial" w:cs="Arial"/>
          <w:lang w:eastAsia="en-GB"/>
        </w:rPr>
        <w:t xml:space="preserve"> on the Developing Child at Harvard University. Available at: </w:t>
      </w:r>
      <w:hyperlink r:id="rId18" w:history="1">
        <w:r w:rsidRPr="00BF6B24">
          <w:rPr>
            <w:rStyle w:val="Hyperlink"/>
            <w:rFonts w:ascii="Arial" w:eastAsia="Times New Roman" w:hAnsi="Arial" w:cs="Arial"/>
            <w:lang w:eastAsia="en-GB"/>
          </w:rPr>
          <w:t>https://developingchild.harvard.edu/resources/inbrief-early-childhood-program-effectiveness/</w:t>
        </w:r>
      </w:hyperlink>
      <w:r>
        <w:rPr>
          <w:rFonts w:ascii="Arial" w:eastAsia="Times New Roman" w:hAnsi="Arial" w:cs="Arial"/>
          <w:lang w:eastAsia="en-GB"/>
        </w:rPr>
        <w:t xml:space="preserve"> </w:t>
      </w:r>
      <w:r w:rsidRPr="00BF6B24">
        <w:rPr>
          <w:rFonts w:ascii="Arial" w:eastAsia="Times New Roman" w:hAnsi="Arial" w:cs="Arial"/>
          <w:lang w:eastAsia="en-GB"/>
        </w:rPr>
        <w:t xml:space="preserve"> [Accessed 16 Oct. 2024].</w:t>
      </w:r>
    </w:p>
    <w:p w14:paraId="10F3EE59" w14:textId="77777777" w:rsidR="00271CA3" w:rsidRPr="00BF6B24" w:rsidRDefault="00271CA3" w:rsidP="00271CA3">
      <w:pPr>
        <w:spacing w:after="0" w:line="276" w:lineRule="auto"/>
        <w:ind w:left="567" w:right="531"/>
        <w:rPr>
          <w:rFonts w:ascii="Arial" w:eastAsia="Times New Roman" w:hAnsi="Arial" w:cs="Arial"/>
          <w:lang w:eastAsia="en-GB"/>
        </w:rPr>
      </w:pPr>
    </w:p>
    <w:p w14:paraId="790B98D5" w14:textId="77777777" w:rsidR="00271CA3" w:rsidRDefault="00271CA3" w:rsidP="00271CA3">
      <w:pPr>
        <w:spacing w:after="0" w:line="276" w:lineRule="auto"/>
        <w:ind w:left="567" w:right="531"/>
        <w:rPr>
          <w:rFonts w:ascii="Arial" w:eastAsia="Times New Roman" w:hAnsi="Arial" w:cs="Arial"/>
          <w:lang w:eastAsia="en-GB"/>
        </w:rPr>
      </w:pPr>
      <w:r w:rsidRPr="00BF6B24">
        <w:rPr>
          <w:rFonts w:ascii="Arial" w:eastAsia="Times New Roman" w:hAnsi="Arial" w:cs="Arial"/>
          <w:lang w:eastAsia="en-GB"/>
        </w:rPr>
        <w:t xml:space="preserve">HSR Psychology (n.d.). </w:t>
      </w:r>
      <w:r w:rsidRPr="00BF6B24">
        <w:rPr>
          <w:rFonts w:ascii="Arial" w:eastAsia="Times New Roman" w:hAnsi="Arial" w:cs="Arial"/>
          <w:i/>
          <w:iCs/>
          <w:lang w:eastAsia="en-GB"/>
        </w:rPr>
        <w:t>Individual interventions - School interventions - Interventions - Services - HSR Psychology - Clinical and educational psychology service for children and young people, based in Manchester.</w:t>
      </w:r>
      <w:r w:rsidRPr="00BF6B24">
        <w:rPr>
          <w:rFonts w:ascii="Arial" w:eastAsia="Times New Roman" w:hAnsi="Arial" w:cs="Arial"/>
          <w:lang w:eastAsia="en-GB"/>
        </w:rPr>
        <w:t xml:space="preserve"> [online] www.hsrpsychology.co.uk. Available at: </w:t>
      </w:r>
      <w:hyperlink r:id="rId19" w:history="1">
        <w:r w:rsidRPr="00BF6B24">
          <w:rPr>
            <w:rStyle w:val="Hyperlink"/>
            <w:rFonts w:ascii="Arial" w:eastAsia="Times New Roman" w:hAnsi="Arial" w:cs="Arial"/>
            <w:lang w:eastAsia="en-GB"/>
          </w:rPr>
          <w:t>https://www.hsrpsychology.co.uk/services/intervention/school-interventions/individual-interventions/</w:t>
        </w:r>
      </w:hyperlink>
      <w:r>
        <w:rPr>
          <w:rFonts w:ascii="Arial" w:eastAsia="Times New Roman" w:hAnsi="Arial" w:cs="Arial"/>
          <w:lang w:eastAsia="en-GB"/>
        </w:rPr>
        <w:t xml:space="preserve">  </w:t>
      </w:r>
      <w:r w:rsidRPr="00BF6B24">
        <w:rPr>
          <w:rFonts w:ascii="Arial" w:eastAsia="Times New Roman" w:hAnsi="Arial" w:cs="Arial"/>
          <w:lang w:eastAsia="en-GB"/>
        </w:rPr>
        <w:t xml:space="preserve"> [Accessed 16 Oct. 2024].</w:t>
      </w:r>
    </w:p>
    <w:p w14:paraId="4CF30EAD" w14:textId="77777777" w:rsidR="00271CA3" w:rsidRPr="00BF6B24" w:rsidRDefault="00271CA3" w:rsidP="00271CA3">
      <w:pPr>
        <w:spacing w:after="0" w:line="276" w:lineRule="auto"/>
        <w:ind w:left="567" w:right="531"/>
        <w:rPr>
          <w:rFonts w:ascii="Arial" w:eastAsia="Times New Roman" w:hAnsi="Arial" w:cs="Arial"/>
          <w:lang w:eastAsia="en-GB"/>
        </w:rPr>
      </w:pPr>
    </w:p>
    <w:p w14:paraId="2386E0E2" w14:textId="77777777" w:rsidR="00271CA3" w:rsidRDefault="00271CA3" w:rsidP="00271CA3">
      <w:pPr>
        <w:spacing w:after="0" w:line="276" w:lineRule="auto"/>
        <w:ind w:left="567" w:right="531"/>
        <w:rPr>
          <w:rFonts w:ascii="Arial" w:eastAsia="Times New Roman" w:hAnsi="Arial" w:cs="Arial"/>
          <w:lang w:eastAsia="en-GB"/>
        </w:rPr>
      </w:pPr>
      <w:r w:rsidRPr="00BF6B24">
        <w:rPr>
          <w:rFonts w:ascii="Arial" w:eastAsia="Times New Roman" w:hAnsi="Arial" w:cs="Arial"/>
          <w:lang w:eastAsia="en-GB"/>
        </w:rPr>
        <w:t xml:space="preserve">National Society for the Prevention of Cruelty to Children (2023). </w:t>
      </w:r>
      <w:r w:rsidRPr="00BF6B24">
        <w:rPr>
          <w:rFonts w:ascii="Arial" w:eastAsia="Times New Roman" w:hAnsi="Arial" w:cs="Arial"/>
          <w:i/>
          <w:iCs/>
          <w:lang w:eastAsia="en-GB"/>
        </w:rPr>
        <w:t>Early help and early intervention</w:t>
      </w:r>
      <w:r w:rsidRPr="00BF6B24">
        <w:rPr>
          <w:rFonts w:ascii="Arial" w:eastAsia="Times New Roman" w:hAnsi="Arial" w:cs="Arial"/>
          <w:lang w:eastAsia="en-GB"/>
        </w:rPr>
        <w:t xml:space="preserve">. [online] NSPCC Learning. Available at: </w:t>
      </w:r>
      <w:hyperlink r:id="rId20" w:anchor="skip-to-content" w:history="1">
        <w:r w:rsidRPr="00BF6B24">
          <w:rPr>
            <w:rStyle w:val="Hyperlink"/>
            <w:rFonts w:ascii="Arial" w:eastAsia="Times New Roman" w:hAnsi="Arial" w:cs="Arial"/>
            <w:lang w:eastAsia="en-GB"/>
          </w:rPr>
          <w:t>https://learning.nspcc.org.uk/safeguarding-child-protection/early-help-and-early-intervention#skip-to-content</w:t>
        </w:r>
      </w:hyperlink>
      <w:r>
        <w:rPr>
          <w:rFonts w:ascii="Arial" w:eastAsia="Times New Roman" w:hAnsi="Arial" w:cs="Arial"/>
          <w:lang w:eastAsia="en-GB"/>
        </w:rPr>
        <w:t xml:space="preserve"> </w:t>
      </w:r>
      <w:r w:rsidRPr="00BF6B24">
        <w:rPr>
          <w:rFonts w:ascii="Arial" w:eastAsia="Times New Roman" w:hAnsi="Arial" w:cs="Arial"/>
          <w:lang w:eastAsia="en-GB"/>
        </w:rPr>
        <w:t xml:space="preserve"> [Accessed 16 Oct. 2024].</w:t>
      </w:r>
    </w:p>
    <w:p w14:paraId="086E165F" w14:textId="77777777" w:rsidR="00271CA3" w:rsidRPr="00BF6B24" w:rsidRDefault="00271CA3" w:rsidP="00271CA3">
      <w:pPr>
        <w:spacing w:after="0" w:line="276" w:lineRule="auto"/>
        <w:ind w:left="567" w:right="531"/>
        <w:rPr>
          <w:rFonts w:ascii="Arial" w:eastAsia="Times New Roman" w:hAnsi="Arial" w:cs="Arial"/>
          <w:lang w:eastAsia="en-GB"/>
        </w:rPr>
      </w:pPr>
    </w:p>
    <w:p w14:paraId="025CECF1" w14:textId="77777777" w:rsidR="00271CA3" w:rsidRDefault="00271CA3" w:rsidP="00271CA3">
      <w:pPr>
        <w:spacing w:after="0" w:line="276" w:lineRule="auto"/>
        <w:ind w:left="567" w:right="531"/>
        <w:rPr>
          <w:rFonts w:ascii="Arial" w:eastAsia="Times New Roman" w:hAnsi="Arial" w:cs="Arial"/>
          <w:lang w:eastAsia="en-GB"/>
        </w:rPr>
      </w:pPr>
      <w:r w:rsidRPr="00BF6B24">
        <w:rPr>
          <w:rFonts w:ascii="Arial" w:eastAsia="Times New Roman" w:hAnsi="Arial" w:cs="Arial"/>
          <w:lang w:eastAsia="en-GB"/>
        </w:rPr>
        <w:t xml:space="preserve">Ross, A., Duckworth, K., Smith, D., Wyness, G. and Schoon, I. (2010). </w:t>
      </w:r>
      <w:r w:rsidRPr="00BF6B24">
        <w:rPr>
          <w:rFonts w:ascii="Arial" w:eastAsia="Times New Roman" w:hAnsi="Arial" w:cs="Arial"/>
          <w:i/>
          <w:iCs/>
          <w:lang w:eastAsia="en-GB"/>
        </w:rPr>
        <w:t>Prevention and Reduction: A review of strategies for intervening early to prevent or reduce youth crime and anti-social behaviour Centre for Analysis of Youth Transitions (CAYT)</w:t>
      </w:r>
      <w:r w:rsidRPr="00BF6B24">
        <w:rPr>
          <w:rFonts w:ascii="Arial" w:eastAsia="Times New Roman" w:hAnsi="Arial" w:cs="Arial"/>
          <w:lang w:eastAsia="en-GB"/>
        </w:rPr>
        <w:t xml:space="preserve">. [online] Available at: </w:t>
      </w:r>
      <w:hyperlink r:id="rId21" w:history="1">
        <w:r w:rsidRPr="00BF6B24">
          <w:rPr>
            <w:rStyle w:val="Hyperlink"/>
            <w:rFonts w:ascii="Arial" w:eastAsia="Times New Roman" w:hAnsi="Arial" w:cs="Arial"/>
            <w:lang w:eastAsia="en-GB"/>
          </w:rPr>
          <w:t>https://assets.publishing.service.gov.uk/media/5a7a36f2e5274a34770e5114/DFE-RR111.pdf</w:t>
        </w:r>
      </w:hyperlink>
      <w:r>
        <w:rPr>
          <w:rFonts w:ascii="Arial" w:eastAsia="Times New Roman" w:hAnsi="Arial" w:cs="Arial"/>
          <w:lang w:eastAsia="en-GB"/>
        </w:rPr>
        <w:t xml:space="preserve"> </w:t>
      </w:r>
      <w:r w:rsidRPr="00BF6B24">
        <w:rPr>
          <w:rFonts w:ascii="Arial" w:eastAsia="Times New Roman" w:hAnsi="Arial" w:cs="Arial"/>
          <w:lang w:eastAsia="en-GB"/>
        </w:rPr>
        <w:t xml:space="preserve"> [Accessed 16 Oct. 2024].</w:t>
      </w:r>
    </w:p>
    <w:p w14:paraId="41FA9665" w14:textId="77777777" w:rsidR="00271CA3" w:rsidRPr="00BF6B24" w:rsidRDefault="00271CA3" w:rsidP="00271CA3">
      <w:pPr>
        <w:spacing w:after="0" w:line="276" w:lineRule="auto"/>
        <w:ind w:left="567" w:right="531"/>
        <w:rPr>
          <w:rFonts w:ascii="Arial" w:eastAsia="Times New Roman" w:hAnsi="Arial" w:cs="Arial"/>
          <w:lang w:eastAsia="en-GB"/>
        </w:rPr>
      </w:pPr>
    </w:p>
    <w:p w14:paraId="4568670D" w14:textId="77777777" w:rsidR="00271CA3" w:rsidRDefault="00271CA3" w:rsidP="00271CA3">
      <w:pPr>
        <w:spacing w:after="0" w:line="276" w:lineRule="auto"/>
        <w:ind w:left="567" w:right="531"/>
        <w:rPr>
          <w:rFonts w:ascii="Arial" w:eastAsia="Times New Roman" w:hAnsi="Arial" w:cs="Arial"/>
          <w:lang w:eastAsia="en-GB"/>
        </w:rPr>
      </w:pPr>
      <w:r w:rsidRPr="00BF6B24">
        <w:rPr>
          <w:rFonts w:ascii="Arial" w:eastAsia="Times New Roman" w:hAnsi="Arial" w:cs="Arial"/>
          <w:lang w:eastAsia="en-GB"/>
        </w:rPr>
        <w:t xml:space="preserve">Social Work Degree </w:t>
      </w:r>
      <w:proofErr w:type="spellStart"/>
      <w:r w:rsidRPr="00BF6B24">
        <w:rPr>
          <w:rFonts w:ascii="Arial" w:eastAsia="Times New Roman" w:hAnsi="Arial" w:cs="Arial"/>
          <w:lang w:eastAsia="en-GB"/>
        </w:rPr>
        <w:t>Center</w:t>
      </w:r>
      <w:proofErr w:type="spellEnd"/>
      <w:r w:rsidRPr="00BF6B24">
        <w:rPr>
          <w:rFonts w:ascii="Arial" w:eastAsia="Times New Roman" w:hAnsi="Arial" w:cs="Arial"/>
          <w:lang w:eastAsia="en-GB"/>
        </w:rPr>
        <w:t xml:space="preserve"> (n.d.). </w:t>
      </w:r>
      <w:r w:rsidRPr="00BF6B24">
        <w:rPr>
          <w:rFonts w:ascii="Arial" w:eastAsia="Times New Roman" w:hAnsi="Arial" w:cs="Arial"/>
          <w:i/>
          <w:iCs/>
          <w:lang w:eastAsia="en-GB"/>
        </w:rPr>
        <w:t>What Are Different Types of Community-Based Interventions?</w:t>
      </w:r>
      <w:r w:rsidRPr="00BF6B24">
        <w:rPr>
          <w:rFonts w:ascii="Arial" w:eastAsia="Times New Roman" w:hAnsi="Arial" w:cs="Arial"/>
          <w:lang w:eastAsia="en-GB"/>
        </w:rPr>
        <w:t xml:space="preserve"> [online] Social Work Degree </w:t>
      </w:r>
      <w:proofErr w:type="spellStart"/>
      <w:r w:rsidRPr="00BF6B24">
        <w:rPr>
          <w:rFonts w:ascii="Arial" w:eastAsia="Times New Roman" w:hAnsi="Arial" w:cs="Arial"/>
          <w:lang w:eastAsia="en-GB"/>
        </w:rPr>
        <w:t>Center</w:t>
      </w:r>
      <w:proofErr w:type="spellEnd"/>
      <w:r w:rsidRPr="00BF6B24">
        <w:rPr>
          <w:rFonts w:ascii="Arial" w:eastAsia="Times New Roman" w:hAnsi="Arial" w:cs="Arial"/>
          <w:lang w:eastAsia="en-GB"/>
        </w:rPr>
        <w:t xml:space="preserve">. Available at: </w:t>
      </w:r>
      <w:hyperlink r:id="rId22" w:history="1">
        <w:r w:rsidRPr="00BF6B24">
          <w:rPr>
            <w:rStyle w:val="Hyperlink"/>
            <w:rFonts w:ascii="Arial" w:eastAsia="Times New Roman" w:hAnsi="Arial" w:cs="Arial"/>
            <w:lang w:eastAsia="en-GB"/>
          </w:rPr>
          <w:t>https://www.socialworkdegreecenter.com/study/community-based-interventions/</w:t>
        </w:r>
      </w:hyperlink>
      <w:r>
        <w:rPr>
          <w:rFonts w:ascii="Arial" w:eastAsia="Times New Roman" w:hAnsi="Arial" w:cs="Arial"/>
          <w:lang w:eastAsia="en-GB"/>
        </w:rPr>
        <w:t xml:space="preserve"> </w:t>
      </w:r>
      <w:r w:rsidRPr="00BF6B24">
        <w:rPr>
          <w:rFonts w:ascii="Arial" w:eastAsia="Times New Roman" w:hAnsi="Arial" w:cs="Arial"/>
          <w:lang w:eastAsia="en-GB"/>
        </w:rPr>
        <w:t>[Accessed 16 Oct. 2024].</w:t>
      </w:r>
    </w:p>
    <w:p w14:paraId="51463DB4" w14:textId="77777777" w:rsidR="00271CA3" w:rsidRPr="00BF6B24" w:rsidRDefault="00271CA3" w:rsidP="00271CA3">
      <w:pPr>
        <w:spacing w:after="0" w:line="276" w:lineRule="auto"/>
        <w:ind w:left="567" w:right="531"/>
        <w:rPr>
          <w:rFonts w:ascii="Arial" w:eastAsia="Times New Roman" w:hAnsi="Arial" w:cs="Arial"/>
          <w:lang w:eastAsia="en-GB"/>
        </w:rPr>
      </w:pPr>
    </w:p>
    <w:p w14:paraId="0EBA1662" w14:textId="77777777" w:rsidR="00271CA3" w:rsidRDefault="00271CA3" w:rsidP="00271CA3">
      <w:pPr>
        <w:spacing w:after="0" w:line="276" w:lineRule="auto"/>
        <w:ind w:left="567" w:right="531"/>
        <w:rPr>
          <w:rFonts w:ascii="Arial" w:eastAsia="Times New Roman" w:hAnsi="Arial" w:cs="Arial"/>
          <w:lang w:eastAsia="en-GB"/>
        </w:rPr>
      </w:pPr>
      <w:r w:rsidRPr="00BF6B24">
        <w:rPr>
          <w:rFonts w:ascii="Arial" w:eastAsia="Times New Roman" w:hAnsi="Arial" w:cs="Arial"/>
          <w:lang w:eastAsia="en-GB"/>
        </w:rPr>
        <w:t xml:space="preserve">Solomon, E. and Blythe, M. (2009). </w:t>
      </w:r>
      <w:r w:rsidRPr="00BF6B24">
        <w:rPr>
          <w:rFonts w:ascii="Arial" w:eastAsia="Times New Roman" w:hAnsi="Arial" w:cs="Arial"/>
          <w:i/>
          <w:iCs/>
          <w:lang w:eastAsia="en-GB"/>
        </w:rPr>
        <w:t>Prevention and youth crime: Is early intervention working?</w:t>
      </w:r>
      <w:r w:rsidRPr="00BF6B24">
        <w:rPr>
          <w:rFonts w:ascii="Arial" w:eastAsia="Times New Roman" w:hAnsi="Arial" w:cs="Arial"/>
          <w:lang w:eastAsia="en-GB"/>
        </w:rPr>
        <w:t xml:space="preserve"> [online] Uwtsd.ac.uk. Available at: </w:t>
      </w:r>
      <w:hyperlink r:id="rId23" w:history="1">
        <w:r w:rsidRPr="00BF6B24">
          <w:rPr>
            <w:rStyle w:val="Hyperlink"/>
            <w:rFonts w:ascii="Arial" w:eastAsia="Times New Roman" w:hAnsi="Arial" w:cs="Arial"/>
            <w:lang w:eastAsia="en-GB"/>
          </w:rPr>
          <w:t>https://www-jstor-org.ezproxy.uwtsd.ac.uk/stable/j.ctt9qgwqk.7?seq=7</w:t>
        </w:r>
      </w:hyperlink>
      <w:r>
        <w:rPr>
          <w:rFonts w:ascii="Arial" w:eastAsia="Times New Roman" w:hAnsi="Arial" w:cs="Arial"/>
          <w:lang w:eastAsia="en-GB"/>
        </w:rPr>
        <w:t xml:space="preserve"> </w:t>
      </w:r>
      <w:r w:rsidRPr="00BF6B24">
        <w:rPr>
          <w:rFonts w:ascii="Arial" w:eastAsia="Times New Roman" w:hAnsi="Arial" w:cs="Arial"/>
          <w:lang w:eastAsia="en-GB"/>
        </w:rPr>
        <w:t xml:space="preserve"> [Accessed 16 Oct. 2024].</w:t>
      </w:r>
    </w:p>
    <w:p w14:paraId="13F967F9" w14:textId="77777777" w:rsidR="00271CA3" w:rsidRPr="00BF6B24" w:rsidRDefault="00271CA3" w:rsidP="00271CA3">
      <w:pPr>
        <w:spacing w:after="0" w:line="276" w:lineRule="auto"/>
        <w:ind w:left="567" w:right="531"/>
        <w:rPr>
          <w:rFonts w:ascii="Arial" w:eastAsia="Times New Roman" w:hAnsi="Arial" w:cs="Arial"/>
          <w:lang w:eastAsia="en-GB"/>
        </w:rPr>
      </w:pPr>
    </w:p>
    <w:p w14:paraId="6216820A" w14:textId="77777777" w:rsidR="00271CA3" w:rsidRDefault="00271CA3" w:rsidP="00271CA3">
      <w:pPr>
        <w:spacing w:after="0" w:line="276" w:lineRule="auto"/>
        <w:ind w:left="567" w:right="531"/>
        <w:rPr>
          <w:rFonts w:ascii="Arial" w:eastAsia="Times New Roman" w:hAnsi="Arial" w:cs="Arial"/>
          <w:lang w:eastAsia="en-GB"/>
        </w:rPr>
      </w:pPr>
      <w:r w:rsidRPr="00BF6B24">
        <w:rPr>
          <w:rFonts w:ascii="Arial" w:eastAsia="Times New Roman" w:hAnsi="Arial" w:cs="Arial"/>
          <w:lang w:eastAsia="en-GB"/>
        </w:rPr>
        <w:t xml:space="preserve">Stevens, M. (2011). </w:t>
      </w:r>
      <w:r w:rsidRPr="00BF6B24">
        <w:rPr>
          <w:rFonts w:ascii="Arial" w:eastAsia="Times New Roman" w:hAnsi="Arial" w:cs="Arial"/>
          <w:i/>
          <w:iCs/>
          <w:lang w:eastAsia="en-GB"/>
        </w:rPr>
        <w:t>The costs and benefits of early interventions for vulnerable children and families to promote social and emotional wellbeing: economics briefing</w:t>
      </w:r>
      <w:r w:rsidRPr="00BF6B24">
        <w:rPr>
          <w:rFonts w:ascii="Arial" w:eastAsia="Times New Roman" w:hAnsi="Arial" w:cs="Arial"/>
          <w:lang w:eastAsia="en-GB"/>
        </w:rPr>
        <w:t xml:space="preserve">. [online] Available at: </w:t>
      </w:r>
      <w:hyperlink r:id="rId24" w:history="1">
        <w:r w:rsidRPr="00BF6B24">
          <w:rPr>
            <w:rStyle w:val="Hyperlink"/>
            <w:rFonts w:ascii="Arial" w:eastAsia="Times New Roman" w:hAnsi="Arial" w:cs="Arial"/>
            <w:lang w:eastAsia="en-GB"/>
          </w:rPr>
          <w:t>https://www.nice.org.uk/guidance/ph40/documents/social-and-emotional-wellbeing-early-years-expert-report-32</w:t>
        </w:r>
      </w:hyperlink>
      <w:r>
        <w:rPr>
          <w:rFonts w:ascii="Arial" w:eastAsia="Times New Roman" w:hAnsi="Arial" w:cs="Arial"/>
          <w:lang w:eastAsia="en-GB"/>
        </w:rPr>
        <w:t xml:space="preserve"> </w:t>
      </w:r>
      <w:r w:rsidRPr="00BF6B24">
        <w:rPr>
          <w:rFonts w:ascii="Arial" w:eastAsia="Times New Roman" w:hAnsi="Arial" w:cs="Arial"/>
          <w:lang w:eastAsia="en-GB"/>
        </w:rPr>
        <w:t xml:space="preserve"> [Accessed 16 Oct. 2024].</w:t>
      </w:r>
    </w:p>
    <w:p w14:paraId="14879785" w14:textId="77777777" w:rsidR="00271CA3" w:rsidRPr="00BF6B24" w:rsidRDefault="00271CA3" w:rsidP="00271CA3">
      <w:pPr>
        <w:spacing w:after="0" w:line="276" w:lineRule="auto"/>
        <w:ind w:left="567" w:right="531"/>
        <w:rPr>
          <w:rFonts w:ascii="Arial" w:eastAsia="Times New Roman" w:hAnsi="Arial" w:cs="Arial"/>
          <w:lang w:eastAsia="en-GB"/>
        </w:rPr>
      </w:pPr>
    </w:p>
    <w:p w14:paraId="30CC93A6" w14:textId="77777777" w:rsidR="00271CA3" w:rsidRDefault="00271CA3" w:rsidP="00271CA3">
      <w:pPr>
        <w:spacing w:after="0" w:line="276" w:lineRule="auto"/>
        <w:ind w:left="567" w:right="531"/>
        <w:rPr>
          <w:rFonts w:ascii="Arial" w:eastAsia="Times New Roman" w:hAnsi="Arial" w:cs="Arial"/>
          <w:lang w:eastAsia="en-GB"/>
        </w:rPr>
      </w:pPr>
      <w:r w:rsidRPr="00BF6B24">
        <w:rPr>
          <w:rFonts w:ascii="Arial" w:eastAsia="Times New Roman" w:hAnsi="Arial" w:cs="Arial"/>
          <w:lang w:eastAsia="en-GB"/>
        </w:rPr>
        <w:t xml:space="preserve">Substance Abuse and Mental Health Services Administration (US) (2019). </w:t>
      </w:r>
      <w:r w:rsidRPr="00BF6B24">
        <w:rPr>
          <w:rFonts w:ascii="Arial" w:eastAsia="Times New Roman" w:hAnsi="Arial" w:cs="Arial"/>
          <w:i/>
          <w:iCs/>
          <w:lang w:eastAsia="en-GB"/>
        </w:rPr>
        <w:t>EARLY INTERVENTION, TREATMENT, AND MANAGEMENT OF SUBSTANCE USE DISORDERS</w:t>
      </w:r>
      <w:r w:rsidRPr="00BF6B24">
        <w:rPr>
          <w:rFonts w:ascii="Arial" w:eastAsia="Times New Roman" w:hAnsi="Arial" w:cs="Arial"/>
          <w:lang w:eastAsia="en-GB"/>
        </w:rPr>
        <w:t xml:space="preserve">. [online] Nih.gov. Available at: </w:t>
      </w:r>
      <w:hyperlink r:id="rId25" w:history="1">
        <w:r w:rsidRPr="00BF6B24">
          <w:rPr>
            <w:rStyle w:val="Hyperlink"/>
            <w:rFonts w:ascii="Arial" w:eastAsia="Times New Roman" w:hAnsi="Arial" w:cs="Arial"/>
            <w:lang w:eastAsia="en-GB"/>
          </w:rPr>
          <w:t>https://www.ncbi.nlm.nih.gov/books/NBK424859/</w:t>
        </w:r>
      </w:hyperlink>
      <w:r>
        <w:rPr>
          <w:rFonts w:ascii="Arial" w:eastAsia="Times New Roman" w:hAnsi="Arial" w:cs="Arial"/>
          <w:lang w:eastAsia="en-GB"/>
        </w:rPr>
        <w:t xml:space="preserve"> </w:t>
      </w:r>
      <w:r w:rsidRPr="00BF6B24">
        <w:rPr>
          <w:rFonts w:ascii="Arial" w:eastAsia="Times New Roman" w:hAnsi="Arial" w:cs="Arial"/>
          <w:lang w:eastAsia="en-GB"/>
        </w:rPr>
        <w:t xml:space="preserve"> [Accessed 16 Oct. 2024].</w:t>
      </w:r>
    </w:p>
    <w:p w14:paraId="334901FA" w14:textId="77777777" w:rsidR="00271CA3" w:rsidRPr="00BF6B24" w:rsidRDefault="00271CA3" w:rsidP="00271CA3">
      <w:pPr>
        <w:spacing w:after="0" w:line="276" w:lineRule="auto"/>
        <w:ind w:left="567" w:right="531"/>
        <w:rPr>
          <w:rFonts w:ascii="Arial" w:eastAsia="Times New Roman" w:hAnsi="Arial" w:cs="Arial"/>
          <w:lang w:eastAsia="en-GB"/>
        </w:rPr>
      </w:pPr>
    </w:p>
    <w:p w14:paraId="12DD8FEA" w14:textId="77777777" w:rsidR="00271CA3" w:rsidRDefault="00271CA3" w:rsidP="00271CA3">
      <w:pPr>
        <w:spacing w:after="0" w:line="276" w:lineRule="auto"/>
        <w:ind w:left="567" w:right="531"/>
        <w:rPr>
          <w:rFonts w:ascii="Arial" w:eastAsia="Times New Roman" w:hAnsi="Arial" w:cs="Arial"/>
          <w:lang w:eastAsia="en-GB"/>
        </w:rPr>
      </w:pPr>
      <w:r w:rsidRPr="00BF6B24">
        <w:rPr>
          <w:rFonts w:ascii="Arial" w:eastAsia="Times New Roman" w:hAnsi="Arial" w:cs="Arial"/>
          <w:lang w:eastAsia="en-GB"/>
        </w:rPr>
        <w:t xml:space="preserve">Thompson, K. (2021). </w:t>
      </w:r>
      <w:r w:rsidRPr="00BF6B24">
        <w:rPr>
          <w:rFonts w:ascii="Arial" w:eastAsia="Times New Roman" w:hAnsi="Arial" w:cs="Arial"/>
          <w:i/>
          <w:iCs/>
          <w:lang w:eastAsia="en-GB"/>
        </w:rPr>
        <w:t>How successful are early interventions in reducing violent crime?</w:t>
      </w:r>
      <w:r w:rsidRPr="00BF6B24">
        <w:rPr>
          <w:rFonts w:ascii="Arial" w:eastAsia="Times New Roman" w:hAnsi="Arial" w:cs="Arial"/>
          <w:lang w:eastAsia="en-GB"/>
        </w:rPr>
        <w:t xml:space="preserve"> [online] </w:t>
      </w:r>
      <w:proofErr w:type="spellStart"/>
      <w:r w:rsidRPr="00BF6B24">
        <w:rPr>
          <w:rFonts w:ascii="Arial" w:eastAsia="Times New Roman" w:hAnsi="Arial" w:cs="Arial"/>
          <w:lang w:eastAsia="en-GB"/>
        </w:rPr>
        <w:t>ReviseSociology</w:t>
      </w:r>
      <w:proofErr w:type="spellEnd"/>
      <w:r w:rsidRPr="00BF6B24">
        <w:rPr>
          <w:rFonts w:ascii="Arial" w:eastAsia="Times New Roman" w:hAnsi="Arial" w:cs="Arial"/>
          <w:lang w:eastAsia="en-GB"/>
        </w:rPr>
        <w:t xml:space="preserve">. Available at: </w:t>
      </w:r>
      <w:hyperlink r:id="rId26" w:history="1">
        <w:r w:rsidRPr="00BF6B24">
          <w:rPr>
            <w:rStyle w:val="Hyperlink"/>
            <w:rFonts w:ascii="Arial" w:eastAsia="Times New Roman" w:hAnsi="Arial" w:cs="Arial"/>
            <w:lang w:eastAsia="en-GB"/>
          </w:rPr>
          <w:t>https://revisesociology.com/2021/05/26/how-successful-are-early-interventions-in-reducing-violent-crime/</w:t>
        </w:r>
      </w:hyperlink>
      <w:r>
        <w:rPr>
          <w:rFonts w:ascii="Arial" w:eastAsia="Times New Roman" w:hAnsi="Arial" w:cs="Arial"/>
          <w:lang w:eastAsia="en-GB"/>
        </w:rPr>
        <w:t xml:space="preserve"> </w:t>
      </w:r>
      <w:r w:rsidRPr="00BF6B24">
        <w:rPr>
          <w:rFonts w:ascii="Arial" w:eastAsia="Times New Roman" w:hAnsi="Arial" w:cs="Arial"/>
          <w:lang w:eastAsia="en-GB"/>
        </w:rPr>
        <w:t xml:space="preserve"> [Accessed 16 Oct. 2024].</w:t>
      </w:r>
    </w:p>
    <w:p w14:paraId="58E6D168" w14:textId="77777777" w:rsidR="00271CA3" w:rsidRPr="00BF6B24" w:rsidRDefault="00271CA3" w:rsidP="00271CA3">
      <w:pPr>
        <w:spacing w:after="0" w:line="276" w:lineRule="auto"/>
        <w:ind w:left="567" w:right="531"/>
        <w:rPr>
          <w:rFonts w:ascii="Arial" w:eastAsia="Times New Roman" w:hAnsi="Arial" w:cs="Arial"/>
          <w:lang w:eastAsia="en-GB"/>
        </w:rPr>
      </w:pPr>
    </w:p>
    <w:p w14:paraId="29FC74F9" w14:textId="77777777" w:rsidR="00271CA3" w:rsidRPr="00BF6B24" w:rsidRDefault="00271CA3" w:rsidP="00271CA3">
      <w:pPr>
        <w:spacing w:after="0" w:line="276" w:lineRule="auto"/>
        <w:ind w:left="567" w:right="531"/>
        <w:rPr>
          <w:rFonts w:ascii="Arial" w:eastAsia="Times New Roman" w:hAnsi="Arial" w:cs="Arial"/>
          <w:lang w:eastAsia="en-GB"/>
        </w:rPr>
      </w:pPr>
      <w:r w:rsidRPr="00BF6B24">
        <w:rPr>
          <w:rFonts w:ascii="Arial" w:eastAsia="Times New Roman" w:hAnsi="Arial" w:cs="Arial"/>
          <w:lang w:eastAsia="en-GB"/>
        </w:rPr>
        <w:t xml:space="preserve">Winter, K. (2019). </w:t>
      </w:r>
      <w:r w:rsidRPr="00BF6B24">
        <w:rPr>
          <w:rFonts w:ascii="Arial" w:eastAsia="Times New Roman" w:hAnsi="Arial" w:cs="Arial"/>
          <w:i/>
          <w:iCs/>
          <w:lang w:eastAsia="en-GB"/>
        </w:rPr>
        <w:t>Supporting positive relationships for children and young people who have experience of care</w:t>
      </w:r>
      <w:r w:rsidRPr="00BF6B24">
        <w:rPr>
          <w:rFonts w:ascii="Arial" w:eastAsia="Times New Roman" w:hAnsi="Arial" w:cs="Arial"/>
          <w:lang w:eastAsia="en-GB"/>
        </w:rPr>
        <w:t xml:space="preserve">. [online] Iriss. Available at: </w:t>
      </w:r>
      <w:hyperlink r:id="rId27" w:history="1">
        <w:r w:rsidRPr="00BF6B24">
          <w:rPr>
            <w:rStyle w:val="Hyperlink"/>
            <w:rFonts w:ascii="Arial" w:eastAsia="Times New Roman" w:hAnsi="Arial" w:cs="Arial"/>
            <w:lang w:eastAsia="en-GB"/>
          </w:rPr>
          <w:t>https://www.iriss.org.uk/resources/insights/supporting-positive-relationships-children-young-people-experience-care</w:t>
        </w:r>
      </w:hyperlink>
      <w:r>
        <w:rPr>
          <w:rFonts w:ascii="Arial" w:eastAsia="Times New Roman" w:hAnsi="Arial" w:cs="Arial"/>
          <w:lang w:eastAsia="en-GB"/>
        </w:rPr>
        <w:t xml:space="preserve"> </w:t>
      </w:r>
      <w:r w:rsidRPr="00BF6B24">
        <w:rPr>
          <w:rFonts w:ascii="Arial" w:eastAsia="Times New Roman" w:hAnsi="Arial" w:cs="Arial"/>
          <w:lang w:eastAsia="en-GB"/>
        </w:rPr>
        <w:t xml:space="preserve"> [Accessed 16 Oct. 2024].</w:t>
      </w:r>
    </w:p>
    <w:p w14:paraId="46BC33AD" w14:textId="77777777" w:rsidR="00271CA3" w:rsidRDefault="00271CA3" w:rsidP="00271CA3">
      <w:pPr>
        <w:spacing w:after="0" w:line="276" w:lineRule="auto"/>
        <w:ind w:left="567" w:right="531"/>
        <w:rPr>
          <w:rFonts w:ascii="Arial" w:eastAsia="Times New Roman" w:hAnsi="Arial" w:cs="Arial"/>
          <w:lang w:eastAsia="en-GB"/>
        </w:rPr>
      </w:pPr>
    </w:p>
    <w:p w14:paraId="1009B4EE" w14:textId="77777777" w:rsidR="00271CA3" w:rsidRDefault="00271CA3" w:rsidP="00271CA3">
      <w:pPr>
        <w:spacing w:after="0" w:line="276" w:lineRule="auto"/>
        <w:ind w:left="567" w:right="531"/>
        <w:rPr>
          <w:rFonts w:ascii="Arial" w:eastAsia="Times New Roman" w:hAnsi="Arial" w:cs="Arial"/>
          <w:lang w:eastAsia="en-GB"/>
        </w:rPr>
      </w:pPr>
    </w:p>
    <w:p w14:paraId="36E7C7CD" w14:textId="77777777" w:rsidR="00271CA3" w:rsidRDefault="00271CA3" w:rsidP="00271CA3">
      <w:pPr>
        <w:spacing w:after="0" w:line="276" w:lineRule="auto"/>
        <w:ind w:left="567" w:right="531"/>
        <w:rPr>
          <w:rFonts w:ascii="Arial" w:eastAsia="Times New Roman" w:hAnsi="Arial" w:cs="Arial"/>
          <w:lang w:eastAsia="en-GB"/>
        </w:rPr>
      </w:pPr>
    </w:p>
    <w:p w14:paraId="030FFC72" w14:textId="77777777" w:rsidR="00271CA3" w:rsidRDefault="00271CA3">
      <w:pPr>
        <w:rPr>
          <w:rFonts w:ascii="Arial" w:eastAsia="Times New Roman" w:hAnsi="Arial" w:cs="Arial"/>
          <w:b/>
          <w:bCs/>
          <w:lang w:eastAsia="en-GB"/>
        </w:rPr>
      </w:pPr>
      <w:r>
        <w:rPr>
          <w:rFonts w:ascii="Arial" w:eastAsia="Times New Roman" w:hAnsi="Arial" w:cs="Arial"/>
          <w:b/>
          <w:bCs/>
          <w:lang w:eastAsia="en-GB"/>
        </w:rPr>
        <w:br w:type="page"/>
      </w:r>
    </w:p>
    <w:p w14:paraId="6C5B952C" w14:textId="297B87A8" w:rsidR="00271CA3" w:rsidRPr="006C3C20" w:rsidRDefault="00271CA3" w:rsidP="00271CA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6C3C20">
        <w:rPr>
          <w:rFonts w:ascii="Arial" w:eastAsia="Times New Roman" w:hAnsi="Arial" w:cs="Arial"/>
          <w:b/>
          <w:bCs/>
          <w:lang w:eastAsia="en-GB"/>
        </w:rPr>
        <w:lastRenderedPageBreak/>
        <w:t>Essay four</w:t>
      </w:r>
      <w:r>
        <w:rPr>
          <w:rFonts w:ascii="Arial" w:eastAsia="Times New Roman" w:hAnsi="Arial" w:cs="Arial"/>
          <w:b/>
          <w:bCs/>
          <w:lang w:eastAsia="en-GB"/>
        </w:rPr>
        <w:t xml:space="preserve"> – Valuing Difference &amp; Inclusion</w:t>
      </w:r>
    </w:p>
    <w:p w14:paraId="1076B478" w14:textId="77777777" w:rsidR="00271CA3" w:rsidRDefault="00271CA3" w:rsidP="00271CA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How effectively has policing adapted to accommodate diversity within the UK?</w:t>
      </w:r>
    </w:p>
    <w:p w14:paraId="34F62042" w14:textId="77777777" w:rsidR="00271CA3" w:rsidRDefault="00271CA3" w:rsidP="00271CA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Consider the police force itself and/or the way police engage with diverse communities.</w:t>
      </w:r>
    </w:p>
    <w:p w14:paraId="61405473" w14:textId="77777777" w:rsidR="00271CA3" w:rsidRPr="00E25D8A" w:rsidRDefault="00271CA3" w:rsidP="00271CA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Support your answer with relevant evidence drawn from academic sources.</w:t>
      </w:r>
    </w:p>
    <w:p w14:paraId="7BF49CC3" w14:textId="77777777" w:rsidR="00271CA3" w:rsidRDefault="00271CA3" w:rsidP="00271CA3">
      <w:r>
        <w:rPr>
          <w:rFonts w:ascii="Arial" w:eastAsia="Times New Roman" w:hAnsi="Arial" w:cs="Arial"/>
          <w:b/>
          <w:bCs/>
          <w:lang w:eastAsia="en-GB"/>
        </w:rPr>
        <w:t xml:space="preserve">Word limit: </w:t>
      </w:r>
      <w:r>
        <w:rPr>
          <w:rFonts w:ascii="Arial" w:eastAsia="Times New Roman" w:hAnsi="Arial" w:cs="Arial"/>
          <w:lang w:eastAsia="en-GB"/>
        </w:rPr>
        <w:t>1000 words.</w:t>
      </w:r>
    </w:p>
    <w:p w14:paraId="722ECEA3" w14:textId="77777777" w:rsidR="00271CA3" w:rsidRDefault="00271CA3" w:rsidP="00271CA3"/>
    <w:p w14:paraId="08BA2F57" w14:textId="77777777" w:rsidR="00271CA3" w:rsidRDefault="00271CA3" w:rsidP="00271CA3"/>
    <w:p w14:paraId="69B6D446" w14:textId="2BCF6CBC" w:rsidR="00271CA3" w:rsidRDefault="00271CA3" w:rsidP="00271CA3">
      <w:pPr>
        <w:rPr>
          <w:rFonts w:ascii="Arial" w:hAnsi="Arial" w:cs="Arial"/>
        </w:rPr>
      </w:pPr>
      <w:r w:rsidRPr="001F417C">
        <w:rPr>
          <w:rFonts w:ascii="Arial" w:hAnsi="Arial" w:cs="Arial"/>
        </w:rPr>
        <w:t>Diversity is described as the </w:t>
      </w:r>
      <w:hyperlink r:id="rId28" w:tooltip="mixture" w:history="1">
        <w:r>
          <w:rPr>
            <w:rStyle w:val="Hyperlink"/>
            <w:rFonts w:ascii="Arial" w:hAnsi="Arial" w:cs="Arial"/>
            <w:color w:val="auto"/>
            <w:u w:val="none"/>
          </w:rPr>
          <w:t>variety</w:t>
        </w:r>
      </w:hyperlink>
      <w:r w:rsidRPr="001F417C">
        <w:rPr>
          <w:rFonts w:ascii="Arial" w:hAnsi="Arial" w:cs="Arial"/>
        </w:rPr>
        <w:t> of </w:t>
      </w:r>
      <w:hyperlink r:id="rId29" w:tooltip="races" w:history="1">
        <w:r w:rsidRPr="001F417C">
          <w:rPr>
            <w:rStyle w:val="Hyperlink"/>
            <w:rFonts w:ascii="Arial" w:hAnsi="Arial" w:cs="Arial"/>
            <w:color w:val="auto"/>
            <w:u w:val="none"/>
          </w:rPr>
          <w:t>races</w:t>
        </w:r>
      </w:hyperlink>
      <w:r>
        <w:rPr>
          <w:rFonts w:ascii="Arial" w:hAnsi="Arial" w:cs="Arial"/>
        </w:rPr>
        <w:t>,</w:t>
      </w:r>
      <w:r w:rsidRPr="001F417C">
        <w:rPr>
          <w:rFonts w:ascii="Arial" w:hAnsi="Arial" w:cs="Arial"/>
        </w:rPr>
        <w:t xml:space="preserve"> </w:t>
      </w:r>
      <w:hyperlink r:id="rId30" w:tooltip="religions" w:history="1">
        <w:r w:rsidRPr="001F417C">
          <w:rPr>
            <w:rStyle w:val="Hyperlink"/>
            <w:rFonts w:ascii="Arial" w:hAnsi="Arial" w:cs="Arial"/>
            <w:color w:val="auto"/>
            <w:u w:val="none"/>
          </w:rPr>
          <w:t>religions</w:t>
        </w:r>
      </w:hyperlink>
      <w:r w:rsidRPr="001F417C">
        <w:rPr>
          <w:rFonts w:ascii="Arial" w:hAnsi="Arial" w:cs="Arial"/>
        </w:rPr>
        <w:t> </w:t>
      </w:r>
      <w:r>
        <w:rPr>
          <w:rFonts w:ascii="Arial" w:hAnsi="Arial" w:cs="Arial"/>
        </w:rPr>
        <w:t xml:space="preserve">and cultures </w:t>
      </w:r>
      <w:r w:rsidRPr="001F417C">
        <w:rPr>
          <w:rFonts w:ascii="Arial" w:hAnsi="Arial" w:cs="Arial"/>
        </w:rPr>
        <w:t>that make up a </w:t>
      </w:r>
      <w:hyperlink r:id="rId31" w:tooltip="group" w:history="1">
        <w:r w:rsidRPr="001F417C">
          <w:rPr>
            <w:rStyle w:val="Hyperlink"/>
            <w:rFonts w:ascii="Arial" w:hAnsi="Arial" w:cs="Arial"/>
            <w:color w:val="auto"/>
            <w:u w:val="none"/>
          </w:rPr>
          <w:t>group</w:t>
        </w:r>
      </w:hyperlink>
      <w:r w:rsidRPr="001F417C">
        <w:rPr>
          <w:rFonts w:ascii="Arial" w:hAnsi="Arial" w:cs="Arial"/>
        </w:rPr>
        <w:t> of </w:t>
      </w:r>
      <w:hyperlink r:id="rId32" w:tooltip="people" w:history="1">
        <w:r w:rsidRPr="001F417C">
          <w:rPr>
            <w:rStyle w:val="Hyperlink"/>
            <w:rFonts w:ascii="Arial" w:hAnsi="Arial" w:cs="Arial"/>
            <w:color w:val="auto"/>
            <w:u w:val="none"/>
          </w:rPr>
          <w:t>people</w:t>
        </w:r>
      </w:hyperlink>
      <w:r>
        <w:rPr>
          <w:rFonts w:ascii="Arial" w:hAnsi="Arial" w:cs="Arial"/>
        </w:rPr>
        <w:t xml:space="preserve"> in an area</w:t>
      </w:r>
      <w:r w:rsidRPr="001F417C">
        <w:rPr>
          <w:rFonts w:ascii="Arial" w:hAnsi="Arial" w:cs="Arial"/>
        </w:rPr>
        <w:t xml:space="preserve"> </w:t>
      </w:r>
      <w:r w:rsidR="000D0620" w:rsidRPr="000D0620">
        <w:rPr>
          <w:rFonts w:ascii="Arial" w:hAnsi="Arial" w:cs="Arial"/>
        </w:rPr>
        <w:t>(Servaes, Choudhury and Parikh, 2022)</w:t>
      </w:r>
      <w:r w:rsidRPr="001F417C">
        <w:rPr>
          <w:rFonts w:ascii="Arial" w:hAnsi="Arial" w:cs="Arial"/>
        </w:rPr>
        <w:t xml:space="preserve">. </w:t>
      </w:r>
      <w:r>
        <w:rPr>
          <w:rFonts w:ascii="Arial" w:hAnsi="Arial" w:cs="Arial"/>
        </w:rPr>
        <w:t xml:space="preserve">There are several types of diversity which also include age, sexual orientations and gender </w:t>
      </w:r>
      <w:r w:rsidRPr="005F2310">
        <w:rPr>
          <w:rFonts w:ascii="Arial" w:hAnsi="Arial" w:cs="Arial"/>
        </w:rPr>
        <w:t>(Toke, 2023)</w:t>
      </w:r>
      <w:r>
        <w:rPr>
          <w:rFonts w:ascii="Arial" w:hAnsi="Arial" w:cs="Arial"/>
        </w:rPr>
        <w:t xml:space="preserve"> along with those mentioned above. The UK is vastly diverse with diverse communities spanning the country. UK cities tend to be more racially and ethnically diverse </w:t>
      </w:r>
      <w:r w:rsidRPr="00080D2A">
        <w:rPr>
          <w:rFonts w:ascii="Arial" w:hAnsi="Arial" w:cs="Arial"/>
        </w:rPr>
        <w:t>(Lee and Sharp, 2017)</w:t>
      </w:r>
      <w:r>
        <w:rPr>
          <w:rFonts w:ascii="Arial" w:hAnsi="Arial" w:cs="Arial"/>
        </w:rPr>
        <w:t xml:space="preserve"> whereas a report from the UK Government shows that rural areas are populated with older generations of people. However, in recent years there has been a change whereby more people are moving to rural areas leading to a shift in the diversity of these communities </w:t>
      </w:r>
      <w:r w:rsidRPr="00080D2A">
        <w:rPr>
          <w:rFonts w:ascii="Arial" w:hAnsi="Arial" w:cs="Arial"/>
        </w:rPr>
        <w:t>(Gov.UK, 2021)</w:t>
      </w:r>
      <w:r>
        <w:rPr>
          <w:rFonts w:ascii="Arial" w:hAnsi="Arial" w:cs="Arial"/>
        </w:rPr>
        <w:t xml:space="preserve">. The varying demographics of areas around the UK provides police forces unique challenges in the ways that the police adapt to accommodate such diversity and in the ways that the police engage with these communities. </w:t>
      </w:r>
    </w:p>
    <w:p w14:paraId="25FA800F" w14:textId="77777777" w:rsidR="00271CA3" w:rsidRDefault="00271CA3" w:rsidP="00271CA3">
      <w:pPr>
        <w:rPr>
          <w:rFonts w:ascii="Arial" w:hAnsi="Arial" w:cs="Arial"/>
        </w:rPr>
      </w:pPr>
      <w:r>
        <w:rPr>
          <w:rFonts w:ascii="Arial" w:hAnsi="Arial" w:cs="Arial"/>
        </w:rPr>
        <w:t xml:space="preserve">Policing has adapted to accommodate diversity in several ways. One way of implementing this is how police forces have promoted awareness of racial issues and discrimination. Forces have made a conscious effort to change the attitudes and behaviours of their officers to help build and maintain working relationships with the diverse communities, many of which come from minority groups </w:t>
      </w:r>
      <w:r w:rsidRPr="00E46E31">
        <w:rPr>
          <w:rFonts w:ascii="Arial" w:hAnsi="Arial" w:cs="Arial"/>
        </w:rPr>
        <w:t>(</w:t>
      </w:r>
      <w:proofErr w:type="spellStart"/>
      <w:r w:rsidRPr="00E46E31">
        <w:rPr>
          <w:rFonts w:ascii="Arial" w:hAnsi="Arial" w:cs="Arial"/>
        </w:rPr>
        <w:t>Bhugowandeen</w:t>
      </w:r>
      <w:proofErr w:type="spellEnd"/>
      <w:r w:rsidRPr="00E46E31">
        <w:rPr>
          <w:rFonts w:ascii="Arial" w:hAnsi="Arial" w:cs="Arial"/>
        </w:rPr>
        <w:t>, 2013)</w:t>
      </w:r>
      <w:r>
        <w:rPr>
          <w:rFonts w:ascii="Arial" w:hAnsi="Arial" w:cs="Arial"/>
        </w:rPr>
        <w:t xml:space="preserve">. </w:t>
      </w:r>
    </w:p>
    <w:p w14:paraId="160F983E" w14:textId="77777777" w:rsidR="00271CA3" w:rsidRDefault="00271CA3" w:rsidP="00271CA3">
      <w:pPr>
        <w:rPr>
          <w:rFonts w:ascii="Arial" w:hAnsi="Arial" w:cs="Arial"/>
        </w:rPr>
      </w:pPr>
      <w:r>
        <w:rPr>
          <w:rFonts w:ascii="Arial" w:hAnsi="Arial" w:cs="Arial"/>
        </w:rPr>
        <w:t xml:space="preserve">This has been done by police forces implementing positive action into their recruitment campaigns. Positive action allows additional help for candidates who share protected characteristics such as race, sex, or cultural background. This is done to help level the playing field and allow candidates to minimise or remove any disadvantages that they may be at compared to those other candidates who do not share these protected characteristics </w:t>
      </w:r>
      <w:r w:rsidRPr="00815EE2">
        <w:rPr>
          <w:rFonts w:ascii="Arial" w:hAnsi="Arial" w:cs="Arial"/>
        </w:rPr>
        <w:t>(GOV.UK, 2023)</w:t>
      </w:r>
      <w:r>
        <w:rPr>
          <w:rFonts w:ascii="Arial" w:hAnsi="Arial" w:cs="Arial"/>
        </w:rPr>
        <w:t xml:space="preserve">. </w:t>
      </w:r>
    </w:p>
    <w:p w14:paraId="6F503F5D" w14:textId="77777777" w:rsidR="00271CA3" w:rsidRDefault="00271CA3" w:rsidP="00271CA3">
      <w:pPr>
        <w:rPr>
          <w:rFonts w:ascii="Arial" w:hAnsi="Arial" w:cs="Arial"/>
        </w:rPr>
      </w:pPr>
      <w:r>
        <w:rPr>
          <w:rFonts w:ascii="Arial" w:hAnsi="Arial" w:cs="Arial"/>
        </w:rPr>
        <w:t xml:space="preserve">Positive action within the police has been aimed at encouraging people who might not have previously considered a career within the police force an opportunity to apply. Greater Manchester police aimed to increase the number of Black, Asian and minority ethnic (BAME) officers within their force and increasing the female representation within the force </w:t>
      </w:r>
      <w:r w:rsidRPr="00DB6177">
        <w:rPr>
          <w:rFonts w:ascii="Arial" w:hAnsi="Arial" w:cs="Arial"/>
        </w:rPr>
        <w:t>(</w:t>
      </w:r>
      <w:proofErr w:type="spellStart"/>
      <w:r w:rsidRPr="00DB6177">
        <w:rPr>
          <w:rFonts w:ascii="Arial" w:hAnsi="Arial" w:cs="Arial"/>
        </w:rPr>
        <w:t>Alogba</w:t>
      </w:r>
      <w:proofErr w:type="spellEnd"/>
      <w:r w:rsidRPr="00DB6177">
        <w:rPr>
          <w:rFonts w:ascii="Arial" w:hAnsi="Arial" w:cs="Arial"/>
        </w:rPr>
        <w:t>, 2020)</w:t>
      </w:r>
      <w:r>
        <w:rPr>
          <w:rFonts w:ascii="Arial" w:hAnsi="Arial" w:cs="Arial"/>
        </w:rPr>
        <w:t xml:space="preserve">. This has meant that police forces nationally are now better representing the communities that they police. This has been shown in the </w:t>
      </w:r>
      <w:r w:rsidRPr="00CB5EDC">
        <w:rPr>
          <w:rFonts w:ascii="Arial" w:hAnsi="Arial" w:cs="Arial"/>
        </w:rPr>
        <w:t>Diversity, equality and inclusion strategy 2021-2024</w:t>
      </w:r>
      <w:r>
        <w:rPr>
          <w:rFonts w:ascii="Arial" w:hAnsi="Arial" w:cs="Arial"/>
        </w:rPr>
        <w:t xml:space="preserve"> report from the College of Policing. The percentage of ethnic minority groups working as part of the College of Policing is 12% of staff which is only 2% lower than the 14% of the UK working population who share their background from an ethnic minority </w:t>
      </w:r>
      <w:r w:rsidRPr="00DB6177">
        <w:rPr>
          <w:rFonts w:ascii="Arial" w:hAnsi="Arial" w:cs="Arial"/>
        </w:rPr>
        <w:t>(College of Policing, 2021)</w:t>
      </w:r>
      <w:r>
        <w:rPr>
          <w:rFonts w:ascii="Arial" w:hAnsi="Arial" w:cs="Arial"/>
        </w:rPr>
        <w:t xml:space="preserve">. Although this does not perfectly represent the diversity of communities, it displays that UK police are working towards the inclusion of those who are of a diverse background. Forces now implement </w:t>
      </w:r>
      <w:r w:rsidRPr="00DB6177">
        <w:rPr>
          <w:rFonts w:ascii="Arial" w:hAnsi="Arial" w:cs="Arial"/>
        </w:rPr>
        <w:t xml:space="preserve">a </w:t>
      </w:r>
      <w:r>
        <w:rPr>
          <w:rFonts w:ascii="Arial" w:hAnsi="Arial" w:cs="Arial"/>
        </w:rPr>
        <w:t>compulsory</w:t>
      </w:r>
      <w:r w:rsidRPr="00DB6177">
        <w:rPr>
          <w:rFonts w:ascii="Arial" w:hAnsi="Arial" w:cs="Arial"/>
        </w:rPr>
        <w:t xml:space="preserve"> inclusion and diversity objective </w:t>
      </w:r>
      <w:r>
        <w:rPr>
          <w:rFonts w:ascii="Arial" w:hAnsi="Arial" w:cs="Arial"/>
        </w:rPr>
        <w:t xml:space="preserve">in the professional development reviews </w:t>
      </w:r>
      <w:r w:rsidRPr="00DB6177">
        <w:rPr>
          <w:rFonts w:ascii="Arial" w:hAnsi="Arial" w:cs="Arial"/>
        </w:rPr>
        <w:t>(College of Policing, 2021)</w:t>
      </w:r>
      <w:r>
        <w:rPr>
          <w:rFonts w:ascii="Arial" w:hAnsi="Arial" w:cs="Arial"/>
        </w:rPr>
        <w:t xml:space="preserve">. This ensures that officers are not only aware of the diversity of the communities that they work within, but also the diversity of their colleagues and the wider workforce they belong to, thus improving the services provided from forces to the public. Organisations that embrace diversity and keep diversity at the forefront of their mind have been shown to be more successful and reach the </w:t>
      </w:r>
      <w:r>
        <w:rPr>
          <w:rFonts w:ascii="Arial" w:hAnsi="Arial" w:cs="Arial"/>
        </w:rPr>
        <w:lastRenderedPageBreak/>
        <w:t xml:space="preserve">wider audience that may not have usually been engaging with services </w:t>
      </w:r>
      <w:r w:rsidRPr="008B5876">
        <w:rPr>
          <w:rFonts w:ascii="Arial" w:hAnsi="Arial" w:cs="Arial"/>
        </w:rPr>
        <w:t>(Tynes, 2024)</w:t>
      </w:r>
      <w:r>
        <w:rPr>
          <w:rFonts w:ascii="Arial" w:hAnsi="Arial" w:cs="Arial"/>
        </w:rPr>
        <w:t xml:space="preserve">. This wider outreach with a more diverse police force leads to greater trust in police forces. There are variations in trust towards the police shown by different groups of people </w:t>
      </w:r>
      <w:r w:rsidRPr="0007769B">
        <w:rPr>
          <w:rFonts w:ascii="Arial" w:hAnsi="Arial" w:cs="Arial"/>
        </w:rPr>
        <w:t>(Brown and Hobbs, 2023)</w:t>
      </w:r>
      <w:r>
        <w:rPr>
          <w:rFonts w:ascii="Arial" w:hAnsi="Arial" w:cs="Arial"/>
        </w:rPr>
        <w:t xml:space="preserve">. It has been shown that there is a positive correlation between trust in the police and the number of visible patrols within communities </w:t>
      </w:r>
      <w:r w:rsidRPr="0007769B">
        <w:rPr>
          <w:rFonts w:ascii="Arial" w:hAnsi="Arial" w:cs="Arial"/>
        </w:rPr>
        <w:t>(Brown and Hobbs, 2023)</w:t>
      </w:r>
      <w:r>
        <w:rPr>
          <w:rFonts w:ascii="Arial" w:hAnsi="Arial" w:cs="Arial"/>
        </w:rPr>
        <w:t>. This means that the higher the number of patrols in communities, the greater the trust will become, leading to diverse communities becoming more engaging with the police.</w:t>
      </w:r>
    </w:p>
    <w:p w14:paraId="749BBF81" w14:textId="52F496D4" w:rsidR="00271CA3" w:rsidRDefault="00271CA3" w:rsidP="00271CA3">
      <w:pPr>
        <w:rPr>
          <w:rFonts w:ascii="Arial" w:hAnsi="Arial" w:cs="Arial"/>
        </w:rPr>
      </w:pPr>
      <w:r w:rsidRPr="00DB6177">
        <w:rPr>
          <w:rFonts w:ascii="Arial" w:hAnsi="Arial" w:cs="Arial"/>
        </w:rPr>
        <w:t xml:space="preserve">Historically in policing, </w:t>
      </w:r>
      <w:r>
        <w:rPr>
          <w:rFonts w:ascii="Arial" w:hAnsi="Arial" w:cs="Arial"/>
        </w:rPr>
        <w:t xml:space="preserve">the communities that the police work in have not been representative to the diverse cultures that live in the most diverse areas. Encouraging officers from diverse backgrounds to join the police allows for a better representation across forces and furthermore provides communities positive role models for others who are unsure about joining </w:t>
      </w:r>
      <w:r w:rsidRPr="00DB6177">
        <w:rPr>
          <w:rFonts w:ascii="Arial" w:hAnsi="Arial" w:cs="Arial"/>
        </w:rPr>
        <w:t>(</w:t>
      </w:r>
      <w:proofErr w:type="spellStart"/>
      <w:r w:rsidRPr="00DB6177">
        <w:rPr>
          <w:rFonts w:ascii="Arial" w:hAnsi="Arial" w:cs="Arial"/>
        </w:rPr>
        <w:t>Alogba</w:t>
      </w:r>
      <w:proofErr w:type="spellEnd"/>
      <w:r w:rsidRPr="00DB6177">
        <w:rPr>
          <w:rFonts w:ascii="Arial" w:hAnsi="Arial" w:cs="Arial"/>
        </w:rPr>
        <w:t>, 2020)</w:t>
      </w:r>
      <w:r>
        <w:rPr>
          <w:rFonts w:ascii="Arial" w:hAnsi="Arial" w:cs="Arial"/>
        </w:rPr>
        <w:t xml:space="preserve">. This not only builds confidence in the police force due to the fact officers can relate more to their communities, if they understand the issues and </w:t>
      </w:r>
      <w:r w:rsidR="003F6754">
        <w:rPr>
          <w:rFonts w:ascii="Arial" w:hAnsi="Arial" w:cs="Arial"/>
        </w:rPr>
        <w:t>struggles,</w:t>
      </w:r>
      <w:r>
        <w:rPr>
          <w:rFonts w:ascii="Arial" w:hAnsi="Arial" w:cs="Arial"/>
        </w:rPr>
        <w:t xml:space="preserve"> they are facing but also bringing communities closer to the police forces by using community engagement and other ways to encourage communities to work with the police.</w:t>
      </w:r>
    </w:p>
    <w:p w14:paraId="160EA749" w14:textId="5102CDAB" w:rsidR="00271CA3" w:rsidRDefault="00271CA3" w:rsidP="00271CA3">
      <w:pPr>
        <w:rPr>
          <w:rFonts w:ascii="Arial" w:hAnsi="Arial" w:cs="Arial"/>
        </w:rPr>
      </w:pPr>
      <w:r>
        <w:rPr>
          <w:rFonts w:ascii="Arial" w:hAnsi="Arial" w:cs="Arial"/>
        </w:rPr>
        <w:t xml:space="preserve">The biggest problem police forces face when engaging with diverse communities lies with the views of the diverse communities feel that they have and are being treated by police forces. Data suggests that there is an over-representation of people from ethnic minority groups, both as victims and perpetrators in relation to crimes </w:t>
      </w:r>
      <w:r w:rsidRPr="00D93E42">
        <w:rPr>
          <w:rFonts w:ascii="Arial" w:hAnsi="Arial" w:cs="Arial"/>
        </w:rPr>
        <w:t>(Gov.uk 01, 2021)</w:t>
      </w:r>
      <w:r>
        <w:rPr>
          <w:rFonts w:ascii="Arial" w:hAnsi="Arial" w:cs="Arial"/>
        </w:rPr>
        <w:t xml:space="preserve">. A report shows that people from Black backgrounds are more than five times more likely to be stop searched than those from White backgrounds </w:t>
      </w:r>
      <w:r w:rsidRPr="00DA7CED">
        <w:rPr>
          <w:rFonts w:ascii="Arial" w:hAnsi="Arial" w:cs="Arial"/>
        </w:rPr>
        <w:t>(Race Disparity Unit, 2021)</w:t>
      </w:r>
      <w:r>
        <w:rPr>
          <w:rFonts w:ascii="Arial" w:hAnsi="Arial" w:cs="Arial"/>
        </w:rPr>
        <w:t xml:space="preserve">. This indicates that people from BAME backgrounds are more likely to be stopped by police and therefore not want to engage positively with police officers and forces within the UK. Even though some searches are not conducted lawfully, thus having a negative impact on the relationship and engagement with police from certain communities. It is widely agreed that stop searches are required to protect these diverse communities from criminality by removing prohibited and dangerous items from the streets. These positive searches do not undermine the </w:t>
      </w:r>
      <w:r w:rsidR="003F6754">
        <w:rPr>
          <w:rFonts w:ascii="Arial" w:hAnsi="Arial" w:cs="Arial"/>
        </w:rPr>
        <w:t>public’s</w:t>
      </w:r>
      <w:r>
        <w:rPr>
          <w:rFonts w:ascii="Arial" w:hAnsi="Arial" w:cs="Arial"/>
        </w:rPr>
        <w:t xml:space="preserve"> trust in the police </w:t>
      </w:r>
      <w:r w:rsidRPr="00DA7CED">
        <w:rPr>
          <w:rFonts w:ascii="Arial" w:hAnsi="Arial" w:cs="Arial"/>
        </w:rPr>
        <w:t>(Nickolls and Allen, 2022)</w:t>
      </w:r>
      <w:r>
        <w:rPr>
          <w:rFonts w:ascii="Arial" w:hAnsi="Arial" w:cs="Arial"/>
        </w:rPr>
        <w:t xml:space="preserve"> and if anything, these positive searches build trust from communities with the police.</w:t>
      </w:r>
    </w:p>
    <w:p w14:paraId="4B3452E4" w14:textId="77777777" w:rsidR="00271CA3" w:rsidRDefault="00271CA3" w:rsidP="00271CA3">
      <w:pPr>
        <w:rPr>
          <w:rFonts w:ascii="Arial" w:hAnsi="Arial" w:cs="Arial"/>
        </w:rPr>
      </w:pPr>
      <w:r>
        <w:rPr>
          <w:rFonts w:ascii="Arial" w:hAnsi="Arial" w:cs="Arial"/>
        </w:rPr>
        <w:t xml:space="preserve">The use of police Body worn video cameras are also ensuring full transparency of forces when dealing with incidents. The footage released from an incident in Manchester Airport where officers were attacked by members of the public who were from the BAME community which resulted in an officer kicking a suspect has displayed that the officers were not targeting people due to their background but due to their behaviours and therefore maintaining trust from such diverse communities. </w:t>
      </w:r>
    </w:p>
    <w:p w14:paraId="315CD796" w14:textId="77777777" w:rsidR="00271CA3" w:rsidRDefault="00271CA3" w:rsidP="00271CA3">
      <w:pPr>
        <w:rPr>
          <w:rFonts w:ascii="Arial" w:hAnsi="Arial" w:cs="Arial"/>
        </w:rPr>
      </w:pPr>
      <w:r>
        <w:rPr>
          <w:rFonts w:ascii="Arial" w:hAnsi="Arial" w:cs="Arial"/>
        </w:rPr>
        <w:t xml:space="preserve">To conclude, there are several accommodations made by police forces to accommodate diversity, Robert Peel once said the police are the public and the public are the police </w:t>
      </w:r>
      <w:r w:rsidRPr="00834214">
        <w:rPr>
          <w:rFonts w:ascii="Arial" w:hAnsi="Arial" w:cs="Arial"/>
        </w:rPr>
        <w:t>(Gold, 2022)</w:t>
      </w:r>
      <w:r>
        <w:rPr>
          <w:rFonts w:ascii="Arial" w:hAnsi="Arial" w:cs="Arial"/>
        </w:rPr>
        <w:t xml:space="preserve"> and in providing positive action, supporting and engaging with these diverse communities there will be a more positive relationship between them and the police in the years to come.</w:t>
      </w:r>
    </w:p>
    <w:p w14:paraId="51C75867" w14:textId="77777777" w:rsidR="00271CA3" w:rsidRDefault="00271CA3" w:rsidP="00271CA3">
      <w:pPr>
        <w:rPr>
          <w:rFonts w:ascii="Arial" w:hAnsi="Arial" w:cs="Arial"/>
        </w:rPr>
      </w:pPr>
    </w:p>
    <w:p w14:paraId="6797491F" w14:textId="77777777" w:rsidR="00271CA3" w:rsidRDefault="00271CA3" w:rsidP="00271CA3">
      <w:pPr>
        <w:rPr>
          <w:rFonts w:ascii="Arial" w:hAnsi="Arial" w:cs="Arial"/>
        </w:rPr>
      </w:pPr>
      <w:r>
        <w:rPr>
          <w:rFonts w:ascii="Arial" w:hAnsi="Arial" w:cs="Arial"/>
        </w:rPr>
        <w:t>1065 words</w:t>
      </w:r>
    </w:p>
    <w:p w14:paraId="31DD2512" w14:textId="77777777" w:rsidR="00271CA3" w:rsidRDefault="00271CA3" w:rsidP="00271CA3">
      <w:pPr>
        <w:rPr>
          <w:rFonts w:ascii="Arial" w:hAnsi="Arial" w:cs="Arial"/>
        </w:rPr>
      </w:pPr>
      <w:r>
        <w:rPr>
          <w:rFonts w:ascii="Arial" w:hAnsi="Arial" w:cs="Arial"/>
        </w:rPr>
        <w:t>Bibliography</w:t>
      </w:r>
    </w:p>
    <w:p w14:paraId="006AB156" w14:textId="77777777" w:rsidR="000D0620" w:rsidRPr="000D0620" w:rsidRDefault="000D0620" w:rsidP="000D0620">
      <w:pPr>
        <w:rPr>
          <w:rFonts w:ascii="Arial" w:hAnsi="Arial" w:cs="Arial"/>
        </w:rPr>
      </w:pPr>
      <w:proofErr w:type="spellStart"/>
      <w:r w:rsidRPr="000D0620">
        <w:rPr>
          <w:rFonts w:ascii="Arial" w:hAnsi="Arial" w:cs="Arial"/>
        </w:rPr>
        <w:t>Alogba</w:t>
      </w:r>
      <w:proofErr w:type="spellEnd"/>
      <w:r w:rsidRPr="000D0620">
        <w:rPr>
          <w:rFonts w:ascii="Arial" w:hAnsi="Arial" w:cs="Arial"/>
        </w:rPr>
        <w:t xml:space="preserve">, T. (2020). </w:t>
      </w:r>
      <w:r w:rsidRPr="000D0620">
        <w:rPr>
          <w:rFonts w:ascii="Arial" w:hAnsi="Arial" w:cs="Arial"/>
          <w:i/>
          <w:iCs/>
        </w:rPr>
        <w:t>Recruiting for diversity</w:t>
      </w:r>
      <w:r w:rsidRPr="000D0620">
        <w:rPr>
          <w:rFonts w:ascii="Arial" w:hAnsi="Arial" w:cs="Arial"/>
        </w:rPr>
        <w:t>. [online] College of Policing. Available at: https://www.college.police.uk/article/recruiting-diversity [Accessed 17 Oct. 2024].</w:t>
      </w:r>
    </w:p>
    <w:p w14:paraId="1821D9AE" w14:textId="77777777" w:rsidR="000D0620" w:rsidRPr="000D0620" w:rsidRDefault="000D0620" w:rsidP="000D0620">
      <w:pPr>
        <w:rPr>
          <w:rFonts w:ascii="Arial" w:hAnsi="Arial" w:cs="Arial"/>
        </w:rPr>
      </w:pPr>
      <w:proofErr w:type="spellStart"/>
      <w:r w:rsidRPr="000D0620">
        <w:rPr>
          <w:rFonts w:ascii="Arial" w:hAnsi="Arial" w:cs="Arial"/>
        </w:rPr>
        <w:lastRenderedPageBreak/>
        <w:t>Bhugowandeen</w:t>
      </w:r>
      <w:proofErr w:type="spellEnd"/>
      <w:r w:rsidRPr="000D0620">
        <w:rPr>
          <w:rFonts w:ascii="Arial" w:hAnsi="Arial" w:cs="Arial"/>
        </w:rPr>
        <w:t xml:space="preserve">, B. (2013). Diversity in the British police : adapting to a multicultural society. </w:t>
      </w:r>
      <w:proofErr w:type="spellStart"/>
      <w:r w:rsidRPr="000D0620">
        <w:rPr>
          <w:rFonts w:ascii="Arial" w:hAnsi="Arial" w:cs="Arial"/>
          <w:i/>
          <w:iCs/>
        </w:rPr>
        <w:t>Mémoire</w:t>
      </w:r>
      <w:proofErr w:type="spellEnd"/>
      <w:r w:rsidRPr="000D0620">
        <w:rPr>
          <w:rFonts w:ascii="Arial" w:hAnsi="Arial" w:cs="Arial"/>
          <w:i/>
          <w:iCs/>
        </w:rPr>
        <w:t xml:space="preserve">(s), </w:t>
      </w:r>
      <w:proofErr w:type="spellStart"/>
      <w:r w:rsidRPr="000D0620">
        <w:rPr>
          <w:rFonts w:ascii="Arial" w:hAnsi="Arial" w:cs="Arial"/>
          <w:i/>
          <w:iCs/>
        </w:rPr>
        <w:t>identité</w:t>
      </w:r>
      <w:proofErr w:type="spellEnd"/>
      <w:r w:rsidRPr="000D0620">
        <w:rPr>
          <w:rFonts w:ascii="Arial" w:hAnsi="Arial" w:cs="Arial"/>
          <w:i/>
          <w:iCs/>
        </w:rPr>
        <w:t xml:space="preserve">(s), </w:t>
      </w:r>
      <w:proofErr w:type="spellStart"/>
      <w:r w:rsidRPr="000D0620">
        <w:rPr>
          <w:rFonts w:ascii="Arial" w:hAnsi="Arial" w:cs="Arial"/>
          <w:i/>
          <w:iCs/>
        </w:rPr>
        <w:t>marginalité</w:t>
      </w:r>
      <w:proofErr w:type="spellEnd"/>
      <w:r w:rsidRPr="000D0620">
        <w:rPr>
          <w:rFonts w:ascii="Arial" w:hAnsi="Arial" w:cs="Arial"/>
          <w:i/>
          <w:iCs/>
        </w:rPr>
        <w:t>(s) dans le monde occidental contemporain. Cahiers du MIMMOC</w:t>
      </w:r>
      <w:r w:rsidRPr="000D0620">
        <w:rPr>
          <w:rFonts w:ascii="Arial" w:hAnsi="Arial" w:cs="Arial"/>
        </w:rPr>
        <w:t xml:space="preserve">, [online] (10). </w:t>
      </w:r>
      <w:proofErr w:type="spellStart"/>
      <w:r w:rsidRPr="000D0620">
        <w:rPr>
          <w:rFonts w:ascii="Arial" w:hAnsi="Arial" w:cs="Arial"/>
        </w:rPr>
        <w:t>doi:http</w:t>
      </w:r>
      <w:proofErr w:type="spellEnd"/>
      <w:r w:rsidRPr="000D0620">
        <w:rPr>
          <w:rFonts w:ascii="Arial" w:hAnsi="Arial" w:cs="Arial"/>
        </w:rPr>
        <w:t>://journals.openedition.org/</w:t>
      </w:r>
      <w:proofErr w:type="spellStart"/>
      <w:r w:rsidRPr="000D0620">
        <w:rPr>
          <w:rFonts w:ascii="Arial" w:hAnsi="Arial" w:cs="Arial"/>
        </w:rPr>
        <w:t>mimmoc</w:t>
      </w:r>
      <w:proofErr w:type="spellEnd"/>
      <w:r w:rsidRPr="000D0620">
        <w:rPr>
          <w:rFonts w:ascii="Arial" w:hAnsi="Arial" w:cs="Arial"/>
        </w:rPr>
        <w:t>/1340.</w:t>
      </w:r>
    </w:p>
    <w:p w14:paraId="65A8ACD8" w14:textId="77777777" w:rsidR="000D0620" w:rsidRPr="000D0620" w:rsidRDefault="000D0620" w:rsidP="000D0620">
      <w:pPr>
        <w:rPr>
          <w:rFonts w:ascii="Arial" w:hAnsi="Arial" w:cs="Arial"/>
        </w:rPr>
      </w:pPr>
      <w:r w:rsidRPr="000D0620">
        <w:rPr>
          <w:rFonts w:ascii="Arial" w:hAnsi="Arial" w:cs="Arial"/>
        </w:rPr>
        <w:t xml:space="preserve">Brown, R. and Hobbs, A. (2023). </w:t>
      </w:r>
      <w:proofErr w:type="spellStart"/>
      <w:r w:rsidRPr="000D0620">
        <w:rPr>
          <w:rFonts w:ascii="Arial" w:hAnsi="Arial" w:cs="Arial"/>
          <w:i/>
          <w:iCs/>
        </w:rPr>
        <w:t>POSTnote</w:t>
      </w:r>
      <w:proofErr w:type="spellEnd"/>
      <w:r w:rsidRPr="000D0620">
        <w:rPr>
          <w:rFonts w:ascii="Arial" w:hAnsi="Arial" w:cs="Arial"/>
          <w:i/>
          <w:iCs/>
        </w:rPr>
        <w:t xml:space="preserve"> 693 Trust in the police Overview</w:t>
      </w:r>
      <w:r w:rsidRPr="000D0620">
        <w:rPr>
          <w:rFonts w:ascii="Arial" w:hAnsi="Arial" w:cs="Arial"/>
        </w:rPr>
        <w:t>. [online] Available at: https://researchbriefings.files.parliament.uk/documents/POST-PN-0693/POST-PN-0693.pdf [Accessed 17 Oct. 2024].</w:t>
      </w:r>
    </w:p>
    <w:p w14:paraId="12FBCE80" w14:textId="77777777" w:rsidR="000D0620" w:rsidRPr="000D0620" w:rsidRDefault="000D0620" w:rsidP="000D0620">
      <w:pPr>
        <w:rPr>
          <w:rFonts w:ascii="Arial" w:hAnsi="Arial" w:cs="Arial"/>
        </w:rPr>
      </w:pPr>
      <w:r w:rsidRPr="000D0620">
        <w:rPr>
          <w:rFonts w:ascii="Arial" w:hAnsi="Arial" w:cs="Arial"/>
        </w:rPr>
        <w:t xml:space="preserve">College of Policing (2021). </w:t>
      </w:r>
      <w:r w:rsidRPr="000D0620">
        <w:rPr>
          <w:rFonts w:ascii="Arial" w:hAnsi="Arial" w:cs="Arial"/>
          <w:i/>
          <w:iCs/>
        </w:rPr>
        <w:t>Diversity, equality and inclusion strategy 2021-2024</w:t>
      </w:r>
      <w:r w:rsidRPr="000D0620">
        <w:rPr>
          <w:rFonts w:ascii="Arial" w:hAnsi="Arial" w:cs="Arial"/>
        </w:rPr>
        <w:t>. [online] Available at: https://assets.college.police.uk/s3fs-public/2021-10/Diversity-equality-and-inclusion-strategy.pdf [Accessed 17 Oct. 2024].</w:t>
      </w:r>
    </w:p>
    <w:p w14:paraId="612DAF35" w14:textId="77777777" w:rsidR="000D0620" w:rsidRPr="000D0620" w:rsidRDefault="000D0620" w:rsidP="000D0620">
      <w:pPr>
        <w:rPr>
          <w:rFonts w:ascii="Arial" w:hAnsi="Arial" w:cs="Arial"/>
        </w:rPr>
      </w:pPr>
      <w:r w:rsidRPr="000D0620">
        <w:rPr>
          <w:rFonts w:ascii="Arial" w:hAnsi="Arial" w:cs="Arial"/>
        </w:rPr>
        <w:t xml:space="preserve">Gold, J. (2022). Improving community relations in the police through procedural justice – an action learning initiative. </w:t>
      </w:r>
      <w:r w:rsidRPr="000D0620">
        <w:rPr>
          <w:rFonts w:ascii="Arial" w:hAnsi="Arial" w:cs="Arial"/>
          <w:i/>
          <w:iCs/>
        </w:rPr>
        <w:t>Action Learning: Research and Practice</w:t>
      </w:r>
      <w:r w:rsidRPr="000D0620">
        <w:rPr>
          <w:rFonts w:ascii="Arial" w:hAnsi="Arial" w:cs="Arial"/>
        </w:rPr>
        <w:t xml:space="preserve">, [online] 19(3), pp.1–18. </w:t>
      </w:r>
      <w:proofErr w:type="spellStart"/>
      <w:r w:rsidRPr="000D0620">
        <w:rPr>
          <w:rFonts w:ascii="Arial" w:hAnsi="Arial" w:cs="Arial"/>
        </w:rPr>
        <w:t>doi:https</w:t>
      </w:r>
      <w:proofErr w:type="spellEnd"/>
      <w:r w:rsidRPr="000D0620">
        <w:rPr>
          <w:rFonts w:ascii="Arial" w:hAnsi="Arial" w:cs="Arial"/>
        </w:rPr>
        <w:t>://doi.org/10.1080/14767333.2022.2129586.</w:t>
      </w:r>
    </w:p>
    <w:p w14:paraId="30A772A0" w14:textId="77777777" w:rsidR="000D0620" w:rsidRPr="000D0620" w:rsidRDefault="000D0620" w:rsidP="000D0620">
      <w:pPr>
        <w:rPr>
          <w:rFonts w:ascii="Arial" w:hAnsi="Arial" w:cs="Arial"/>
        </w:rPr>
      </w:pPr>
      <w:r w:rsidRPr="000D0620">
        <w:rPr>
          <w:rFonts w:ascii="Arial" w:hAnsi="Arial" w:cs="Arial"/>
        </w:rPr>
        <w:t xml:space="preserve">GOV.UK (2023). </w:t>
      </w:r>
      <w:r w:rsidRPr="000D0620">
        <w:rPr>
          <w:rFonts w:ascii="Arial" w:hAnsi="Arial" w:cs="Arial"/>
          <w:i/>
          <w:iCs/>
        </w:rPr>
        <w:t>Positive action in the workplace</w:t>
      </w:r>
      <w:r w:rsidRPr="000D0620">
        <w:rPr>
          <w:rFonts w:ascii="Arial" w:hAnsi="Arial" w:cs="Arial"/>
        </w:rPr>
        <w:t>. [online] GOV.UK. Available at: https://www.gov.uk/government/publications/positive-action-in-the-workplace-guidance-for-employers/positive-action-in-the-workplace [Accessed 17 Oct. 2024].</w:t>
      </w:r>
    </w:p>
    <w:p w14:paraId="22E52CF5" w14:textId="77777777" w:rsidR="000D0620" w:rsidRPr="000D0620" w:rsidRDefault="000D0620" w:rsidP="000D0620">
      <w:pPr>
        <w:rPr>
          <w:rFonts w:ascii="Arial" w:hAnsi="Arial" w:cs="Arial"/>
        </w:rPr>
      </w:pPr>
      <w:r w:rsidRPr="000D0620">
        <w:rPr>
          <w:rFonts w:ascii="Arial" w:hAnsi="Arial" w:cs="Arial"/>
        </w:rPr>
        <w:t xml:space="preserve">Gov.UK (2021). </w:t>
      </w:r>
      <w:r w:rsidRPr="000D0620">
        <w:rPr>
          <w:rFonts w:ascii="Arial" w:hAnsi="Arial" w:cs="Arial"/>
          <w:i/>
          <w:iCs/>
        </w:rPr>
        <w:t>Rural population and migration</w:t>
      </w:r>
      <w:r w:rsidRPr="000D0620">
        <w:rPr>
          <w:rFonts w:ascii="Arial" w:hAnsi="Arial" w:cs="Arial"/>
        </w:rPr>
        <w:t>. [online] GOV.UK. Available at: https://www.gov.uk/government/statistics/rural-population-and-migration/rural-population-and-migration [Accessed 17 Oct. 2024].</w:t>
      </w:r>
    </w:p>
    <w:p w14:paraId="4CFA7BC2" w14:textId="77777777" w:rsidR="000D0620" w:rsidRPr="000D0620" w:rsidRDefault="000D0620" w:rsidP="000D0620">
      <w:pPr>
        <w:rPr>
          <w:rFonts w:ascii="Arial" w:hAnsi="Arial" w:cs="Arial"/>
        </w:rPr>
      </w:pPr>
      <w:r w:rsidRPr="000D0620">
        <w:rPr>
          <w:rFonts w:ascii="Arial" w:hAnsi="Arial" w:cs="Arial"/>
        </w:rPr>
        <w:t xml:space="preserve">Gov.uk 01 (2021). </w:t>
      </w:r>
      <w:r w:rsidRPr="000D0620">
        <w:rPr>
          <w:rFonts w:ascii="Arial" w:hAnsi="Arial" w:cs="Arial"/>
          <w:i/>
          <w:iCs/>
        </w:rPr>
        <w:t>Crime and policing</w:t>
      </w:r>
      <w:r w:rsidRPr="000D0620">
        <w:rPr>
          <w:rFonts w:ascii="Arial" w:hAnsi="Arial" w:cs="Arial"/>
        </w:rPr>
        <w:t>. [online] GOV.UK. Available at: https://www.gov.uk/government/publications/the-report-of-the-commission-on-race-and-ethnic-disparities/crime-and-policing [Accessed 17 Oct. 2024].</w:t>
      </w:r>
    </w:p>
    <w:p w14:paraId="406AA9A1" w14:textId="77777777" w:rsidR="000D0620" w:rsidRPr="000D0620" w:rsidRDefault="000D0620" w:rsidP="000D0620">
      <w:pPr>
        <w:rPr>
          <w:rFonts w:ascii="Arial" w:hAnsi="Arial" w:cs="Arial"/>
        </w:rPr>
      </w:pPr>
      <w:r w:rsidRPr="000D0620">
        <w:rPr>
          <w:rFonts w:ascii="Arial" w:hAnsi="Arial" w:cs="Arial"/>
        </w:rPr>
        <w:t xml:space="preserve">Lee, B.A. and Sharp, G. (2017). </w:t>
      </w:r>
      <w:proofErr w:type="spellStart"/>
      <w:r w:rsidRPr="000D0620">
        <w:rPr>
          <w:rFonts w:ascii="Arial" w:hAnsi="Arial" w:cs="Arial"/>
        </w:rPr>
        <w:t>Ethnoracial</w:t>
      </w:r>
      <w:proofErr w:type="spellEnd"/>
      <w:r w:rsidRPr="000D0620">
        <w:rPr>
          <w:rFonts w:ascii="Arial" w:hAnsi="Arial" w:cs="Arial"/>
        </w:rPr>
        <w:t xml:space="preserve"> Diversity across the Rural-Urban Continuum. </w:t>
      </w:r>
      <w:r w:rsidRPr="000D0620">
        <w:rPr>
          <w:rFonts w:ascii="Arial" w:hAnsi="Arial" w:cs="Arial"/>
          <w:i/>
          <w:iCs/>
        </w:rPr>
        <w:t>The ANNALS of the American Academy of Political and Social Science</w:t>
      </w:r>
      <w:r w:rsidRPr="000D0620">
        <w:rPr>
          <w:rFonts w:ascii="Arial" w:hAnsi="Arial" w:cs="Arial"/>
        </w:rPr>
        <w:t xml:space="preserve">, 672(1), pp.26–45. </w:t>
      </w:r>
      <w:proofErr w:type="spellStart"/>
      <w:r w:rsidRPr="000D0620">
        <w:rPr>
          <w:rFonts w:ascii="Arial" w:hAnsi="Arial" w:cs="Arial"/>
        </w:rPr>
        <w:t>doi:https</w:t>
      </w:r>
      <w:proofErr w:type="spellEnd"/>
      <w:r w:rsidRPr="000D0620">
        <w:rPr>
          <w:rFonts w:ascii="Arial" w:hAnsi="Arial" w:cs="Arial"/>
        </w:rPr>
        <w:t>://doi.org/10.1177/0002716217708560.</w:t>
      </w:r>
    </w:p>
    <w:p w14:paraId="56FA4B65" w14:textId="77777777" w:rsidR="000D0620" w:rsidRPr="000D0620" w:rsidRDefault="000D0620" w:rsidP="000D0620">
      <w:pPr>
        <w:rPr>
          <w:rFonts w:ascii="Arial" w:hAnsi="Arial" w:cs="Arial"/>
        </w:rPr>
      </w:pPr>
      <w:r w:rsidRPr="000D0620">
        <w:rPr>
          <w:rFonts w:ascii="Arial" w:hAnsi="Arial" w:cs="Arial"/>
        </w:rPr>
        <w:t xml:space="preserve">Nickolls, L. and Allen, G. (2022). Police stop and search powers. </w:t>
      </w:r>
      <w:r w:rsidRPr="000D0620">
        <w:rPr>
          <w:rFonts w:ascii="Arial" w:hAnsi="Arial" w:cs="Arial"/>
          <w:i/>
          <w:iCs/>
        </w:rPr>
        <w:t>commonslibrary.parliament.uk</w:t>
      </w:r>
      <w:r w:rsidRPr="000D0620">
        <w:rPr>
          <w:rFonts w:ascii="Arial" w:hAnsi="Arial" w:cs="Arial"/>
        </w:rPr>
        <w:t>, [online] 3878(SN03878). Available at: https://commonslibrary.parliament.uk/research-briefings/sn03878/ [Accessed 17 Oct. 2024].</w:t>
      </w:r>
    </w:p>
    <w:p w14:paraId="5B2B4D96" w14:textId="77777777" w:rsidR="000D0620" w:rsidRPr="000D0620" w:rsidRDefault="000D0620" w:rsidP="000D0620">
      <w:pPr>
        <w:rPr>
          <w:rFonts w:ascii="Arial" w:hAnsi="Arial" w:cs="Arial"/>
        </w:rPr>
      </w:pPr>
      <w:r w:rsidRPr="000D0620">
        <w:rPr>
          <w:rFonts w:ascii="Arial" w:hAnsi="Arial" w:cs="Arial"/>
        </w:rPr>
        <w:t xml:space="preserve">Race Disparity Unit (2021). </w:t>
      </w:r>
      <w:r w:rsidRPr="000D0620">
        <w:rPr>
          <w:rFonts w:ascii="Arial" w:hAnsi="Arial" w:cs="Arial"/>
          <w:i/>
          <w:iCs/>
        </w:rPr>
        <w:t>Stop and search data and the effect of geographical differences</w:t>
      </w:r>
      <w:r w:rsidRPr="000D0620">
        <w:rPr>
          <w:rFonts w:ascii="Arial" w:hAnsi="Arial" w:cs="Arial"/>
        </w:rPr>
        <w:t>. [online] GOV.UK. Available at: https://www.gov.uk/government/publications/stop-and-search-data-and-the-effect-of-geographical-differences/stop-and-search-interpreting-and-describing-statistics [Accessed 17 Oct. 2024].</w:t>
      </w:r>
    </w:p>
    <w:p w14:paraId="274C62EA" w14:textId="77777777" w:rsidR="000D0620" w:rsidRPr="000D0620" w:rsidRDefault="000D0620" w:rsidP="000D0620">
      <w:pPr>
        <w:rPr>
          <w:rFonts w:ascii="Arial" w:hAnsi="Arial" w:cs="Arial"/>
        </w:rPr>
      </w:pPr>
      <w:r w:rsidRPr="000D0620">
        <w:rPr>
          <w:rFonts w:ascii="Arial" w:hAnsi="Arial" w:cs="Arial"/>
        </w:rPr>
        <w:t xml:space="preserve">Servaes, S., Choudhury, P. and Parikh, A.K. (2022). What is diversity? </w:t>
      </w:r>
      <w:proofErr w:type="spellStart"/>
      <w:r w:rsidRPr="000D0620">
        <w:rPr>
          <w:rFonts w:ascii="Arial" w:hAnsi="Arial" w:cs="Arial"/>
          <w:i/>
          <w:iCs/>
        </w:rPr>
        <w:t>Pediatric</w:t>
      </w:r>
      <w:proofErr w:type="spellEnd"/>
      <w:r w:rsidRPr="000D0620">
        <w:rPr>
          <w:rFonts w:ascii="Arial" w:hAnsi="Arial" w:cs="Arial"/>
          <w:i/>
          <w:iCs/>
        </w:rPr>
        <w:t xml:space="preserve"> Radiology</w:t>
      </w:r>
      <w:r w:rsidRPr="000D0620">
        <w:rPr>
          <w:rFonts w:ascii="Arial" w:hAnsi="Arial" w:cs="Arial"/>
        </w:rPr>
        <w:t xml:space="preserve">, [online] 52(9). </w:t>
      </w:r>
      <w:proofErr w:type="spellStart"/>
      <w:r w:rsidRPr="000D0620">
        <w:rPr>
          <w:rFonts w:ascii="Arial" w:hAnsi="Arial" w:cs="Arial"/>
        </w:rPr>
        <w:t>doi:https</w:t>
      </w:r>
      <w:proofErr w:type="spellEnd"/>
      <w:r w:rsidRPr="000D0620">
        <w:rPr>
          <w:rFonts w:ascii="Arial" w:hAnsi="Arial" w:cs="Arial"/>
        </w:rPr>
        <w:t>://doi.org/10.1007/s00247-022-05356-0.</w:t>
      </w:r>
    </w:p>
    <w:p w14:paraId="387B624E" w14:textId="77777777" w:rsidR="000D0620" w:rsidRPr="000D0620" w:rsidRDefault="000D0620" w:rsidP="000D0620">
      <w:pPr>
        <w:rPr>
          <w:rFonts w:ascii="Arial" w:hAnsi="Arial" w:cs="Arial"/>
        </w:rPr>
      </w:pPr>
      <w:r w:rsidRPr="000D0620">
        <w:rPr>
          <w:rFonts w:ascii="Arial" w:hAnsi="Arial" w:cs="Arial"/>
        </w:rPr>
        <w:t xml:space="preserve">South Wales Police (2022). </w:t>
      </w:r>
      <w:r w:rsidRPr="000D0620">
        <w:rPr>
          <w:rFonts w:ascii="Arial" w:hAnsi="Arial" w:cs="Arial"/>
          <w:i/>
          <w:iCs/>
        </w:rPr>
        <w:t>Police Race Action Plan – Improving policing for black people</w:t>
      </w:r>
      <w:r w:rsidRPr="000D0620">
        <w:rPr>
          <w:rFonts w:ascii="Arial" w:hAnsi="Arial" w:cs="Arial"/>
        </w:rPr>
        <w:t>. [online] www.south-wales.police.uk. Available at: https://www.south-wales.police.uk/news/south-wales/news/2022/mai-may/police-race-action-plan--improving-policing-for-black-people/ [Accessed 17 Oct. 2024].</w:t>
      </w:r>
    </w:p>
    <w:p w14:paraId="7077261F" w14:textId="77777777" w:rsidR="000D0620" w:rsidRPr="000D0620" w:rsidRDefault="000D0620" w:rsidP="000D0620">
      <w:pPr>
        <w:rPr>
          <w:rFonts w:ascii="Arial" w:hAnsi="Arial" w:cs="Arial"/>
        </w:rPr>
      </w:pPr>
      <w:r w:rsidRPr="000D0620">
        <w:rPr>
          <w:rFonts w:ascii="Arial" w:hAnsi="Arial" w:cs="Arial"/>
        </w:rPr>
        <w:t xml:space="preserve">Toke, N. (2023). </w:t>
      </w:r>
      <w:r w:rsidRPr="000D0620">
        <w:rPr>
          <w:rFonts w:ascii="Arial" w:hAnsi="Arial" w:cs="Arial"/>
          <w:i/>
          <w:iCs/>
        </w:rPr>
        <w:t>Diversity in the United Kingdom: A Comprehensive Overview [2023 DEI Resources] | Diversity for Social Impact</w:t>
      </w:r>
      <w:r w:rsidRPr="000D0620">
        <w:rPr>
          <w:rFonts w:ascii="Arial" w:hAnsi="Arial" w:cs="Arial"/>
        </w:rPr>
        <w:t>. [online] Diversity for Social Impact. Available at: https://diversity.social/the-state-of-diversity-in-the-united-kingdom-a-comprehensive-overview/ [Accessed 17 Oct. 2024].</w:t>
      </w:r>
    </w:p>
    <w:p w14:paraId="25FE60A9" w14:textId="77777777" w:rsidR="000D0620" w:rsidRPr="000D0620" w:rsidRDefault="000D0620" w:rsidP="000D0620">
      <w:pPr>
        <w:rPr>
          <w:rFonts w:ascii="Arial" w:hAnsi="Arial" w:cs="Arial"/>
        </w:rPr>
      </w:pPr>
      <w:r w:rsidRPr="000D0620">
        <w:rPr>
          <w:rFonts w:ascii="Arial" w:hAnsi="Arial" w:cs="Arial"/>
        </w:rPr>
        <w:t xml:space="preserve">Tynes, B. (2024). Council Post: The Importance Of Diversity And Inclusion For Today’s Companies. </w:t>
      </w:r>
      <w:r w:rsidRPr="000D0620">
        <w:rPr>
          <w:rFonts w:ascii="Arial" w:hAnsi="Arial" w:cs="Arial"/>
          <w:i/>
          <w:iCs/>
        </w:rPr>
        <w:t>Forbes</w:t>
      </w:r>
      <w:r w:rsidRPr="000D0620">
        <w:rPr>
          <w:rFonts w:ascii="Arial" w:hAnsi="Arial" w:cs="Arial"/>
        </w:rPr>
        <w:t xml:space="preserve">. [online] 12 Aug. Available at: </w:t>
      </w:r>
      <w:r w:rsidRPr="000D0620">
        <w:rPr>
          <w:rFonts w:ascii="Arial" w:hAnsi="Arial" w:cs="Arial"/>
        </w:rPr>
        <w:lastRenderedPageBreak/>
        <w:t>https://www.forbes.com/councils/forbescommunicationscouncil/2022/03/03/the-importance-of-diversity-and-inclusion-for-todays-companies/ [Accessed 17 Oct. 2024].</w:t>
      </w:r>
    </w:p>
    <w:p w14:paraId="01668825" w14:textId="77777777" w:rsidR="00271CA3" w:rsidRDefault="00271CA3" w:rsidP="00271CA3">
      <w:pPr>
        <w:rPr>
          <w:rFonts w:ascii="Arial" w:hAnsi="Arial" w:cs="Arial"/>
        </w:rPr>
      </w:pPr>
    </w:p>
    <w:p w14:paraId="5581AAAA" w14:textId="77777777" w:rsidR="00271CA3" w:rsidRDefault="00271CA3" w:rsidP="00271CA3"/>
    <w:p w14:paraId="2231D240" w14:textId="77777777" w:rsidR="00271CA3" w:rsidRPr="00271CA3" w:rsidRDefault="00271CA3" w:rsidP="00271CA3">
      <w:pPr>
        <w:spacing w:after="0" w:line="276" w:lineRule="auto"/>
        <w:ind w:left="567" w:right="531"/>
        <w:rPr>
          <w:rFonts w:ascii="Arial" w:eastAsia="Times New Roman" w:hAnsi="Arial" w:cs="Arial"/>
          <w:lang w:eastAsia="en-GB"/>
        </w:rPr>
      </w:pPr>
    </w:p>
    <w:sectPr w:rsidR="00271CA3" w:rsidRPr="00271C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CA3"/>
    <w:rsid w:val="000D0620"/>
    <w:rsid w:val="000D1674"/>
    <w:rsid w:val="001A4E4E"/>
    <w:rsid w:val="001D504B"/>
    <w:rsid w:val="00271CA3"/>
    <w:rsid w:val="003F6754"/>
    <w:rsid w:val="004F595E"/>
    <w:rsid w:val="0056705F"/>
    <w:rsid w:val="005C5BA5"/>
    <w:rsid w:val="0088428B"/>
    <w:rsid w:val="009352B2"/>
    <w:rsid w:val="00D92126"/>
    <w:rsid w:val="00DC16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1E0B5"/>
  <w15:chartTrackingRefBased/>
  <w15:docId w15:val="{367D50DB-D687-4672-B05E-09F24D480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CA3"/>
    <w:rPr>
      <w:kern w:val="0"/>
    </w:rPr>
  </w:style>
  <w:style w:type="paragraph" w:styleId="Heading1">
    <w:name w:val="heading 1"/>
    <w:basedOn w:val="Normal"/>
    <w:next w:val="Normal"/>
    <w:link w:val="Heading1Char"/>
    <w:uiPriority w:val="9"/>
    <w:qFormat/>
    <w:rsid w:val="00271C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1C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1C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1C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1C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1C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1C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1C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1C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C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1C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1C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1C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1C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1C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1C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1C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1CA3"/>
    <w:rPr>
      <w:rFonts w:eastAsiaTheme="majorEastAsia" w:cstheme="majorBidi"/>
      <w:color w:val="272727" w:themeColor="text1" w:themeTint="D8"/>
    </w:rPr>
  </w:style>
  <w:style w:type="paragraph" w:styleId="Title">
    <w:name w:val="Title"/>
    <w:basedOn w:val="Normal"/>
    <w:next w:val="Normal"/>
    <w:link w:val="TitleChar"/>
    <w:uiPriority w:val="10"/>
    <w:qFormat/>
    <w:rsid w:val="00271C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1C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1C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1C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1CA3"/>
    <w:pPr>
      <w:spacing w:before="160"/>
      <w:jc w:val="center"/>
    </w:pPr>
    <w:rPr>
      <w:i/>
      <w:iCs/>
      <w:color w:val="404040" w:themeColor="text1" w:themeTint="BF"/>
    </w:rPr>
  </w:style>
  <w:style w:type="character" w:customStyle="1" w:styleId="QuoteChar">
    <w:name w:val="Quote Char"/>
    <w:basedOn w:val="DefaultParagraphFont"/>
    <w:link w:val="Quote"/>
    <w:uiPriority w:val="29"/>
    <w:rsid w:val="00271CA3"/>
    <w:rPr>
      <w:i/>
      <w:iCs/>
      <w:color w:val="404040" w:themeColor="text1" w:themeTint="BF"/>
    </w:rPr>
  </w:style>
  <w:style w:type="paragraph" w:styleId="ListParagraph">
    <w:name w:val="List Paragraph"/>
    <w:basedOn w:val="Normal"/>
    <w:uiPriority w:val="34"/>
    <w:qFormat/>
    <w:rsid w:val="00271CA3"/>
    <w:pPr>
      <w:ind w:left="720"/>
      <w:contextualSpacing/>
    </w:pPr>
  </w:style>
  <w:style w:type="character" w:styleId="IntenseEmphasis">
    <w:name w:val="Intense Emphasis"/>
    <w:basedOn w:val="DefaultParagraphFont"/>
    <w:uiPriority w:val="21"/>
    <w:qFormat/>
    <w:rsid w:val="00271CA3"/>
    <w:rPr>
      <w:i/>
      <w:iCs/>
      <w:color w:val="0F4761" w:themeColor="accent1" w:themeShade="BF"/>
    </w:rPr>
  </w:style>
  <w:style w:type="paragraph" w:styleId="IntenseQuote">
    <w:name w:val="Intense Quote"/>
    <w:basedOn w:val="Normal"/>
    <w:next w:val="Normal"/>
    <w:link w:val="IntenseQuoteChar"/>
    <w:uiPriority w:val="30"/>
    <w:qFormat/>
    <w:rsid w:val="00271C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1CA3"/>
    <w:rPr>
      <w:i/>
      <w:iCs/>
      <w:color w:val="0F4761" w:themeColor="accent1" w:themeShade="BF"/>
    </w:rPr>
  </w:style>
  <w:style w:type="character" w:styleId="IntenseReference">
    <w:name w:val="Intense Reference"/>
    <w:basedOn w:val="DefaultParagraphFont"/>
    <w:uiPriority w:val="32"/>
    <w:qFormat/>
    <w:rsid w:val="00271CA3"/>
    <w:rPr>
      <w:b/>
      <w:bCs/>
      <w:smallCaps/>
      <w:color w:val="0F4761" w:themeColor="accent1" w:themeShade="BF"/>
      <w:spacing w:val="5"/>
    </w:rPr>
  </w:style>
  <w:style w:type="character" w:styleId="Hyperlink">
    <w:name w:val="Hyperlink"/>
    <w:basedOn w:val="DefaultParagraphFont"/>
    <w:uiPriority w:val="99"/>
    <w:unhideWhenUsed/>
    <w:rsid w:val="00271CA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866491">
      <w:bodyDiv w:val="1"/>
      <w:marLeft w:val="0"/>
      <w:marRight w:val="0"/>
      <w:marTop w:val="0"/>
      <w:marBottom w:val="0"/>
      <w:divBdr>
        <w:top w:val="none" w:sz="0" w:space="0" w:color="auto"/>
        <w:left w:val="none" w:sz="0" w:space="0" w:color="auto"/>
        <w:bottom w:val="none" w:sz="0" w:space="0" w:color="auto"/>
        <w:right w:val="none" w:sz="0" w:space="0" w:color="auto"/>
      </w:divBdr>
      <w:divsChild>
        <w:div w:id="599607011">
          <w:marLeft w:val="0"/>
          <w:marRight w:val="0"/>
          <w:marTop w:val="0"/>
          <w:marBottom w:val="0"/>
          <w:divBdr>
            <w:top w:val="none" w:sz="0" w:space="0" w:color="auto"/>
            <w:left w:val="none" w:sz="0" w:space="0" w:color="auto"/>
            <w:bottom w:val="none" w:sz="0" w:space="0" w:color="auto"/>
            <w:right w:val="none" w:sz="0" w:space="0" w:color="auto"/>
          </w:divBdr>
        </w:div>
      </w:divsChild>
    </w:div>
    <w:div w:id="229728829">
      <w:bodyDiv w:val="1"/>
      <w:marLeft w:val="0"/>
      <w:marRight w:val="0"/>
      <w:marTop w:val="0"/>
      <w:marBottom w:val="0"/>
      <w:divBdr>
        <w:top w:val="none" w:sz="0" w:space="0" w:color="auto"/>
        <w:left w:val="none" w:sz="0" w:space="0" w:color="auto"/>
        <w:bottom w:val="none" w:sz="0" w:space="0" w:color="auto"/>
        <w:right w:val="none" w:sz="0" w:space="0" w:color="auto"/>
      </w:divBdr>
    </w:div>
    <w:div w:id="304697946">
      <w:bodyDiv w:val="1"/>
      <w:marLeft w:val="0"/>
      <w:marRight w:val="0"/>
      <w:marTop w:val="0"/>
      <w:marBottom w:val="0"/>
      <w:divBdr>
        <w:top w:val="none" w:sz="0" w:space="0" w:color="auto"/>
        <w:left w:val="none" w:sz="0" w:space="0" w:color="auto"/>
        <w:bottom w:val="none" w:sz="0" w:space="0" w:color="auto"/>
        <w:right w:val="none" w:sz="0" w:space="0" w:color="auto"/>
      </w:divBdr>
      <w:divsChild>
        <w:div w:id="545024345">
          <w:marLeft w:val="0"/>
          <w:marRight w:val="0"/>
          <w:marTop w:val="0"/>
          <w:marBottom w:val="0"/>
          <w:divBdr>
            <w:top w:val="none" w:sz="0" w:space="0" w:color="auto"/>
            <w:left w:val="none" w:sz="0" w:space="0" w:color="auto"/>
            <w:bottom w:val="none" w:sz="0" w:space="0" w:color="auto"/>
            <w:right w:val="none" w:sz="0" w:space="0" w:color="auto"/>
          </w:divBdr>
        </w:div>
      </w:divsChild>
    </w:div>
    <w:div w:id="86221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org/content/article/kids-overimitate-adults-regardless-culture" TargetMode="External"/><Relationship Id="rId18" Type="http://schemas.openxmlformats.org/officeDocument/2006/relationships/hyperlink" Target="https://developingchild.harvard.edu/resources/inbrief-early-childhood-program-effectiveness/" TargetMode="External"/><Relationship Id="rId26" Type="http://schemas.openxmlformats.org/officeDocument/2006/relationships/hyperlink" Target="https://revisesociology.com/2021/05/26/how-successful-are-early-interventions-in-reducing-violent-crime/" TargetMode="External"/><Relationship Id="rId3" Type="http://schemas.openxmlformats.org/officeDocument/2006/relationships/settings" Target="settings.xml"/><Relationship Id="rId21" Type="http://schemas.openxmlformats.org/officeDocument/2006/relationships/hyperlink" Target="https://assets.publishing.service.gov.uk/media/5a7a36f2e5274a34770e5114/DFE-RR111.pdf" TargetMode="External"/><Relationship Id="rId34" Type="http://schemas.openxmlformats.org/officeDocument/2006/relationships/theme" Target="theme/theme1.xml"/><Relationship Id="rId7" Type="http://schemas.openxmlformats.org/officeDocument/2006/relationships/hyperlink" Target="https://www.nationalcrimeagency.gov.uk/who-we-are/publications/254-guidance-for-ngos-on-how-to-identify-and-support-victims-of-criminal-exploitation/file" TargetMode="External"/><Relationship Id="rId12" Type="http://schemas.openxmlformats.org/officeDocument/2006/relationships/hyperlink" Target="https://doi.org/10.1177/1473225418810833" TargetMode="External"/><Relationship Id="rId17" Type="http://schemas.openxmlformats.org/officeDocument/2006/relationships/hyperlink" Target="https://doi.org/10.1016/j.cpr.2010.12.003" TargetMode="External"/><Relationship Id="rId25" Type="http://schemas.openxmlformats.org/officeDocument/2006/relationships/hyperlink" Target="https://www.ncbi.nlm.nih.gov/books/NBK424859/"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hildrenscommissioner.gov.uk/blog/over-a-quarter-of-a-million-children-still-waiting-for-mental-health-support/" TargetMode="External"/><Relationship Id="rId20" Type="http://schemas.openxmlformats.org/officeDocument/2006/relationships/hyperlink" Target="https://learning.nspcc.org.uk/safeguarding-child-protection/early-help-and-early-intervention" TargetMode="External"/><Relationship Id="rId29" Type="http://schemas.openxmlformats.org/officeDocument/2006/relationships/hyperlink" Target="https://dictionary.cambridge.org/dictionary/english/race" TargetMode="External"/><Relationship Id="rId1" Type="http://schemas.openxmlformats.org/officeDocument/2006/relationships/customXml" Target="../customXml/item1.xml"/><Relationship Id="rId6" Type="http://schemas.openxmlformats.org/officeDocument/2006/relationships/hyperlink" Target="https://doi.org/10.1016/j.chipro.2024.100042" TargetMode="External"/><Relationship Id="rId11" Type="http://schemas.openxmlformats.org/officeDocument/2006/relationships/hyperlink" Target="https://www.gov.uk/government/publications/vulnerabilities-applying-all-our-health/vulnerabilities-applying-all-our-health" TargetMode="External"/><Relationship Id="rId24" Type="http://schemas.openxmlformats.org/officeDocument/2006/relationships/hyperlink" Target="https://www.nice.org.uk/guidance/ph40/documents/social-and-emotional-wellbeing-early-years-expert-report-32" TargetMode="External"/><Relationship Id="rId32" Type="http://schemas.openxmlformats.org/officeDocument/2006/relationships/hyperlink" Target="https://dictionary.cambridge.org/dictionary/english/people" TargetMode="External"/><Relationship Id="rId5" Type="http://schemas.openxmlformats.org/officeDocument/2006/relationships/hyperlink" Target="https://crimestoppers-uk.org/keeping-safe/community-family/county-line" TargetMode="External"/><Relationship Id="rId15" Type="http://schemas.openxmlformats.org/officeDocument/2006/relationships/hyperlink" Target="https://carelearning.org.uk/qualifications/level-3-diploma-eyp/unit-313-needs/4-3-explain-strategies-for-early-intervention/" TargetMode="External"/><Relationship Id="rId23" Type="http://schemas.openxmlformats.org/officeDocument/2006/relationships/hyperlink" Target="https://www-jstor-org.ezproxy.uwtsd.ac.uk/stable/j.ctt9qgwqk.7?seq=7" TargetMode="External"/><Relationship Id="rId28" Type="http://schemas.openxmlformats.org/officeDocument/2006/relationships/hyperlink" Target="https://dictionary.cambridge.org/dictionary/english/mixture" TargetMode="External"/><Relationship Id="rId10" Type="http://schemas.openxmlformats.org/officeDocument/2006/relationships/hyperlink" Target="https://doi.org/10.15406/frcij.2021.09.00340" TargetMode="External"/><Relationship Id="rId19" Type="http://schemas.openxmlformats.org/officeDocument/2006/relationships/hyperlink" Target="https://www.hsrpsychology.co.uk/services/intervention/school-interventions/individual-interventions/" TargetMode="External"/><Relationship Id="rId31" Type="http://schemas.openxmlformats.org/officeDocument/2006/relationships/hyperlink" Target="https://dictionary.cambridge.org/dictionary/english/group" TargetMode="External"/><Relationship Id="rId4" Type="http://schemas.openxmlformats.org/officeDocument/2006/relationships/webSettings" Target="webSettings.xml"/><Relationship Id="rId9" Type="http://schemas.openxmlformats.org/officeDocument/2006/relationships/hyperlink" Target="https://www.nspcc.org.uk/what-is-child-abuse/types-of-abuse/gangs-criminal-exploitation/" TargetMode="External"/><Relationship Id="rId14" Type="http://schemas.openxmlformats.org/officeDocument/2006/relationships/hyperlink" Target="https://www.centreforsocialjustice.org.uk/wp-content/uploads/2024/02/CSJ-JC_Criminal_exploitation.pdf" TargetMode="External"/><Relationship Id="rId22" Type="http://schemas.openxmlformats.org/officeDocument/2006/relationships/hyperlink" Target="https://www.socialworkdegreecenter.com/study/community-based-interventions/" TargetMode="External"/><Relationship Id="rId27" Type="http://schemas.openxmlformats.org/officeDocument/2006/relationships/hyperlink" Target="https://www.iriss.org.uk/resources/insights/supporting-positive-relationships-children-young-people-experience-care" TargetMode="External"/><Relationship Id="rId30" Type="http://schemas.openxmlformats.org/officeDocument/2006/relationships/hyperlink" Target="https://dictionary.cambridge.org/dictionary/english/religion" TargetMode="External"/><Relationship Id="rId8" Type="http://schemas.openxmlformats.org/officeDocument/2006/relationships/hyperlink" Target="https://mft.nhs.uk/rmch/services/camhs/young-people/adverse-childhood-experiences-aces-and-attac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958FE-AB7A-4C68-BFF3-19F23A021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2762</TotalTime>
  <Pages>16</Pages>
  <Words>6723</Words>
  <Characters>38327</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Durston,Fraser swp8775</dc:creator>
  <cp:keywords/>
  <dc:description/>
  <cp:lastModifiedBy>Durston,Fraser swp8775</cp:lastModifiedBy>
  <cp:revision>5</cp:revision>
  <dcterms:created xsi:type="dcterms:W3CDTF">2025-01-09T10:13:00Z</dcterms:created>
  <dcterms:modified xsi:type="dcterms:W3CDTF">2025-01-24T12:26:00Z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2025-01-09T10:16:12Z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7c389a00-6998-4893-bcc2-47425c89746b</vt:lpwstr>
  </property>
  <property fmtid="{D5CDD505-2E9C-101B-9397-08002B2CF9AE}" pid="8" name="MSIP_Label_66cf8fe5-b7b7-4df7-b38d-1c61ac2f6639_ContentBits">
    <vt:lpwstr>0</vt:lpwstr>
  </property>
</Properties>
</file>