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13672D0" w:rsidR="7908378C" w:rsidRDefault="7908378C" w:rsidP="33572C6E">
            <w:pPr>
              <w:ind w:right="237"/>
              <w:rPr>
                <w:b/>
                <w:bCs/>
                <w:color w:val="auto"/>
                <w:sz w:val="32"/>
                <w:szCs w:val="32"/>
              </w:rPr>
            </w:pPr>
            <w:r w:rsidRPr="33572C6E">
              <w:rPr>
                <w:b/>
                <w:bCs/>
                <w:color w:val="auto"/>
                <w:sz w:val="32"/>
                <w:szCs w:val="32"/>
              </w:rPr>
              <w:t xml:space="preserve">Learner name: </w:t>
            </w:r>
            <w:r w:rsidR="003A36AE">
              <w:rPr>
                <w:b/>
                <w:bCs/>
                <w:color w:val="auto"/>
                <w:sz w:val="32"/>
                <w:szCs w:val="32"/>
              </w:rPr>
              <w:t>Iestyn Union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462B623" w:rsidR="33572C6E" w:rsidRDefault="003A36AE" w:rsidP="33572C6E">
            <w:pPr>
              <w:ind w:right="237"/>
              <w:rPr>
                <w:b/>
                <w:bCs/>
                <w:color w:val="auto"/>
                <w:sz w:val="32"/>
                <w:szCs w:val="32"/>
              </w:rPr>
            </w:pPr>
            <w:r>
              <w:rPr>
                <w:b/>
                <w:bCs/>
                <w:color w:val="auto"/>
                <w:sz w:val="32"/>
                <w:szCs w:val="32"/>
              </w:rPr>
              <w:t>2134304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12F4190" w14:textId="77777777" w:rsidR="00AE59E6" w:rsidRDefault="00AE59E6" w:rsidP="00AE59E6">
      <w:r>
        <w:t>In the following essay I shall be discussing a policing incident that I have attended and played a significant role with a victim of crime. I shall also be discussing difficulties that arose as a result of things such as cultural and language barriers, and I shall explore different methods available and routes I took in order to overcome these. I shall explore the vulnerabilities that arose due to the specific incident, and finally I will explore different options available to myself as an officer in order to attempt to tackle the issues of repeat victimisation and repeat offending.</w:t>
      </w:r>
    </w:p>
    <w:p w14:paraId="5CF2E72F" w14:textId="77777777" w:rsidR="00AE59E6" w:rsidRDefault="00AE59E6" w:rsidP="00AE59E6">
      <w:r>
        <w:tab/>
        <w:t>The incident that I shall be writing this essay about is one of a domestic assault where I was the initial attending officer and investigating officer. Upon initial attendance I was presented with difficulty as the victim in this instance was from a different country and had difficulty with speaking and understanding English, so I needed to communicate with her via language line. It was important that this issue was identified as early as possible as without effective communication, this issue would limit the success of effective policing and crime prevention (</w:t>
      </w:r>
      <w:r w:rsidRPr="00A42D9A">
        <w:t>Schneider, 1998)</w:t>
      </w:r>
      <w:r>
        <w:t>. As such it was imperative that I provided a means for the victim to effectively communicate with me. As I mentioned I used the service language line which is a free mobile interpretation service. This allowed for the effective policing of this incident.</w:t>
      </w:r>
    </w:p>
    <w:p w14:paraId="6D9BE6EA" w14:textId="77777777" w:rsidR="00AE59E6" w:rsidRDefault="00AE59E6" w:rsidP="00AE59E6">
      <w:r>
        <w:tab/>
        <w:t>After speaking with the victim it transpired that her partner had assaulted her, however she was very frightened and did not want to attend court in relation to the matter. There are many reasons that this may be the case. The first of these reasons may be that there is a distrust of police officers by members of the BAME community and overall trust of police has fallen in recent years (Office of National Statistics 2021). This may have presented an issue as, being a part of the BAME community, the victim may not have been willing to cooperate with us as she did not trust that we were going to conduct our investigation accurately and fairly. In order to combat this I needed to show the victim that I was in attendance at that call with her best interests and to protect her from future harm. I feel I achieved this by instantly recognising the language barrier and by using the translator on the phone I calmed the victim down and got a full account of the incident from her.</w:t>
      </w:r>
    </w:p>
    <w:p w14:paraId="10F68DFB" w14:textId="77777777" w:rsidR="00AE59E6" w:rsidRDefault="00AE59E6" w:rsidP="00AE59E6">
      <w:pPr>
        <w:ind w:firstLine="720"/>
      </w:pPr>
      <w:r>
        <w:t>She appeared very vulnerable in this instance and as such there was a greater duty of care placed on myself and my colleagues in attendance. Vulnerability is typically defined as someone who is at risk of greater harm than others or as someone who has complex needs in an investigation, (</w:t>
      </w:r>
      <w:r w:rsidRPr="0071151E">
        <w:t>Bartkowiak-Theron and Asquith 2019</w:t>
      </w:r>
      <w:r>
        <w:t xml:space="preserve">), or as essentially someone who is not very resilient to </w:t>
      </w:r>
      <w:r>
        <w:lastRenderedPageBreak/>
        <w:t>hardships, (Stanford 2012). However just because someone is vulnerable in one instance or incident, does not mean that they are vulnerable in all aspects of life, or even all incidents.</w:t>
      </w:r>
    </w:p>
    <w:p w14:paraId="5DB18A1B" w14:textId="77777777" w:rsidR="00AE59E6" w:rsidRDefault="00AE59E6" w:rsidP="00AE59E6">
      <w:pPr>
        <w:ind w:firstLine="720"/>
      </w:pPr>
      <w:r>
        <w:t xml:space="preserve">Tackling vulnerability is not a single agency responsibility. Many different agencies and organizations interact with people who are in possession of many different vulnerabilities, not just the police. From a policing context a main piece of legislation to be considered when dealing with people with vulnerabilities is the </w:t>
      </w:r>
      <w:r>
        <w:rPr>
          <w:i/>
          <w:iCs/>
        </w:rPr>
        <w:t>Youth Justice and Criminal Evidence Act</w:t>
      </w:r>
      <w:r>
        <w:t>. Section 17 of this act is imperative in assisting officers in appropriately supporting and assisting witnesses and victims who are considered vulnerable, by allowing different ways and means to make the criminal justice process more accessible for all people.</w:t>
      </w:r>
    </w:p>
    <w:p w14:paraId="7F0C2949" w14:textId="77777777" w:rsidR="00AE59E6" w:rsidRDefault="00AE59E6" w:rsidP="00AE59E6">
      <w:pPr>
        <w:ind w:firstLine="720"/>
      </w:pPr>
      <w:r>
        <w:t>Section 17 of the Youth Justice and Criminal Evidence Act 1999 was brought into place to help vulnerable and intimidated victims in giving the best evidence possible in criminal proceedings. This is achieved by affording vulnerable people a range of special measures such as live link evidence and removal of wig and gowns. These are said to reduce stress and allow vulnerable people to give better testimony (MacPherson, 2001). The police as an organisation incorporate this legislation by taking time to assess each situation that they attend and make every effort to understand what vulnerabilities are displayed by the victim or any witnesses. A way of ensuring that vulnerabilities are considered is by the use of ‘ABE’, or Achieving Best Evidence, interviews. This is a form of gathering an account from someone who is vulnerable so as they are not able to give a typical written account. The achieving best evidence interview involves a specially trained officer sat in a room with someone who is vulnerable and obtaining a verbal account which is recorded on video. Often times the person providing the account is in a much better position to provide a full and accurate account in this manner as it is just being obtained via a conversation, rather than in a stressful way as a written statement can be. Alongside this, a vulnerable person may not be able to understand the necessity for a written statement and as such an achieving best evidence interview may be good in assisting with obtaining that account from them. This is crucial in supporting vulnerable victims and ensuring that their best evidence gets to court as their best evidence is preserved in video form and it is an incredibly precise and clear account of what the victim wants to relay to the court (</w:t>
      </w:r>
      <w:r w:rsidRPr="000F184F">
        <w:t>Westera</w:t>
      </w:r>
      <w:r>
        <w:t>,</w:t>
      </w:r>
      <w:r w:rsidRPr="000F184F">
        <w:t xml:space="preserve"> Kebbell and Milne</w:t>
      </w:r>
      <w:r>
        <w:t xml:space="preserve"> </w:t>
      </w:r>
      <w:r w:rsidRPr="000F184F">
        <w:t>2011)</w:t>
      </w:r>
      <w:r>
        <w:t xml:space="preserve">. </w:t>
      </w:r>
    </w:p>
    <w:p w14:paraId="1098E2EA" w14:textId="77777777" w:rsidR="00AE59E6" w:rsidRDefault="00AE59E6" w:rsidP="00AE59E6">
      <w:pPr>
        <w:ind w:firstLine="720"/>
      </w:pPr>
      <w:r>
        <w:t>Another approach used by the police in supporting vulnerable and at risk persons is through the use of appropriate adults. Appropriate adults have use in all aspects of an investigation. Firstly, appropriate adults can be present in the suspect interview of vulnerable people to ensure that they are supported and feel comfortable enough to be able to discuss the matter with the police. Whilst solicitors act as a legal aid during suspect interview, ensuring that the individual’s rights are being upheld, the appropriate adult ensures that the person’s welfare is upheld, and that the person is effectively able to communicate what they want to and that they are not being exploited by police. Appropriate adults are also used when obtaining statements and accounts from victims and witnesses who are vulnerable. They do the same as those in suspect interviews in ensuring that the person giving account is telling officers exactly what they want to say and that they are not giving any account from some undue influence. Appropriate adults also ensure that the vulnerable person understands any information that is given to them, allowing them to make an informed decision of what they want to do or say going forward. In short, appropriate adults uphold the welfare of that person giving an account. The use of an appropriate adults is an overall effective tool in safeguarding victims and suspects as studies show that the presence of an appropriate adult leads to a less interrogative feeling during interview, which allows for a calmer and more accurate account to be given, and secondly it seemed that when an appropriate adult was present, there was a higher likelihood of legal representation also being present. This suggests that the use of an appropriate adult lends itself to the better understanding of a person of their rights and entitlements (Medford, Gudjonsson and Pearse 2003, pp.253-266).</w:t>
      </w:r>
    </w:p>
    <w:p w14:paraId="5445D531" w14:textId="77777777" w:rsidR="00AE59E6" w:rsidRDefault="00AE59E6" w:rsidP="00AE59E6">
      <w:pPr>
        <w:ind w:firstLine="720"/>
      </w:pPr>
      <w:r>
        <w:t xml:space="preserve">Another way of assisting those with vulnerabilities is through the use of translation services. As I have previously mentioned there is a quick option available to police officers called language line which offers an over the phone instant translation service which is effective for when officers attend a scene and a person present needs to communicate with them and speaks very little or no English. As stated, this is just a quick service only useful for gathering initial accounts. If there is a greater need for this person to assist with an investigation and a statement needs taking from them, an interpreter from a partner agency will be present as the statement is written. This essentially all but removes a language barrier as the victim is able to fully explain to the interpreter all that they wish to regarding the situation, which again allows for their best evidence to be obtained. The interpreter then writes a statement out for the person in their native language, allowing them to read it before signing. The interpreter then writes the same statement in English which is again signed. This is effective in supporting the vulnerable victim as it is another way that barriers to the criminal justice system are </w:t>
      </w:r>
      <w:r>
        <w:lastRenderedPageBreak/>
        <w:t xml:space="preserve">removed. Language interpreters assist policing organisations in providing a fair and equitable service for all members of the community (Howes 2018, pp.887-905). Interpreter interviews and statements are not without challenge however, interpreting accuracy can pose an issue as can understanding of rights and entitlements, however the robust training of interpreters and time taken by officers can overcome these barriers. The understanding of the person being interviewed or providing statement is paramount to the investigation so time taken to ensure understanding should not be seen as a negative factor considered by officers </w:t>
      </w:r>
      <w:r w:rsidRPr="00710D1E">
        <w:t>(Goodman-Delahunty et al., 2020, pp.83–136)</w:t>
      </w:r>
      <w:r>
        <w:t>.</w:t>
      </w:r>
    </w:p>
    <w:p w14:paraId="16109CC2" w14:textId="77777777" w:rsidR="00AE59E6" w:rsidRDefault="00AE59E6" w:rsidP="00AE59E6">
      <w:pPr>
        <w:ind w:firstLine="720"/>
      </w:pPr>
      <w:r>
        <w:t xml:space="preserve">Despite the assistance offered to vulnerable victims, people can often, through no fault of their own, find themselves as repeat victims, sometimes to the same person, sometimes to different people. Similarly, people often re-offend despite receiving some punitive measure for the first instance of their offending. As shown in studies, 5 percent of victims experience 60 percent of all crime (SooHyun et al., 2017), and once someone has become the victim of a crime, their chance of becoming a repeat victim increases drastically, meaning they are much more likely to become a victim of a crime soon again in the near future. In order to tackle the repeat victimisation of people, the first step is identifying when it has occurred foe example by searching locally held police records to identify when a person has been a victim before. Or police can simply communicate with a victim about whether this has occurred before. </w:t>
      </w:r>
    </w:p>
    <w:p w14:paraId="165A7DCB" w14:textId="77777777" w:rsidR="00AE59E6" w:rsidRDefault="00AE59E6" w:rsidP="00AE59E6">
      <w:pPr>
        <w:ind w:firstLine="720"/>
      </w:pPr>
      <w:r>
        <w:t xml:space="preserve">In terms of tackling the issue of repeat victimisation, police an work closely with partner agencies who are more suited or more able to closely work with the victims to help them out of the situations that they are in whether that be by implementing a support network to help them out of an abusive relationship, or by helping them move areas to an area with a substantially lower rate of crime </w:t>
      </w:r>
      <w:r w:rsidRPr="006261DC">
        <w:t>(Bridgeman and Hobbs, 1997)</w:t>
      </w:r>
      <w:r>
        <w:t>. On top of these measures, targeted policing is a good way of tackling repeat victimisation. By identifying areas where people are repeatedly being victims of crime and by recognising that a stronger policing presence in an area, target hardening, and other strategies are effective in preventing repeat victimisation can help to reduce crime numbers, police officers are better able to assist in tackling the issue of repeat victimisation. Studies have shown that these measures are effective in preventing both repeat victimisation and repeat offending as people are becoming more aware of how to safeguard themselves from these crimes. Furthermore, people’s vulnerabilities are being better understood by police and partner agencies, so the strategies being developed to assist and safeguard vulnerable people are being tailored to their specific needs and understanding and as such are more effective in preventing repeat victimisation (Grove et al., 2012)</w:t>
      </w:r>
    </w:p>
    <w:p w14:paraId="28989AE1" w14:textId="77777777" w:rsidR="00AE59E6" w:rsidRPr="00E35510" w:rsidRDefault="00AE59E6" w:rsidP="00AE59E6">
      <w:pPr>
        <w:ind w:firstLine="720"/>
      </w:pPr>
      <w:r>
        <w:t>In conclusion, policing is placing a large focus on repeat victimisation and re-offending and as such the numbers of such instances are coming down and positive work is being done in those areas. This ties in with the positive support for people with vulnerabilities as those with vulnerabilities often times find themselves as repeat victims of crime. By implementing my aforementioned support networks and tools, those who are vulnerable have better access to the criminal justice system and assist in positive outcomes in their case, preventing them from becoming repeat victims. These approaches I have mentioned to support those with vulnerabilities have their place in each situation and due to the number of different tools available, officers will be able to choose which tool they deem to be the most appropriate in each situation, leading to the overall better support for vulnerable victims of crime.</w:t>
      </w:r>
    </w:p>
    <w:p w14:paraId="7148CEB7" w14:textId="77777777" w:rsidR="00AE59E6" w:rsidRPr="00E676F7" w:rsidRDefault="00AE59E6"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2B40DC88" w:rsidR="00E676F7" w:rsidRDefault="00AE59E6">
      <w:pPr>
        <w:overflowPunct/>
        <w:autoSpaceDE/>
        <w:autoSpaceDN/>
        <w:adjustRightInd/>
        <w:textAlignment w:val="auto"/>
        <w:rPr>
          <w:b/>
          <w:bCs/>
          <w:sz w:val="24"/>
          <w:szCs w:val="24"/>
        </w:rPr>
      </w:pPr>
      <w:r>
        <w:rPr>
          <w:b/>
          <w:bCs/>
          <w:sz w:val="24"/>
          <w:szCs w:val="24"/>
        </w:rPr>
        <w:t>Word count: 2038</w:t>
      </w:r>
    </w:p>
    <w:p w14:paraId="604958CF" w14:textId="77777777" w:rsidR="00AE59E6" w:rsidRDefault="00AE59E6">
      <w:pPr>
        <w:overflowPunct/>
        <w:autoSpaceDE/>
        <w:autoSpaceDN/>
        <w:adjustRightInd/>
        <w:textAlignment w:val="auto"/>
        <w:rPr>
          <w:b/>
          <w:bCs/>
          <w:sz w:val="24"/>
          <w:szCs w:val="24"/>
        </w:rPr>
      </w:pPr>
    </w:p>
    <w:p w14:paraId="6694D60F" w14:textId="77777777" w:rsidR="00AE59E6" w:rsidRDefault="00AE59E6">
      <w:pPr>
        <w:overflowPunct/>
        <w:autoSpaceDE/>
        <w:autoSpaceDN/>
        <w:adjustRightInd/>
        <w:textAlignment w:val="auto"/>
        <w:rPr>
          <w:b/>
          <w:bCs/>
          <w:sz w:val="24"/>
          <w:szCs w:val="24"/>
        </w:rPr>
      </w:pPr>
    </w:p>
    <w:p w14:paraId="471AE16A" w14:textId="77777777" w:rsidR="00AE59E6" w:rsidRDefault="00AE59E6">
      <w:pPr>
        <w:overflowPunct/>
        <w:autoSpaceDE/>
        <w:autoSpaceDN/>
        <w:adjustRightInd/>
        <w:textAlignment w:val="auto"/>
        <w:rPr>
          <w:b/>
          <w:bCs/>
          <w:sz w:val="24"/>
          <w:szCs w:val="24"/>
        </w:rPr>
      </w:pPr>
    </w:p>
    <w:p w14:paraId="418DB551" w14:textId="77777777" w:rsidR="00AE59E6" w:rsidRDefault="00AE59E6">
      <w:pPr>
        <w:overflowPunct/>
        <w:autoSpaceDE/>
        <w:autoSpaceDN/>
        <w:adjustRightInd/>
        <w:textAlignment w:val="auto"/>
        <w:rPr>
          <w:b/>
          <w:bCs/>
          <w:sz w:val="24"/>
          <w:szCs w:val="24"/>
        </w:rPr>
      </w:pPr>
    </w:p>
    <w:p w14:paraId="4BB0FBF6" w14:textId="77777777" w:rsidR="00AE59E6" w:rsidRPr="00E676F7" w:rsidRDefault="00AE59E6">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1FC1915E" w14:textId="0E4190EE" w:rsidR="69F7424F" w:rsidRDefault="00A221AB" w:rsidP="00AE59E6">
      <w:pPr>
        <w:pStyle w:val="paragraph"/>
        <w:spacing w:before="0" w:beforeAutospacing="0" w:after="0" w:afterAutospacing="0"/>
        <w:rPr>
          <w:b/>
          <w:bCs/>
        </w:rPr>
      </w:pPr>
      <w:r w:rsidRPr="5CE196A1">
        <w:rPr>
          <w:rStyle w:val="eop"/>
          <w:rFonts w:ascii="Arial" w:hAnsi="Arial" w:cs="Arial"/>
          <w:color w:val="000000" w:themeColor="text1"/>
        </w:rPr>
        <w:t> </w:t>
      </w: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Default="530F4161" w:rsidP="0FF883D4">
      <w:pPr>
        <w:ind w:right="237"/>
        <w:jc w:val="both"/>
        <w:rPr>
          <w:b/>
          <w:bCs/>
          <w:sz w:val="24"/>
          <w:szCs w:val="24"/>
        </w:rPr>
      </w:pPr>
      <w:r w:rsidRPr="5CE196A1">
        <w:rPr>
          <w:b/>
          <w:bCs/>
          <w:sz w:val="24"/>
          <w:szCs w:val="24"/>
        </w:rPr>
        <w:t xml:space="preserve">Answer: </w:t>
      </w:r>
    </w:p>
    <w:p w14:paraId="33CB6878" w14:textId="77777777" w:rsidR="00D419E3" w:rsidRDefault="00D419E3" w:rsidP="00D419E3">
      <w:r>
        <w:t>In the following essay I shall be discussing a serious road traffic collision that I attended and the investigative steps that I took in an attempt to ascertain the cause of the collision. I shall also be considering and evaluating different ways and means that could be implemented to prevent future collisions from occurring. The incident that I shall be referencing and discussing involved the collision of one vehicle and a pedestrian. My involvement with this scene is that I was the initial attending officer and, until supervisors from the roads policing unit attended the scene, I, as the initial attending officer, was the scene manager.</w:t>
      </w:r>
    </w:p>
    <w:p w14:paraId="1D7392CC" w14:textId="77777777" w:rsidR="00D419E3" w:rsidRDefault="00D419E3" w:rsidP="00D419E3">
      <w:r>
        <w:tab/>
        <w:t xml:space="preserve">Upon attending the scene my initial consideration as a police officer was the preservation of life as this is one of the key roles of the police </w:t>
      </w:r>
      <w:r w:rsidRPr="008807AE">
        <w:t>(Tudor, 2023)</w:t>
      </w:r>
      <w:r>
        <w:t>. The action that I took immediately upon coming across the scene was to ensure that any approaching traffic was warned of the incident to prevent any further persons getting injured or becoming involved in the incident. I did this by illuminating the rear red and blue lights on my police vehicle immediately upon arrival at the scene to prevent any vehicles behind me from passing the scene. Further considerations were needed as this road traffic collision took place on a major road so other traffic would need to be diverted to prevent further delays. I coordinated this by communicating with other members of my team and the control room to get units positioned in strategic positions to stem the flow of traffic, using my local knowledge to place these units in the most effective positions.</w:t>
      </w:r>
    </w:p>
    <w:p w14:paraId="75D34F5B" w14:textId="77777777" w:rsidR="00D419E3" w:rsidRDefault="00D419E3" w:rsidP="00D419E3">
      <w:r>
        <w:tab/>
        <w:t xml:space="preserve">As my colleagues were positioning themselves to stem the flow of traffic, I approached the scene to ascertain if anyone involved was seriously injured considering my first aid training and performing a dynamic risk assessment to see who was injured and what medical aid I could render to </w:t>
      </w:r>
      <w:r>
        <w:lastRenderedPageBreak/>
        <w:t>them if necessary. In situations such as this, the ability to remain calm whilst conducting a dynamic risk assessment is an essential skill as the level of threat, risk and harm is not always known ahead of time so the dynamic risk assessment allowed me to assess risk in the changing situation as new information was being presented to me (HASpod, 2022). As I approached the scene I noticed that the road traffic collision had involved a pedestrian and a car, with the pedestrian lying down on his side and the driver of the vehicle sat out and at the side of the road. It was clear to me that the driver of the vehicle was unharmed and as such my priority was the pedestrian who was still in the road.</w:t>
      </w:r>
    </w:p>
    <w:p w14:paraId="46985F8D" w14:textId="77777777" w:rsidR="00D419E3" w:rsidRDefault="00D419E3" w:rsidP="00D419E3">
      <w:r>
        <w:tab/>
        <w:t>It was clear that this casualty was in need of medical assistance as he had a large cut on one of his legs that was bleeding profusely, his airways were fine and unaffected as he was communicating with me throughout the incident. I also noted that there was no other danger present that would put me in harm’s way, so I approached the casualty to administer aid, I did this by applying pressure to his wound and elevating it. Whilst I was assisting the casualty my colleague was contacting 999 to request an ambulance to attend the scene. Interoperability was key in this instance to prevent the casualty coming to further harm (Charman, 2013). It was imperative that I did not move the casualty as they could’ve suffered injuries to his neck or back that could have been made worse by moving him, so due to this, the casualty remained in the road until ambulance. Upon ambulance arrival, they took control of the casualty’s medical needs. During this time, supervisors from the roads policing team had attended the scene and took control of scene management. Once paramedics deemed it safe, they moved the casualty to their ambulance and the roads were re-opened to allow traffic to flow through. Officers also left their positions on major junctions, allowing traffic to flow freely.</w:t>
      </w:r>
    </w:p>
    <w:p w14:paraId="5E968A0C" w14:textId="77777777" w:rsidR="00D419E3" w:rsidRDefault="00D419E3" w:rsidP="00D419E3">
      <w:r>
        <w:tab/>
        <w:t xml:space="preserve">After they took control of scene management I approached the driver to get a first account from them. As there was no need for preservation of life to be a focal consideration, my focus shifted to investigation of any offences, as such, I requested a specimen of breath from the driver of the vehicle as they had been involved in a collision, and alcohol consumption is one of the leading causes of road traffic collisions and one of the major risk factors associated with them (Owen et al., 2019). The driver was under the drink drive limit, so no action was taken against them for that. Officers from the road policing unit also required a specimen of saliva for drug analysis from the driver due to them being involved in the collision. Driving under the influence of drugs is just as dangerous as driving whilst under the influence of alcohol and, like alcohol, is a leading cause of road traffic collisions (Wolff et al., 2013). As with the test for alcohol, the driver of the vehicle passed this test. Following this it wasn’t blatantly obvious what the cause of the collision was so more investigative steps were needed to be taken. </w:t>
      </w:r>
    </w:p>
    <w:p w14:paraId="503AE8CB" w14:textId="77777777" w:rsidR="00D419E3" w:rsidRDefault="00D419E3" w:rsidP="00D419E3">
      <w:r>
        <w:tab/>
        <w:t>There were some people who witnessed the collision that remained at the scene so I approached them as evidence and testimony from witnesses is critical in establishing details of what has caused the collision to take place, and if necessary, they are imperative in seeking a successful prosecution for dangerous driving or any other related offence which has caused the road traffic collision. Memory of events can fade quickly so it was imperative that accounts from these witnesses be taken in a timely manner so that the account was as accurate as possible (Horry et al., n.d.).  As time passes, people’s accounts can become clouded with their own memory of other events, or even things people have merely suggested to them about the incident they are giving an account on (Horry et al., 2014). There were numerous independent witnesses who provided statement and it transpired that the driver was driving up hill at significant speed with the sun in their eyes as the casualty was crossing the road, which may have resulted in the driver not being able to see the casualty, causing the collision. However, only few statements provided by witnesses at the scene would not be sufficient to prove an offence had been committed so it was important for myself and other officers at the scene to gather as much evidence as possible. In order together supporting evidence, myself and my colleagues conducted house to house enquiries on the street where the road traffic collision took place to enquire if any residents had witnessed the incident and, if so, would they be willing to provide us with an account of what they had witnessed. Alongside their eye-witness account, I would also enquire as to whether they had a video doorbell camera which could have potentially captured this incident.</w:t>
      </w:r>
    </w:p>
    <w:p w14:paraId="7F0185F0" w14:textId="77777777" w:rsidR="00D419E3" w:rsidRDefault="00D419E3" w:rsidP="00D419E3">
      <w:r>
        <w:tab/>
        <w:t xml:space="preserve">The advent of video doorbells for policing has had an overwhelmingly positive impact, not only in terms of road traffic collisions but in all aspects. They operate as an always active security camera, constantly recording and capturing motion outside of the owner’s address and, on the whole, they are a generally inexpensive product. Footage from these cameras gets automatically downloaded to people’s electronic devices and as such is incredibly user friendly and accessible to both the owners, and, for the purposes of detecting and preventing crimes, to the police (Ennis et al., 2016). People are then able to get the footage in a format which is then sent to police to assist in the progression of the investigation. In the incident that I am discussing, there was no such footage available and many of the residents that I spoke to had only come outside of their property after the </w:t>
      </w:r>
      <w:r>
        <w:lastRenderedPageBreak/>
        <w:t>heard the collision and only saw the after effect of the collision. As such, evidentially there was not a great deal for myself and my colleagues to work off of. As I previously mentioned, the eye witness testimony of pedestrians at the scene were the strongest evidence we had, and by collecting multiple corroborating accounts it went to build a better picture. As I stated, it was imperative to the investigation that these accounts were taken then and there as facts and details about an incident can fade if they are left for considerable time (Yuille and Cutshall, 1986). This was the end of my involvement in this incident as this matter was progressed by the major collision investigation team.</w:t>
      </w:r>
    </w:p>
    <w:p w14:paraId="787C525A" w14:textId="77777777" w:rsidR="00D419E3" w:rsidRDefault="00D419E3" w:rsidP="00D419E3">
      <w:r>
        <w:tab/>
        <w:t xml:space="preserve">There are many strategies that could be implemented in order to prevent incidents similar to this from occurring again. One of these is knows as traffic calming. This is the implementation of different methods to reduce the speed of traffic, particularly used in areas where road traffic collisions are most prevalent. These can range from speed bumps in the road, forcing drivers to slow down to an acceptable and appropriate speed to chicanes and diversions in the road, causing drivers to slow down to compensate for the change in direction. Their ultimate aim is to reduce the number of road traffic collisions occurring, and the severity of them as and when they do occur </w:t>
      </w:r>
      <w:r w:rsidRPr="00987171">
        <w:t>(Gonzalo-Orden et al., 2016)</w:t>
      </w:r>
      <w:r>
        <w:t>. These methods have shown to be effective as injury rates have been shown to drop drastically in both most deprived and least deprived areas after traffic calming measures have been introduced, especially amongst groups of the most vulnerable road users such as children (Johns et al., 2005). Alongside this, studies also show that reduced speeds are a key factor to reducing the number and severity of road traffic collisions. By reducing speed limits by approximately 20km/h, the chances of getting a moderate to fatal injury reduced by 25% (Isaksson-Hellman and Toreki 2019). The lower impact speeds are also helped in reducing severity and amount of injury by the greater reaction time afforded to drivers by travelling at lower speeds (Tornros, 1995).  As these studies show, speed appears to be one of, if not the greatest factors that affects the severity and numbers of road traffic collisions, and by educating people about the dangers of travelling at high speed and by altering speed limits on certain roads to a lower safer level, the amount of serious road traffic collisions will be reduced.</w:t>
      </w:r>
    </w:p>
    <w:p w14:paraId="547044CC" w14:textId="77777777" w:rsidR="00D419E3" w:rsidRDefault="00D419E3" w:rsidP="00D419E3">
      <w:pPr>
        <w:ind w:firstLine="720"/>
      </w:pPr>
      <w:r>
        <w:t>This change to speed limits and potential positive impact is, however, dependant on people who use the roads obeying and adhering to these new speed limits. Studies show that while there may be support for these new lower speed limits, this may not be translating to people driving in accordance with them (Tapp et AL., 2016). As such, reduced speed limits may not be as effective as some of the initial studies suggest that they may be.</w:t>
      </w:r>
    </w:p>
    <w:p w14:paraId="720C3AEB" w14:textId="77777777" w:rsidR="00D419E3" w:rsidRDefault="00D419E3" w:rsidP="00D419E3">
      <w:pPr>
        <w:ind w:firstLine="720"/>
      </w:pPr>
      <w:r>
        <w:t>In conclusion, when dealing with the serious collision myself and my colleagues did not have a strong evidential basis to begin with, however, by conferring with eyewitnesses, and gathering independent statements it greatly supported our efforts in gathering a stronger evidential basis. As stated it was imperative to gather these statements independent of each other so that they witnesses were not influenced by hearing other’s accounts of the incident and as such, being influenced by them (Otgarr et al., 2023). However, due to there being numerous supporting witness statements providing almost identical account I would suggest that the evidence basis was strong. Traffic calming measures in reducing road traffic collisions seem to be an incredibly useful approach garnering support from the public, however, it will also require that same public to adhere to those rules for them to be truly effective, and if people do not adhere to these, it could put a greater pressure of emergency services to tackle those breaking the rules and the resultant collisions that occur.</w:t>
      </w:r>
    </w:p>
    <w:p w14:paraId="35986E47" w14:textId="77777777" w:rsidR="00D419E3" w:rsidRDefault="00D419E3" w:rsidP="0FF883D4">
      <w:pPr>
        <w:ind w:right="237"/>
        <w:jc w:val="both"/>
        <w:rPr>
          <w:b/>
          <w:bCs/>
          <w:sz w:val="24"/>
          <w:szCs w:val="24"/>
        </w:rPr>
      </w:pPr>
    </w:p>
    <w:p w14:paraId="368107B3" w14:textId="519847E3" w:rsidR="00D419E3" w:rsidRPr="00E676F7" w:rsidRDefault="00D419E3" w:rsidP="0FF883D4">
      <w:pPr>
        <w:ind w:right="237"/>
        <w:jc w:val="both"/>
        <w:rPr>
          <w:b/>
          <w:bCs/>
          <w:sz w:val="24"/>
          <w:szCs w:val="24"/>
        </w:rPr>
      </w:pPr>
      <w:r>
        <w:rPr>
          <w:b/>
          <w:bCs/>
          <w:sz w:val="24"/>
          <w:szCs w:val="24"/>
        </w:rPr>
        <w:t>Word Count: 1986</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060BF69" w14:textId="2419FEE7" w:rsidR="00D419E3" w:rsidRDefault="00D419E3" w:rsidP="00EA28F1">
      <w:pPr>
        <w:keepNext/>
        <w:spacing w:before="240" w:after="60"/>
        <w:ind w:right="237"/>
        <w:jc w:val="both"/>
        <w:rPr>
          <w:rFonts w:ascii="Times New Roman" w:hAnsi="Times New Roman" w:cs="Times New Roman"/>
          <w:sz w:val="24"/>
          <w:szCs w:val="24"/>
        </w:rPr>
      </w:pPr>
      <w:r w:rsidRPr="00D419E3">
        <w:rPr>
          <w:rFonts w:ascii="Times New Roman" w:hAnsi="Times New Roman" w:cs="Times New Roman"/>
          <w:sz w:val="24"/>
          <w:szCs w:val="24"/>
        </w:rPr>
        <w:t>Bartkowiak-Theron, I. and Asquith, N. 2019. Policing vulnerable people. [Accessed: 13 November 2023].</w:t>
      </w:r>
    </w:p>
    <w:p w14:paraId="2D3AF0B1" w14:textId="218462BE" w:rsidR="00D419E3"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Charman, S. (2013). Blue light communities: cultural interoperability and shared learning between ambulance staff and police officers in emergency response. pp.102–199.</w:t>
      </w:r>
    </w:p>
    <w:p w14:paraId="0B5251A5" w14:textId="35A59F39"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Ennis, A., Cleland, I., Patterson, T., Nugent, C., Cruciani, F., Paggetti, C., Morrison, G., Taylor, R. (2016). Doorstep: A doorbell security system for the prevention of doorstep crime. In: 2016 38th Annual International Conference of the IEEE Engineering in Medicine and Biology Society (EMBC). IEEE.</w:t>
      </w:r>
    </w:p>
    <w:p w14:paraId="2B1BBDFC" w14:textId="054AF3E3"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Gonzalo-Orden, H., Rojo, M., Perez-Acebo, H. and Linares, A. (2016). Traffic Calming Measures and their Effect on the Variation of Speed. 18, pp.349–356.</w:t>
      </w:r>
    </w:p>
    <w:p w14:paraId="1B1EA7E7" w14:textId="08626139"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Goodman-Delahunty, J., Martschuk, N., Hale, S. and Brandon, S. (2020). Interpreted Police Interviews: A Review of Contemporary Research. 1st ed. Springer, pp.83–136.</w:t>
      </w:r>
    </w:p>
    <w:p w14:paraId="62058688" w14:textId="049A29D5"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Grove, L., Farrell, G., Farrington, D. and Johnson, S. (2012). Preventing Repeat Victimisation: A Systematic Review. bra.</w:t>
      </w:r>
    </w:p>
    <w:p w14:paraId="1DCBA4D1" w14:textId="0622ADE8"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HASpod (2022). The Dynamic Risk Assessment And When To Use It.</w:t>
      </w:r>
    </w:p>
    <w:p w14:paraId="23FBAEBD" w14:textId="7DCBBA33"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Horry, R., Colton, L.-M., &amp; Williamson, P. (2014). Confidence-accuracy resolution in the misinformation paradigm is influenced by the availability of source cues. Acta Psychologica, 151, 164-173</w:t>
      </w:r>
    </w:p>
    <w:p w14:paraId="5EFE7A71" w14:textId="2ACDAAA5"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 xml:space="preserve">Horry, R., Hughes, C., Hope, L. and Gabbert, F. (n.d.). The Self-Administered Interview for Road Traffic Collisions Capturing best evidence from witnesses to serious road traffic collisions: A field trial of the Self-Administered Interview for Road Traffic Collisions Final report for the Road Safety Trust. [online] Available at: </w:t>
      </w:r>
      <w:hyperlink r:id="rId16" w:history="1">
        <w:r w:rsidRPr="0051147C">
          <w:rPr>
            <w:rStyle w:val="Hyperlink"/>
            <w:rFonts w:ascii="Times New Roman" w:hAnsi="Times New Roman" w:cs="Times New Roman"/>
            <w:sz w:val="24"/>
            <w:szCs w:val="24"/>
          </w:rPr>
          <w:t>https://static1.squarespace.com/static/61d570b3a2957b5f755587d2/t/626957d30d13d3686e5b61f6/1651070934512/SAI-RTC%2BFinal%2BReport%2BMarch%2B2022.pdf</w:t>
        </w:r>
      </w:hyperlink>
    </w:p>
    <w:p w14:paraId="03D99CD2" w14:textId="2942EB70"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Howes, L. (2018). Community interpreters’ experiences of police investigative interviews: how might interpreters’ insights contribute to enhanced procedural justice? pp.887-905.</w:t>
      </w:r>
    </w:p>
    <w:p w14:paraId="57A55EA4" w14:textId="06D5E414"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Isaksson-Hellman, I. and Toreki, J. (2019). The effect of speed limit reductions in urban areas on cyclists’ injuries in collisions with cars. Traffic Injury prevention, 20, pp.39–44.</w:t>
      </w:r>
    </w:p>
    <w:p w14:paraId="2B8FA9AC" w14:textId="1DF1B9F9"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Johns, S., Lyons, R., John, A. and Palmer, S. (2005). Traffic calming policy can reduce inequalities in child pedestrian injuries: database study. 11(3).</w:t>
      </w:r>
    </w:p>
    <w:p w14:paraId="3BB6D5F2" w14:textId="5BD72FFB"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MacPherson, C (2001) “The Youth Justice and Criminal Evidence Act 1999: achieving best evidence?” Vol. 41 No. 2</w:t>
      </w:r>
    </w:p>
    <w:p w14:paraId="5AAA7429" w14:textId="156F1A53"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Medford, S., Gudjonsson, G. and Pearse, J. (2010). The efficacy of the appropriate adult safeguard during police interviewing. pp.253–266.</w:t>
      </w:r>
    </w:p>
    <w:p w14:paraId="4C2F1D1A" w14:textId="76AA6644"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Office for National Statistics, Crime in England and Wales: Annual supplementary tables, Table S4, accessed 3 March 2021.</w:t>
      </w:r>
    </w:p>
    <w:p w14:paraId="17E76D18" w14:textId="77777777" w:rsidR="00267F7A" w:rsidRDefault="00267F7A" w:rsidP="00267F7A">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Otgaar, H., Mangiulli, I., Battista, F. and Howe, M.L. (2023). External and internal influences yield similar memory effects: the role of deception and suggestion. Frontiers in Psychology, 14. doi:https://doi.org/10.3389/fpsyg.2023.1081528.</w:t>
      </w:r>
    </w:p>
    <w:p w14:paraId="27F8586A" w14:textId="15C09381" w:rsidR="00267F7A" w:rsidRDefault="00267F7A" w:rsidP="00267F7A">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Owen, R., Ursachi, G., Fosdick, T. and Horodnic, A. (2019). Driving while impaired by alcohol: An analysis of drink-drivers involved in UK collisions. pp.453–459.</w:t>
      </w:r>
    </w:p>
    <w:p w14:paraId="29C9FFDA" w14:textId="6AA7C6E8"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Schneider, S. (1998). Overcoming barriers to communication between police and socially disadvantaged neighbourhoods: a critical theory of community policing. p.347.</w:t>
      </w:r>
    </w:p>
    <w:p w14:paraId="1271FA38" w14:textId="61BF1D05"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SooHyun O and others. (2017). 'How concentrated is crime among victims? A systematic review from 1977 to 2014'. Crime Science, 6(1), 9.</w:t>
      </w:r>
    </w:p>
    <w:p w14:paraId="367B7BCE" w14:textId="625D3215"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Standford, S 2012, ‘Critically Reflecting on being 'at Risk' and 'a Risk' in Vulnerable People Policing’, in Bartkowiak-Théron, &amp; N.L. Asquith, (eds), Policing Vulnerability, pp. 20-32. Federation Press: Annandale</w:t>
      </w:r>
    </w:p>
    <w:p w14:paraId="3E89E874" w14:textId="0F5C19D1"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Tapp, A., Nancarrow, C., Davies, A. and Jones, S. (2016). Vicious or virtuous circles? Exploring the vulnerability of drivers to break low urban speed limits. Transportation Research Part A: Policy and Practice, 91, pp.195–212.</w:t>
      </w:r>
    </w:p>
    <w:p w14:paraId="7A021234" w14:textId="199573C6"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Tornros, J. (1995). Effect of driving speed on reaction time during motorway driving. Accident Analysis &amp; Prevention, 27(4), pp.435–442.</w:t>
      </w:r>
    </w:p>
    <w:p w14:paraId="2C789876" w14:textId="1C59C3D7" w:rsidR="00DA3B5E" w:rsidRDefault="00DA3B5E" w:rsidP="00EA28F1">
      <w:pPr>
        <w:keepNext/>
        <w:spacing w:before="240" w:after="60"/>
        <w:ind w:right="237"/>
        <w:jc w:val="both"/>
        <w:rPr>
          <w:rFonts w:ascii="Times New Roman" w:hAnsi="Times New Roman" w:cs="Times New Roman"/>
          <w:sz w:val="24"/>
          <w:szCs w:val="24"/>
        </w:rPr>
      </w:pPr>
      <w:r w:rsidRPr="00DA3B5E">
        <w:rPr>
          <w:rFonts w:ascii="Times New Roman" w:hAnsi="Times New Roman" w:cs="Times New Roman"/>
          <w:sz w:val="24"/>
          <w:szCs w:val="24"/>
        </w:rPr>
        <w:t xml:space="preserve">Westera, N.J., Kebbell, M.R. and Milne, B. (2011), "Interviewing witnesses: do investigative and evidential requirements concur?", The British Journal of Forensic Practice, Vol. 13 No. 2, pp. 103-113. </w:t>
      </w:r>
      <w:hyperlink r:id="rId17" w:history="1">
        <w:r w:rsidRPr="0051147C">
          <w:rPr>
            <w:rStyle w:val="Hyperlink"/>
            <w:rFonts w:ascii="Times New Roman" w:hAnsi="Times New Roman" w:cs="Times New Roman"/>
            <w:sz w:val="24"/>
            <w:szCs w:val="24"/>
          </w:rPr>
          <w:t>https://doi.org/10.1108/14636641111134341</w:t>
        </w:r>
      </w:hyperlink>
    </w:p>
    <w:p w14:paraId="7F260D3A" w14:textId="0D518EB7" w:rsidR="00DA3B5E" w:rsidRDefault="00DA3B5E" w:rsidP="00EA28F1">
      <w:pPr>
        <w:keepNext/>
        <w:spacing w:before="240" w:after="60"/>
        <w:ind w:right="237"/>
        <w:jc w:val="both"/>
        <w:rPr>
          <w:rFonts w:ascii="Times New Roman" w:hAnsi="Times New Roman" w:cs="Times New Roman"/>
          <w:sz w:val="24"/>
          <w:szCs w:val="24"/>
        </w:rPr>
      </w:pPr>
      <w:r w:rsidRPr="00DA3B5E">
        <w:rPr>
          <w:rFonts w:ascii="Times New Roman" w:hAnsi="Times New Roman" w:cs="Times New Roman"/>
          <w:sz w:val="24"/>
          <w:szCs w:val="24"/>
        </w:rPr>
        <w:lastRenderedPageBreak/>
        <w:t>Wolff, K., Brimblecombe, R., Forfar, J., Forrest, A., Gilvarry, E., Johnston, A., Morgan, J., Osselton, M., Read, L. and Taylor, D. (2013). DRIVING UNDER THE INFLUENCE OF DRUGS Report from the Expert Panel on Drug Driving. [online] Available at: https://assets.publishing.service.gov.uk/media/5a7a560d40f0b66a2fc019bc/drug-driving-expert-panel-report.pdf.</w:t>
      </w:r>
    </w:p>
    <w:p w14:paraId="6A882F6F" w14:textId="44D5BD8D"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Tudor, S. (2023). Police standards and culture: Restoring public trust.</w:t>
      </w:r>
    </w:p>
    <w:p w14:paraId="358BEAA5" w14:textId="7DCB6096" w:rsidR="00267F7A" w:rsidRDefault="00267F7A" w:rsidP="00EA28F1">
      <w:pPr>
        <w:keepNext/>
        <w:spacing w:before="240" w:after="60"/>
        <w:ind w:right="237"/>
        <w:jc w:val="both"/>
        <w:rPr>
          <w:rFonts w:ascii="Times New Roman" w:hAnsi="Times New Roman" w:cs="Times New Roman"/>
          <w:sz w:val="24"/>
          <w:szCs w:val="24"/>
        </w:rPr>
      </w:pPr>
      <w:r w:rsidRPr="00267F7A">
        <w:rPr>
          <w:rFonts w:ascii="Times New Roman" w:hAnsi="Times New Roman" w:cs="Times New Roman"/>
          <w:sz w:val="24"/>
          <w:szCs w:val="24"/>
        </w:rPr>
        <w:t>Youth Justice and Criminal Evidence Act 1999, S.1</w:t>
      </w:r>
      <w:r w:rsidR="00DA3B5E">
        <w:rPr>
          <w:rFonts w:ascii="Times New Roman" w:hAnsi="Times New Roman" w:cs="Times New Roman"/>
          <w:sz w:val="24"/>
          <w:szCs w:val="24"/>
        </w:rPr>
        <w:t>7</w:t>
      </w:r>
    </w:p>
    <w:p w14:paraId="6D3DFEB0" w14:textId="1871D105" w:rsidR="00DA3B5E" w:rsidRDefault="00DA3B5E" w:rsidP="00EA28F1">
      <w:pPr>
        <w:keepNext/>
        <w:spacing w:before="240" w:after="60"/>
        <w:ind w:right="237"/>
        <w:jc w:val="both"/>
        <w:rPr>
          <w:rFonts w:ascii="Times New Roman" w:hAnsi="Times New Roman" w:cs="Times New Roman"/>
          <w:sz w:val="24"/>
          <w:szCs w:val="24"/>
        </w:rPr>
      </w:pPr>
      <w:r w:rsidRPr="00DA3B5E">
        <w:rPr>
          <w:rFonts w:ascii="Times New Roman" w:hAnsi="Times New Roman" w:cs="Times New Roman"/>
          <w:sz w:val="24"/>
          <w:szCs w:val="24"/>
        </w:rPr>
        <w:t>Yuille, J. C., &amp; Cutshall, J. L. (1986). A case study of eyewitness memory of a crime. Journal of Applied Psychology, 71(2), 291–301. https://doi.org/10.1037/0021-9010.71.2.291</w:t>
      </w:r>
    </w:p>
    <w:p w14:paraId="6D1DBF5B" w14:textId="77777777" w:rsidR="00267F7A" w:rsidRPr="00D419E3" w:rsidRDefault="00267F7A" w:rsidP="00EA28F1">
      <w:pPr>
        <w:keepNext/>
        <w:spacing w:before="240" w:after="60"/>
        <w:ind w:right="237"/>
        <w:jc w:val="both"/>
        <w:rPr>
          <w:rFonts w:ascii="Times New Roman" w:hAnsi="Times New Roman" w:cs="Times New Roman"/>
          <w:sz w:val="24"/>
          <w:szCs w:val="24"/>
        </w:rPr>
      </w:pPr>
    </w:p>
    <w:sectPr w:rsidR="00267F7A" w:rsidRPr="00D419E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2A9BB" w14:textId="77777777" w:rsidR="009E7AB2" w:rsidRDefault="009E7AB2">
      <w:r>
        <w:separator/>
      </w:r>
    </w:p>
  </w:endnote>
  <w:endnote w:type="continuationSeparator" w:id="0">
    <w:p w14:paraId="435A1FF5" w14:textId="77777777" w:rsidR="009E7AB2" w:rsidRDefault="009E7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C4E61" w14:textId="77777777" w:rsidR="009E7AB2" w:rsidRDefault="009E7AB2">
      <w:r>
        <w:separator/>
      </w:r>
    </w:p>
  </w:footnote>
  <w:footnote w:type="continuationSeparator" w:id="0">
    <w:p w14:paraId="7435E6E5" w14:textId="77777777" w:rsidR="009E7AB2" w:rsidRDefault="009E7AB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08C4166"/>
    <w:lvl w:ilvl="0" w:tplc="5D82DC06">
      <w:start w:val="1"/>
      <w:numFmt w:val="decimal"/>
      <w:lvlText w:val="%1."/>
      <w:lvlJc w:val="left"/>
      <w:pPr>
        <w:ind w:left="720" w:hanging="360"/>
      </w:pPr>
    </w:lvl>
    <w:lvl w:ilvl="1" w:tplc="69BE3206">
      <w:start w:val="1"/>
      <w:numFmt w:val="lowerLetter"/>
      <w:lvlText w:val="%2."/>
      <w:lvlJc w:val="left"/>
      <w:pPr>
        <w:ind w:left="1440" w:hanging="360"/>
      </w:pPr>
    </w:lvl>
    <w:lvl w:ilvl="2" w:tplc="56567EC4">
      <w:start w:val="1"/>
      <w:numFmt w:val="lowerRoman"/>
      <w:lvlText w:val="%3."/>
      <w:lvlJc w:val="right"/>
      <w:pPr>
        <w:ind w:left="2160" w:hanging="180"/>
      </w:pPr>
    </w:lvl>
    <w:lvl w:ilvl="3" w:tplc="C90C7C32">
      <w:start w:val="1"/>
      <w:numFmt w:val="decimal"/>
      <w:lvlText w:val="%4."/>
      <w:lvlJc w:val="left"/>
      <w:pPr>
        <w:ind w:left="2880" w:hanging="360"/>
      </w:pPr>
    </w:lvl>
    <w:lvl w:ilvl="4" w:tplc="246CC8F0">
      <w:start w:val="1"/>
      <w:numFmt w:val="lowerLetter"/>
      <w:lvlText w:val="%5."/>
      <w:lvlJc w:val="left"/>
      <w:pPr>
        <w:ind w:left="3600" w:hanging="360"/>
      </w:pPr>
    </w:lvl>
    <w:lvl w:ilvl="5" w:tplc="56B8432A">
      <w:start w:val="1"/>
      <w:numFmt w:val="lowerRoman"/>
      <w:lvlText w:val="%6."/>
      <w:lvlJc w:val="right"/>
      <w:pPr>
        <w:ind w:left="4320" w:hanging="180"/>
      </w:pPr>
    </w:lvl>
    <w:lvl w:ilvl="6" w:tplc="03FE8FF4">
      <w:start w:val="1"/>
      <w:numFmt w:val="decimal"/>
      <w:lvlText w:val="%7."/>
      <w:lvlJc w:val="left"/>
      <w:pPr>
        <w:ind w:left="5040" w:hanging="360"/>
      </w:pPr>
    </w:lvl>
    <w:lvl w:ilvl="7" w:tplc="2662F302">
      <w:start w:val="1"/>
      <w:numFmt w:val="lowerLetter"/>
      <w:lvlText w:val="%8."/>
      <w:lvlJc w:val="left"/>
      <w:pPr>
        <w:ind w:left="5760" w:hanging="360"/>
      </w:pPr>
    </w:lvl>
    <w:lvl w:ilvl="8" w:tplc="13B096D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AC18AD2C"/>
    <w:lvl w:ilvl="0" w:tplc="E0CA3288">
      <w:start w:val="1"/>
      <w:numFmt w:val="decimal"/>
      <w:lvlText w:val="%1."/>
      <w:lvlJc w:val="left"/>
      <w:pPr>
        <w:ind w:left="720" w:hanging="360"/>
      </w:pPr>
    </w:lvl>
    <w:lvl w:ilvl="1" w:tplc="0AA46FC8">
      <w:start w:val="1"/>
      <w:numFmt w:val="decimal"/>
      <w:lvlText w:val="%2."/>
      <w:lvlJc w:val="left"/>
      <w:pPr>
        <w:ind w:left="1440" w:hanging="360"/>
      </w:pPr>
    </w:lvl>
    <w:lvl w:ilvl="2" w:tplc="A6744744">
      <w:start w:val="1"/>
      <w:numFmt w:val="lowerRoman"/>
      <w:lvlText w:val="%3."/>
      <w:lvlJc w:val="right"/>
      <w:pPr>
        <w:ind w:left="2160" w:hanging="180"/>
      </w:pPr>
    </w:lvl>
    <w:lvl w:ilvl="3" w:tplc="8C58809C">
      <w:start w:val="1"/>
      <w:numFmt w:val="decimal"/>
      <w:lvlText w:val="%4."/>
      <w:lvlJc w:val="left"/>
      <w:pPr>
        <w:ind w:left="2880" w:hanging="360"/>
      </w:pPr>
    </w:lvl>
    <w:lvl w:ilvl="4" w:tplc="6EB47F0A">
      <w:start w:val="1"/>
      <w:numFmt w:val="lowerLetter"/>
      <w:lvlText w:val="%5."/>
      <w:lvlJc w:val="left"/>
      <w:pPr>
        <w:ind w:left="3600" w:hanging="360"/>
      </w:pPr>
    </w:lvl>
    <w:lvl w:ilvl="5" w:tplc="13E48534">
      <w:start w:val="1"/>
      <w:numFmt w:val="lowerRoman"/>
      <w:lvlText w:val="%6."/>
      <w:lvlJc w:val="right"/>
      <w:pPr>
        <w:ind w:left="4320" w:hanging="180"/>
      </w:pPr>
    </w:lvl>
    <w:lvl w:ilvl="6" w:tplc="9E8ABFF4">
      <w:start w:val="1"/>
      <w:numFmt w:val="decimal"/>
      <w:lvlText w:val="%7."/>
      <w:lvlJc w:val="left"/>
      <w:pPr>
        <w:ind w:left="5040" w:hanging="360"/>
      </w:pPr>
    </w:lvl>
    <w:lvl w:ilvl="7" w:tplc="961AF9A6">
      <w:start w:val="1"/>
      <w:numFmt w:val="lowerLetter"/>
      <w:lvlText w:val="%8."/>
      <w:lvlJc w:val="left"/>
      <w:pPr>
        <w:ind w:left="5760" w:hanging="360"/>
      </w:pPr>
    </w:lvl>
    <w:lvl w:ilvl="8" w:tplc="F67CB7E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2286065">
    <w:abstractNumId w:val="47"/>
  </w:num>
  <w:num w:numId="2" w16cid:durableId="1558203455">
    <w:abstractNumId w:val="10"/>
  </w:num>
  <w:num w:numId="3" w16cid:durableId="740755662">
    <w:abstractNumId w:val="1"/>
    <w:lvlOverride w:ilvl="0">
      <w:lvl w:ilvl="0">
        <w:start w:val="1"/>
        <w:numFmt w:val="bullet"/>
        <w:lvlText w:val=""/>
        <w:lvlJc w:val="left"/>
        <w:pPr>
          <w:ind w:left="720" w:hanging="360"/>
        </w:pPr>
        <w:rPr>
          <w:rFonts w:ascii="Symbol" w:hAnsi="Symbol" w:hint="default"/>
        </w:rPr>
      </w:lvl>
    </w:lvlOverride>
  </w:num>
  <w:num w:numId="4" w16cid:durableId="373042607">
    <w:abstractNumId w:val="22"/>
  </w:num>
  <w:num w:numId="5" w16cid:durableId="1724718234">
    <w:abstractNumId w:val="44"/>
  </w:num>
  <w:num w:numId="6" w16cid:durableId="1353994905">
    <w:abstractNumId w:val="46"/>
  </w:num>
  <w:num w:numId="7" w16cid:durableId="1123883226">
    <w:abstractNumId w:val="34"/>
  </w:num>
  <w:num w:numId="8" w16cid:durableId="86578389">
    <w:abstractNumId w:val="32"/>
  </w:num>
  <w:num w:numId="9" w16cid:durableId="1938245889">
    <w:abstractNumId w:val="29"/>
  </w:num>
  <w:num w:numId="10" w16cid:durableId="748892731">
    <w:abstractNumId w:val="30"/>
  </w:num>
  <w:num w:numId="11" w16cid:durableId="314532263">
    <w:abstractNumId w:val="9"/>
  </w:num>
  <w:num w:numId="12" w16cid:durableId="1474591613">
    <w:abstractNumId w:val="33"/>
  </w:num>
  <w:num w:numId="13" w16cid:durableId="627203377">
    <w:abstractNumId w:val="17"/>
  </w:num>
  <w:num w:numId="14" w16cid:durableId="893004426">
    <w:abstractNumId w:val="16"/>
  </w:num>
  <w:num w:numId="15" w16cid:durableId="760956764">
    <w:abstractNumId w:val="26"/>
  </w:num>
  <w:num w:numId="16" w16cid:durableId="720982735">
    <w:abstractNumId w:val="7"/>
  </w:num>
  <w:num w:numId="17" w16cid:durableId="504324234">
    <w:abstractNumId w:val="25"/>
  </w:num>
  <w:num w:numId="18" w16cid:durableId="1858351510">
    <w:abstractNumId w:val="15"/>
  </w:num>
  <w:num w:numId="19" w16cid:durableId="1617518326">
    <w:abstractNumId w:val="13"/>
  </w:num>
  <w:num w:numId="20" w16cid:durableId="5743895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43442519">
    <w:abstractNumId w:val="23"/>
  </w:num>
  <w:num w:numId="22" w16cid:durableId="308903120">
    <w:abstractNumId w:val="18"/>
  </w:num>
  <w:num w:numId="23" w16cid:durableId="1803771886">
    <w:abstractNumId w:val="14"/>
  </w:num>
  <w:num w:numId="24" w16cid:durableId="1384787544">
    <w:abstractNumId w:val="11"/>
  </w:num>
  <w:num w:numId="25" w16cid:durableId="1400011305">
    <w:abstractNumId w:val="27"/>
  </w:num>
  <w:num w:numId="26" w16cid:durableId="1003122080">
    <w:abstractNumId w:val="19"/>
  </w:num>
  <w:num w:numId="27" w16cid:durableId="720054741">
    <w:abstractNumId w:val="40"/>
  </w:num>
  <w:num w:numId="28" w16cid:durableId="517348536">
    <w:abstractNumId w:val="35"/>
  </w:num>
  <w:num w:numId="29" w16cid:durableId="1615940744">
    <w:abstractNumId w:val="39"/>
  </w:num>
  <w:num w:numId="30" w16cid:durableId="935022471">
    <w:abstractNumId w:val="20"/>
  </w:num>
  <w:num w:numId="31" w16cid:durableId="1255700829">
    <w:abstractNumId w:val="42"/>
  </w:num>
  <w:num w:numId="32" w16cid:durableId="518471747">
    <w:abstractNumId w:val="31"/>
  </w:num>
  <w:num w:numId="33" w16cid:durableId="146635665">
    <w:abstractNumId w:val="12"/>
  </w:num>
  <w:num w:numId="34" w16cid:durableId="1642540701">
    <w:abstractNumId w:val="43"/>
  </w:num>
  <w:num w:numId="35" w16cid:durableId="1128427747">
    <w:abstractNumId w:val="38"/>
  </w:num>
  <w:num w:numId="36" w16cid:durableId="107745369">
    <w:abstractNumId w:val="4"/>
  </w:num>
  <w:num w:numId="37" w16cid:durableId="1590498890">
    <w:abstractNumId w:val="45"/>
  </w:num>
  <w:num w:numId="38" w16cid:durableId="397091057">
    <w:abstractNumId w:val="41"/>
  </w:num>
  <w:num w:numId="39" w16cid:durableId="1044252577">
    <w:abstractNumId w:val="36"/>
  </w:num>
  <w:num w:numId="40" w16cid:durableId="1861041370">
    <w:abstractNumId w:val="37"/>
  </w:num>
  <w:num w:numId="41" w16cid:durableId="1408267007">
    <w:abstractNumId w:val="3"/>
  </w:num>
  <w:num w:numId="42" w16cid:durableId="188109522">
    <w:abstractNumId w:val="5"/>
  </w:num>
  <w:num w:numId="43" w16cid:durableId="501043481">
    <w:abstractNumId w:val="24"/>
  </w:num>
  <w:num w:numId="44" w16cid:durableId="1175343538">
    <w:abstractNumId w:val="6"/>
  </w:num>
  <w:num w:numId="45" w16cid:durableId="1885751736">
    <w:abstractNumId w:val="2"/>
  </w:num>
  <w:num w:numId="46" w16cid:durableId="1609892950">
    <w:abstractNumId w:val="0"/>
  </w:num>
  <w:num w:numId="47" w16cid:durableId="171720525">
    <w:abstractNumId w:val="21"/>
  </w:num>
  <w:num w:numId="48" w16cid:durableId="1294365971">
    <w:abstractNumId w:val="28"/>
  </w:num>
  <w:num w:numId="49" w16cid:durableId="206132541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76C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67F7A"/>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36AE"/>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1FE"/>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5822"/>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75C6"/>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4C2E"/>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7AB2"/>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59E6"/>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19E3"/>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3B5E"/>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267F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08/14636641111134341" TargetMode="External"/><Relationship Id="rId2" Type="http://schemas.openxmlformats.org/officeDocument/2006/relationships/customXml" Target="../customXml/item2.xml"/><Relationship Id="rId16" Type="http://schemas.openxmlformats.org/officeDocument/2006/relationships/hyperlink" Target="https://static1.squarespace.com/static/61d570b3a2957b5f755587d2/t/626957d30d13d3686e5b61f6/1651070934512/SAI-RTC%2BFinal%2BReport%2BMarch%2B2022.pdf"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6121</Words>
  <Characters>34892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Union,Iestyn swp8346</cp:lastModifiedBy>
  <cp:revision>3</cp:revision>
  <cp:lastPrinted>2014-08-26T08:55:00Z</cp:lastPrinted>
  <dcterms:created xsi:type="dcterms:W3CDTF">2024-01-16T18:06:00Z</dcterms:created>
  <dcterms:modified xsi:type="dcterms:W3CDTF">2024-01-16T18:07:00Z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2023-09-14T16:04:35Z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34c5c95d-4c4b-4658-bc30-6f4595f88d2c</vt:lpwstr>
  </property>
  <property fmtid="{D5CDD505-2E9C-101B-9397-08002B2CF9AE}" pid="9" name="MSIP_Label_66cf8fe5-b7b7-4df7-b38d-1c61ac2f6639_ContentBits">
    <vt:lpwstr>0</vt:lpwstr>
  </property>
</Properties>
</file>