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56EBD6" w14:textId="77777777" w:rsidR="00CA4BE2" w:rsidRDefault="00CA4BE2">
      <w:pPr>
        <w:jc w:val="center"/>
        <w:rPr>
          <w:b/>
          <w:bCs/>
          <w:sz w:val="32"/>
          <w:szCs w:val="32"/>
        </w:rPr>
      </w:pPr>
    </w:p>
    <w:p w14:paraId="66A21B13" w14:textId="77777777" w:rsidR="00CA4BE2" w:rsidRDefault="00CA4BE2">
      <w:pPr>
        <w:jc w:val="center"/>
        <w:rPr>
          <w:b/>
          <w:bCs/>
          <w:sz w:val="32"/>
          <w:szCs w:val="32"/>
        </w:rPr>
      </w:pPr>
    </w:p>
    <w:p w14:paraId="73F599CA" w14:textId="77777777" w:rsidR="00CA4BE2" w:rsidRDefault="00CA4BE2">
      <w:pPr>
        <w:jc w:val="center"/>
        <w:rPr>
          <w:b/>
          <w:bCs/>
          <w:sz w:val="32"/>
          <w:szCs w:val="32"/>
        </w:rPr>
      </w:pPr>
    </w:p>
    <w:p w14:paraId="3019DE2F" w14:textId="77777777" w:rsidR="00CA4BE2" w:rsidRDefault="00CA4BE2">
      <w:pPr>
        <w:jc w:val="center"/>
        <w:rPr>
          <w:b/>
          <w:bCs/>
          <w:sz w:val="32"/>
          <w:szCs w:val="32"/>
        </w:rPr>
      </w:pPr>
    </w:p>
    <w:p w14:paraId="6B6D7807" w14:textId="77777777" w:rsidR="00CA4BE2" w:rsidRDefault="00CA4BE2">
      <w:pPr>
        <w:jc w:val="center"/>
        <w:rPr>
          <w:b/>
          <w:bCs/>
          <w:sz w:val="32"/>
          <w:szCs w:val="32"/>
        </w:rPr>
      </w:pPr>
    </w:p>
    <w:p w14:paraId="61A2A545" w14:textId="77777777" w:rsidR="00CA4BE2" w:rsidRDefault="00CA4BE2">
      <w:pPr>
        <w:jc w:val="center"/>
        <w:rPr>
          <w:b/>
          <w:bCs/>
          <w:sz w:val="32"/>
          <w:szCs w:val="32"/>
        </w:rPr>
      </w:pPr>
    </w:p>
    <w:p w14:paraId="37AB244E" w14:textId="77777777" w:rsidR="00CA4BE2" w:rsidRDefault="00000000">
      <w:pPr>
        <w:jc w:val="center"/>
        <w:rPr>
          <w:b/>
          <w:bCs/>
          <w:sz w:val="32"/>
          <w:szCs w:val="32"/>
        </w:rPr>
      </w:pPr>
      <w:r>
        <w:rPr>
          <w:b/>
          <w:bCs/>
          <w:sz w:val="32"/>
          <w:szCs w:val="32"/>
        </w:rPr>
        <w:t>Programme: Master of Business Administration</w:t>
      </w:r>
    </w:p>
    <w:p w14:paraId="3B9C8ED1" w14:textId="77777777" w:rsidR="00CA4BE2" w:rsidRDefault="00000000">
      <w:pPr>
        <w:jc w:val="center"/>
        <w:rPr>
          <w:b/>
          <w:bCs/>
          <w:sz w:val="32"/>
          <w:szCs w:val="32"/>
        </w:rPr>
      </w:pPr>
      <w:r>
        <w:rPr>
          <w:b/>
          <w:bCs/>
          <w:sz w:val="32"/>
          <w:szCs w:val="32"/>
        </w:rPr>
        <w:t>Module: Marketing Management</w:t>
      </w:r>
    </w:p>
    <w:p w14:paraId="001FB089" w14:textId="77777777" w:rsidR="00FF550A" w:rsidRDefault="00000000">
      <w:pPr>
        <w:jc w:val="center"/>
        <w:rPr>
          <w:b/>
          <w:bCs/>
          <w:sz w:val="32"/>
          <w:szCs w:val="32"/>
        </w:rPr>
      </w:pPr>
      <w:r>
        <w:rPr>
          <w:b/>
          <w:bCs/>
          <w:sz w:val="32"/>
          <w:szCs w:val="32"/>
        </w:rPr>
        <w:t>Module code: LCMB7024</w:t>
      </w:r>
    </w:p>
    <w:p w14:paraId="5AC42B9E" w14:textId="77777777" w:rsidR="00FF550A" w:rsidRDefault="00FF550A">
      <w:pPr>
        <w:rPr>
          <w:b/>
          <w:bCs/>
          <w:sz w:val="32"/>
          <w:szCs w:val="32"/>
        </w:rPr>
      </w:pPr>
      <w:r>
        <w:rPr>
          <w:b/>
          <w:bCs/>
          <w:sz w:val="32"/>
          <w:szCs w:val="32"/>
        </w:rPr>
        <w:br w:type="page"/>
      </w:r>
    </w:p>
    <w:sdt>
      <w:sdtPr>
        <w:rPr>
          <w:rFonts w:ascii="Times New Roman" w:eastAsia="Times New Roman" w:hAnsi="Times New Roman" w:cs="Times New Roman"/>
          <w:b/>
          <w:bCs/>
          <w:color w:val="000000" w:themeColor="text1"/>
          <w:sz w:val="24"/>
          <w:szCs w:val="24"/>
          <w:lang w:val="en-GB" w:eastAsia="en-IN"/>
        </w:rPr>
        <w:id w:val="-1108653001"/>
        <w:docPartObj>
          <w:docPartGallery w:val="Table of Contents"/>
          <w:docPartUnique/>
        </w:docPartObj>
      </w:sdtPr>
      <w:sdtEndPr>
        <w:rPr>
          <w:noProof/>
          <w:color w:val="auto"/>
        </w:rPr>
      </w:sdtEndPr>
      <w:sdtContent>
        <w:p w14:paraId="0EBCB435" w14:textId="61B57C7A" w:rsidR="00FF550A" w:rsidRPr="00FF550A" w:rsidRDefault="00FF550A" w:rsidP="00FF550A">
          <w:pPr>
            <w:pStyle w:val="TOCHeading"/>
            <w:spacing w:line="360" w:lineRule="auto"/>
            <w:jc w:val="center"/>
            <w:rPr>
              <w:rFonts w:ascii="Times New Roman" w:hAnsi="Times New Roman" w:cs="Times New Roman"/>
              <w:b/>
              <w:bCs/>
              <w:color w:val="000000" w:themeColor="text1"/>
              <w:sz w:val="24"/>
              <w:szCs w:val="24"/>
            </w:rPr>
          </w:pPr>
          <w:r w:rsidRPr="00FF550A">
            <w:rPr>
              <w:rFonts w:ascii="Times New Roman" w:hAnsi="Times New Roman" w:cs="Times New Roman"/>
              <w:b/>
              <w:bCs/>
              <w:color w:val="000000" w:themeColor="text1"/>
              <w:sz w:val="24"/>
              <w:szCs w:val="24"/>
            </w:rPr>
            <w:t>Table of Contents</w:t>
          </w:r>
        </w:p>
        <w:p w14:paraId="71F04985" w14:textId="6BBDA5B6" w:rsidR="00303D1E" w:rsidRDefault="00FF550A">
          <w:pPr>
            <w:pStyle w:val="TOC1"/>
            <w:tabs>
              <w:tab w:val="right" w:leader="dot" w:pos="9019"/>
            </w:tabs>
            <w:rPr>
              <w:rFonts w:asciiTheme="minorHAnsi" w:eastAsiaTheme="minorEastAsia" w:hAnsiTheme="minorHAnsi" w:cstheme="minorBidi"/>
              <w:noProof/>
              <w:kern w:val="2"/>
              <w:lang w:val="en-IN" w:eastAsia="zh-CN"/>
              <w14:ligatures w14:val="standardContextual"/>
            </w:rPr>
          </w:pPr>
          <w:r>
            <w:fldChar w:fldCharType="begin"/>
          </w:r>
          <w:r>
            <w:instrText xml:space="preserve"> TOC \o "1-3" \h \z \u </w:instrText>
          </w:r>
          <w:r>
            <w:fldChar w:fldCharType="separate"/>
          </w:r>
          <w:hyperlink w:anchor="_Toc236762132" w:history="1">
            <w:r w:rsidR="00303D1E" w:rsidRPr="006623B7">
              <w:rPr>
                <w:rStyle w:val="Hyperlink"/>
                <w:noProof/>
              </w:rPr>
              <w:t>Element 1: Sustainable Brand Extension Poster Presentation</w:t>
            </w:r>
            <w:r w:rsidR="00303D1E">
              <w:rPr>
                <w:noProof/>
                <w:webHidden/>
              </w:rPr>
              <w:tab/>
            </w:r>
            <w:r w:rsidR="00303D1E">
              <w:rPr>
                <w:noProof/>
                <w:webHidden/>
              </w:rPr>
              <w:fldChar w:fldCharType="begin"/>
            </w:r>
            <w:r w:rsidR="00303D1E">
              <w:rPr>
                <w:noProof/>
                <w:webHidden/>
              </w:rPr>
              <w:instrText xml:space="preserve"> PAGEREF _Toc236762132 \h </w:instrText>
            </w:r>
            <w:r w:rsidR="00303D1E">
              <w:rPr>
                <w:noProof/>
                <w:webHidden/>
              </w:rPr>
            </w:r>
            <w:r w:rsidR="00303D1E">
              <w:rPr>
                <w:noProof/>
                <w:webHidden/>
              </w:rPr>
              <w:fldChar w:fldCharType="separate"/>
            </w:r>
            <w:r w:rsidR="00303D1E">
              <w:rPr>
                <w:noProof/>
                <w:webHidden/>
              </w:rPr>
              <w:t>3</w:t>
            </w:r>
            <w:r w:rsidR="00303D1E">
              <w:rPr>
                <w:noProof/>
                <w:webHidden/>
              </w:rPr>
              <w:fldChar w:fldCharType="end"/>
            </w:r>
          </w:hyperlink>
        </w:p>
        <w:p w14:paraId="2A4160F0" w14:textId="252740F5" w:rsidR="00303D1E" w:rsidRDefault="00303D1E">
          <w:pPr>
            <w:pStyle w:val="TOC1"/>
            <w:tabs>
              <w:tab w:val="right" w:leader="dot" w:pos="9019"/>
            </w:tabs>
            <w:rPr>
              <w:rFonts w:asciiTheme="minorHAnsi" w:eastAsiaTheme="minorEastAsia" w:hAnsiTheme="minorHAnsi" w:cstheme="minorBidi"/>
              <w:noProof/>
              <w:kern w:val="2"/>
              <w:lang w:val="en-IN" w:eastAsia="zh-CN"/>
              <w14:ligatures w14:val="standardContextual"/>
            </w:rPr>
          </w:pPr>
          <w:hyperlink w:anchor="_Toc236762133" w:history="1">
            <w:r w:rsidRPr="006623B7">
              <w:rPr>
                <w:rStyle w:val="Hyperlink"/>
                <w:noProof/>
              </w:rPr>
              <w:t>Element 2: Segmentation, Targeting, Differentiation and Positioning (STDP)</w:t>
            </w:r>
            <w:r>
              <w:rPr>
                <w:noProof/>
                <w:webHidden/>
              </w:rPr>
              <w:tab/>
            </w:r>
            <w:r>
              <w:rPr>
                <w:noProof/>
                <w:webHidden/>
              </w:rPr>
              <w:fldChar w:fldCharType="begin"/>
            </w:r>
            <w:r>
              <w:rPr>
                <w:noProof/>
                <w:webHidden/>
              </w:rPr>
              <w:instrText xml:space="preserve"> PAGEREF _Toc236762133 \h </w:instrText>
            </w:r>
            <w:r>
              <w:rPr>
                <w:noProof/>
                <w:webHidden/>
              </w:rPr>
            </w:r>
            <w:r>
              <w:rPr>
                <w:noProof/>
                <w:webHidden/>
              </w:rPr>
              <w:fldChar w:fldCharType="separate"/>
            </w:r>
            <w:r>
              <w:rPr>
                <w:noProof/>
                <w:webHidden/>
              </w:rPr>
              <w:t>4</w:t>
            </w:r>
            <w:r>
              <w:rPr>
                <w:noProof/>
                <w:webHidden/>
              </w:rPr>
              <w:fldChar w:fldCharType="end"/>
            </w:r>
          </w:hyperlink>
        </w:p>
        <w:p w14:paraId="2930A723" w14:textId="3A330796" w:rsidR="00303D1E" w:rsidRDefault="00303D1E">
          <w:pPr>
            <w:pStyle w:val="TOC2"/>
            <w:tabs>
              <w:tab w:val="right" w:leader="dot" w:pos="9019"/>
            </w:tabs>
            <w:rPr>
              <w:rFonts w:asciiTheme="minorHAnsi" w:eastAsiaTheme="minorEastAsia" w:hAnsiTheme="minorHAnsi" w:cstheme="minorBidi"/>
              <w:noProof/>
              <w:kern w:val="2"/>
              <w:lang w:val="en-IN" w:eastAsia="zh-CN"/>
              <w14:ligatures w14:val="standardContextual"/>
            </w:rPr>
          </w:pPr>
          <w:hyperlink w:anchor="_Toc236762134" w:history="1">
            <w:r w:rsidRPr="006623B7">
              <w:rPr>
                <w:rStyle w:val="Hyperlink"/>
                <w:noProof/>
              </w:rPr>
              <w:t>2.1 Market Segmentation</w:t>
            </w:r>
            <w:r>
              <w:rPr>
                <w:noProof/>
                <w:webHidden/>
              </w:rPr>
              <w:tab/>
            </w:r>
            <w:r>
              <w:rPr>
                <w:noProof/>
                <w:webHidden/>
              </w:rPr>
              <w:fldChar w:fldCharType="begin"/>
            </w:r>
            <w:r>
              <w:rPr>
                <w:noProof/>
                <w:webHidden/>
              </w:rPr>
              <w:instrText xml:space="preserve"> PAGEREF _Toc236762134 \h </w:instrText>
            </w:r>
            <w:r>
              <w:rPr>
                <w:noProof/>
                <w:webHidden/>
              </w:rPr>
            </w:r>
            <w:r>
              <w:rPr>
                <w:noProof/>
                <w:webHidden/>
              </w:rPr>
              <w:fldChar w:fldCharType="separate"/>
            </w:r>
            <w:r>
              <w:rPr>
                <w:noProof/>
                <w:webHidden/>
              </w:rPr>
              <w:t>4</w:t>
            </w:r>
            <w:r>
              <w:rPr>
                <w:noProof/>
                <w:webHidden/>
              </w:rPr>
              <w:fldChar w:fldCharType="end"/>
            </w:r>
          </w:hyperlink>
        </w:p>
        <w:p w14:paraId="4A88BC49" w14:textId="4B3861D8" w:rsidR="00303D1E" w:rsidRDefault="00303D1E">
          <w:pPr>
            <w:pStyle w:val="TOC3"/>
            <w:tabs>
              <w:tab w:val="right" w:leader="dot" w:pos="9019"/>
            </w:tabs>
            <w:rPr>
              <w:rFonts w:asciiTheme="minorHAnsi" w:eastAsiaTheme="minorEastAsia" w:hAnsiTheme="minorHAnsi" w:cstheme="minorBidi"/>
              <w:noProof/>
              <w:kern w:val="2"/>
              <w:lang w:val="en-IN" w:eastAsia="zh-CN"/>
              <w14:ligatures w14:val="standardContextual"/>
            </w:rPr>
          </w:pPr>
          <w:hyperlink w:anchor="_Toc236762135" w:history="1">
            <w:r w:rsidRPr="006623B7">
              <w:rPr>
                <w:rStyle w:val="Hyperlink"/>
                <w:noProof/>
              </w:rPr>
              <w:t>2.1.1 Geographic Segmentation</w:t>
            </w:r>
            <w:r>
              <w:rPr>
                <w:noProof/>
                <w:webHidden/>
              </w:rPr>
              <w:tab/>
            </w:r>
            <w:r>
              <w:rPr>
                <w:noProof/>
                <w:webHidden/>
              </w:rPr>
              <w:fldChar w:fldCharType="begin"/>
            </w:r>
            <w:r>
              <w:rPr>
                <w:noProof/>
                <w:webHidden/>
              </w:rPr>
              <w:instrText xml:space="preserve"> PAGEREF _Toc236762135 \h </w:instrText>
            </w:r>
            <w:r>
              <w:rPr>
                <w:noProof/>
                <w:webHidden/>
              </w:rPr>
            </w:r>
            <w:r>
              <w:rPr>
                <w:noProof/>
                <w:webHidden/>
              </w:rPr>
              <w:fldChar w:fldCharType="separate"/>
            </w:r>
            <w:r>
              <w:rPr>
                <w:noProof/>
                <w:webHidden/>
              </w:rPr>
              <w:t>4</w:t>
            </w:r>
            <w:r>
              <w:rPr>
                <w:noProof/>
                <w:webHidden/>
              </w:rPr>
              <w:fldChar w:fldCharType="end"/>
            </w:r>
          </w:hyperlink>
        </w:p>
        <w:p w14:paraId="7AAC1CCD" w14:textId="41B986B6" w:rsidR="00303D1E" w:rsidRDefault="00303D1E">
          <w:pPr>
            <w:pStyle w:val="TOC3"/>
            <w:tabs>
              <w:tab w:val="right" w:leader="dot" w:pos="9019"/>
            </w:tabs>
            <w:rPr>
              <w:rFonts w:asciiTheme="minorHAnsi" w:eastAsiaTheme="minorEastAsia" w:hAnsiTheme="minorHAnsi" w:cstheme="minorBidi"/>
              <w:noProof/>
              <w:kern w:val="2"/>
              <w:lang w:val="en-IN" w:eastAsia="zh-CN"/>
              <w14:ligatures w14:val="standardContextual"/>
            </w:rPr>
          </w:pPr>
          <w:hyperlink w:anchor="_Toc236762136" w:history="1">
            <w:r w:rsidRPr="006623B7">
              <w:rPr>
                <w:rStyle w:val="Hyperlink"/>
                <w:noProof/>
              </w:rPr>
              <w:t>2.1.2 Demographic Segmentation</w:t>
            </w:r>
            <w:r>
              <w:rPr>
                <w:noProof/>
                <w:webHidden/>
              </w:rPr>
              <w:tab/>
            </w:r>
            <w:r>
              <w:rPr>
                <w:noProof/>
                <w:webHidden/>
              </w:rPr>
              <w:fldChar w:fldCharType="begin"/>
            </w:r>
            <w:r>
              <w:rPr>
                <w:noProof/>
                <w:webHidden/>
              </w:rPr>
              <w:instrText xml:space="preserve"> PAGEREF _Toc236762136 \h </w:instrText>
            </w:r>
            <w:r>
              <w:rPr>
                <w:noProof/>
                <w:webHidden/>
              </w:rPr>
            </w:r>
            <w:r>
              <w:rPr>
                <w:noProof/>
                <w:webHidden/>
              </w:rPr>
              <w:fldChar w:fldCharType="separate"/>
            </w:r>
            <w:r>
              <w:rPr>
                <w:noProof/>
                <w:webHidden/>
              </w:rPr>
              <w:t>5</w:t>
            </w:r>
            <w:r>
              <w:rPr>
                <w:noProof/>
                <w:webHidden/>
              </w:rPr>
              <w:fldChar w:fldCharType="end"/>
            </w:r>
          </w:hyperlink>
        </w:p>
        <w:p w14:paraId="37D9CDF9" w14:textId="7B1C347B" w:rsidR="00303D1E" w:rsidRDefault="00303D1E">
          <w:pPr>
            <w:pStyle w:val="TOC3"/>
            <w:tabs>
              <w:tab w:val="right" w:leader="dot" w:pos="9019"/>
            </w:tabs>
            <w:rPr>
              <w:rFonts w:asciiTheme="minorHAnsi" w:eastAsiaTheme="minorEastAsia" w:hAnsiTheme="minorHAnsi" w:cstheme="minorBidi"/>
              <w:noProof/>
              <w:kern w:val="2"/>
              <w:lang w:val="en-IN" w:eastAsia="zh-CN"/>
              <w14:ligatures w14:val="standardContextual"/>
            </w:rPr>
          </w:pPr>
          <w:hyperlink w:anchor="_Toc236762137" w:history="1">
            <w:r w:rsidRPr="006623B7">
              <w:rPr>
                <w:rStyle w:val="Hyperlink"/>
                <w:noProof/>
              </w:rPr>
              <w:t>2.1.3 Psychographic Segmentation</w:t>
            </w:r>
            <w:r>
              <w:rPr>
                <w:noProof/>
                <w:webHidden/>
              </w:rPr>
              <w:tab/>
            </w:r>
            <w:r>
              <w:rPr>
                <w:noProof/>
                <w:webHidden/>
              </w:rPr>
              <w:fldChar w:fldCharType="begin"/>
            </w:r>
            <w:r>
              <w:rPr>
                <w:noProof/>
                <w:webHidden/>
              </w:rPr>
              <w:instrText xml:space="preserve"> PAGEREF _Toc236762137 \h </w:instrText>
            </w:r>
            <w:r>
              <w:rPr>
                <w:noProof/>
                <w:webHidden/>
              </w:rPr>
            </w:r>
            <w:r>
              <w:rPr>
                <w:noProof/>
                <w:webHidden/>
              </w:rPr>
              <w:fldChar w:fldCharType="separate"/>
            </w:r>
            <w:r>
              <w:rPr>
                <w:noProof/>
                <w:webHidden/>
              </w:rPr>
              <w:t>5</w:t>
            </w:r>
            <w:r>
              <w:rPr>
                <w:noProof/>
                <w:webHidden/>
              </w:rPr>
              <w:fldChar w:fldCharType="end"/>
            </w:r>
          </w:hyperlink>
        </w:p>
        <w:p w14:paraId="39BF99B5" w14:textId="67A49E24" w:rsidR="00303D1E" w:rsidRDefault="00303D1E">
          <w:pPr>
            <w:pStyle w:val="TOC3"/>
            <w:tabs>
              <w:tab w:val="right" w:leader="dot" w:pos="9019"/>
            </w:tabs>
            <w:rPr>
              <w:rFonts w:asciiTheme="minorHAnsi" w:eastAsiaTheme="minorEastAsia" w:hAnsiTheme="minorHAnsi" w:cstheme="minorBidi"/>
              <w:noProof/>
              <w:kern w:val="2"/>
              <w:lang w:val="en-IN" w:eastAsia="zh-CN"/>
              <w14:ligatures w14:val="standardContextual"/>
            </w:rPr>
          </w:pPr>
          <w:hyperlink w:anchor="_Toc236762138" w:history="1">
            <w:r w:rsidRPr="006623B7">
              <w:rPr>
                <w:rStyle w:val="Hyperlink"/>
                <w:noProof/>
              </w:rPr>
              <w:t>2.1.4 Behavioural Segmentation</w:t>
            </w:r>
            <w:r>
              <w:rPr>
                <w:noProof/>
                <w:webHidden/>
              </w:rPr>
              <w:tab/>
            </w:r>
            <w:r>
              <w:rPr>
                <w:noProof/>
                <w:webHidden/>
              </w:rPr>
              <w:fldChar w:fldCharType="begin"/>
            </w:r>
            <w:r>
              <w:rPr>
                <w:noProof/>
                <w:webHidden/>
              </w:rPr>
              <w:instrText xml:space="preserve"> PAGEREF _Toc236762138 \h </w:instrText>
            </w:r>
            <w:r>
              <w:rPr>
                <w:noProof/>
                <w:webHidden/>
              </w:rPr>
            </w:r>
            <w:r>
              <w:rPr>
                <w:noProof/>
                <w:webHidden/>
              </w:rPr>
              <w:fldChar w:fldCharType="separate"/>
            </w:r>
            <w:r>
              <w:rPr>
                <w:noProof/>
                <w:webHidden/>
              </w:rPr>
              <w:t>5</w:t>
            </w:r>
            <w:r>
              <w:rPr>
                <w:noProof/>
                <w:webHidden/>
              </w:rPr>
              <w:fldChar w:fldCharType="end"/>
            </w:r>
          </w:hyperlink>
        </w:p>
        <w:p w14:paraId="06787CD7" w14:textId="73829F2A" w:rsidR="00303D1E" w:rsidRDefault="00303D1E">
          <w:pPr>
            <w:pStyle w:val="TOC2"/>
            <w:tabs>
              <w:tab w:val="right" w:leader="dot" w:pos="9019"/>
            </w:tabs>
            <w:rPr>
              <w:rFonts w:asciiTheme="minorHAnsi" w:eastAsiaTheme="minorEastAsia" w:hAnsiTheme="minorHAnsi" w:cstheme="minorBidi"/>
              <w:noProof/>
              <w:kern w:val="2"/>
              <w:lang w:val="en-IN" w:eastAsia="zh-CN"/>
              <w14:ligatures w14:val="standardContextual"/>
            </w:rPr>
          </w:pPr>
          <w:hyperlink w:anchor="_Toc236762139" w:history="1">
            <w:r w:rsidRPr="006623B7">
              <w:rPr>
                <w:rStyle w:val="Hyperlink"/>
                <w:noProof/>
              </w:rPr>
              <w:t>2.2 Target Market</w:t>
            </w:r>
            <w:r>
              <w:rPr>
                <w:noProof/>
                <w:webHidden/>
              </w:rPr>
              <w:tab/>
            </w:r>
            <w:r>
              <w:rPr>
                <w:noProof/>
                <w:webHidden/>
              </w:rPr>
              <w:fldChar w:fldCharType="begin"/>
            </w:r>
            <w:r>
              <w:rPr>
                <w:noProof/>
                <w:webHidden/>
              </w:rPr>
              <w:instrText xml:space="preserve"> PAGEREF _Toc236762139 \h </w:instrText>
            </w:r>
            <w:r>
              <w:rPr>
                <w:noProof/>
                <w:webHidden/>
              </w:rPr>
            </w:r>
            <w:r>
              <w:rPr>
                <w:noProof/>
                <w:webHidden/>
              </w:rPr>
              <w:fldChar w:fldCharType="separate"/>
            </w:r>
            <w:r>
              <w:rPr>
                <w:noProof/>
                <w:webHidden/>
              </w:rPr>
              <w:t>6</w:t>
            </w:r>
            <w:r>
              <w:rPr>
                <w:noProof/>
                <w:webHidden/>
              </w:rPr>
              <w:fldChar w:fldCharType="end"/>
            </w:r>
          </w:hyperlink>
        </w:p>
        <w:p w14:paraId="5759ED8A" w14:textId="11346B08" w:rsidR="00303D1E" w:rsidRDefault="00303D1E">
          <w:pPr>
            <w:pStyle w:val="TOC2"/>
            <w:tabs>
              <w:tab w:val="right" w:leader="dot" w:pos="9019"/>
            </w:tabs>
            <w:rPr>
              <w:rFonts w:asciiTheme="minorHAnsi" w:eastAsiaTheme="minorEastAsia" w:hAnsiTheme="minorHAnsi" w:cstheme="minorBidi"/>
              <w:noProof/>
              <w:kern w:val="2"/>
              <w:lang w:val="en-IN" w:eastAsia="zh-CN"/>
              <w14:ligatures w14:val="standardContextual"/>
            </w:rPr>
          </w:pPr>
          <w:hyperlink w:anchor="_Toc236762140" w:history="1">
            <w:r w:rsidRPr="006623B7">
              <w:rPr>
                <w:rStyle w:val="Hyperlink"/>
                <w:noProof/>
              </w:rPr>
              <w:t>2.3 Differentiation Strategy</w:t>
            </w:r>
            <w:r>
              <w:rPr>
                <w:noProof/>
                <w:webHidden/>
              </w:rPr>
              <w:tab/>
            </w:r>
            <w:r>
              <w:rPr>
                <w:noProof/>
                <w:webHidden/>
              </w:rPr>
              <w:fldChar w:fldCharType="begin"/>
            </w:r>
            <w:r>
              <w:rPr>
                <w:noProof/>
                <w:webHidden/>
              </w:rPr>
              <w:instrText xml:space="preserve"> PAGEREF _Toc236762140 \h </w:instrText>
            </w:r>
            <w:r>
              <w:rPr>
                <w:noProof/>
                <w:webHidden/>
              </w:rPr>
            </w:r>
            <w:r>
              <w:rPr>
                <w:noProof/>
                <w:webHidden/>
              </w:rPr>
              <w:fldChar w:fldCharType="separate"/>
            </w:r>
            <w:r>
              <w:rPr>
                <w:noProof/>
                <w:webHidden/>
              </w:rPr>
              <w:t>6</w:t>
            </w:r>
            <w:r>
              <w:rPr>
                <w:noProof/>
                <w:webHidden/>
              </w:rPr>
              <w:fldChar w:fldCharType="end"/>
            </w:r>
          </w:hyperlink>
        </w:p>
        <w:p w14:paraId="2FFAB222" w14:textId="0BEB75D3" w:rsidR="00303D1E" w:rsidRDefault="00303D1E">
          <w:pPr>
            <w:pStyle w:val="TOC2"/>
            <w:tabs>
              <w:tab w:val="right" w:leader="dot" w:pos="9019"/>
            </w:tabs>
            <w:rPr>
              <w:rFonts w:asciiTheme="minorHAnsi" w:eastAsiaTheme="minorEastAsia" w:hAnsiTheme="minorHAnsi" w:cstheme="minorBidi"/>
              <w:noProof/>
              <w:kern w:val="2"/>
              <w:lang w:val="en-IN" w:eastAsia="zh-CN"/>
              <w14:ligatures w14:val="standardContextual"/>
            </w:rPr>
          </w:pPr>
          <w:hyperlink w:anchor="_Toc236762141" w:history="1">
            <w:r w:rsidRPr="006623B7">
              <w:rPr>
                <w:rStyle w:val="Hyperlink"/>
                <w:noProof/>
              </w:rPr>
              <w:t>2.4 Positioning Strategy</w:t>
            </w:r>
            <w:r>
              <w:rPr>
                <w:noProof/>
                <w:webHidden/>
              </w:rPr>
              <w:tab/>
            </w:r>
            <w:r>
              <w:rPr>
                <w:noProof/>
                <w:webHidden/>
              </w:rPr>
              <w:fldChar w:fldCharType="begin"/>
            </w:r>
            <w:r>
              <w:rPr>
                <w:noProof/>
                <w:webHidden/>
              </w:rPr>
              <w:instrText xml:space="preserve"> PAGEREF _Toc236762141 \h </w:instrText>
            </w:r>
            <w:r>
              <w:rPr>
                <w:noProof/>
                <w:webHidden/>
              </w:rPr>
            </w:r>
            <w:r>
              <w:rPr>
                <w:noProof/>
                <w:webHidden/>
              </w:rPr>
              <w:fldChar w:fldCharType="separate"/>
            </w:r>
            <w:r>
              <w:rPr>
                <w:noProof/>
                <w:webHidden/>
              </w:rPr>
              <w:t>7</w:t>
            </w:r>
            <w:r>
              <w:rPr>
                <w:noProof/>
                <w:webHidden/>
              </w:rPr>
              <w:fldChar w:fldCharType="end"/>
            </w:r>
          </w:hyperlink>
        </w:p>
        <w:p w14:paraId="3F908483" w14:textId="0CA29320" w:rsidR="00303D1E" w:rsidRDefault="00303D1E">
          <w:pPr>
            <w:pStyle w:val="TOC1"/>
            <w:tabs>
              <w:tab w:val="right" w:leader="dot" w:pos="9019"/>
            </w:tabs>
            <w:rPr>
              <w:rFonts w:asciiTheme="minorHAnsi" w:eastAsiaTheme="minorEastAsia" w:hAnsiTheme="minorHAnsi" w:cstheme="minorBidi"/>
              <w:noProof/>
              <w:kern w:val="2"/>
              <w:lang w:val="en-IN" w:eastAsia="zh-CN"/>
              <w14:ligatures w14:val="standardContextual"/>
            </w:rPr>
          </w:pPr>
          <w:hyperlink w:anchor="_Toc236762142" w:history="1">
            <w:r w:rsidRPr="006623B7">
              <w:rPr>
                <w:rStyle w:val="Hyperlink"/>
                <w:noProof/>
              </w:rPr>
              <w:t>Element 3: Marketing Mix (7Ps)</w:t>
            </w:r>
            <w:r>
              <w:rPr>
                <w:noProof/>
                <w:webHidden/>
              </w:rPr>
              <w:tab/>
            </w:r>
            <w:r>
              <w:rPr>
                <w:noProof/>
                <w:webHidden/>
              </w:rPr>
              <w:fldChar w:fldCharType="begin"/>
            </w:r>
            <w:r>
              <w:rPr>
                <w:noProof/>
                <w:webHidden/>
              </w:rPr>
              <w:instrText xml:space="preserve"> PAGEREF _Toc236762142 \h </w:instrText>
            </w:r>
            <w:r>
              <w:rPr>
                <w:noProof/>
                <w:webHidden/>
              </w:rPr>
            </w:r>
            <w:r>
              <w:rPr>
                <w:noProof/>
                <w:webHidden/>
              </w:rPr>
              <w:fldChar w:fldCharType="separate"/>
            </w:r>
            <w:r>
              <w:rPr>
                <w:noProof/>
                <w:webHidden/>
              </w:rPr>
              <w:t>8</w:t>
            </w:r>
            <w:r>
              <w:rPr>
                <w:noProof/>
                <w:webHidden/>
              </w:rPr>
              <w:fldChar w:fldCharType="end"/>
            </w:r>
          </w:hyperlink>
        </w:p>
        <w:p w14:paraId="26387E57" w14:textId="2AF62826" w:rsidR="00303D1E" w:rsidRDefault="00303D1E">
          <w:pPr>
            <w:pStyle w:val="TOC2"/>
            <w:tabs>
              <w:tab w:val="right" w:leader="dot" w:pos="9019"/>
            </w:tabs>
            <w:rPr>
              <w:rFonts w:asciiTheme="minorHAnsi" w:eastAsiaTheme="minorEastAsia" w:hAnsiTheme="minorHAnsi" w:cstheme="minorBidi"/>
              <w:noProof/>
              <w:kern w:val="2"/>
              <w:lang w:val="en-IN" w:eastAsia="zh-CN"/>
              <w14:ligatures w14:val="standardContextual"/>
            </w:rPr>
          </w:pPr>
          <w:hyperlink w:anchor="_Toc236762143" w:history="1">
            <w:r w:rsidRPr="006623B7">
              <w:rPr>
                <w:rStyle w:val="Hyperlink"/>
                <w:noProof/>
              </w:rPr>
              <w:t>3.1 Introduction</w:t>
            </w:r>
            <w:r>
              <w:rPr>
                <w:noProof/>
                <w:webHidden/>
              </w:rPr>
              <w:tab/>
            </w:r>
            <w:r>
              <w:rPr>
                <w:noProof/>
                <w:webHidden/>
              </w:rPr>
              <w:fldChar w:fldCharType="begin"/>
            </w:r>
            <w:r>
              <w:rPr>
                <w:noProof/>
                <w:webHidden/>
              </w:rPr>
              <w:instrText xml:space="preserve"> PAGEREF _Toc236762143 \h </w:instrText>
            </w:r>
            <w:r>
              <w:rPr>
                <w:noProof/>
                <w:webHidden/>
              </w:rPr>
            </w:r>
            <w:r>
              <w:rPr>
                <w:noProof/>
                <w:webHidden/>
              </w:rPr>
              <w:fldChar w:fldCharType="separate"/>
            </w:r>
            <w:r>
              <w:rPr>
                <w:noProof/>
                <w:webHidden/>
              </w:rPr>
              <w:t>8</w:t>
            </w:r>
            <w:r>
              <w:rPr>
                <w:noProof/>
                <w:webHidden/>
              </w:rPr>
              <w:fldChar w:fldCharType="end"/>
            </w:r>
          </w:hyperlink>
        </w:p>
        <w:p w14:paraId="6053A6E5" w14:textId="7FE43786" w:rsidR="00303D1E" w:rsidRDefault="00303D1E">
          <w:pPr>
            <w:pStyle w:val="TOC2"/>
            <w:tabs>
              <w:tab w:val="right" w:leader="dot" w:pos="9019"/>
            </w:tabs>
            <w:rPr>
              <w:rFonts w:asciiTheme="minorHAnsi" w:eastAsiaTheme="minorEastAsia" w:hAnsiTheme="minorHAnsi" w:cstheme="minorBidi"/>
              <w:noProof/>
              <w:kern w:val="2"/>
              <w:lang w:val="en-IN" w:eastAsia="zh-CN"/>
              <w14:ligatures w14:val="standardContextual"/>
            </w:rPr>
          </w:pPr>
          <w:hyperlink w:anchor="_Toc236762144" w:history="1">
            <w:r w:rsidRPr="006623B7">
              <w:rPr>
                <w:rStyle w:val="Hyperlink"/>
                <w:noProof/>
              </w:rPr>
              <w:t>3.2 Product</w:t>
            </w:r>
            <w:r>
              <w:rPr>
                <w:noProof/>
                <w:webHidden/>
              </w:rPr>
              <w:tab/>
            </w:r>
            <w:r>
              <w:rPr>
                <w:noProof/>
                <w:webHidden/>
              </w:rPr>
              <w:fldChar w:fldCharType="begin"/>
            </w:r>
            <w:r>
              <w:rPr>
                <w:noProof/>
                <w:webHidden/>
              </w:rPr>
              <w:instrText xml:space="preserve"> PAGEREF _Toc236762144 \h </w:instrText>
            </w:r>
            <w:r>
              <w:rPr>
                <w:noProof/>
                <w:webHidden/>
              </w:rPr>
            </w:r>
            <w:r>
              <w:rPr>
                <w:noProof/>
                <w:webHidden/>
              </w:rPr>
              <w:fldChar w:fldCharType="separate"/>
            </w:r>
            <w:r>
              <w:rPr>
                <w:noProof/>
                <w:webHidden/>
              </w:rPr>
              <w:t>8</w:t>
            </w:r>
            <w:r>
              <w:rPr>
                <w:noProof/>
                <w:webHidden/>
              </w:rPr>
              <w:fldChar w:fldCharType="end"/>
            </w:r>
          </w:hyperlink>
        </w:p>
        <w:p w14:paraId="0436907D" w14:textId="4F5C9E31" w:rsidR="00303D1E" w:rsidRDefault="00303D1E">
          <w:pPr>
            <w:pStyle w:val="TOC2"/>
            <w:tabs>
              <w:tab w:val="right" w:leader="dot" w:pos="9019"/>
            </w:tabs>
            <w:rPr>
              <w:rFonts w:asciiTheme="minorHAnsi" w:eastAsiaTheme="minorEastAsia" w:hAnsiTheme="minorHAnsi" w:cstheme="minorBidi"/>
              <w:noProof/>
              <w:kern w:val="2"/>
              <w:lang w:val="en-IN" w:eastAsia="zh-CN"/>
              <w14:ligatures w14:val="standardContextual"/>
            </w:rPr>
          </w:pPr>
          <w:hyperlink w:anchor="_Toc236762145" w:history="1">
            <w:r w:rsidRPr="006623B7">
              <w:rPr>
                <w:rStyle w:val="Hyperlink"/>
                <w:noProof/>
              </w:rPr>
              <w:t>3.3 Price</w:t>
            </w:r>
            <w:r>
              <w:rPr>
                <w:noProof/>
                <w:webHidden/>
              </w:rPr>
              <w:tab/>
            </w:r>
            <w:r>
              <w:rPr>
                <w:noProof/>
                <w:webHidden/>
              </w:rPr>
              <w:fldChar w:fldCharType="begin"/>
            </w:r>
            <w:r>
              <w:rPr>
                <w:noProof/>
                <w:webHidden/>
              </w:rPr>
              <w:instrText xml:space="preserve"> PAGEREF _Toc236762145 \h </w:instrText>
            </w:r>
            <w:r>
              <w:rPr>
                <w:noProof/>
                <w:webHidden/>
              </w:rPr>
            </w:r>
            <w:r>
              <w:rPr>
                <w:noProof/>
                <w:webHidden/>
              </w:rPr>
              <w:fldChar w:fldCharType="separate"/>
            </w:r>
            <w:r>
              <w:rPr>
                <w:noProof/>
                <w:webHidden/>
              </w:rPr>
              <w:t>9</w:t>
            </w:r>
            <w:r>
              <w:rPr>
                <w:noProof/>
                <w:webHidden/>
              </w:rPr>
              <w:fldChar w:fldCharType="end"/>
            </w:r>
          </w:hyperlink>
        </w:p>
        <w:p w14:paraId="3C51B11A" w14:textId="04DFAC14" w:rsidR="00303D1E" w:rsidRDefault="00303D1E">
          <w:pPr>
            <w:pStyle w:val="TOC2"/>
            <w:tabs>
              <w:tab w:val="right" w:leader="dot" w:pos="9019"/>
            </w:tabs>
            <w:rPr>
              <w:rFonts w:asciiTheme="minorHAnsi" w:eastAsiaTheme="minorEastAsia" w:hAnsiTheme="minorHAnsi" w:cstheme="minorBidi"/>
              <w:noProof/>
              <w:kern w:val="2"/>
              <w:lang w:val="en-IN" w:eastAsia="zh-CN"/>
              <w14:ligatures w14:val="standardContextual"/>
            </w:rPr>
          </w:pPr>
          <w:hyperlink w:anchor="_Toc236762146" w:history="1">
            <w:r w:rsidRPr="006623B7">
              <w:rPr>
                <w:rStyle w:val="Hyperlink"/>
                <w:noProof/>
              </w:rPr>
              <w:t>3.4 Place (Distribution)</w:t>
            </w:r>
            <w:r>
              <w:rPr>
                <w:noProof/>
                <w:webHidden/>
              </w:rPr>
              <w:tab/>
            </w:r>
            <w:r>
              <w:rPr>
                <w:noProof/>
                <w:webHidden/>
              </w:rPr>
              <w:fldChar w:fldCharType="begin"/>
            </w:r>
            <w:r>
              <w:rPr>
                <w:noProof/>
                <w:webHidden/>
              </w:rPr>
              <w:instrText xml:space="preserve"> PAGEREF _Toc236762146 \h </w:instrText>
            </w:r>
            <w:r>
              <w:rPr>
                <w:noProof/>
                <w:webHidden/>
              </w:rPr>
            </w:r>
            <w:r>
              <w:rPr>
                <w:noProof/>
                <w:webHidden/>
              </w:rPr>
              <w:fldChar w:fldCharType="separate"/>
            </w:r>
            <w:r>
              <w:rPr>
                <w:noProof/>
                <w:webHidden/>
              </w:rPr>
              <w:t>9</w:t>
            </w:r>
            <w:r>
              <w:rPr>
                <w:noProof/>
                <w:webHidden/>
              </w:rPr>
              <w:fldChar w:fldCharType="end"/>
            </w:r>
          </w:hyperlink>
        </w:p>
        <w:p w14:paraId="2503F3EF" w14:textId="0F363170" w:rsidR="00303D1E" w:rsidRDefault="00303D1E">
          <w:pPr>
            <w:pStyle w:val="TOC2"/>
            <w:tabs>
              <w:tab w:val="right" w:leader="dot" w:pos="9019"/>
            </w:tabs>
            <w:rPr>
              <w:rFonts w:asciiTheme="minorHAnsi" w:eastAsiaTheme="minorEastAsia" w:hAnsiTheme="minorHAnsi" w:cstheme="minorBidi"/>
              <w:noProof/>
              <w:kern w:val="2"/>
              <w:lang w:val="en-IN" w:eastAsia="zh-CN"/>
              <w14:ligatures w14:val="standardContextual"/>
            </w:rPr>
          </w:pPr>
          <w:hyperlink w:anchor="_Toc236762147" w:history="1">
            <w:r w:rsidRPr="006623B7">
              <w:rPr>
                <w:rStyle w:val="Hyperlink"/>
                <w:noProof/>
              </w:rPr>
              <w:t>3.6 People</w:t>
            </w:r>
            <w:r>
              <w:rPr>
                <w:noProof/>
                <w:webHidden/>
              </w:rPr>
              <w:tab/>
            </w:r>
            <w:r>
              <w:rPr>
                <w:noProof/>
                <w:webHidden/>
              </w:rPr>
              <w:fldChar w:fldCharType="begin"/>
            </w:r>
            <w:r>
              <w:rPr>
                <w:noProof/>
                <w:webHidden/>
              </w:rPr>
              <w:instrText xml:space="preserve"> PAGEREF _Toc236762147 \h </w:instrText>
            </w:r>
            <w:r>
              <w:rPr>
                <w:noProof/>
                <w:webHidden/>
              </w:rPr>
            </w:r>
            <w:r>
              <w:rPr>
                <w:noProof/>
                <w:webHidden/>
              </w:rPr>
              <w:fldChar w:fldCharType="separate"/>
            </w:r>
            <w:r>
              <w:rPr>
                <w:noProof/>
                <w:webHidden/>
              </w:rPr>
              <w:t>10</w:t>
            </w:r>
            <w:r>
              <w:rPr>
                <w:noProof/>
                <w:webHidden/>
              </w:rPr>
              <w:fldChar w:fldCharType="end"/>
            </w:r>
          </w:hyperlink>
        </w:p>
        <w:p w14:paraId="23B1E839" w14:textId="59B68D3C" w:rsidR="00303D1E" w:rsidRDefault="00303D1E">
          <w:pPr>
            <w:pStyle w:val="TOC2"/>
            <w:tabs>
              <w:tab w:val="right" w:leader="dot" w:pos="9019"/>
            </w:tabs>
            <w:rPr>
              <w:rFonts w:asciiTheme="minorHAnsi" w:eastAsiaTheme="minorEastAsia" w:hAnsiTheme="minorHAnsi" w:cstheme="minorBidi"/>
              <w:noProof/>
              <w:kern w:val="2"/>
              <w:lang w:val="en-IN" w:eastAsia="zh-CN"/>
              <w14:ligatures w14:val="standardContextual"/>
            </w:rPr>
          </w:pPr>
          <w:hyperlink w:anchor="_Toc236762148" w:history="1">
            <w:r w:rsidRPr="006623B7">
              <w:rPr>
                <w:rStyle w:val="Hyperlink"/>
                <w:noProof/>
              </w:rPr>
              <w:t>3.7 Process</w:t>
            </w:r>
            <w:r>
              <w:rPr>
                <w:noProof/>
                <w:webHidden/>
              </w:rPr>
              <w:tab/>
            </w:r>
            <w:r>
              <w:rPr>
                <w:noProof/>
                <w:webHidden/>
              </w:rPr>
              <w:fldChar w:fldCharType="begin"/>
            </w:r>
            <w:r>
              <w:rPr>
                <w:noProof/>
                <w:webHidden/>
              </w:rPr>
              <w:instrText xml:space="preserve"> PAGEREF _Toc236762148 \h </w:instrText>
            </w:r>
            <w:r>
              <w:rPr>
                <w:noProof/>
                <w:webHidden/>
              </w:rPr>
            </w:r>
            <w:r>
              <w:rPr>
                <w:noProof/>
                <w:webHidden/>
              </w:rPr>
              <w:fldChar w:fldCharType="separate"/>
            </w:r>
            <w:r>
              <w:rPr>
                <w:noProof/>
                <w:webHidden/>
              </w:rPr>
              <w:t>10</w:t>
            </w:r>
            <w:r>
              <w:rPr>
                <w:noProof/>
                <w:webHidden/>
              </w:rPr>
              <w:fldChar w:fldCharType="end"/>
            </w:r>
          </w:hyperlink>
        </w:p>
        <w:p w14:paraId="7B26A8B9" w14:textId="1E0699DE" w:rsidR="00303D1E" w:rsidRDefault="00303D1E">
          <w:pPr>
            <w:pStyle w:val="TOC2"/>
            <w:tabs>
              <w:tab w:val="right" w:leader="dot" w:pos="9019"/>
            </w:tabs>
            <w:rPr>
              <w:rFonts w:asciiTheme="minorHAnsi" w:eastAsiaTheme="minorEastAsia" w:hAnsiTheme="minorHAnsi" w:cstheme="minorBidi"/>
              <w:noProof/>
              <w:kern w:val="2"/>
              <w:lang w:val="en-IN" w:eastAsia="zh-CN"/>
              <w14:ligatures w14:val="standardContextual"/>
            </w:rPr>
          </w:pPr>
          <w:hyperlink w:anchor="_Toc236762149" w:history="1">
            <w:r w:rsidRPr="006623B7">
              <w:rPr>
                <w:rStyle w:val="Hyperlink"/>
                <w:noProof/>
              </w:rPr>
              <w:t>3.8 Physical Evidence</w:t>
            </w:r>
            <w:r>
              <w:rPr>
                <w:noProof/>
                <w:webHidden/>
              </w:rPr>
              <w:tab/>
            </w:r>
            <w:r>
              <w:rPr>
                <w:noProof/>
                <w:webHidden/>
              </w:rPr>
              <w:fldChar w:fldCharType="begin"/>
            </w:r>
            <w:r>
              <w:rPr>
                <w:noProof/>
                <w:webHidden/>
              </w:rPr>
              <w:instrText xml:space="preserve"> PAGEREF _Toc236762149 \h </w:instrText>
            </w:r>
            <w:r>
              <w:rPr>
                <w:noProof/>
                <w:webHidden/>
              </w:rPr>
            </w:r>
            <w:r>
              <w:rPr>
                <w:noProof/>
                <w:webHidden/>
              </w:rPr>
              <w:fldChar w:fldCharType="separate"/>
            </w:r>
            <w:r>
              <w:rPr>
                <w:noProof/>
                <w:webHidden/>
              </w:rPr>
              <w:t>10</w:t>
            </w:r>
            <w:r>
              <w:rPr>
                <w:noProof/>
                <w:webHidden/>
              </w:rPr>
              <w:fldChar w:fldCharType="end"/>
            </w:r>
          </w:hyperlink>
        </w:p>
        <w:p w14:paraId="1523AF21" w14:textId="666759EA" w:rsidR="00303D1E" w:rsidRDefault="00303D1E">
          <w:pPr>
            <w:pStyle w:val="TOC2"/>
            <w:tabs>
              <w:tab w:val="right" w:leader="dot" w:pos="9019"/>
            </w:tabs>
            <w:rPr>
              <w:rFonts w:asciiTheme="minorHAnsi" w:eastAsiaTheme="minorEastAsia" w:hAnsiTheme="minorHAnsi" w:cstheme="minorBidi"/>
              <w:noProof/>
              <w:kern w:val="2"/>
              <w:lang w:val="en-IN" w:eastAsia="zh-CN"/>
              <w14:ligatures w14:val="standardContextual"/>
            </w:rPr>
          </w:pPr>
          <w:hyperlink w:anchor="_Toc236762150" w:history="1">
            <w:r w:rsidRPr="006623B7">
              <w:rPr>
                <w:rStyle w:val="Hyperlink"/>
                <w:noProof/>
              </w:rPr>
              <w:t>3.9 Summary of Marketing Mix</w:t>
            </w:r>
            <w:r>
              <w:rPr>
                <w:noProof/>
                <w:webHidden/>
              </w:rPr>
              <w:tab/>
            </w:r>
            <w:r>
              <w:rPr>
                <w:noProof/>
                <w:webHidden/>
              </w:rPr>
              <w:fldChar w:fldCharType="begin"/>
            </w:r>
            <w:r>
              <w:rPr>
                <w:noProof/>
                <w:webHidden/>
              </w:rPr>
              <w:instrText xml:space="preserve"> PAGEREF _Toc236762150 \h </w:instrText>
            </w:r>
            <w:r>
              <w:rPr>
                <w:noProof/>
                <w:webHidden/>
              </w:rPr>
            </w:r>
            <w:r>
              <w:rPr>
                <w:noProof/>
                <w:webHidden/>
              </w:rPr>
              <w:fldChar w:fldCharType="separate"/>
            </w:r>
            <w:r>
              <w:rPr>
                <w:noProof/>
                <w:webHidden/>
              </w:rPr>
              <w:t>11</w:t>
            </w:r>
            <w:r>
              <w:rPr>
                <w:noProof/>
                <w:webHidden/>
              </w:rPr>
              <w:fldChar w:fldCharType="end"/>
            </w:r>
          </w:hyperlink>
        </w:p>
        <w:p w14:paraId="15024A73" w14:textId="38EAF74A" w:rsidR="00303D1E" w:rsidRDefault="00303D1E">
          <w:pPr>
            <w:pStyle w:val="TOC1"/>
            <w:tabs>
              <w:tab w:val="right" w:leader="dot" w:pos="9019"/>
            </w:tabs>
            <w:rPr>
              <w:rFonts w:asciiTheme="minorHAnsi" w:eastAsiaTheme="minorEastAsia" w:hAnsiTheme="minorHAnsi" w:cstheme="minorBidi"/>
              <w:noProof/>
              <w:kern w:val="2"/>
              <w:lang w:val="en-IN" w:eastAsia="zh-CN"/>
              <w14:ligatures w14:val="standardContextual"/>
            </w:rPr>
          </w:pPr>
          <w:hyperlink w:anchor="_Toc236762151" w:history="1">
            <w:r w:rsidRPr="006623B7">
              <w:rPr>
                <w:rStyle w:val="Hyperlink"/>
                <w:noProof/>
              </w:rPr>
              <w:t>Element 4: Reflection</w:t>
            </w:r>
            <w:r>
              <w:rPr>
                <w:noProof/>
                <w:webHidden/>
              </w:rPr>
              <w:tab/>
            </w:r>
            <w:r>
              <w:rPr>
                <w:noProof/>
                <w:webHidden/>
              </w:rPr>
              <w:fldChar w:fldCharType="begin"/>
            </w:r>
            <w:r>
              <w:rPr>
                <w:noProof/>
                <w:webHidden/>
              </w:rPr>
              <w:instrText xml:space="preserve"> PAGEREF _Toc236762151 \h </w:instrText>
            </w:r>
            <w:r>
              <w:rPr>
                <w:noProof/>
                <w:webHidden/>
              </w:rPr>
            </w:r>
            <w:r>
              <w:rPr>
                <w:noProof/>
                <w:webHidden/>
              </w:rPr>
              <w:fldChar w:fldCharType="separate"/>
            </w:r>
            <w:r>
              <w:rPr>
                <w:noProof/>
                <w:webHidden/>
              </w:rPr>
              <w:t>11</w:t>
            </w:r>
            <w:r>
              <w:rPr>
                <w:noProof/>
                <w:webHidden/>
              </w:rPr>
              <w:fldChar w:fldCharType="end"/>
            </w:r>
          </w:hyperlink>
        </w:p>
        <w:p w14:paraId="13EEDFDE" w14:textId="72406AA7" w:rsidR="00303D1E" w:rsidRDefault="00303D1E">
          <w:pPr>
            <w:pStyle w:val="TOC1"/>
            <w:tabs>
              <w:tab w:val="right" w:leader="dot" w:pos="9019"/>
            </w:tabs>
            <w:rPr>
              <w:rFonts w:asciiTheme="minorHAnsi" w:eastAsiaTheme="minorEastAsia" w:hAnsiTheme="minorHAnsi" w:cstheme="minorBidi"/>
              <w:noProof/>
              <w:kern w:val="2"/>
              <w:lang w:val="en-IN" w:eastAsia="zh-CN"/>
              <w14:ligatures w14:val="standardContextual"/>
            </w:rPr>
          </w:pPr>
          <w:hyperlink w:anchor="_Toc236762152" w:history="1">
            <w:r w:rsidRPr="006623B7">
              <w:rPr>
                <w:rStyle w:val="Hyperlink"/>
                <w:noProof/>
              </w:rPr>
              <w:t>Reference list</w:t>
            </w:r>
            <w:r>
              <w:rPr>
                <w:noProof/>
                <w:webHidden/>
              </w:rPr>
              <w:tab/>
            </w:r>
            <w:r>
              <w:rPr>
                <w:noProof/>
                <w:webHidden/>
              </w:rPr>
              <w:fldChar w:fldCharType="begin"/>
            </w:r>
            <w:r>
              <w:rPr>
                <w:noProof/>
                <w:webHidden/>
              </w:rPr>
              <w:instrText xml:space="preserve"> PAGEREF _Toc236762152 \h </w:instrText>
            </w:r>
            <w:r>
              <w:rPr>
                <w:noProof/>
                <w:webHidden/>
              </w:rPr>
            </w:r>
            <w:r>
              <w:rPr>
                <w:noProof/>
                <w:webHidden/>
              </w:rPr>
              <w:fldChar w:fldCharType="separate"/>
            </w:r>
            <w:r>
              <w:rPr>
                <w:noProof/>
                <w:webHidden/>
              </w:rPr>
              <w:t>13</w:t>
            </w:r>
            <w:r>
              <w:rPr>
                <w:noProof/>
                <w:webHidden/>
              </w:rPr>
              <w:fldChar w:fldCharType="end"/>
            </w:r>
          </w:hyperlink>
        </w:p>
        <w:p w14:paraId="4E0F0311" w14:textId="739B3D12" w:rsidR="00303D1E" w:rsidRDefault="00303D1E">
          <w:pPr>
            <w:pStyle w:val="TOC1"/>
            <w:tabs>
              <w:tab w:val="right" w:leader="dot" w:pos="9019"/>
            </w:tabs>
            <w:rPr>
              <w:rFonts w:asciiTheme="minorHAnsi" w:eastAsiaTheme="minorEastAsia" w:hAnsiTheme="minorHAnsi" w:cstheme="minorBidi"/>
              <w:noProof/>
              <w:kern w:val="2"/>
              <w:lang w:val="en-IN" w:eastAsia="zh-CN"/>
              <w14:ligatures w14:val="standardContextual"/>
            </w:rPr>
          </w:pPr>
          <w:hyperlink w:anchor="_Toc236762153" w:history="1">
            <w:r w:rsidRPr="006623B7">
              <w:rPr>
                <w:rStyle w:val="Hyperlink"/>
                <w:noProof/>
              </w:rPr>
              <w:t>Appendices</w:t>
            </w:r>
            <w:r>
              <w:rPr>
                <w:noProof/>
                <w:webHidden/>
              </w:rPr>
              <w:tab/>
            </w:r>
            <w:r>
              <w:rPr>
                <w:noProof/>
                <w:webHidden/>
              </w:rPr>
              <w:fldChar w:fldCharType="begin"/>
            </w:r>
            <w:r>
              <w:rPr>
                <w:noProof/>
                <w:webHidden/>
              </w:rPr>
              <w:instrText xml:space="preserve"> PAGEREF _Toc236762153 \h </w:instrText>
            </w:r>
            <w:r>
              <w:rPr>
                <w:noProof/>
                <w:webHidden/>
              </w:rPr>
            </w:r>
            <w:r>
              <w:rPr>
                <w:noProof/>
                <w:webHidden/>
              </w:rPr>
              <w:fldChar w:fldCharType="separate"/>
            </w:r>
            <w:r>
              <w:rPr>
                <w:noProof/>
                <w:webHidden/>
              </w:rPr>
              <w:t>15</w:t>
            </w:r>
            <w:r>
              <w:rPr>
                <w:noProof/>
                <w:webHidden/>
              </w:rPr>
              <w:fldChar w:fldCharType="end"/>
            </w:r>
          </w:hyperlink>
        </w:p>
        <w:p w14:paraId="30F57E97" w14:textId="248EA3E1" w:rsidR="00303D1E" w:rsidRDefault="00303D1E">
          <w:pPr>
            <w:pStyle w:val="TOC2"/>
            <w:tabs>
              <w:tab w:val="right" w:leader="dot" w:pos="9019"/>
            </w:tabs>
            <w:rPr>
              <w:rFonts w:asciiTheme="minorHAnsi" w:eastAsiaTheme="minorEastAsia" w:hAnsiTheme="minorHAnsi" w:cstheme="minorBidi"/>
              <w:noProof/>
              <w:kern w:val="2"/>
              <w:lang w:val="en-IN" w:eastAsia="zh-CN"/>
              <w14:ligatures w14:val="standardContextual"/>
            </w:rPr>
          </w:pPr>
          <w:hyperlink w:anchor="_Toc236762154" w:history="1">
            <w:r w:rsidRPr="006623B7">
              <w:rPr>
                <w:rStyle w:val="Hyperlink"/>
                <w:noProof/>
              </w:rPr>
              <w:t>Appendix 1: Segmentation table</w:t>
            </w:r>
            <w:r>
              <w:rPr>
                <w:noProof/>
                <w:webHidden/>
              </w:rPr>
              <w:tab/>
            </w:r>
            <w:r>
              <w:rPr>
                <w:noProof/>
                <w:webHidden/>
              </w:rPr>
              <w:fldChar w:fldCharType="begin"/>
            </w:r>
            <w:r>
              <w:rPr>
                <w:noProof/>
                <w:webHidden/>
              </w:rPr>
              <w:instrText xml:space="preserve"> PAGEREF _Toc236762154 \h </w:instrText>
            </w:r>
            <w:r>
              <w:rPr>
                <w:noProof/>
                <w:webHidden/>
              </w:rPr>
            </w:r>
            <w:r>
              <w:rPr>
                <w:noProof/>
                <w:webHidden/>
              </w:rPr>
              <w:fldChar w:fldCharType="separate"/>
            </w:r>
            <w:r>
              <w:rPr>
                <w:noProof/>
                <w:webHidden/>
              </w:rPr>
              <w:t>15</w:t>
            </w:r>
            <w:r>
              <w:rPr>
                <w:noProof/>
                <w:webHidden/>
              </w:rPr>
              <w:fldChar w:fldCharType="end"/>
            </w:r>
          </w:hyperlink>
        </w:p>
        <w:p w14:paraId="55063168" w14:textId="7FACF831" w:rsidR="00303D1E" w:rsidRDefault="00303D1E">
          <w:pPr>
            <w:pStyle w:val="TOC2"/>
            <w:tabs>
              <w:tab w:val="right" w:leader="dot" w:pos="9019"/>
            </w:tabs>
            <w:rPr>
              <w:rFonts w:asciiTheme="minorHAnsi" w:eastAsiaTheme="minorEastAsia" w:hAnsiTheme="minorHAnsi" w:cstheme="minorBidi"/>
              <w:noProof/>
              <w:kern w:val="2"/>
              <w:lang w:val="en-IN" w:eastAsia="zh-CN"/>
              <w14:ligatures w14:val="standardContextual"/>
            </w:rPr>
          </w:pPr>
          <w:hyperlink w:anchor="_Toc236762155" w:history="1">
            <w:r w:rsidRPr="006623B7">
              <w:rPr>
                <w:rStyle w:val="Hyperlink"/>
                <w:noProof/>
              </w:rPr>
              <w:t>Appendix 2: Marketing mix</w:t>
            </w:r>
            <w:r>
              <w:rPr>
                <w:noProof/>
                <w:webHidden/>
              </w:rPr>
              <w:tab/>
            </w:r>
            <w:r>
              <w:rPr>
                <w:noProof/>
                <w:webHidden/>
              </w:rPr>
              <w:fldChar w:fldCharType="begin"/>
            </w:r>
            <w:r>
              <w:rPr>
                <w:noProof/>
                <w:webHidden/>
              </w:rPr>
              <w:instrText xml:space="preserve"> PAGEREF _Toc236762155 \h </w:instrText>
            </w:r>
            <w:r>
              <w:rPr>
                <w:noProof/>
                <w:webHidden/>
              </w:rPr>
            </w:r>
            <w:r>
              <w:rPr>
                <w:noProof/>
                <w:webHidden/>
              </w:rPr>
              <w:fldChar w:fldCharType="separate"/>
            </w:r>
            <w:r>
              <w:rPr>
                <w:noProof/>
                <w:webHidden/>
              </w:rPr>
              <w:t>16</w:t>
            </w:r>
            <w:r>
              <w:rPr>
                <w:noProof/>
                <w:webHidden/>
              </w:rPr>
              <w:fldChar w:fldCharType="end"/>
            </w:r>
          </w:hyperlink>
        </w:p>
        <w:p w14:paraId="785A0B6D" w14:textId="69A258B7" w:rsidR="00FF550A" w:rsidRDefault="00FF550A">
          <w:r>
            <w:rPr>
              <w:b/>
              <w:bCs/>
              <w:noProof/>
            </w:rPr>
            <w:fldChar w:fldCharType="end"/>
          </w:r>
        </w:p>
      </w:sdtContent>
    </w:sdt>
    <w:p w14:paraId="32CA40EA" w14:textId="77777777" w:rsidR="00CA4BE2" w:rsidRDefault="00000000">
      <w:pPr>
        <w:jc w:val="center"/>
        <w:rPr>
          <w:b/>
          <w:bCs/>
        </w:rPr>
      </w:pPr>
      <w:r>
        <w:br w:type="page"/>
      </w:r>
    </w:p>
    <w:p w14:paraId="2029FB5F" w14:textId="2F8FD89E" w:rsidR="00D203D7" w:rsidRDefault="00D203D7">
      <w:pPr>
        <w:pStyle w:val="Heading1"/>
      </w:pPr>
      <w:bookmarkStart w:id="0" w:name="_fipi1xced17d" w:colFirst="0" w:colLast="0"/>
      <w:bookmarkStart w:id="1" w:name="_Toc236762132"/>
      <w:bookmarkEnd w:id="0"/>
      <w:r w:rsidRPr="00D203D7">
        <w:lastRenderedPageBreak/>
        <w:t>Element 1: Sustainable Brand Extension Poster Presentation</w:t>
      </w:r>
      <w:bookmarkEnd w:id="1"/>
    </w:p>
    <w:p w14:paraId="148BA752" w14:textId="73773426" w:rsidR="00D203D7" w:rsidRPr="00D203D7" w:rsidRDefault="00D203D7" w:rsidP="00D203D7">
      <w:pPr>
        <w:jc w:val="center"/>
      </w:pPr>
      <w:r>
        <w:rPr>
          <w:noProof/>
        </w:rPr>
        <w:drawing>
          <wp:inline distT="0" distB="0" distL="0" distR="0" wp14:anchorId="3F187AA9" wp14:editId="43464BC6">
            <wp:extent cx="5733415" cy="4043045"/>
            <wp:effectExtent l="0" t="0" r="635" b="0"/>
            <wp:docPr id="59132587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325879"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3415" cy="4043045"/>
                    </a:xfrm>
                    <a:prstGeom prst="rect">
                      <a:avLst/>
                    </a:prstGeom>
                  </pic:spPr>
                </pic:pic>
              </a:graphicData>
            </a:graphic>
          </wp:inline>
        </w:drawing>
      </w:r>
    </w:p>
    <w:p w14:paraId="1429242E" w14:textId="1A007F8D" w:rsidR="00CA4BE2" w:rsidRDefault="00000000">
      <w:pPr>
        <w:pStyle w:val="Heading1"/>
      </w:pPr>
      <w:bookmarkStart w:id="2" w:name="_Toc236762133"/>
      <w:r>
        <w:lastRenderedPageBreak/>
        <w:t>Element 2: Segmentation, Targeting, Differentiation and Positioning (STDP)</w:t>
      </w:r>
      <w:bookmarkEnd w:id="2"/>
      <w:r>
        <w:t xml:space="preserve"> </w:t>
      </w:r>
    </w:p>
    <w:p w14:paraId="095DC404" w14:textId="77777777" w:rsidR="00CA4BE2" w:rsidRDefault="00000000">
      <w:pPr>
        <w:pStyle w:val="Heading2"/>
      </w:pPr>
      <w:bookmarkStart w:id="3" w:name="_h7lrnysrob1t" w:colFirst="0" w:colLast="0"/>
      <w:bookmarkStart w:id="4" w:name="_Toc236762134"/>
      <w:bookmarkEnd w:id="3"/>
      <w:r>
        <w:t>2.1 Market Segmentation</w:t>
      </w:r>
      <w:bookmarkEnd w:id="4"/>
    </w:p>
    <w:p w14:paraId="4CE32A10" w14:textId="29CB2267" w:rsidR="001C3FE9" w:rsidRDefault="001C3FE9" w:rsidP="001C3FE9">
      <w:pPr>
        <w:jc w:val="center"/>
      </w:pPr>
      <w:r w:rsidRPr="001C3FE9">
        <w:rPr>
          <w:noProof/>
        </w:rPr>
        <w:drawing>
          <wp:inline distT="0" distB="0" distL="0" distR="0" wp14:anchorId="70F39997" wp14:editId="211D5401">
            <wp:extent cx="4663844" cy="5372566"/>
            <wp:effectExtent l="76200" t="76200" r="137160" b="133350"/>
            <wp:docPr id="656058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058257" name=""/>
                    <pic:cNvPicPr/>
                  </pic:nvPicPr>
                  <pic:blipFill>
                    <a:blip r:embed="rId9"/>
                    <a:stretch>
                      <a:fillRect/>
                    </a:stretch>
                  </pic:blipFill>
                  <pic:spPr>
                    <a:xfrm>
                      <a:off x="0" y="0"/>
                      <a:ext cx="4663844" cy="537256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06F719A" w14:textId="57B8599A" w:rsidR="001C3FE9" w:rsidRPr="001C3FE9" w:rsidRDefault="001C3FE9" w:rsidP="001C3FE9">
      <w:pPr>
        <w:jc w:val="center"/>
        <w:rPr>
          <w:b/>
          <w:bCs/>
        </w:rPr>
      </w:pPr>
      <w:r w:rsidRPr="001C3FE9">
        <w:rPr>
          <w:b/>
          <w:bCs/>
        </w:rPr>
        <w:t xml:space="preserve">Figure 1: Table of segmentation </w:t>
      </w:r>
    </w:p>
    <w:p w14:paraId="2C65EFDE" w14:textId="7850E113" w:rsidR="001C3FE9" w:rsidRPr="001C3FE9" w:rsidRDefault="001C3FE9" w:rsidP="001C3FE9">
      <w:pPr>
        <w:jc w:val="center"/>
      </w:pPr>
      <w:r>
        <w:t>(Source: Self-developed)</w:t>
      </w:r>
    </w:p>
    <w:p w14:paraId="6D3595FB" w14:textId="77777777" w:rsidR="00CA4BE2" w:rsidRDefault="00000000">
      <w:pPr>
        <w:pStyle w:val="Heading3"/>
      </w:pPr>
      <w:bookmarkStart w:id="5" w:name="_mdvw9ggcfm7l" w:colFirst="0" w:colLast="0"/>
      <w:bookmarkStart w:id="6" w:name="_Toc236762135"/>
      <w:bookmarkEnd w:id="5"/>
      <w:r>
        <w:t>2.1.1 Geographic Segmentation</w:t>
      </w:r>
      <w:bookmarkEnd w:id="6"/>
    </w:p>
    <w:p w14:paraId="3BC7B7CB" w14:textId="77777777" w:rsidR="00CA4BE2" w:rsidRDefault="00000000">
      <w:r>
        <w:t xml:space="preserve">IKEA LoopLiving's main market is IKEA's existing home furnishing markets in Europe, especially in Germany, France, Sweden, the Netherlands and the UK. In addition, it targets urban areas such as London, Berlin, Amsterdam, Paris, and Stockholm. Urban residents are likely to have greater mobility and less available living space. Therefore, the demand for flexible furniture solutions is higher. According to the European Investment Bank, 84% of the EU population sees climate change as a problem, which can make the market for sustainable services preferable for IKEA LoopLiving (EIB, 2025). Thus, focusing on eco-friendly urban </w:t>
      </w:r>
      <w:r>
        <w:lastRenderedPageBreak/>
        <w:t xml:space="preserve">markets enables greater customer acceptance and higher efficiency in reverse logistics operations (Butt </w:t>
      </w:r>
      <w:r>
        <w:rPr>
          <w:i/>
          <w:iCs/>
        </w:rPr>
        <w:t>et al.,</w:t>
      </w:r>
      <w:r>
        <w:t xml:space="preserve"> 2024).</w:t>
      </w:r>
    </w:p>
    <w:p w14:paraId="77E2B917" w14:textId="77777777" w:rsidR="00CA4BE2" w:rsidRDefault="00000000">
      <w:pPr>
        <w:pStyle w:val="Heading3"/>
      </w:pPr>
      <w:bookmarkStart w:id="7" w:name="_gn6drbunh7vm" w:colFirst="0" w:colLast="0"/>
      <w:bookmarkStart w:id="8" w:name="_Toc236762136"/>
      <w:bookmarkEnd w:id="7"/>
      <w:r>
        <w:t>2.1.2 Demographic Segmentation</w:t>
      </w:r>
      <w:bookmarkEnd w:id="8"/>
    </w:p>
    <w:p w14:paraId="4FE39919" w14:textId="77777777" w:rsidR="00CA4BE2" w:rsidRDefault="00000000">
      <w:r>
        <w:t>LoopLiving by IKEA targets individuals in the 22-40 age range, especially the younger generations of Millennials and Generation Z. This includes people of all financial backgrounds but who earn an annual salary of £25,000- £55,000. The target group consists of new graduates, young professionals, remote workers, and people starting their families. Since the members of this group tend to change their residence often due to their job, educational needs or changes in family status, owning furniture long-term does not seem reasonable to them. Traditionally, IKEA promotes itself as a cheap furniture retailer but has at the same time improved its image due to a subscription model that allows people to save money on the initial purchase and still be able to own quality furniture (Zheng, 2026). As a result, there is a good fit between this service and the target group as it allows the company to provide its services to an economically active and price-sensitive audience. This will lead to a process of constant subscriptions by the target audience.</w:t>
      </w:r>
    </w:p>
    <w:p w14:paraId="697523BB" w14:textId="77777777" w:rsidR="00CA4BE2" w:rsidRDefault="00000000">
      <w:pPr>
        <w:pStyle w:val="Heading3"/>
      </w:pPr>
      <w:bookmarkStart w:id="9" w:name="_vuoqthihutry" w:colFirst="0" w:colLast="0"/>
      <w:bookmarkStart w:id="10" w:name="_Toc236762137"/>
      <w:bookmarkEnd w:id="9"/>
      <w:r>
        <w:t>2.1.3 Psychographic Segmentation</w:t>
      </w:r>
      <w:bookmarkEnd w:id="10"/>
    </w:p>
    <w:p w14:paraId="4DE899FE" w14:textId="77777777" w:rsidR="00CA4BE2" w:rsidRDefault="00000000">
      <w:r>
        <w:t xml:space="preserve">IKEA LoopLiving aims to reach out to those consumers whose purchasing behaviour is driven by their environmentally responsible approach, a minimalist lifestyle, and being able to participate in the sharing economy. The market segment in question cares for sustainability and prefers to get access to goods rather than their ownership, which allows them to support zero waste initiatives (Bogusz </w:t>
      </w:r>
      <w:r>
        <w:rPr>
          <w:i/>
          <w:iCs/>
        </w:rPr>
        <w:t>et al.,</w:t>
      </w:r>
      <w:r>
        <w:t xml:space="preserve"> 2023). In accordance with the results of the European Investment Bank, 78% of European residents take sustainability into consideration when making buying decisions, indicating a high potential for the development of circular furniture trade (EIB, 2025). IKEA’s approach to sustainability matches consumer values and strengthens the company’s strategy connected to the circular economy (IKEA, 2025).</w:t>
      </w:r>
    </w:p>
    <w:p w14:paraId="6F68960A" w14:textId="77777777" w:rsidR="00CA4BE2" w:rsidRDefault="00000000">
      <w:pPr>
        <w:pStyle w:val="Heading3"/>
      </w:pPr>
      <w:bookmarkStart w:id="11" w:name="_jzwyf0hbe39f" w:colFirst="0" w:colLast="0"/>
      <w:bookmarkStart w:id="12" w:name="_Toc236762138"/>
      <w:bookmarkEnd w:id="11"/>
      <w:r>
        <w:t>2.1.4 Behavioural Segmentation</w:t>
      </w:r>
      <w:bookmarkEnd w:id="12"/>
    </w:p>
    <w:p w14:paraId="1A50E5A3" w14:textId="1185C9BA" w:rsidR="00CA4BE2" w:rsidRDefault="00000000">
      <w:r>
        <w:t xml:space="preserve">Behavioural segmentation is based on consumers who acquire furniture when moving house, remodelling a dwelling or experiencing some changes in their family situations, who are increasingly keen on suitable online shopping. Present customers of IKEA know quite a lot about budget furniture and environmental protection initiatives; hence, they are more prone to accept additional circular services like LoopLiving. People usually need flexibility, affordability and convenience in their purchases, while they are more active in online shopping and buy-back programs (Ferraro </w:t>
      </w:r>
      <w:r>
        <w:rPr>
          <w:i/>
          <w:iCs/>
        </w:rPr>
        <w:t>et al.,</w:t>
      </w:r>
      <w:r>
        <w:t xml:space="preserve"> 2024). </w:t>
      </w:r>
      <w:r w:rsidR="00FF550A">
        <w:t>Key</w:t>
      </w:r>
      <w:r>
        <w:t xml:space="preserve"> features of their purchasing behaviour favour the application of recurrent subscription models since repeated purchases create loyalty </w:t>
      </w:r>
      <w:r>
        <w:lastRenderedPageBreak/>
        <w:t>and customer lifetime value. IKEA LoopLiving thus turns periodic purchases into permanent service relations while boosting the growth of revenues and contributing to the long-term circular business model of IKEA.</w:t>
      </w:r>
    </w:p>
    <w:p w14:paraId="2C865630" w14:textId="77777777" w:rsidR="00CA4BE2" w:rsidRDefault="00000000">
      <w:pPr>
        <w:pStyle w:val="Heading2"/>
      </w:pPr>
      <w:bookmarkStart w:id="13" w:name="_8t61u9wp5wuv" w:colFirst="0" w:colLast="0"/>
      <w:bookmarkStart w:id="14" w:name="_Toc236762139"/>
      <w:bookmarkEnd w:id="13"/>
      <w:r>
        <w:t>2.2 Target Market</w:t>
      </w:r>
      <w:bookmarkEnd w:id="14"/>
    </w:p>
    <w:p w14:paraId="38A53D37" w14:textId="77777777" w:rsidR="00CA4BE2" w:rsidRDefault="00000000">
      <w:r>
        <w:t>IKEA LoopLiving uses a concentrated targeting technique as it caters primarily to urban renters aged between 22 and 40 years from Generation Z and Millennial cohorts, including students, young professionals and new families looking for reasonable and sustainable home furnishing solutions. The secondary target is eco-conscious families who are becoming increasingly aware of the idea of circular consumption. This market is appealing since young consumers are known to be more willing to accept subscription services and models based on access. It has been noticed that 55% of Generation Z and Millennial consumers use sustainable criteria while making purchases, which signifies a possibility for the growth of the brand (PWC, 2025).</w:t>
      </w:r>
    </w:p>
    <w:p w14:paraId="362A2F4A" w14:textId="77777777" w:rsidR="00CA4BE2" w:rsidRDefault="00000000">
      <w:pPr>
        <w:pStyle w:val="Heading2"/>
      </w:pPr>
      <w:bookmarkStart w:id="15" w:name="_l89nu1yyuv5d" w:colFirst="0" w:colLast="0"/>
      <w:bookmarkStart w:id="16" w:name="_Toc236762140"/>
      <w:bookmarkEnd w:id="15"/>
      <w:r>
        <w:t>2.3 Differentiation Strategy</w:t>
      </w:r>
      <w:bookmarkEnd w:id="16"/>
    </w:p>
    <w:p w14:paraId="0B64E83A" w14:textId="77777777" w:rsidR="00CA4BE2" w:rsidRDefault="00000000">
      <w:r>
        <w:t xml:space="preserve">LoopLiving sets itself apart from rival companies such as Wayfair, DFS, Lowe's and JYSK by introducing the concept of Furniture-as-a-Service into the already existing circular ecosystem of IKEA. As opposed to their competitors who depend on one-time sales transactions, LoopLiving brings together a unique blend of subscription-based acquisition, buy-back offers, refurbishment and recycling in order to promote sustainable consumption that involves less waste. With the support from the established Scandinavian style of IKEA, its digital perspective, and deliveries throughout the country, LoopLiving ensures affordable sustainable consumption with reduced risks associated with ownership. This combination of all circular elements makes it more difficult for competitors to offer the same services through conventional retailing methods (Mora Chaves </w:t>
      </w:r>
      <w:r>
        <w:rPr>
          <w:i/>
          <w:iCs/>
        </w:rPr>
        <w:t>et al.,</w:t>
      </w:r>
      <w:r>
        <w:t xml:space="preserve"> 2026).</w:t>
      </w:r>
    </w:p>
    <w:p w14:paraId="392DB158" w14:textId="77777777" w:rsidR="00CA4BE2" w:rsidRDefault="00000000">
      <w:pPr>
        <w:pStyle w:val="Heading2"/>
      </w:pPr>
      <w:bookmarkStart w:id="17" w:name="_gf0hapda97v1" w:colFirst="0" w:colLast="0"/>
      <w:bookmarkStart w:id="18" w:name="_Toc236762141"/>
      <w:bookmarkEnd w:id="17"/>
      <w:r>
        <w:lastRenderedPageBreak/>
        <w:t>2.4 Positioning Strategy</w:t>
      </w:r>
      <w:bookmarkEnd w:id="18"/>
    </w:p>
    <w:p w14:paraId="28F94042" w14:textId="77777777" w:rsidR="00CA4BE2" w:rsidRDefault="00000000">
      <w:pPr>
        <w:jc w:val="center"/>
      </w:pPr>
      <w:r>
        <w:rPr>
          <w:noProof/>
        </w:rPr>
        <w:drawing>
          <wp:inline distT="114300" distB="114300" distL="114300" distR="114300" wp14:anchorId="497C1B84" wp14:editId="39387AE9">
            <wp:extent cx="4432477" cy="3026159"/>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432477" cy="3026159"/>
                    </a:xfrm>
                    <a:prstGeom prst="rect">
                      <a:avLst/>
                    </a:prstGeom>
                    <a:ln w="25400">
                      <a:solidFill>
                        <a:srgbClr val="000000"/>
                      </a:solidFill>
                      <a:prstDash val="solid"/>
                    </a:ln>
                  </pic:spPr>
                </pic:pic>
              </a:graphicData>
            </a:graphic>
          </wp:inline>
        </w:drawing>
      </w:r>
    </w:p>
    <w:p w14:paraId="7D22DBCB" w14:textId="77777777" w:rsidR="00CA4BE2" w:rsidRDefault="00000000">
      <w:pPr>
        <w:jc w:val="center"/>
        <w:rPr>
          <w:b/>
          <w:bCs/>
        </w:rPr>
      </w:pPr>
      <w:r>
        <w:rPr>
          <w:b/>
          <w:bCs/>
        </w:rPr>
        <w:t xml:space="preserve">Figure 2: Position map </w:t>
      </w:r>
    </w:p>
    <w:p w14:paraId="3D570750" w14:textId="77777777" w:rsidR="00CA4BE2" w:rsidRDefault="00000000">
      <w:pPr>
        <w:jc w:val="center"/>
      </w:pPr>
      <w:r>
        <w:t>(Source: Self-developed)</w:t>
      </w:r>
    </w:p>
    <w:p w14:paraId="4EC0589C" w14:textId="77777777" w:rsidR="00CA4BE2" w:rsidRDefault="00000000">
      <w:r>
        <w:t>According to the positioning map, a unique position has been secured by IKEA LoopLiving by providing high design quality and reasonable prices, which distinguishes it from Wayfair, which earned global revenues of US$11.9 billion in 2025 through price-based online retailing, as well as from JYSK, which runs more than 3,500 stores worldwide with a focus on value furniture (JYSK, 2025). At the same time, the value proposition of IKEA LoopLiving includes affordable prices, Scandinavian design, and a smart circular business model of Furniture-as-a-Service, allowing for maximum benefits for users while minimising wastage. Such unique positioning leads to a competitive advantage by bringing environmental value and a flexible ownership model that has never been seen in furniture retail.</w:t>
      </w:r>
    </w:p>
    <w:p w14:paraId="44143CA0" w14:textId="77777777" w:rsidR="00CA4BE2" w:rsidRDefault="00000000">
      <w:pPr>
        <w:pStyle w:val="Heading1"/>
      </w:pPr>
      <w:bookmarkStart w:id="19" w:name="_cq1odf1tnlmj" w:colFirst="0" w:colLast="0"/>
      <w:bookmarkStart w:id="20" w:name="_Toc236762142"/>
      <w:bookmarkEnd w:id="19"/>
      <w:r>
        <w:lastRenderedPageBreak/>
        <w:t>Element 3: Marketing Mix (7Ps)</w:t>
      </w:r>
      <w:bookmarkEnd w:id="20"/>
      <w:r>
        <w:t xml:space="preserve"> </w:t>
      </w:r>
    </w:p>
    <w:p w14:paraId="18BA62B5" w14:textId="3E785DCB" w:rsidR="00BA24B3" w:rsidRDefault="00BA24B3" w:rsidP="00BA24B3">
      <w:pPr>
        <w:jc w:val="center"/>
      </w:pPr>
      <w:r w:rsidRPr="00BA24B3">
        <w:rPr>
          <w:noProof/>
        </w:rPr>
        <w:drawing>
          <wp:inline distT="0" distB="0" distL="0" distR="0" wp14:anchorId="2AB306DE" wp14:editId="4EECB1C9">
            <wp:extent cx="5733415" cy="3915410"/>
            <wp:effectExtent l="76200" t="76200" r="133985" b="142240"/>
            <wp:docPr id="1218099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099436" name=""/>
                    <pic:cNvPicPr/>
                  </pic:nvPicPr>
                  <pic:blipFill>
                    <a:blip r:embed="rId11"/>
                    <a:stretch>
                      <a:fillRect/>
                    </a:stretch>
                  </pic:blipFill>
                  <pic:spPr>
                    <a:xfrm>
                      <a:off x="0" y="0"/>
                      <a:ext cx="5733415" cy="39154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D1E66D6" w14:textId="0795D8CD" w:rsidR="00BA24B3" w:rsidRPr="00BA24B3" w:rsidRDefault="00BA24B3" w:rsidP="00BA24B3">
      <w:pPr>
        <w:jc w:val="center"/>
        <w:rPr>
          <w:b/>
          <w:bCs/>
        </w:rPr>
      </w:pPr>
      <w:r w:rsidRPr="00BA24B3">
        <w:rPr>
          <w:b/>
          <w:bCs/>
        </w:rPr>
        <w:t>Figure 3: Marketing mix table</w:t>
      </w:r>
    </w:p>
    <w:p w14:paraId="287EF862" w14:textId="3E6C61BA" w:rsidR="00BA24B3" w:rsidRPr="00BA24B3" w:rsidRDefault="00BA24B3" w:rsidP="00BA24B3">
      <w:pPr>
        <w:jc w:val="center"/>
      </w:pPr>
      <w:r>
        <w:t>(Source: Self-developed)</w:t>
      </w:r>
    </w:p>
    <w:p w14:paraId="5766ABCD" w14:textId="77777777" w:rsidR="00CA4BE2" w:rsidRDefault="00000000">
      <w:pPr>
        <w:pStyle w:val="Heading2"/>
      </w:pPr>
      <w:bookmarkStart w:id="21" w:name="_s3k3e8ewq1a2" w:colFirst="0" w:colLast="0"/>
      <w:bookmarkStart w:id="22" w:name="_Toc236762143"/>
      <w:bookmarkEnd w:id="21"/>
      <w:r>
        <w:t>3.1 Introduction</w:t>
      </w:r>
      <w:bookmarkEnd w:id="22"/>
      <w:r>
        <w:t xml:space="preserve"> </w:t>
      </w:r>
    </w:p>
    <w:p w14:paraId="18D9C3F9" w14:textId="77777777" w:rsidR="00CA4BE2" w:rsidRDefault="00000000">
      <w:r>
        <w:t xml:space="preserve">7Ps marketing mix is the best way to implement IKEA LoopLiving sustainability brand extension and obtain a competitive advantage over rivals. Every marketing aspect ensures compliance with the circular economy model and adaptation to changing consumer preferences. By including product, price, place, promotion, people, process and physical evidence, IKEA is able to implement LoopLiving successfully in the future. </w:t>
      </w:r>
    </w:p>
    <w:p w14:paraId="753FDB87" w14:textId="77777777" w:rsidR="00CA4BE2" w:rsidRDefault="00000000">
      <w:pPr>
        <w:pStyle w:val="Heading2"/>
      </w:pPr>
      <w:bookmarkStart w:id="23" w:name="_njyd6h9vh51l" w:colFirst="0" w:colLast="0"/>
      <w:bookmarkStart w:id="24" w:name="_Toc236762144"/>
      <w:bookmarkEnd w:id="23"/>
      <w:r>
        <w:t>3.2 Product</w:t>
      </w:r>
      <w:bookmarkEnd w:id="24"/>
      <w:r>
        <w:t xml:space="preserve"> </w:t>
      </w:r>
    </w:p>
    <w:p w14:paraId="2DD5D377" w14:textId="77777777" w:rsidR="00CA4BE2" w:rsidRDefault="00000000">
      <w:r>
        <w:t xml:space="preserve">IKEA LoopLiving provides a Furniture-as-a-Service delivery through flexible monthly subscription packages that allow for renting, exchanging and returning of furniture items on a regular basis. The service combines current IKEA buy-back, refurbishing and repairing programs that help extend the product life cycle and minimise material waste production (Mahalakshmi </w:t>
      </w:r>
      <w:r>
        <w:rPr>
          <w:i/>
          <w:iCs/>
        </w:rPr>
        <w:t>et al.,</w:t>
      </w:r>
      <w:r>
        <w:t xml:space="preserve"> 2024). By using the principles of Scandinavian design, the quality of refurbished furniture is acquired and maintained at low environmental and economic expense. </w:t>
      </w:r>
      <w:r>
        <w:lastRenderedPageBreak/>
        <w:t>The implementation of this strategy contributes to greater affordability and convenience and makes it possible to achieve a positive sustainability effect.</w:t>
      </w:r>
    </w:p>
    <w:p w14:paraId="7F1E34CC" w14:textId="77777777" w:rsidR="00CA4BE2" w:rsidRDefault="00000000">
      <w:pPr>
        <w:pStyle w:val="Heading2"/>
      </w:pPr>
      <w:bookmarkStart w:id="25" w:name="_2pqalqxxnk2b" w:colFirst="0" w:colLast="0"/>
      <w:bookmarkStart w:id="26" w:name="_Toc236762145"/>
      <w:bookmarkEnd w:id="25"/>
      <w:r>
        <w:t>3.3 Price</w:t>
      </w:r>
      <w:bookmarkEnd w:id="26"/>
    </w:p>
    <w:p w14:paraId="44DC7BA2" w14:textId="77777777" w:rsidR="00CA4BE2" w:rsidRDefault="00000000">
      <w:r>
        <w:t xml:space="preserve">IKEA LoopLiving employs subscription pricing based on the principle of value creation, coupled with penetration pricing, to encourage the participation of price-sensitive individuals belonging to Generation Z and millennial renters in the box. The subscription-based system makes purchasing furniture much easier and more cost-effective while allowing IKEA to retain its customers through the use of refundable deposits, buy-back bonuses, and other advantages offered to the IKEA Family loyalty program members (Verma </w:t>
      </w:r>
      <w:r>
        <w:rPr>
          <w:i/>
          <w:iCs/>
        </w:rPr>
        <w:t>et al.,</w:t>
      </w:r>
      <w:r>
        <w:t xml:space="preserve"> 2025).  The pricing strategy complements the policy of price reduction, as evidenced by the 10% price decrease the company made during the last two years, which increased the number of clients and its market share in FY2025 (IKEA, 2025). Thus, the model of subscription revenue will help IKEA improve customer access to its products and get profit simultaneously.</w:t>
      </w:r>
    </w:p>
    <w:p w14:paraId="597FC3B3" w14:textId="77777777" w:rsidR="00CA4BE2" w:rsidRDefault="00000000">
      <w:pPr>
        <w:pStyle w:val="Heading2"/>
      </w:pPr>
      <w:bookmarkStart w:id="27" w:name="_8vhc34ax32vd" w:colFirst="0" w:colLast="0"/>
      <w:bookmarkStart w:id="28" w:name="_Toc236762146"/>
      <w:bookmarkEnd w:id="27"/>
      <w:r>
        <w:t>3.4 Place (Distribution)</w:t>
      </w:r>
      <w:bookmarkEnd w:id="28"/>
    </w:p>
    <w:p w14:paraId="15839FAB" w14:textId="77777777" w:rsidR="00CA4BE2" w:rsidRDefault="00000000">
      <w:r>
        <w:t>IKEA LoopLiving uses an integrated omnichannel distribution strategy that combines IKEA stores, website, mobile app, click-and-collect services, home delivery and special collection points supported by reverse logistics. Instead of creating new infrastructure, the extension uses IKEA’s distribution chain to achieve operational efficiency in providing services. Its sales performance during FY2025 was driven by the opening of 66 new retail points and an increase in store visitors to 915 million, thus confirming physical performance in terms of providing rental collection and refurbishment services (IKEA, 2025). Therefore, the distribution strategy enables high access to services and product flow, high efficiency of operation processes and availability of IKEA LoopLiving service in the majority of the urban markets.</w:t>
      </w:r>
    </w:p>
    <w:p w14:paraId="75911D56" w14:textId="77777777" w:rsidR="00CA4BE2" w:rsidRDefault="00000000">
      <w:pPr>
        <w:rPr>
          <w:b/>
          <w:bCs/>
        </w:rPr>
      </w:pPr>
      <w:r>
        <w:rPr>
          <w:b/>
          <w:bCs/>
        </w:rPr>
        <w:t>3.5 Promotion</w:t>
      </w:r>
    </w:p>
    <w:p w14:paraId="5B1F719D" w14:textId="77777777" w:rsidR="00CA4BE2" w:rsidRDefault="00000000">
      <w:r>
        <w:t xml:space="preserve">IKEA LoopLiving uses an Integrated Marketing Communications (IMC) approach by integrating social media, influencer collaborations, sustainability storytelling, content marketing, email marketing, user-created content, public relations, and the IKEA Family loyalty program to convey its idea of circulatory value consistently. Instead of highlighting ownership of furniture, communications focus on offering a suitable price, durability, and ecologically sound furniture choices, facilitating a shift to sustainable practice (D’Itria </w:t>
      </w:r>
      <w:r>
        <w:rPr>
          <w:i/>
          <w:iCs/>
        </w:rPr>
        <w:t>et al.,</w:t>
      </w:r>
      <w:r>
        <w:t xml:space="preserve"> 2024). IKEA´s great online presence, with 4.2 billion visits through its online channels in FY2025, plays an important role when it comes to reaching the customers and implementing targeted promotional campaigns (IKEA, 2025). This means that integrated communications </w:t>
      </w:r>
      <w:r>
        <w:lastRenderedPageBreak/>
        <w:t>enhance brand acknowledgement, customer involvement, and long-term adoption of the LoopLiving sustainable subscription service.</w:t>
      </w:r>
    </w:p>
    <w:p w14:paraId="60567A29" w14:textId="77777777" w:rsidR="00CA4BE2" w:rsidRDefault="00000000">
      <w:pPr>
        <w:pStyle w:val="Heading2"/>
      </w:pPr>
      <w:bookmarkStart w:id="29" w:name="_qop4aee1bvl" w:colFirst="0" w:colLast="0"/>
      <w:bookmarkStart w:id="30" w:name="_Toc236762147"/>
      <w:bookmarkEnd w:id="29"/>
      <w:r>
        <w:t>3.6 People</w:t>
      </w:r>
      <w:bookmarkEnd w:id="30"/>
    </w:p>
    <w:p w14:paraId="709966D6" w14:textId="77777777" w:rsidR="00CA4BE2" w:rsidRDefault="00000000">
      <w:r>
        <w:t>The factor of success here is represented by people since LoopLiving’s services are ongoing services rather than one-time product purchases. Employees need to undergo sustainability training to effectively assist customers in understanding the principles of the circular economy, while a system of repair specialists allows ensuring that refurbished products meet IKEA’s quality standards. Customer service departments and delivery personnel build trust by being responsive during all stages of subscription, while the system of management of customer relations helps develop personalised approaches that allow improving retention (Nansubuga and Kowalkowski, 2024). Thus, service-oriented people turn sustainability from the company’s commitment into the customer experience, making the employees knowledgeable to ensure high service quality.</w:t>
      </w:r>
    </w:p>
    <w:p w14:paraId="480B07D1" w14:textId="77777777" w:rsidR="00CA4BE2" w:rsidRDefault="00000000">
      <w:pPr>
        <w:pStyle w:val="Heading2"/>
      </w:pPr>
      <w:bookmarkStart w:id="31" w:name="_w2yzr03tykc0" w:colFirst="0" w:colLast="0"/>
      <w:bookmarkStart w:id="32" w:name="_Toc236762148"/>
      <w:bookmarkEnd w:id="31"/>
      <w:r>
        <w:t>3.7 Process</w:t>
      </w:r>
      <w:bookmarkEnd w:id="32"/>
    </w:p>
    <w:p w14:paraId="6A37C24D" w14:textId="77777777" w:rsidR="00CA4BE2" w:rsidRDefault="00000000">
      <w:r>
        <w:t xml:space="preserve">IKEA LoopLiving runs a circular service process that integrates digital subscription, choosing the product online and delivering it home via IKEA’s omnichannel platform. After the purchase, customers can enjoy maintenance, repairs, or exchange services and return their furniture via a collection point or pre-arranged pick-up service. The returned goods undergo a process of inspection, restoration, and quality assurance and then either return to rental service again or get recycled (Rinaldi </w:t>
      </w:r>
      <w:r>
        <w:rPr>
          <w:i/>
          <w:iCs/>
        </w:rPr>
        <w:t>et al.,</w:t>
      </w:r>
      <w:r>
        <w:t xml:space="preserve"> 2025). If conventional retail processes stop at the moment of purchase, IKEA’s closed-loop process prolongs the life cycle of products and helps to use resources efficiently. Thus, the circular service eliminates waste and allows customers to enjoy convenience.</w:t>
      </w:r>
    </w:p>
    <w:p w14:paraId="7825FAF5" w14:textId="77777777" w:rsidR="00CA4BE2" w:rsidRDefault="00000000">
      <w:pPr>
        <w:pStyle w:val="Heading2"/>
      </w:pPr>
      <w:bookmarkStart w:id="33" w:name="_c435e7hfzjy3" w:colFirst="0" w:colLast="0"/>
      <w:bookmarkStart w:id="34" w:name="_Toc236762149"/>
      <w:bookmarkEnd w:id="33"/>
      <w:r>
        <w:t>3.8 Physical Evidence</w:t>
      </w:r>
      <w:bookmarkEnd w:id="34"/>
    </w:p>
    <w:p w14:paraId="641973ED" w14:textId="2C9CC129" w:rsidR="00CA4BE2" w:rsidRDefault="00000000">
      <w:r>
        <w:t xml:space="preserve">Physical evidence makes IKEA LoopLiving’s circular value proposition real through all customer interactions. IKEA stores are experience </w:t>
      </w:r>
      <w:r w:rsidR="005766E8">
        <w:t>centres</w:t>
      </w:r>
      <w:r>
        <w:t xml:space="preserve"> where customers interact with its subscription offering and refurbished products (Ferraro </w:t>
      </w:r>
      <w:r>
        <w:rPr>
          <w:i/>
          <w:iCs/>
        </w:rPr>
        <w:t>et al.,</w:t>
      </w:r>
      <w:r>
        <w:t xml:space="preserve"> 2024). Green packaging, eco-</w:t>
      </w:r>
      <w:r w:rsidR="005766E8">
        <w:t>labelling</w:t>
      </w:r>
      <w:r>
        <w:t xml:space="preserve">, and circular branding reaffirm its commitment to environmental sustainability. Also, the easy-to-use digital platform, refurbishment </w:t>
      </w:r>
      <w:r w:rsidR="005766E8">
        <w:t>centres</w:t>
      </w:r>
      <w:r>
        <w:t>, and customer reviews establish service credibility and reduce the risk of using rented products. Additionally, sustainability certifications build the company’s reputation and differentiate LoopLiving from traditional furniture retailers. Overall, physical evidence and digital interactions create confidence in customers and ensure quality of services.</w:t>
      </w:r>
    </w:p>
    <w:p w14:paraId="3F812CBB" w14:textId="77777777" w:rsidR="00CA4BE2" w:rsidRDefault="00000000">
      <w:pPr>
        <w:pStyle w:val="Heading2"/>
      </w:pPr>
      <w:bookmarkStart w:id="35" w:name="_qnt2ywr494q6" w:colFirst="0" w:colLast="0"/>
      <w:bookmarkStart w:id="36" w:name="_Toc236762150"/>
      <w:bookmarkEnd w:id="35"/>
      <w:r>
        <w:lastRenderedPageBreak/>
        <w:t>3.9 Summary of Marketing Mix</w:t>
      </w:r>
      <w:bookmarkEnd w:id="36"/>
    </w:p>
    <w:p w14:paraId="599DCF69" w14:textId="77777777" w:rsidR="00CA4BE2" w:rsidRDefault="00000000">
      <w:r>
        <w:t>The integrated 7Ps marketing mix makes it possible for IKEA LoopLiving to implement a comprehensive circular business model combining affordability, convenience, and sustainability. The first four Ps target environmentally conscious consumers, while the three Ps enhance the service quality and customer satisfaction. Overall, all elements contribute to differentiation, enhance recurring engagement of customers, and support IKEA’s transition to a profitable circular economy model.</w:t>
      </w:r>
    </w:p>
    <w:p w14:paraId="162AC1F1" w14:textId="77777777" w:rsidR="00CA4BE2" w:rsidRDefault="00000000">
      <w:pPr>
        <w:pStyle w:val="Heading1"/>
      </w:pPr>
      <w:bookmarkStart w:id="37" w:name="_a6fos2vwznre" w:colFirst="0" w:colLast="0"/>
      <w:bookmarkStart w:id="38" w:name="_Toc236762151"/>
      <w:bookmarkEnd w:id="37"/>
      <w:r>
        <w:t>Element 4: Reflection</w:t>
      </w:r>
      <w:bookmarkEnd w:id="38"/>
    </w:p>
    <w:p w14:paraId="015F0961" w14:textId="77777777" w:rsidR="00CA4BE2" w:rsidRDefault="00000000">
      <w:pPr>
        <w:rPr>
          <w:b/>
          <w:bCs/>
          <w:i/>
          <w:iCs/>
        </w:rPr>
      </w:pPr>
      <w:r>
        <w:rPr>
          <w:b/>
          <w:bCs/>
          <w:i/>
          <w:iCs/>
        </w:rPr>
        <w:t>Description</w:t>
      </w:r>
    </w:p>
    <w:p w14:paraId="35F78503" w14:textId="77777777" w:rsidR="00CA4BE2" w:rsidRDefault="00000000">
      <w:r>
        <w:t xml:space="preserve">Creating the IKEA Bill of Material sustainable brand extension gave me a chance to put marketing theories into a practical business setting. The initiative included studying IKEA's sustainability plan and designing a Furniture-as-a-Service concept that serves the company’s circular economy goals, including renting, salvaging, and buyback services (Pei </w:t>
      </w:r>
      <w:r>
        <w:rPr>
          <w:i/>
          <w:iCs/>
        </w:rPr>
        <w:t>et al.,</w:t>
      </w:r>
      <w:r>
        <w:t xml:space="preserve"> 2024). The process of developing the poster included the task of condensing complicated information into understandable visual content that includes sufficient evidence backing up the idea of the extension. In the course of the presentation, I discussed the strategic reasoning behind the idea, market opportunities, and sustainable value proposition, which helped me enhance my skills in conveying marketing ideas and answering academic questions.</w:t>
      </w:r>
    </w:p>
    <w:p w14:paraId="73B69576" w14:textId="77777777" w:rsidR="00CA4BE2" w:rsidRDefault="00000000">
      <w:pPr>
        <w:rPr>
          <w:b/>
          <w:bCs/>
          <w:i/>
          <w:iCs/>
        </w:rPr>
      </w:pPr>
      <w:r>
        <w:rPr>
          <w:b/>
          <w:bCs/>
          <w:i/>
          <w:iCs/>
        </w:rPr>
        <w:t>Feelings</w:t>
      </w:r>
    </w:p>
    <w:p w14:paraId="3E90BF36" w14:textId="77777777" w:rsidR="00CA4BE2" w:rsidRDefault="00000000">
      <w:r>
        <w:t>At first, I found it difficult to combine sustainability ideas with strategic marketing ideas because the brand extension in question should be commercially profitable while also supporting environmental goals of IKEA. I was also worried about delivering the idea that is different from IKEA shopping concept. Nevertheless, when I started exploring IKEA’s circular economy initiatives and consumer trends, my self-confidence grew.</w:t>
      </w:r>
    </w:p>
    <w:p w14:paraId="52045175" w14:textId="77777777" w:rsidR="00CA4BE2" w:rsidRDefault="00000000">
      <w:pPr>
        <w:rPr>
          <w:b/>
          <w:bCs/>
          <w:i/>
          <w:iCs/>
        </w:rPr>
      </w:pPr>
      <w:r>
        <w:rPr>
          <w:b/>
          <w:bCs/>
          <w:i/>
          <w:iCs/>
        </w:rPr>
        <w:t>Evaluation</w:t>
      </w:r>
    </w:p>
    <w:p w14:paraId="0AB5E35A" w14:textId="77777777" w:rsidR="00CA4BE2" w:rsidRDefault="00000000">
      <w:r>
        <w:t>A key merit of the project lay in its ability to combine theoretical frameworks like STDP and the 7Ps marketing mix into a unified sustainable marketing strategy rather than discussing them separately. The poster also communicated how customer needs, circular economy principles and IKEA's business objectives were related to each other. Having said that, simplifying strategic information into a short poster format was difficult. I have been identified that it would be beneficial to review some financial and operational aspects of the subscription model as justifications for IKEA LoopLiving's business model.</w:t>
      </w:r>
    </w:p>
    <w:p w14:paraId="7EDFB21B" w14:textId="77777777" w:rsidR="00CA4BE2" w:rsidRDefault="00000000">
      <w:pPr>
        <w:rPr>
          <w:b/>
          <w:bCs/>
          <w:i/>
          <w:iCs/>
        </w:rPr>
      </w:pPr>
      <w:r>
        <w:rPr>
          <w:b/>
          <w:bCs/>
          <w:i/>
          <w:iCs/>
        </w:rPr>
        <w:t>Analysis</w:t>
      </w:r>
    </w:p>
    <w:p w14:paraId="66C0C1C6" w14:textId="77777777" w:rsidR="00CA4BE2" w:rsidRDefault="00000000">
      <w:r>
        <w:lastRenderedPageBreak/>
        <w:t xml:space="preserve">The project made an important contribution to the understanding of strategic marketing by showing how sustainability can be used to gain a competitive advantage rather than just being a part of companies' social responsibilities (Padilla-Lozano and </w:t>
      </w:r>
      <w:proofErr w:type="spellStart"/>
      <w:r>
        <w:t>Collazzo</w:t>
      </w:r>
      <w:proofErr w:type="spellEnd"/>
      <w:r>
        <w:t>, 2022). I improved my skills in market segmentation, positioning, consumer behaviour studies, and new product development using the academic theories mentioned in the project when applied to IKEA's business. I also strengthened my analytical skills by studying reports of the company as well as industry data.</w:t>
      </w:r>
    </w:p>
    <w:p w14:paraId="0BD6AE76" w14:textId="77777777" w:rsidR="00CA4BE2" w:rsidRDefault="00000000">
      <w:pPr>
        <w:rPr>
          <w:b/>
          <w:bCs/>
          <w:i/>
          <w:iCs/>
        </w:rPr>
      </w:pPr>
      <w:r>
        <w:rPr>
          <w:b/>
          <w:bCs/>
          <w:i/>
          <w:iCs/>
        </w:rPr>
        <w:t>Conclusion</w:t>
      </w:r>
    </w:p>
    <w:p w14:paraId="45EF9D10" w14:textId="77777777" w:rsidR="00CA4BE2" w:rsidRDefault="00000000">
      <w:r>
        <w:t>In general, this experience has shown that in order for sustainable brand development to be successful there must be a strategic alignment among customer expectations, business goals and responsibility towards the environment. It proved how vital it is to base one’s decisions on facts, apply critical thinking and have an inclusive marketing plan when devising new products like IKEA LoopLiving services.</w:t>
      </w:r>
    </w:p>
    <w:p w14:paraId="1469517F" w14:textId="77777777" w:rsidR="00CA4BE2" w:rsidRDefault="00000000">
      <w:pPr>
        <w:rPr>
          <w:i/>
          <w:iCs/>
        </w:rPr>
      </w:pPr>
      <w:r>
        <w:rPr>
          <w:b/>
          <w:bCs/>
          <w:i/>
          <w:iCs/>
        </w:rPr>
        <w:t>Action Plan</w:t>
      </w:r>
    </w:p>
    <w:tbl>
      <w:tblPr>
        <w:tblStyle w:val="a"/>
        <w:tblW w:w="89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220"/>
        <w:gridCol w:w="6705"/>
      </w:tblGrid>
      <w:tr w:rsidR="00CA4BE2" w14:paraId="37D016CA" w14:textId="77777777">
        <w:trPr>
          <w:trHeight w:val="720"/>
        </w:trPr>
        <w:tc>
          <w:tcPr>
            <w:tcW w:w="222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27683115" w14:textId="77777777" w:rsidR="00CA4BE2" w:rsidRDefault="00000000">
            <w:pPr>
              <w:spacing w:after="160" w:line="276" w:lineRule="auto"/>
              <w:jc w:val="center"/>
              <w:rPr>
                <w:b/>
                <w:bCs/>
              </w:rPr>
            </w:pPr>
            <w:r>
              <w:rPr>
                <w:b/>
                <w:bCs/>
              </w:rPr>
              <w:t>Future Development Area</w:t>
            </w:r>
          </w:p>
        </w:tc>
        <w:tc>
          <w:tcPr>
            <w:tcW w:w="6705" w:type="dxa"/>
            <w:tcBorders>
              <w:top w:val="single" w:sz="4" w:space="0" w:color="000000"/>
              <w:left w:val="nil"/>
              <w:bottom w:val="single" w:sz="4" w:space="0" w:color="000000"/>
              <w:right w:val="single" w:sz="4" w:space="0" w:color="000000"/>
            </w:tcBorders>
            <w:tcMar>
              <w:top w:w="0" w:type="dxa"/>
              <w:left w:w="100" w:type="dxa"/>
              <w:bottom w:w="0" w:type="dxa"/>
              <w:right w:w="100" w:type="dxa"/>
            </w:tcMar>
          </w:tcPr>
          <w:p w14:paraId="632FB217" w14:textId="77777777" w:rsidR="00CA4BE2" w:rsidRDefault="00000000">
            <w:pPr>
              <w:spacing w:after="160" w:line="276" w:lineRule="auto"/>
              <w:jc w:val="center"/>
              <w:rPr>
                <w:b/>
                <w:bCs/>
              </w:rPr>
            </w:pPr>
            <w:r>
              <w:rPr>
                <w:b/>
                <w:bCs/>
              </w:rPr>
              <w:t>Action Plan</w:t>
            </w:r>
          </w:p>
        </w:tc>
      </w:tr>
      <w:tr w:rsidR="00CA4BE2" w14:paraId="437662C8" w14:textId="77777777">
        <w:trPr>
          <w:trHeight w:val="720"/>
        </w:trPr>
        <w:tc>
          <w:tcPr>
            <w:tcW w:w="22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45071594" w14:textId="77777777" w:rsidR="00CA4BE2" w:rsidRDefault="00000000">
            <w:pPr>
              <w:spacing w:after="160" w:line="276" w:lineRule="auto"/>
            </w:pPr>
            <w:r>
              <w:t>Strategic marketing analysis</w:t>
            </w:r>
          </w:p>
        </w:tc>
        <w:tc>
          <w:tcPr>
            <w:tcW w:w="6705" w:type="dxa"/>
            <w:tcBorders>
              <w:top w:val="nil"/>
              <w:left w:val="nil"/>
              <w:bottom w:val="single" w:sz="4" w:space="0" w:color="000000"/>
              <w:right w:val="single" w:sz="4" w:space="0" w:color="000000"/>
            </w:tcBorders>
            <w:tcMar>
              <w:top w:w="0" w:type="dxa"/>
              <w:left w:w="100" w:type="dxa"/>
              <w:bottom w:w="0" w:type="dxa"/>
              <w:right w:w="100" w:type="dxa"/>
            </w:tcMar>
          </w:tcPr>
          <w:p w14:paraId="3BD3B292" w14:textId="77777777" w:rsidR="00CA4BE2" w:rsidRDefault="00000000">
            <w:pPr>
              <w:spacing w:after="160" w:line="276" w:lineRule="auto"/>
            </w:pPr>
            <w:r>
              <w:t>Strengthen my ability to evaluate financial feasibility and implementation risks using advanced strategic planning tools.</w:t>
            </w:r>
          </w:p>
        </w:tc>
      </w:tr>
      <w:tr w:rsidR="00CA4BE2" w14:paraId="7B673650" w14:textId="77777777">
        <w:trPr>
          <w:trHeight w:val="1005"/>
        </w:trPr>
        <w:tc>
          <w:tcPr>
            <w:tcW w:w="22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2FB86108" w14:textId="77777777" w:rsidR="00CA4BE2" w:rsidRDefault="00000000">
            <w:pPr>
              <w:spacing w:after="160" w:line="276" w:lineRule="auto"/>
            </w:pPr>
            <w:r>
              <w:t>Sustainability knowledge</w:t>
            </w:r>
          </w:p>
        </w:tc>
        <w:tc>
          <w:tcPr>
            <w:tcW w:w="6705" w:type="dxa"/>
            <w:tcBorders>
              <w:top w:val="nil"/>
              <w:left w:val="nil"/>
              <w:bottom w:val="single" w:sz="4" w:space="0" w:color="000000"/>
              <w:right w:val="single" w:sz="4" w:space="0" w:color="000000"/>
            </w:tcBorders>
            <w:tcMar>
              <w:top w:w="0" w:type="dxa"/>
              <w:left w:w="100" w:type="dxa"/>
              <w:bottom w:w="0" w:type="dxa"/>
              <w:right w:w="100" w:type="dxa"/>
            </w:tcMar>
          </w:tcPr>
          <w:p w14:paraId="4F6F4998" w14:textId="77777777" w:rsidR="00CA4BE2" w:rsidRDefault="00000000">
            <w:pPr>
              <w:spacing w:after="160" w:line="276" w:lineRule="auto"/>
            </w:pPr>
            <w:r>
              <w:t>Keep learning about circular economy business models and sustainable innovation in order to create more commercially successful marketing approaches.</w:t>
            </w:r>
          </w:p>
        </w:tc>
      </w:tr>
      <w:tr w:rsidR="00CA4BE2" w14:paraId="32FC8DC4" w14:textId="77777777">
        <w:trPr>
          <w:trHeight w:val="720"/>
        </w:trPr>
        <w:tc>
          <w:tcPr>
            <w:tcW w:w="22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419BA30F" w14:textId="77777777" w:rsidR="00CA4BE2" w:rsidRDefault="00000000">
            <w:pPr>
              <w:spacing w:after="160" w:line="276" w:lineRule="auto"/>
            </w:pPr>
            <w:r>
              <w:t>Presentation skills</w:t>
            </w:r>
          </w:p>
        </w:tc>
        <w:tc>
          <w:tcPr>
            <w:tcW w:w="6705" w:type="dxa"/>
            <w:tcBorders>
              <w:top w:val="nil"/>
              <w:left w:val="nil"/>
              <w:bottom w:val="single" w:sz="4" w:space="0" w:color="000000"/>
              <w:right w:val="single" w:sz="4" w:space="0" w:color="000000"/>
            </w:tcBorders>
            <w:tcMar>
              <w:top w:w="0" w:type="dxa"/>
              <w:left w:w="100" w:type="dxa"/>
              <w:bottom w:w="0" w:type="dxa"/>
              <w:right w:w="100" w:type="dxa"/>
            </w:tcMar>
          </w:tcPr>
          <w:p w14:paraId="0ACB4401" w14:textId="77777777" w:rsidR="00CA4BE2" w:rsidRDefault="00000000">
            <w:pPr>
              <w:spacing w:after="160" w:line="276" w:lineRule="auto"/>
            </w:pPr>
            <w:r>
              <w:t>Build up self-confidence by making regular presentations, paying attention to audience involvement, and ability to answer difficult questions.</w:t>
            </w:r>
          </w:p>
        </w:tc>
      </w:tr>
      <w:tr w:rsidR="00CA4BE2" w14:paraId="1CD4A899" w14:textId="77777777">
        <w:trPr>
          <w:trHeight w:val="720"/>
        </w:trPr>
        <w:tc>
          <w:tcPr>
            <w:tcW w:w="22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1DD762E9" w14:textId="77777777" w:rsidR="00CA4BE2" w:rsidRDefault="00000000">
            <w:pPr>
              <w:spacing w:after="160" w:line="276" w:lineRule="auto"/>
            </w:pPr>
            <w:r>
              <w:t>Academic research</w:t>
            </w:r>
          </w:p>
        </w:tc>
        <w:tc>
          <w:tcPr>
            <w:tcW w:w="6705" w:type="dxa"/>
            <w:tcBorders>
              <w:top w:val="nil"/>
              <w:left w:val="nil"/>
              <w:bottom w:val="single" w:sz="4" w:space="0" w:color="000000"/>
              <w:right w:val="single" w:sz="4" w:space="0" w:color="000000"/>
            </w:tcBorders>
            <w:tcMar>
              <w:top w:w="0" w:type="dxa"/>
              <w:left w:w="100" w:type="dxa"/>
              <w:bottom w:w="0" w:type="dxa"/>
              <w:right w:w="100" w:type="dxa"/>
            </w:tcMar>
          </w:tcPr>
          <w:p w14:paraId="6AFA3BCA" w14:textId="77777777" w:rsidR="00CA4BE2" w:rsidRDefault="00000000">
            <w:pPr>
              <w:spacing w:after="160" w:line="276" w:lineRule="auto"/>
            </w:pPr>
            <w:r>
              <w:t>Increase the usage of good quality industry reports and academic scholarship in order to achieve even more effective evidence-based recommendations.</w:t>
            </w:r>
          </w:p>
        </w:tc>
      </w:tr>
      <w:tr w:rsidR="00CA4BE2" w14:paraId="51A03BFA" w14:textId="77777777">
        <w:trPr>
          <w:trHeight w:val="720"/>
        </w:trPr>
        <w:tc>
          <w:tcPr>
            <w:tcW w:w="22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2554C4EF" w14:textId="77777777" w:rsidR="00CA4BE2" w:rsidRDefault="00000000">
            <w:pPr>
              <w:spacing w:after="160" w:line="276" w:lineRule="auto"/>
            </w:pPr>
            <w:r>
              <w:t>Digital communication</w:t>
            </w:r>
          </w:p>
        </w:tc>
        <w:tc>
          <w:tcPr>
            <w:tcW w:w="6705" w:type="dxa"/>
            <w:tcBorders>
              <w:top w:val="nil"/>
              <w:left w:val="nil"/>
              <w:bottom w:val="single" w:sz="4" w:space="0" w:color="000000"/>
              <w:right w:val="single" w:sz="4" w:space="0" w:color="000000"/>
            </w:tcBorders>
            <w:tcMar>
              <w:top w:w="0" w:type="dxa"/>
              <w:left w:w="100" w:type="dxa"/>
              <w:bottom w:w="0" w:type="dxa"/>
              <w:right w:w="100" w:type="dxa"/>
            </w:tcMar>
          </w:tcPr>
          <w:p w14:paraId="4013C603" w14:textId="77777777" w:rsidR="00CA4BE2" w:rsidRDefault="00000000">
            <w:pPr>
              <w:spacing w:after="160" w:line="276" w:lineRule="auto"/>
            </w:pPr>
            <w:r>
              <w:t>Learn advanced techniques of visual design for making more interesting and professional marketing posters and presentations.</w:t>
            </w:r>
          </w:p>
        </w:tc>
      </w:tr>
    </w:tbl>
    <w:p w14:paraId="386C94D9" w14:textId="77777777" w:rsidR="00BA24B3" w:rsidRDefault="00BA24B3" w:rsidP="00BA24B3">
      <w:pPr>
        <w:jc w:val="center"/>
        <w:rPr>
          <w:b/>
          <w:bCs/>
        </w:rPr>
      </w:pPr>
      <w:r>
        <w:rPr>
          <w:b/>
          <w:bCs/>
        </w:rPr>
        <w:t xml:space="preserve">Table 1: Action plan </w:t>
      </w:r>
    </w:p>
    <w:p w14:paraId="0B29CC53" w14:textId="4C1E0FE8" w:rsidR="00CA4BE2" w:rsidRPr="00BA24B3" w:rsidRDefault="00BA24B3" w:rsidP="00BA24B3">
      <w:pPr>
        <w:jc w:val="center"/>
        <w:rPr>
          <w:b/>
          <w:bCs/>
        </w:rPr>
      </w:pPr>
      <w:r w:rsidRPr="00BA24B3">
        <w:t>(Source: Self-developed)</w:t>
      </w:r>
      <w:r w:rsidRPr="00BA24B3">
        <w:rPr>
          <w:b/>
          <w:bCs/>
        </w:rPr>
        <w:br w:type="page"/>
      </w:r>
    </w:p>
    <w:p w14:paraId="5D905235" w14:textId="77777777" w:rsidR="00CA4BE2" w:rsidRDefault="00000000">
      <w:pPr>
        <w:pStyle w:val="Heading1"/>
      </w:pPr>
      <w:bookmarkStart w:id="39" w:name="_atlubf54jtbm" w:colFirst="0" w:colLast="0"/>
      <w:bookmarkStart w:id="40" w:name="_Toc236762152"/>
      <w:bookmarkEnd w:id="39"/>
      <w:r>
        <w:lastRenderedPageBreak/>
        <w:t>Reference list</w:t>
      </w:r>
      <w:bookmarkEnd w:id="40"/>
      <w:r>
        <w:t xml:space="preserve"> </w:t>
      </w:r>
    </w:p>
    <w:p w14:paraId="04AEB517" w14:textId="77777777" w:rsidR="00CA4BE2" w:rsidRDefault="00000000">
      <w:pPr>
        <w:spacing w:before="240"/>
      </w:pPr>
      <w:r>
        <w:t>Bogusz, M., Matysik-</w:t>
      </w:r>
      <w:proofErr w:type="spellStart"/>
      <w:r>
        <w:t>Pejas</w:t>
      </w:r>
      <w:proofErr w:type="spellEnd"/>
      <w:r>
        <w:t xml:space="preserve">, R., Krasnodębski, A. and Dziekański, P., (2023). Sustainable consumption of households according to the </w:t>
      </w:r>
      <w:proofErr w:type="gramStart"/>
      <w:r>
        <w:t>zero waste</w:t>
      </w:r>
      <w:proofErr w:type="gramEnd"/>
      <w:r>
        <w:t xml:space="preserve"> concept. Energies, 16(18), p.6516.</w:t>
      </w:r>
    </w:p>
    <w:p w14:paraId="3D65F42B" w14:textId="77777777" w:rsidR="00CA4BE2" w:rsidRDefault="00000000">
      <w:pPr>
        <w:spacing w:before="240"/>
      </w:pPr>
      <w:r>
        <w:t>Butt, A.S., Ali, I. and Govindan, K., (2024). The role of reverse logistics in a circular economy for achieving sustainable development goals: a multiple case study of retail firms. Production Planning &amp; Control, 35(12), pp.1490-1502.</w:t>
      </w:r>
    </w:p>
    <w:p w14:paraId="0B54F409" w14:textId="77777777" w:rsidR="00CA4BE2" w:rsidRDefault="00000000">
      <w:pPr>
        <w:spacing w:before="240"/>
      </w:pPr>
      <w:r>
        <w:t xml:space="preserve">D’Itria, E., Pei, X. and Bertola, P., (2024). Designing sustainability today: An analytical framework for a design for sustainability model in European fashion and furniture industries. </w:t>
      </w:r>
      <w:r>
        <w:rPr>
          <w:i/>
          <w:iCs/>
        </w:rPr>
        <w:t>Sustainability</w:t>
      </w:r>
      <w:r>
        <w:t xml:space="preserve">, </w:t>
      </w:r>
      <w:r>
        <w:rPr>
          <w:i/>
          <w:iCs/>
        </w:rPr>
        <w:t>16</w:t>
      </w:r>
      <w:r>
        <w:t>(8), p.3240.</w:t>
      </w:r>
    </w:p>
    <w:p w14:paraId="5522ABA6" w14:textId="77777777" w:rsidR="00CA4BE2" w:rsidRDefault="00000000">
      <w:pPr>
        <w:spacing w:before="240"/>
      </w:pPr>
      <w:r>
        <w:t xml:space="preserve">EIB, (2025). </w:t>
      </w:r>
      <w:r>
        <w:rPr>
          <w:i/>
          <w:iCs/>
        </w:rPr>
        <w:t>94% of Europeans support measures to adapt to climate change, according to EIB survey.</w:t>
      </w:r>
      <w:r>
        <w:t xml:space="preserve"> Available at:</w:t>
      </w:r>
      <w:hyperlink r:id="rId12">
        <w:r w:rsidR="00CA4BE2">
          <w:t xml:space="preserve"> </w:t>
        </w:r>
      </w:hyperlink>
      <w:hyperlink r:id="rId13">
        <w:r w:rsidR="00CA4BE2">
          <w:rPr>
            <w:color w:val="1155CC"/>
            <w:u w:val="single"/>
          </w:rPr>
          <w:t>https://www.eib.org/en/surveys/climate-survey/7th-climate-survey/eu-27</w:t>
        </w:r>
      </w:hyperlink>
      <w:r>
        <w:t xml:space="preserve"> [Accessed 4 Aug. 2026]</w:t>
      </w:r>
    </w:p>
    <w:p w14:paraId="2E1FE9DB" w14:textId="77777777" w:rsidR="00CA4BE2" w:rsidRDefault="00000000">
      <w:pPr>
        <w:spacing w:before="240"/>
      </w:pPr>
      <w:r>
        <w:t xml:space="preserve">Ferraro, C., </w:t>
      </w:r>
      <w:proofErr w:type="spellStart"/>
      <w:r>
        <w:t>Demsar</w:t>
      </w:r>
      <w:proofErr w:type="spellEnd"/>
      <w:r>
        <w:t>, V., Sands, S., Ghaderi, H., Williams, J., McNeill, I., Shittu, O. and Ang, E., (2024). The Role of AI in Facilitating Circular Consumption.</w:t>
      </w:r>
    </w:p>
    <w:p w14:paraId="195B3547" w14:textId="77777777" w:rsidR="00CA4BE2" w:rsidRDefault="00000000">
      <w:pPr>
        <w:spacing w:before="240"/>
      </w:pPr>
      <w:r>
        <w:t xml:space="preserve">IKEA, (2025). </w:t>
      </w:r>
      <w:r>
        <w:rPr>
          <w:i/>
          <w:iCs/>
        </w:rPr>
        <w:t>Bring joy home</w:t>
      </w:r>
      <w:r>
        <w:t>. Available at:</w:t>
      </w:r>
      <w:hyperlink r:id="rId14">
        <w:r w:rsidR="00CA4BE2">
          <w:t xml:space="preserve"> </w:t>
        </w:r>
      </w:hyperlink>
      <w:hyperlink r:id="rId15">
        <w:r w:rsidR="00CA4BE2">
          <w:rPr>
            <w:color w:val="1155CC"/>
            <w:u w:val="single"/>
          </w:rPr>
          <w:t>https://lifeathome.ikea.com/</w:t>
        </w:r>
      </w:hyperlink>
      <w:r>
        <w:t xml:space="preserve"> [Accessed 4 Aug. 2026]</w:t>
      </w:r>
    </w:p>
    <w:p w14:paraId="5B17998B" w14:textId="77777777" w:rsidR="00CA4BE2" w:rsidRDefault="00000000">
      <w:pPr>
        <w:spacing w:before="240"/>
      </w:pPr>
      <w:r>
        <w:t>IKEA, (2025).</w:t>
      </w:r>
      <w:r>
        <w:rPr>
          <w:i/>
          <w:iCs/>
        </w:rPr>
        <w:t xml:space="preserve"> IKEA reports stable sales with increased volumes and customers, based on lower prices introduced in FY24.</w:t>
      </w:r>
      <w:r>
        <w:t xml:space="preserve"> Available at:</w:t>
      </w:r>
      <w:hyperlink r:id="rId16">
        <w:r w:rsidR="00CA4BE2">
          <w:t xml:space="preserve"> </w:t>
        </w:r>
      </w:hyperlink>
      <w:hyperlink r:id="rId17">
        <w:r w:rsidR="00CA4BE2">
          <w:rPr>
            <w:color w:val="1155CC"/>
            <w:u w:val="single"/>
          </w:rPr>
          <w:t>https://www.ikea.com/global/en/newsroom/corporate/ikea-retail-sales-fy25-251016/?msockid=2c0c2a436c4363983d213c976d3b6269</w:t>
        </w:r>
      </w:hyperlink>
      <w:r>
        <w:t xml:space="preserve"> [Accessed 4 Aug. 2026]</w:t>
      </w:r>
    </w:p>
    <w:p w14:paraId="336A3E8A" w14:textId="77777777" w:rsidR="00CA4BE2" w:rsidRDefault="00000000">
      <w:pPr>
        <w:spacing w:before="240"/>
      </w:pPr>
      <w:r>
        <w:t xml:space="preserve">IKEA, (2025). </w:t>
      </w:r>
      <w:r>
        <w:rPr>
          <w:i/>
          <w:iCs/>
        </w:rPr>
        <w:t>IKEA reports stable sales with increased volumes and visitation</w:t>
      </w:r>
      <w:r>
        <w:t>. Available at:</w:t>
      </w:r>
      <w:hyperlink r:id="rId18">
        <w:r w:rsidR="00CA4BE2">
          <w:t xml:space="preserve"> </w:t>
        </w:r>
      </w:hyperlink>
      <w:hyperlink r:id="rId19">
        <w:r w:rsidR="00CA4BE2">
          <w:rPr>
            <w:color w:val="1155CC"/>
            <w:u w:val="single"/>
          </w:rPr>
          <w:t>https://www.ikea.com/global/en/our-business/how-we-work/year-in-review-fy25/?msockid=03c109e0fc3f6e35096f1f1ffd086fa4</w:t>
        </w:r>
      </w:hyperlink>
      <w:r>
        <w:t xml:space="preserve"> [Accessed 4 Aug. 2026]</w:t>
      </w:r>
    </w:p>
    <w:p w14:paraId="0DEE1432" w14:textId="77777777" w:rsidR="00CA4BE2" w:rsidRDefault="00000000">
      <w:pPr>
        <w:spacing w:before="240"/>
      </w:pPr>
      <w:r>
        <w:t xml:space="preserve">Ingka, (2025). </w:t>
      </w:r>
      <w:r>
        <w:rPr>
          <w:i/>
          <w:iCs/>
        </w:rPr>
        <w:t>Ingka Group scales Buyback by 39%, achieves 60% zero emission home deliveries, and 95% renewable electricity sourcing</w:t>
      </w:r>
      <w:r>
        <w:t>. Available at:</w:t>
      </w:r>
      <w:hyperlink r:id="rId20">
        <w:r w:rsidR="00CA4BE2">
          <w:t xml:space="preserve"> </w:t>
        </w:r>
      </w:hyperlink>
      <w:hyperlink r:id="rId21">
        <w:r w:rsidR="00CA4BE2">
          <w:rPr>
            <w:color w:val="1155CC"/>
            <w:u w:val="single"/>
          </w:rPr>
          <w:t>https://www.ingka.com/newsroom/ingka-group-scales-buyback-by-39-achieves-60-zero-emission-home-deliveries-and-95-renewable-electricity-sourcing/</w:t>
        </w:r>
      </w:hyperlink>
      <w:r>
        <w:t xml:space="preserve"> [Accessed 4 Aug. 2026]</w:t>
      </w:r>
    </w:p>
    <w:p w14:paraId="01897066" w14:textId="77777777" w:rsidR="00CA4BE2" w:rsidRDefault="00000000">
      <w:pPr>
        <w:spacing w:before="240"/>
      </w:pPr>
      <w:r>
        <w:lastRenderedPageBreak/>
        <w:t xml:space="preserve">JYSK, (2025). </w:t>
      </w:r>
      <w:r>
        <w:rPr>
          <w:i/>
          <w:iCs/>
        </w:rPr>
        <w:t>About us</w:t>
      </w:r>
      <w:r>
        <w:t>. Available at:</w:t>
      </w:r>
      <w:hyperlink r:id="rId22">
        <w:r w:rsidR="00CA4BE2">
          <w:t xml:space="preserve"> </w:t>
        </w:r>
      </w:hyperlink>
      <w:hyperlink r:id="rId23">
        <w:r w:rsidR="00CA4BE2">
          <w:rPr>
            <w:color w:val="1155CC"/>
            <w:u w:val="single"/>
          </w:rPr>
          <w:t>https://www.jysk.com/index.php/about-us</w:t>
        </w:r>
      </w:hyperlink>
      <w:r>
        <w:t xml:space="preserve"> [Accessed 4 Aug. 2026]</w:t>
      </w:r>
    </w:p>
    <w:p w14:paraId="10A9AF4E" w14:textId="77777777" w:rsidR="00CA4BE2" w:rsidRDefault="00000000">
      <w:pPr>
        <w:spacing w:before="240"/>
      </w:pPr>
      <w:r>
        <w:t xml:space="preserve">Mahalakshmi, S., Nallasivam, A., Kumar, H., </w:t>
      </w:r>
      <w:proofErr w:type="spellStart"/>
      <w:r>
        <w:t>Kautish</w:t>
      </w:r>
      <w:proofErr w:type="spellEnd"/>
      <w:r>
        <w:t xml:space="preserve">, S. and Madan, S., (2024). From assembly to reassembly: Ikea's circular design for a sustainable future. In </w:t>
      </w:r>
      <w:r>
        <w:rPr>
          <w:i/>
          <w:iCs/>
        </w:rPr>
        <w:t>Utilizing Technology for Sustainable Resource Management Solutions</w:t>
      </w:r>
      <w:r>
        <w:t xml:space="preserve"> (pp. 261-280). IGI Global Scientific Publishing.</w:t>
      </w:r>
    </w:p>
    <w:p w14:paraId="58B70A4B" w14:textId="77777777" w:rsidR="00CA4BE2" w:rsidRDefault="00000000">
      <w:pPr>
        <w:spacing w:before="240"/>
      </w:pPr>
      <w:r>
        <w:t xml:space="preserve">Mora Chaves, M., Eriksson Ahre, E. and </w:t>
      </w:r>
      <w:proofErr w:type="spellStart"/>
      <w:r>
        <w:t>Kembro</w:t>
      </w:r>
      <w:proofErr w:type="spellEnd"/>
      <w:r>
        <w:t xml:space="preserve">, J.H., (2026). The circular retail transformation and its implications for circular logistics nodes: an integrative review. </w:t>
      </w:r>
      <w:r>
        <w:rPr>
          <w:i/>
          <w:iCs/>
        </w:rPr>
        <w:t>International Journal of Physical Distribution &amp; Logistics Management</w:t>
      </w:r>
      <w:r>
        <w:t xml:space="preserve">, </w:t>
      </w:r>
      <w:r>
        <w:rPr>
          <w:i/>
          <w:iCs/>
        </w:rPr>
        <w:t>56</w:t>
      </w:r>
      <w:r>
        <w:t>(11), pp.265-308.</w:t>
      </w:r>
    </w:p>
    <w:p w14:paraId="0112C51E" w14:textId="77777777" w:rsidR="00CA4BE2" w:rsidRDefault="00000000">
      <w:pPr>
        <w:spacing w:before="240"/>
      </w:pPr>
      <w:r>
        <w:t>Nansubuga, B. and Kowalkowski, C., (2024). Moving to subscriptions: service growth through business model innovation in consumer and business markets. Journal of Service Management, 35(6), pp.185-215.</w:t>
      </w:r>
    </w:p>
    <w:p w14:paraId="4820ADDF" w14:textId="77777777" w:rsidR="00CA4BE2" w:rsidRDefault="00000000">
      <w:pPr>
        <w:spacing w:before="240"/>
      </w:pPr>
      <w:r>
        <w:t xml:space="preserve">Padilla-Lozano, C.P. and </w:t>
      </w:r>
      <w:proofErr w:type="spellStart"/>
      <w:r>
        <w:t>Collazzo</w:t>
      </w:r>
      <w:proofErr w:type="spellEnd"/>
      <w:r>
        <w:t xml:space="preserve">, P., (2022). Corporate social responsibility, green innovation and competitiveness–causality in manufacturing. </w:t>
      </w:r>
      <w:r>
        <w:rPr>
          <w:i/>
          <w:iCs/>
        </w:rPr>
        <w:t>Competitiveness review: an international business journal</w:t>
      </w:r>
      <w:r>
        <w:t xml:space="preserve">, </w:t>
      </w:r>
      <w:r>
        <w:rPr>
          <w:i/>
          <w:iCs/>
        </w:rPr>
        <w:t>32</w:t>
      </w:r>
      <w:r>
        <w:t>(7), pp.21-39.</w:t>
      </w:r>
    </w:p>
    <w:p w14:paraId="28BB10AB" w14:textId="77777777" w:rsidR="00CA4BE2" w:rsidRDefault="00000000">
      <w:pPr>
        <w:spacing w:before="240"/>
      </w:pPr>
      <w:r>
        <w:t xml:space="preserve">Pei, X., Italia, M. and </w:t>
      </w:r>
      <w:proofErr w:type="spellStart"/>
      <w:r>
        <w:t>Melazzini</w:t>
      </w:r>
      <w:proofErr w:type="spellEnd"/>
      <w:r>
        <w:t>, M., (2024). Enhancing circular economy practices in the furniture industry through circular design strategies. Sustainability, 16(15), p.6544.</w:t>
      </w:r>
    </w:p>
    <w:p w14:paraId="2B7B2818" w14:textId="77777777" w:rsidR="00CA4BE2" w:rsidRDefault="00000000">
      <w:pPr>
        <w:spacing w:before="240"/>
      </w:pPr>
      <w:r>
        <w:t xml:space="preserve">PWC, (2025). </w:t>
      </w:r>
      <w:r>
        <w:rPr>
          <w:i/>
          <w:iCs/>
        </w:rPr>
        <w:t>The rise of everyday health</w:t>
      </w:r>
      <w:r>
        <w:t>. Available at:</w:t>
      </w:r>
      <w:hyperlink r:id="rId24">
        <w:r w:rsidR="00CA4BE2">
          <w:t xml:space="preserve"> </w:t>
        </w:r>
      </w:hyperlink>
      <w:hyperlink r:id="rId25">
        <w:r w:rsidR="00CA4BE2">
          <w:rPr>
            <w:color w:val="1155CC"/>
            <w:u w:val="single"/>
          </w:rPr>
          <w:t>https://www.pwc.com/gx/en/issues/c-suite-insights/voice-of-the-consumer-survey.html</w:t>
        </w:r>
      </w:hyperlink>
      <w:r>
        <w:t xml:space="preserve"> [Accessed 4 Aug. 2026]</w:t>
      </w:r>
    </w:p>
    <w:p w14:paraId="2EBDEE7F" w14:textId="77777777" w:rsidR="00CA4BE2" w:rsidRDefault="00000000">
      <w:pPr>
        <w:spacing w:before="240"/>
      </w:pPr>
      <w:r>
        <w:t xml:space="preserve">Rinaldi, M., Caterino, M., Fera, M., Abbate, R., Daniele, U. and Macchiaroli, R., (2025). Circular economy strategy selection through a digital twin approach. </w:t>
      </w:r>
      <w:r>
        <w:rPr>
          <w:i/>
          <w:iCs/>
        </w:rPr>
        <w:t>Applied Sciences</w:t>
      </w:r>
      <w:r>
        <w:t xml:space="preserve">, </w:t>
      </w:r>
      <w:r>
        <w:rPr>
          <w:i/>
          <w:iCs/>
        </w:rPr>
        <w:t>15</w:t>
      </w:r>
      <w:r>
        <w:t>(13), p.7016.</w:t>
      </w:r>
    </w:p>
    <w:p w14:paraId="47734671" w14:textId="77777777" w:rsidR="00CA4BE2" w:rsidRDefault="00000000">
      <w:pPr>
        <w:spacing w:before="240"/>
      </w:pPr>
      <w:r>
        <w:t xml:space="preserve">Verma, R., </w:t>
      </w:r>
      <w:proofErr w:type="spellStart"/>
      <w:r>
        <w:t>Khound</w:t>
      </w:r>
      <w:proofErr w:type="spellEnd"/>
      <w:r>
        <w:t xml:space="preserve">, K. and Mishra, V., (2025). Subscription Economy and the Transformation of Ownership: A Review of Value Perceptions and Retention Strategies. </w:t>
      </w:r>
      <w:r>
        <w:rPr>
          <w:i/>
          <w:iCs/>
        </w:rPr>
        <w:t>Advances in Consumer Research</w:t>
      </w:r>
      <w:r>
        <w:t xml:space="preserve">, </w:t>
      </w:r>
      <w:r>
        <w:rPr>
          <w:i/>
          <w:iCs/>
        </w:rPr>
        <w:t>2</w:t>
      </w:r>
      <w:r>
        <w:t>, pp.935-951.</w:t>
      </w:r>
    </w:p>
    <w:p w14:paraId="6D39FABE" w14:textId="645538A4" w:rsidR="001C3FE9" w:rsidRDefault="00000000" w:rsidP="001C3FE9">
      <w:pPr>
        <w:spacing w:before="240"/>
      </w:pPr>
      <w:r>
        <w:t>Zheng, K., (2026). The Value Shift of IKEA in the Context of Consumer Society Transformation: The Mechanism of Symbolic Premium in DIY Furniture Processes. In SHS Web of Conferences (Vol. 234, p. 01016). EDP Sciences.</w:t>
      </w:r>
      <w:r w:rsidR="001C3FE9">
        <w:br w:type="page"/>
      </w:r>
    </w:p>
    <w:p w14:paraId="061814B7" w14:textId="24AABD10" w:rsidR="00303D1E" w:rsidRDefault="00303D1E" w:rsidP="001C3FE9">
      <w:pPr>
        <w:pStyle w:val="Heading1"/>
      </w:pPr>
      <w:bookmarkStart w:id="41" w:name="_Toc236762153"/>
      <w:r>
        <w:lastRenderedPageBreak/>
        <w:t>Appendices</w:t>
      </w:r>
      <w:bookmarkEnd w:id="41"/>
      <w:r>
        <w:t xml:space="preserve"> </w:t>
      </w:r>
    </w:p>
    <w:p w14:paraId="0F75F40A" w14:textId="70A5075B" w:rsidR="00CA4BE2" w:rsidRDefault="001C3FE9" w:rsidP="00303D1E">
      <w:pPr>
        <w:pStyle w:val="Heading2"/>
      </w:pPr>
      <w:bookmarkStart w:id="42" w:name="_Toc236762154"/>
      <w:r>
        <w:t>Appendix 1: Segmentation table</w:t>
      </w:r>
      <w:bookmarkEnd w:id="42"/>
      <w:r>
        <w:t xml:space="preserve"> </w:t>
      </w:r>
    </w:p>
    <w:tbl>
      <w:tblPr>
        <w:tblStyle w:val="TableGrid"/>
        <w:tblW w:w="0" w:type="auto"/>
        <w:tblLook w:val="04A0" w:firstRow="1" w:lastRow="0" w:firstColumn="1" w:lastColumn="0" w:noHBand="0" w:noVBand="1"/>
      </w:tblPr>
      <w:tblGrid>
        <w:gridCol w:w="1787"/>
        <w:gridCol w:w="4114"/>
        <w:gridCol w:w="3118"/>
      </w:tblGrid>
      <w:tr w:rsidR="001C3FE9" w:rsidRPr="00655621" w14:paraId="583DC74E" w14:textId="77777777" w:rsidTr="002C324B">
        <w:tc>
          <w:tcPr>
            <w:tcW w:w="0" w:type="auto"/>
            <w:hideMark/>
          </w:tcPr>
          <w:p w14:paraId="5B734795" w14:textId="77777777" w:rsidR="001C3FE9" w:rsidRPr="001C3FE9" w:rsidRDefault="001C3FE9" w:rsidP="002C324B">
            <w:pPr>
              <w:jc w:val="center"/>
              <w:rPr>
                <w:rFonts w:ascii="Times New Roman" w:hAnsi="Times New Roman" w:cs="Times New Roman"/>
                <w:b/>
                <w:bCs/>
              </w:rPr>
            </w:pPr>
            <w:r w:rsidRPr="001C3FE9">
              <w:rPr>
                <w:rFonts w:ascii="Times New Roman" w:hAnsi="Times New Roman" w:cs="Times New Roman"/>
                <w:b/>
                <w:bCs/>
              </w:rPr>
              <w:t>Segmentation Variable</w:t>
            </w:r>
          </w:p>
        </w:tc>
        <w:tc>
          <w:tcPr>
            <w:tcW w:w="0" w:type="auto"/>
            <w:hideMark/>
          </w:tcPr>
          <w:p w14:paraId="708DF944" w14:textId="77777777" w:rsidR="001C3FE9" w:rsidRPr="001C3FE9" w:rsidRDefault="001C3FE9" w:rsidP="002C324B">
            <w:pPr>
              <w:jc w:val="center"/>
              <w:rPr>
                <w:rFonts w:ascii="Times New Roman" w:hAnsi="Times New Roman" w:cs="Times New Roman"/>
                <w:b/>
                <w:bCs/>
              </w:rPr>
            </w:pPr>
            <w:r w:rsidRPr="001C3FE9">
              <w:rPr>
                <w:rFonts w:ascii="Times New Roman" w:hAnsi="Times New Roman" w:cs="Times New Roman"/>
                <w:b/>
                <w:bCs/>
              </w:rPr>
              <w:t>Market Characteristics (Home Market)</w:t>
            </w:r>
          </w:p>
        </w:tc>
        <w:tc>
          <w:tcPr>
            <w:tcW w:w="0" w:type="auto"/>
            <w:hideMark/>
          </w:tcPr>
          <w:p w14:paraId="11A09340" w14:textId="77777777" w:rsidR="001C3FE9" w:rsidRPr="001C3FE9" w:rsidRDefault="001C3FE9" w:rsidP="002C324B">
            <w:pPr>
              <w:jc w:val="center"/>
              <w:rPr>
                <w:rFonts w:ascii="Times New Roman" w:hAnsi="Times New Roman" w:cs="Times New Roman"/>
                <w:b/>
                <w:bCs/>
              </w:rPr>
            </w:pPr>
            <w:r w:rsidRPr="001C3FE9">
              <w:rPr>
                <w:rFonts w:ascii="Times New Roman" w:hAnsi="Times New Roman" w:cs="Times New Roman"/>
                <w:b/>
                <w:bCs/>
              </w:rPr>
              <w:t>Implication for IKEA LoopLiving</w:t>
            </w:r>
          </w:p>
        </w:tc>
      </w:tr>
      <w:tr w:rsidR="001C3FE9" w:rsidRPr="00655621" w14:paraId="766687D1" w14:textId="77777777" w:rsidTr="002C324B">
        <w:tc>
          <w:tcPr>
            <w:tcW w:w="0" w:type="auto"/>
            <w:hideMark/>
          </w:tcPr>
          <w:p w14:paraId="5513D8FF" w14:textId="77777777" w:rsidR="001C3FE9" w:rsidRPr="001C3FE9" w:rsidRDefault="001C3FE9" w:rsidP="002C324B">
            <w:pPr>
              <w:jc w:val="both"/>
              <w:rPr>
                <w:rFonts w:ascii="Times New Roman" w:hAnsi="Times New Roman" w:cs="Times New Roman"/>
              </w:rPr>
            </w:pPr>
            <w:r w:rsidRPr="001C3FE9">
              <w:rPr>
                <w:rFonts w:ascii="Times New Roman" w:hAnsi="Times New Roman" w:cs="Times New Roman"/>
                <w:b/>
                <w:bCs/>
              </w:rPr>
              <w:t>Geographic</w:t>
            </w:r>
          </w:p>
        </w:tc>
        <w:tc>
          <w:tcPr>
            <w:tcW w:w="0" w:type="auto"/>
            <w:hideMark/>
          </w:tcPr>
          <w:p w14:paraId="75788A6C" w14:textId="77777777" w:rsidR="001C3FE9" w:rsidRPr="001C3FE9" w:rsidRDefault="001C3FE9" w:rsidP="002C324B">
            <w:pPr>
              <w:jc w:val="both"/>
              <w:rPr>
                <w:rFonts w:ascii="Times New Roman" w:hAnsi="Times New Roman" w:cs="Times New Roman"/>
              </w:rPr>
            </w:pPr>
            <w:r w:rsidRPr="001C3FE9">
              <w:rPr>
                <w:rFonts w:ascii="Times New Roman" w:hAnsi="Times New Roman" w:cs="Times New Roman"/>
              </w:rPr>
              <w:t xml:space="preserve">Focus on IKEA's major European home markets, particularly </w:t>
            </w:r>
            <w:r w:rsidRPr="001C3FE9">
              <w:rPr>
                <w:rFonts w:ascii="Times New Roman" w:hAnsi="Times New Roman" w:cs="Times New Roman"/>
                <w:b/>
                <w:bCs/>
              </w:rPr>
              <w:t>Germany, France, Sweden, the Netherlands and the UK</w:t>
            </w:r>
            <w:r w:rsidRPr="001C3FE9">
              <w:rPr>
                <w:rFonts w:ascii="Times New Roman" w:hAnsi="Times New Roman" w:cs="Times New Roman"/>
              </w:rPr>
              <w:t xml:space="preserve">, where IKEA has strong retail penetration and circular economy initiatives. The target should primarily be </w:t>
            </w:r>
            <w:r w:rsidRPr="001C3FE9">
              <w:rPr>
                <w:rFonts w:ascii="Times New Roman" w:hAnsi="Times New Roman" w:cs="Times New Roman"/>
                <w:b/>
                <w:bCs/>
              </w:rPr>
              <w:t>large metropolitan cities</w:t>
            </w:r>
            <w:r w:rsidRPr="001C3FE9">
              <w:rPr>
                <w:rFonts w:ascii="Times New Roman" w:hAnsi="Times New Roman" w:cs="Times New Roman"/>
              </w:rPr>
              <w:t xml:space="preserve"> such as London, Berlin, Amsterdam, Paris and Stockholm because high population density, apartment living and developed logistics make furniture rental and refurbishment more feasible. Europe also demonstrates high environmental awareness; according to the </w:t>
            </w:r>
            <w:r w:rsidRPr="001C3FE9">
              <w:rPr>
                <w:rFonts w:ascii="Times New Roman" w:hAnsi="Times New Roman" w:cs="Times New Roman"/>
                <w:b/>
                <w:bCs/>
              </w:rPr>
              <w:t>European Investment Bank (2024)</w:t>
            </w:r>
            <w:r w:rsidRPr="001C3FE9">
              <w:rPr>
                <w:rFonts w:ascii="Times New Roman" w:hAnsi="Times New Roman" w:cs="Times New Roman"/>
              </w:rPr>
              <w:t xml:space="preserve">, </w:t>
            </w:r>
            <w:r w:rsidRPr="001C3FE9">
              <w:rPr>
                <w:rFonts w:ascii="Times New Roman" w:hAnsi="Times New Roman" w:cs="Times New Roman"/>
                <w:b/>
                <w:bCs/>
              </w:rPr>
              <w:t>84% of EU citizens believe climate change is a serious problem</w:t>
            </w:r>
            <w:r w:rsidRPr="001C3FE9">
              <w:rPr>
                <w:rFonts w:ascii="Times New Roman" w:hAnsi="Times New Roman" w:cs="Times New Roman"/>
              </w:rPr>
              <w:t>, creating favourable conditions for sustainable furniture services.</w:t>
            </w:r>
          </w:p>
        </w:tc>
        <w:tc>
          <w:tcPr>
            <w:tcW w:w="0" w:type="auto"/>
            <w:hideMark/>
          </w:tcPr>
          <w:p w14:paraId="2C633EA2" w14:textId="77777777" w:rsidR="001C3FE9" w:rsidRPr="001C3FE9" w:rsidRDefault="001C3FE9" w:rsidP="002C324B">
            <w:pPr>
              <w:jc w:val="both"/>
              <w:rPr>
                <w:rFonts w:ascii="Times New Roman" w:hAnsi="Times New Roman" w:cs="Times New Roman"/>
              </w:rPr>
            </w:pPr>
            <w:r w:rsidRPr="001C3FE9">
              <w:rPr>
                <w:rFonts w:ascii="Times New Roman" w:hAnsi="Times New Roman" w:cs="Times New Roman"/>
              </w:rPr>
              <w:t>Urban markets generate higher customer turnover, greater demand for flexible furniture solutions and more efficient reverse logistics for product collection and refurbishment.</w:t>
            </w:r>
          </w:p>
        </w:tc>
      </w:tr>
      <w:tr w:rsidR="001C3FE9" w:rsidRPr="00655621" w14:paraId="0F85D41C" w14:textId="77777777" w:rsidTr="002C324B">
        <w:tc>
          <w:tcPr>
            <w:tcW w:w="0" w:type="auto"/>
            <w:hideMark/>
          </w:tcPr>
          <w:p w14:paraId="56755B41" w14:textId="77777777" w:rsidR="001C3FE9" w:rsidRPr="001C3FE9" w:rsidRDefault="001C3FE9" w:rsidP="002C324B">
            <w:pPr>
              <w:jc w:val="both"/>
              <w:rPr>
                <w:rFonts w:ascii="Times New Roman" w:hAnsi="Times New Roman" w:cs="Times New Roman"/>
              </w:rPr>
            </w:pPr>
            <w:r w:rsidRPr="001C3FE9">
              <w:rPr>
                <w:rFonts w:ascii="Times New Roman" w:hAnsi="Times New Roman" w:cs="Times New Roman"/>
                <w:b/>
                <w:bCs/>
              </w:rPr>
              <w:t>Demographic</w:t>
            </w:r>
          </w:p>
        </w:tc>
        <w:tc>
          <w:tcPr>
            <w:tcW w:w="0" w:type="auto"/>
            <w:hideMark/>
          </w:tcPr>
          <w:p w14:paraId="6F3AB00A" w14:textId="77777777" w:rsidR="001C3FE9" w:rsidRPr="001C3FE9" w:rsidRDefault="001C3FE9" w:rsidP="002C324B">
            <w:pPr>
              <w:jc w:val="both"/>
              <w:rPr>
                <w:rFonts w:ascii="Times New Roman" w:hAnsi="Times New Roman" w:cs="Times New Roman"/>
              </w:rPr>
            </w:pPr>
            <w:r w:rsidRPr="001C3FE9">
              <w:rPr>
                <w:rFonts w:ascii="Times New Roman" w:hAnsi="Times New Roman" w:cs="Times New Roman"/>
                <w:b/>
                <w:bCs/>
              </w:rPr>
              <w:t>Age:</w:t>
            </w:r>
            <w:r w:rsidRPr="001C3FE9">
              <w:rPr>
                <w:rFonts w:ascii="Times New Roman" w:hAnsi="Times New Roman" w:cs="Times New Roman"/>
              </w:rPr>
              <w:t xml:space="preserve"> 22–40 years (Generation Z and Millennials). </w:t>
            </w:r>
            <w:r w:rsidRPr="001C3FE9">
              <w:rPr>
                <w:rFonts w:ascii="Times New Roman" w:hAnsi="Times New Roman" w:cs="Times New Roman"/>
                <w:b/>
                <w:bCs/>
              </w:rPr>
              <w:t>Income:</w:t>
            </w:r>
            <w:r w:rsidRPr="001C3FE9">
              <w:rPr>
                <w:rFonts w:ascii="Times New Roman" w:hAnsi="Times New Roman" w:cs="Times New Roman"/>
              </w:rPr>
              <w:t xml:space="preserve"> Low to middle income (£25,000–£55,000 annually). </w:t>
            </w:r>
            <w:r w:rsidRPr="001C3FE9">
              <w:rPr>
                <w:rFonts w:ascii="Times New Roman" w:hAnsi="Times New Roman" w:cs="Times New Roman"/>
                <w:b/>
                <w:bCs/>
              </w:rPr>
              <w:t>Occupation:</w:t>
            </w:r>
            <w:r w:rsidRPr="001C3FE9">
              <w:rPr>
                <w:rFonts w:ascii="Times New Roman" w:hAnsi="Times New Roman" w:cs="Times New Roman"/>
              </w:rPr>
              <w:t xml:space="preserve"> Young professionals, graduate employees, remote workers and university students. </w:t>
            </w:r>
            <w:r w:rsidRPr="001C3FE9">
              <w:rPr>
                <w:rFonts w:ascii="Times New Roman" w:hAnsi="Times New Roman" w:cs="Times New Roman"/>
                <w:b/>
                <w:bCs/>
              </w:rPr>
              <w:t>Education:</w:t>
            </w:r>
            <w:r w:rsidRPr="001C3FE9">
              <w:rPr>
                <w:rFonts w:ascii="Times New Roman" w:hAnsi="Times New Roman" w:cs="Times New Roman"/>
              </w:rPr>
              <w:t xml:space="preserve"> College and university educated. </w:t>
            </w:r>
            <w:r w:rsidRPr="001C3FE9">
              <w:rPr>
                <w:rFonts w:ascii="Times New Roman" w:hAnsi="Times New Roman" w:cs="Times New Roman"/>
                <w:b/>
                <w:bCs/>
              </w:rPr>
              <w:t>Family Life Cycle:</w:t>
            </w:r>
            <w:r w:rsidRPr="001C3FE9">
              <w:rPr>
                <w:rFonts w:ascii="Times New Roman" w:hAnsi="Times New Roman" w:cs="Times New Roman"/>
              </w:rPr>
              <w:t xml:space="preserve"> Single adults, couples, newly married households and young families moving into first homes.</w:t>
            </w:r>
          </w:p>
        </w:tc>
        <w:tc>
          <w:tcPr>
            <w:tcW w:w="0" w:type="auto"/>
            <w:hideMark/>
          </w:tcPr>
          <w:p w14:paraId="39807142" w14:textId="77777777" w:rsidR="001C3FE9" w:rsidRPr="001C3FE9" w:rsidRDefault="001C3FE9" w:rsidP="002C324B">
            <w:pPr>
              <w:jc w:val="both"/>
              <w:rPr>
                <w:rFonts w:ascii="Times New Roman" w:hAnsi="Times New Roman" w:cs="Times New Roman"/>
              </w:rPr>
            </w:pPr>
            <w:r w:rsidRPr="001C3FE9">
              <w:rPr>
                <w:rFonts w:ascii="Times New Roman" w:hAnsi="Times New Roman" w:cs="Times New Roman"/>
              </w:rPr>
              <w:t>These consumers frequently relocate, have limited disposable income for premium furniture and seek affordable yet stylish furnishing solutions with flexible ownership options.</w:t>
            </w:r>
          </w:p>
        </w:tc>
      </w:tr>
      <w:tr w:rsidR="001C3FE9" w:rsidRPr="00655621" w14:paraId="31B14C15" w14:textId="77777777" w:rsidTr="002C324B">
        <w:tc>
          <w:tcPr>
            <w:tcW w:w="0" w:type="auto"/>
            <w:hideMark/>
          </w:tcPr>
          <w:p w14:paraId="1C26F590" w14:textId="77777777" w:rsidR="001C3FE9" w:rsidRPr="001C3FE9" w:rsidRDefault="001C3FE9" w:rsidP="002C324B">
            <w:pPr>
              <w:jc w:val="both"/>
              <w:rPr>
                <w:rFonts w:ascii="Times New Roman" w:hAnsi="Times New Roman" w:cs="Times New Roman"/>
              </w:rPr>
            </w:pPr>
            <w:r w:rsidRPr="001C3FE9">
              <w:rPr>
                <w:rFonts w:ascii="Times New Roman" w:hAnsi="Times New Roman" w:cs="Times New Roman"/>
                <w:b/>
                <w:bCs/>
              </w:rPr>
              <w:t>Psychographic</w:t>
            </w:r>
          </w:p>
        </w:tc>
        <w:tc>
          <w:tcPr>
            <w:tcW w:w="0" w:type="auto"/>
            <w:hideMark/>
          </w:tcPr>
          <w:p w14:paraId="1DA7626B" w14:textId="77777777" w:rsidR="001C3FE9" w:rsidRPr="001C3FE9" w:rsidRDefault="001C3FE9" w:rsidP="002C324B">
            <w:pPr>
              <w:jc w:val="both"/>
              <w:rPr>
                <w:rFonts w:ascii="Times New Roman" w:hAnsi="Times New Roman" w:cs="Times New Roman"/>
              </w:rPr>
            </w:pPr>
            <w:r w:rsidRPr="001C3FE9">
              <w:rPr>
                <w:rFonts w:ascii="Times New Roman" w:hAnsi="Times New Roman" w:cs="Times New Roman"/>
              </w:rPr>
              <w:t xml:space="preserve">Consumers with strong environmental values who embrace </w:t>
            </w:r>
            <w:r w:rsidRPr="001C3FE9">
              <w:rPr>
                <w:rFonts w:ascii="Times New Roman" w:hAnsi="Times New Roman" w:cs="Times New Roman"/>
                <w:b/>
                <w:bCs/>
              </w:rPr>
              <w:t>minimalism</w:t>
            </w:r>
            <w:r w:rsidRPr="001C3FE9">
              <w:rPr>
                <w:rFonts w:ascii="Times New Roman" w:hAnsi="Times New Roman" w:cs="Times New Roman"/>
              </w:rPr>
              <w:t xml:space="preserve">, </w:t>
            </w:r>
            <w:r w:rsidRPr="001C3FE9">
              <w:rPr>
                <w:rFonts w:ascii="Times New Roman" w:hAnsi="Times New Roman" w:cs="Times New Roman"/>
                <w:b/>
                <w:bCs/>
              </w:rPr>
              <w:t>sharing economy practices</w:t>
            </w:r>
            <w:r w:rsidRPr="001C3FE9">
              <w:rPr>
                <w:rFonts w:ascii="Times New Roman" w:hAnsi="Times New Roman" w:cs="Times New Roman"/>
              </w:rPr>
              <w:t xml:space="preserve">, and </w:t>
            </w:r>
            <w:r w:rsidRPr="001C3FE9">
              <w:rPr>
                <w:rFonts w:ascii="Times New Roman" w:hAnsi="Times New Roman" w:cs="Times New Roman"/>
                <w:b/>
                <w:bCs/>
              </w:rPr>
              <w:t>circular consumption</w:t>
            </w:r>
            <w:r w:rsidRPr="001C3FE9">
              <w:rPr>
                <w:rFonts w:ascii="Times New Roman" w:hAnsi="Times New Roman" w:cs="Times New Roman"/>
              </w:rPr>
              <w:t xml:space="preserve">. They prioritise affordability alongside sustainability and prefer access over ownership. According to the </w:t>
            </w:r>
            <w:r w:rsidRPr="001C3FE9">
              <w:rPr>
                <w:rFonts w:ascii="Times New Roman" w:hAnsi="Times New Roman" w:cs="Times New Roman"/>
                <w:b/>
                <w:bCs/>
              </w:rPr>
              <w:t>European Investment Bank Climate Survey (2024)</w:t>
            </w:r>
            <w:r w:rsidRPr="001C3FE9">
              <w:rPr>
                <w:rFonts w:ascii="Times New Roman" w:hAnsi="Times New Roman" w:cs="Times New Roman"/>
              </w:rPr>
              <w:t xml:space="preserve">, </w:t>
            </w:r>
            <w:r w:rsidRPr="001C3FE9">
              <w:rPr>
                <w:rFonts w:ascii="Times New Roman" w:hAnsi="Times New Roman" w:cs="Times New Roman"/>
                <w:b/>
                <w:bCs/>
              </w:rPr>
              <w:t>78% of Europeans consider sustainability when making purchasing decisions</w:t>
            </w:r>
            <w:r w:rsidRPr="001C3FE9">
              <w:rPr>
                <w:rFonts w:ascii="Times New Roman" w:hAnsi="Times New Roman" w:cs="Times New Roman"/>
              </w:rPr>
              <w:t xml:space="preserve">, while the </w:t>
            </w:r>
            <w:r w:rsidRPr="001C3FE9">
              <w:rPr>
                <w:rFonts w:ascii="Times New Roman" w:hAnsi="Times New Roman" w:cs="Times New Roman"/>
                <w:b/>
                <w:bCs/>
              </w:rPr>
              <w:t>2024 IKEA Life at Home Report</w:t>
            </w:r>
            <w:r w:rsidRPr="001C3FE9">
              <w:rPr>
                <w:rFonts w:ascii="Times New Roman" w:hAnsi="Times New Roman" w:cs="Times New Roman"/>
              </w:rPr>
              <w:t xml:space="preserve"> indicates that environmental responsibility increasingly influences household purchasing behaviour.</w:t>
            </w:r>
          </w:p>
        </w:tc>
        <w:tc>
          <w:tcPr>
            <w:tcW w:w="0" w:type="auto"/>
            <w:hideMark/>
          </w:tcPr>
          <w:p w14:paraId="397752D3" w14:textId="77777777" w:rsidR="001C3FE9" w:rsidRPr="001C3FE9" w:rsidRDefault="001C3FE9" w:rsidP="002C324B">
            <w:pPr>
              <w:jc w:val="both"/>
              <w:rPr>
                <w:rFonts w:ascii="Times New Roman" w:hAnsi="Times New Roman" w:cs="Times New Roman"/>
              </w:rPr>
            </w:pPr>
            <w:r w:rsidRPr="001C3FE9">
              <w:rPr>
                <w:rFonts w:ascii="Times New Roman" w:hAnsi="Times New Roman" w:cs="Times New Roman"/>
              </w:rPr>
              <w:t>IKEA LoopLiving satisfies consumers seeking convenient, low-waste lifestyles by providing reusable furniture, repair services and take-back programmes that reduce environmental impact.</w:t>
            </w:r>
          </w:p>
        </w:tc>
      </w:tr>
      <w:tr w:rsidR="001C3FE9" w:rsidRPr="00655621" w14:paraId="32FAD8BE" w14:textId="77777777" w:rsidTr="002C324B">
        <w:tc>
          <w:tcPr>
            <w:tcW w:w="0" w:type="auto"/>
            <w:hideMark/>
          </w:tcPr>
          <w:p w14:paraId="79C09CE3" w14:textId="77777777" w:rsidR="001C3FE9" w:rsidRPr="001C3FE9" w:rsidRDefault="001C3FE9" w:rsidP="002C324B">
            <w:pPr>
              <w:jc w:val="both"/>
              <w:rPr>
                <w:rFonts w:ascii="Times New Roman" w:hAnsi="Times New Roman" w:cs="Times New Roman"/>
              </w:rPr>
            </w:pPr>
            <w:r w:rsidRPr="001C3FE9">
              <w:rPr>
                <w:rFonts w:ascii="Times New Roman" w:hAnsi="Times New Roman" w:cs="Times New Roman"/>
                <w:b/>
                <w:bCs/>
              </w:rPr>
              <w:t>Behavioural</w:t>
            </w:r>
          </w:p>
        </w:tc>
        <w:tc>
          <w:tcPr>
            <w:tcW w:w="0" w:type="auto"/>
            <w:hideMark/>
          </w:tcPr>
          <w:p w14:paraId="6D4FB9CE" w14:textId="77777777" w:rsidR="001C3FE9" w:rsidRPr="001C3FE9" w:rsidRDefault="001C3FE9" w:rsidP="002C324B">
            <w:pPr>
              <w:jc w:val="both"/>
              <w:rPr>
                <w:rFonts w:ascii="Times New Roman" w:hAnsi="Times New Roman" w:cs="Times New Roman"/>
              </w:rPr>
            </w:pPr>
            <w:r w:rsidRPr="001C3FE9">
              <w:rPr>
                <w:rFonts w:ascii="Times New Roman" w:hAnsi="Times New Roman" w:cs="Times New Roman"/>
              </w:rPr>
              <w:t xml:space="preserve">Customers purchase furniture during relocation, home renovation or changing family circumstances. They demonstrate </w:t>
            </w:r>
            <w:r w:rsidRPr="001C3FE9">
              <w:rPr>
                <w:rFonts w:ascii="Times New Roman" w:hAnsi="Times New Roman" w:cs="Times New Roman"/>
              </w:rPr>
              <w:lastRenderedPageBreak/>
              <w:t>high digital engagement through IKEA's online platform, value convenience, seek flexible payment options and participate in sustainability programmes such as furniture buy-back. Benefits sought include affordability, flexibility, quality, convenience and environmental responsibility. Brand-loyal IKEA customers are more willing to trial complementary circular services.</w:t>
            </w:r>
          </w:p>
        </w:tc>
        <w:tc>
          <w:tcPr>
            <w:tcW w:w="0" w:type="auto"/>
            <w:hideMark/>
          </w:tcPr>
          <w:p w14:paraId="26981218" w14:textId="77777777" w:rsidR="001C3FE9" w:rsidRPr="001C3FE9" w:rsidRDefault="001C3FE9" w:rsidP="002C324B">
            <w:pPr>
              <w:jc w:val="both"/>
              <w:rPr>
                <w:rFonts w:ascii="Times New Roman" w:hAnsi="Times New Roman" w:cs="Times New Roman"/>
              </w:rPr>
            </w:pPr>
            <w:r w:rsidRPr="001C3FE9">
              <w:rPr>
                <w:rFonts w:ascii="Times New Roman" w:hAnsi="Times New Roman" w:cs="Times New Roman"/>
              </w:rPr>
              <w:lastRenderedPageBreak/>
              <w:t xml:space="preserve">Furniture subscription increases customer lifetime value while encouraging </w:t>
            </w:r>
            <w:r w:rsidRPr="001C3FE9">
              <w:rPr>
                <w:rFonts w:ascii="Times New Roman" w:hAnsi="Times New Roman" w:cs="Times New Roman"/>
              </w:rPr>
              <w:lastRenderedPageBreak/>
              <w:t>repeat usage, stronger brand loyalty and participation in IKEA's circular ecosystem through recurring rental and product return behaviour.</w:t>
            </w:r>
          </w:p>
        </w:tc>
      </w:tr>
    </w:tbl>
    <w:p w14:paraId="21CE5C50" w14:textId="77777777" w:rsidR="001C3FE9" w:rsidRDefault="001C3FE9">
      <w:pPr>
        <w:rPr>
          <w:b/>
          <w:bCs/>
        </w:rPr>
      </w:pPr>
    </w:p>
    <w:p w14:paraId="3B1FDB74" w14:textId="4CC9CF9C" w:rsidR="00CA4BE2" w:rsidRDefault="00BA24B3" w:rsidP="00303D1E">
      <w:pPr>
        <w:pStyle w:val="Heading2"/>
      </w:pPr>
      <w:bookmarkStart w:id="43" w:name="_Toc236762155"/>
      <w:r>
        <w:t>Appendix 2: Marketing mix</w:t>
      </w:r>
      <w:bookmarkEnd w:id="43"/>
      <w:r>
        <w:t xml:space="preserve"> </w:t>
      </w:r>
    </w:p>
    <w:tbl>
      <w:tblPr>
        <w:tblStyle w:val="TableGrid"/>
        <w:tblW w:w="0" w:type="auto"/>
        <w:tblLook w:val="04A0" w:firstRow="1" w:lastRow="0" w:firstColumn="1" w:lastColumn="0" w:noHBand="0" w:noVBand="1"/>
      </w:tblPr>
      <w:tblGrid>
        <w:gridCol w:w="1679"/>
        <w:gridCol w:w="7340"/>
      </w:tblGrid>
      <w:tr w:rsidR="00BA24B3" w:rsidRPr="00BA24B3" w14:paraId="553F1A4B" w14:textId="77777777" w:rsidTr="002C324B">
        <w:tc>
          <w:tcPr>
            <w:tcW w:w="0" w:type="auto"/>
            <w:hideMark/>
          </w:tcPr>
          <w:p w14:paraId="5A43AF9F" w14:textId="77777777" w:rsidR="00BA24B3" w:rsidRPr="00BA24B3" w:rsidRDefault="00BA24B3" w:rsidP="002C324B">
            <w:pPr>
              <w:spacing w:after="160" w:line="278" w:lineRule="auto"/>
              <w:rPr>
                <w:rFonts w:ascii="Times New Roman" w:hAnsi="Times New Roman" w:cs="Times New Roman"/>
                <w:b/>
                <w:bCs/>
              </w:rPr>
            </w:pPr>
            <w:r w:rsidRPr="00BA24B3">
              <w:rPr>
                <w:rFonts w:ascii="Times New Roman" w:hAnsi="Times New Roman" w:cs="Times New Roman"/>
                <w:b/>
                <w:bCs/>
              </w:rPr>
              <w:t>7Ps</w:t>
            </w:r>
          </w:p>
        </w:tc>
        <w:tc>
          <w:tcPr>
            <w:tcW w:w="0" w:type="auto"/>
            <w:hideMark/>
          </w:tcPr>
          <w:p w14:paraId="71B559B3" w14:textId="77777777" w:rsidR="00BA24B3" w:rsidRPr="00BA24B3" w:rsidRDefault="00BA24B3" w:rsidP="002C324B">
            <w:pPr>
              <w:spacing w:after="160" w:line="278" w:lineRule="auto"/>
              <w:rPr>
                <w:rFonts w:ascii="Times New Roman" w:hAnsi="Times New Roman" w:cs="Times New Roman"/>
                <w:b/>
                <w:bCs/>
              </w:rPr>
            </w:pPr>
            <w:r w:rsidRPr="00BA24B3">
              <w:rPr>
                <w:rFonts w:ascii="Times New Roman" w:hAnsi="Times New Roman" w:cs="Times New Roman"/>
                <w:b/>
                <w:bCs/>
              </w:rPr>
              <w:t>Application to IKEA LoopLiving</w:t>
            </w:r>
          </w:p>
        </w:tc>
      </w:tr>
      <w:tr w:rsidR="00BA24B3" w:rsidRPr="00BA24B3" w14:paraId="4D4C40EE" w14:textId="77777777" w:rsidTr="002C324B">
        <w:tc>
          <w:tcPr>
            <w:tcW w:w="0" w:type="auto"/>
            <w:hideMark/>
          </w:tcPr>
          <w:p w14:paraId="70E0893B" w14:textId="77777777" w:rsidR="00BA24B3" w:rsidRPr="00BA24B3" w:rsidRDefault="00BA24B3" w:rsidP="002C324B">
            <w:pPr>
              <w:spacing w:after="160" w:line="278" w:lineRule="auto"/>
              <w:jc w:val="both"/>
              <w:rPr>
                <w:rFonts w:ascii="Times New Roman" w:hAnsi="Times New Roman" w:cs="Times New Roman"/>
              </w:rPr>
            </w:pPr>
            <w:r w:rsidRPr="00BA24B3">
              <w:rPr>
                <w:rFonts w:ascii="Times New Roman" w:hAnsi="Times New Roman" w:cs="Times New Roman"/>
                <w:b/>
                <w:bCs/>
              </w:rPr>
              <w:t>Product</w:t>
            </w:r>
          </w:p>
        </w:tc>
        <w:tc>
          <w:tcPr>
            <w:tcW w:w="0" w:type="auto"/>
            <w:hideMark/>
          </w:tcPr>
          <w:p w14:paraId="70FDA267" w14:textId="77777777" w:rsidR="00BA24B3" w:rsidRPr="00BA24B3" w:rsidRDefault="00BA24B3" w:rsidP="002C324B">
            <w:pPr>
              <w:spacing w:after="160" w:line="278" w:lineRule="auto"/>
              <w:jc w:val="both"/>
              <w:rPr>
                <w:rFonts w:ascii="Times New Roman" w:hAnsi="Times New Roman" w:cs="Times New Roman"/>
              </w:rPr>
            </w:pPr>
            <w:r w:rsidRPr="00BA24B3">
              <w:rPr>
                <w:rFonts w:ascii="Times New Roman" w:hAnsi="Times New Roman" w:cs="Times New Roman"/>
              </w:rPr>
              <w:t>Furniture-as-a-Service through subscription, rental, repair, refurbishment and buy-back.</w:t>
            </w:r>
          </w:p>
        </w:tc>
      </w:tr>
      <w:tr w:rsidR="00BA24B3" w:rsidRPr="00BA24B3" w14:paraId="03EDF615" w14:textId="77777777" w:rsidTr="002C324B">
        <w:tc>
          <w:tcPr>
            <w:tcW w:w="0" w:type="auto"/>
            <w:hideMark/>
          </w:tcPr>
          <w:p w14:paraId="0163B984" w14:textId="77777777" w:rsidR="00BA24B3" w:rsidRPr="00BA24B3" w:rsidRDefault="00BA24B3" w:rsidP="002C324B">
            <w:pPr>
              <w:spacing w:after="160" w:line="278" w:lineRule="auto"/>
              <w:jc w:val="both"/>
              <w:rPr>
                <w:rFonts w:ascii="Times New Roman" w:hAnsi="Times New Roman" w:cs="Times New Roman"/>
              </w:rPr>
            </w:pPr>
            <w:r w:rsidRPr="00BA24B3">
              <w:rPr>
                <w:rFonts w:ascii="Times New Roman" w:hAnsi="Times New Roman" w:cs="Times New Roman"/>
                <w:b/>
                <w:bCs/>
              </w:rPr>
              <w:t>Price</w:t>
            </w:r>
          </w:p>
        </w:tc>
        <w:tc>
          <w:tcPr>
            <w:tcW w:w="0" w:type="auto"/>
            <w:hideMark/>
          </w:tcPr>
          <w:p w14:paraId="69D0A244" w14:textId="77777777" w:rsidR="00BA24B3" w:rsidRPr="00BA24B3" w:rsidRDefault="00BA24B3" w:rsidP="002C324B">
            <w:pPr>
              <w:spacing w:after="160" w:line="278" w:lineRule="auto"/>
              <w:jc w:val="both"/>
              <w:rPr>
                <w:rFonts w:ascii="Times New Roman" w:hAnsi="Times New Roman" w:cs="Times New Roman"/>
              </w:rPr>
            </w:pPr>
            <w:r w:rsidRPr="00BA24B3">
              <w:rPr>
                <w:rFonts w:ascii="Times New Roman" w:hAnsi="Times New Roman" w:cs="Times New Roman"/>
              </w:rPr>
              <w:t>Value-based subscription pricing, penetration pricing, refundable deposits and loyalty rewards.</w:t>
            </w:r>
          </w:p>
        </w:tc>
      </w:tr>
      <w:tr w:rsidR="00BA24B3" w:rsidRPr="00BA24B3" w14:paraId="12C6E309" w14:textId="77777777" w:rsidTr="002C324B">
        <w:tc>
          <w:tcPr>
            <w:tcW w:w="0" w:type="auto"/>
            <w:hideMark/>
          </w:tcPr>
          <w:p w14:paraId="5B06275E" w14:textId="77777777" w:rsidR="00BA24B3" w:rsidRPr="00BA24B3" w:rsidRDefault="00BA24B3" w:rsidP="002C324B">
            <w:pPr>
              <w:spacing w:after="160" w:line="278" w:lineRule="auto"/>
              <w:jc w:val="both"/>
              <w:rPr>
                <w:rFonts w:ascii="Times New Roman" w:hAnsi="Times New Roman" w:cs="Times New Roman"/>
              </w:rPr>
            </w:pPr>
            <w:r w:rsidRPr="00BA24B3">
              <w:rPr>
                <w:rFonts w:ascii="Times New Roman" w:hAnsi="Times New Roman" w:cs="Times New Roman"/>
                <w:b/>
                <w:bCs/>
              </w:rPr>
              <w:t>Place</w:t>
            </w:r>
          </w:p>
        </w:tc>
        <w:tc>
          <w:tcPr>
            <w:tcW w:w="0" w:type="auto"/>
            <w:hideMark/>
          </w:tcPr>
          <w:p w14:paraId="162133A4" w14:textId="77777777" w:rsidR="00BA24B3" w:rsidRPr="00BA24B3" w:rsidRDefault="00BA24B3" w:rsidP="002C324B">
            <w:pPr>
              <w:spacing w:after="160" w:line="278" w:lineRule="auto"/>
              <w:jc w:val="both"/>
              <w:rPr>
                <w:rFonts w:ascii="Times New Roman" w:hAnsi="Times New Roman" w:cs="Times New Roman"/>
              </w:rPr>
            </w:pPr>
            <w:r w:rsidRPr="00BA24B3">
              <w:rPr>
                <w:rFonts w:ascii="Times New Roman" w:hAnsi="Times New Roman" w:cs="Times New Roman"/>
              </w:rPr>
              <w:t>Omnichannel distribution via IKEA stores, website, app, home delivery and reverse logistics.</w:t>
            </w:r>
          </w:p>
        </w:tc>
      </w:tr>
      <w:tr w:rsidR="00BA24B3" w:rsidRPr="00BA24B3" w14:paraId="1E0BEABA" w14:textId="77777777" w:rsidTr="002C324B">
        <w:tc>
          <w:tcPr>
            <w:tcW w:w="0" w:type="auto"/>
            <w:hideMark/>
          </w:tcPr>
          <w:p w14:paraId="73009C8B" w14:textId="77777777" w:rsidR="00BA24B3" w:rsidRPr="00BA24B3" w:rsidRDefault="00BA24B3" w:rsidP="002C324B">
            <w:pPr>
              <w:spacing w:after="160" w:line="278" w:lineRule="auto"/>
              <w:jc w:val="both"/>
              <w:rPr>
                <w:rFonts w:ascii="Times New Roman" w:hAnsi="Times New Roman" w:cs="Times New Roman"/>
              </w:rPr>
            </w:pPr>
            <w:r w:rsidRPr="00BA24B3">
              <w:rPr>
                <w:rFonts w:ascii="Times New Roman" w:hAnsi="Times New Roman" w:cs="Times New Roman"/>
                <w:b/>
                <w:bCs/>
              </w:rPr>
              <w:t>Promotion</w:t>
            </w:r>
          </w:p>
        </w:tc>
        <w:tc>
          <w:tcPr>
            <w:tcW w:w="0" w:type="auto"/>
            <w:hideMark/>
          </w:tcPr>
          <w:p w14:paraId="79827D40" w14:textId="77777777" w:rsidR="00BA24B3" w:rsidRPr="00BA24B3" w:rsidRDefault="00BA24B3" w:rsidP="002C324B">
            <w:pPr>
              <w:spacing w:after="160" w:line="278" w:lineRule="auto"/>
              <w:jc w:val="both"/>
              <w:rPr>
                <w:rFonts w:ascii="Times New Roman" w:hAnsi="Times New Roman" w:cs="Times New Roman"/>
              </w:rPr>
            </w:pPr>
            <w:r w:rsidRPr="00BA24B3">
              <w:rPr>
                <w:rFonts w:ascii="Times New Roman" w:hAnsi="Times New Roman" w:cs="Times New Roman"/>
              </w:rPr>
              <w:t>IMC using social media, influencers, sustainability storytelling and IKEA Family.</w:t>
            </w:r>
          </w:p>
        </w:tc>
      </w:tr>
      <w:tr w:rsidR="00BA24B3" w:rsidRPr="00BA24B3" w14:paraId="4E336CF4" w14:textId="77777777" w:rsidTr="002C324B">
        <w:tc>
          <w:tcPr>
            <w:tcW w:w="0" w:type="auto"/>
            <w:hideMark/>
          </w:tcPr>
          <w:p w14:paraId="4A389964" w14:textId="77777777" w:rsidR="00BA24B3" w:rsidRPr="00BA24B3" w:rsidRDefault="00BA24B3" w:rsidP="002C324B">
            <w:pPr>
              <w:spacing w:after="160" w:line="278" w:lineRule="auto"/>
              <w:jc w:val="both"/>
              <w:rPr>
                <w:rFonts w:ascii="Times New Roman" w:hAnsi="Times New Roman" w:cs="Times New Roman"/>
              </w:rPr>
            </w:pPr>
            <w:r w:rsidRPr="00BA24B3">
              <w:rPr>
                <w:rFonts w:ascii="Times New Roman" w:hAnsi="Times New Roman" w:cs="Times New Roman"/>
                <w:b/>
                <w:bCs/>
              </w:rPr>
              <w:t>People</w:t>
            </w:r>
          </w:p>
        </w:tc>
        <w:tc>
          <w:tcPr>
            <w:tcW w:w="0" w:type="auto"/>
            <w:hideMark/>
          </w:tcPr>
          <w:p w14:paraId="78617787" w14:textId="77777777" w:rsidR="00BA24B3" w:rsidRPr="00BA24B3" w:rsidRDefault="00BA24B3" w:rsidP="002C324B">
            <w:pPr>
              <w:spacing w:after="160" w:line="278" w:lineRule="auto"/>
              <w:jc w:val="both"/>
              <w:rPr>
                <w:rFonts w:ascii="Times New Roman" w:hAnsi="Times New Roman" w:cs="Times New Roman"/>
              </w:rPr>
            </w:pPr>
            <w:r w:rsidRPr="00BA24B3">
              <w:rPr>
                <w:rFonts w:ascii="Times New Roman" w:hAnsi="Times New Roman" w:cs="Times New Roman"/>
              </w:rPr>
              <w:t>Sustainability-trained employees, repair specialists and customer service teams.</w:t>
            </w:r>
          </w:p>
        </w:tc>
      </w:tr>
      <w:tr w:rsidR="00BA24B3" w:rsidRPr="00BA24B3" w14:paraId="50CC5394" w14:textId="77777777" w:rsidTr="002C324B">
        <w:tc>
          <w:tcPr>
            <w:tcW w:w="0" w:type="auto"/>
            <w:hideMark/>
          </w:tcPr>
          <w:p w14:paraId="25E7B0AC" w14:textId="77777777" w:rsidR="00BA24B3" w:rsidRPr="00BA24B3" w:rsidRDefault="00BA24B3" w:rsidP="002C324B">
            <w:pPr>
              <w:spacing w:after="160" w:line="278" w:lineRule="auto"/>
              <w:jc w:val="both"/>
              <w:rPr>
                <w:rFonts w:ascii="Times New Roman" w:hAnsi="Times New Roman" w:cs="Times New Roman"/>
              </w:rPr>
            </w:pPr>
            <w:r w:rsidRPr="00BA24B3">
              <w:rPr>
                <w:rFonts w:ascii="Times New Roman" w:hAnsi="Times New Roman" w:cs="Times New Roman"/>
                <w:b/>
                <w:bCs/>
              </w:rPr>
              <w:t>Process</w:t>
            </w:r>
          </w:p>
        </w:tc>
        <w:tc>
          <w:tcPr>
            <w:tcW w:w="0" w:type="auto"/>
            <w:hideMark/>
          </w:tcPr>
          <w:p w14:paraId="44717CC4" w14:textId="77777777" w:rsidR="00BA24B3" w:rsidRPr="00BA24B3" w:rsidRDefault="00BA24B3" w:rsidP="002C324B">
            <w:pPr>
              <w:spacing w:after="160" w:line="278" w:lineRule="auto"/>
              <w:jc w:val="both"/>
              <w:rPr>
                <w:rFonts w:ascii="Times New Roman" w:hAnsi="Times New Roman" w:cs="Times New Roman"/>
              </w:rPr>
            </w:pPr>
            <w:r w:rsidRPr="00BA24B3">
              <w:rPr>
                <w:rFonts w:ascii="Times New Roman" w:hAnsi="Times New Roman" w:cs="Times New Roman"/>
              </w:rPr>
              <w:t>Digital booking, delivery, maintenance, return, refurbishment and recycling.</w:t>
            </w:r>
          </w:p>
        </w:tc>
      </w:tr>
      <w:tr w:rsidR="00BA24B3" w:rsidRPr="00BA24B3" w14:paraId="6C00F426" w14:textId="77777777" w:rsidTr="002C324B">
        <w:tc>
          <w:tcPr>
            <w:tcW w:w="0" w:type="auto"/>
            <w:hideMark/>
          </w:tcPr>
          <w:p w14:paraId="49AF2F94" w14:textId="77777777" w:rsidR="00BA24B3" w:rsidRPr="00BA24B3" w:rsidRDefault="00BA24B3" w:rsidP="002C324B">
            <w:pPr>
              <w:spacing w:after="160" w:line="278" w:lineRule="auto"/>
              <w:jc w:val="both"/>
              <w:rPr>
                <w:rFonts w:ascii="Times New Roman" w:hAnsi="Times New Roman" w:cs="Times New Roman"/>
              </w:rPr>
            </w:pPr>
            <w:r w:rsidRPr="00BA24B3">
              <w:rPr>
                <w:rFonts w:ascii="Times New Roman" w:hAnsi="Times New Roman" w:cs="Times New Roman"/>
                <w:b/>
                <w:bCs/>
              </w:rPr>
              <w:t>Physical Evidence</w:t>
            </w:r>
          </w:p>
        </w:tc>
        <w:tc>
          <w:tcPr>
            <w:tcW w:w="0" w:type="auto"/>
            <w:hideMark/>
          </w:tcPr>
          <w:p w14:paraId="60C1204C" w14:textId="77777777" w:rsidR="00BA24B3" w:rsidRPr="00BA24B3" w:rsidRDefault="00BA24B3" w:rsidP="002C324B">
            <w:pPr>
              <w:spacing w:after="160" w:line="278" w:lineRule="auto"/>
              <w:jc w:val="both"/>
              <w:rPr>
                <w:rFonts w:ascii="Times New Roman" w:hAnsi="Times New Roman" w:cs="Times New Roman"/>
              </w:rPr>
            </w:pPr>
            <w:r w:rsidRPr="00BA24B3">
              <w:rPr>
                <w:rFonts w:ascii="Times New Roman" w:hAnsi="Times New Roman" w:cs="Times New Roman"/>
              </w:rPr>
              <w:t>IKEA stores, eco-labelling, sustainable packaging, refurbishment centres and digital platform reinforcing the circular brand experience.</w:t>
            </w:r>
          </w:p>
        </w:tc>
      </w:tr>
    </w:tbl>
    <w:p w14:paraId="0F8E1EE3" w14:textId="77777777" w:rsidR="00BA24B3" w:rsidRDefault="00BA24B3">
      <w:pPr>
        <w:rPr>
          <w:b/>
          <w:bCs/>
        </w:rPr>
      </w:pPr>
    </w:p>
    <w:p w14:paraId="5032D758" w14:textId="77777777" w:rsidR="00CA4BE2" w:rsidRDefault="00CA4BE2">
      <w:pPr>
        <w:rPr>
          <w:b/>
          <w:bCs/>
        </w:rPr>
      </w:pPr>
    </w:p>
    <w:sectPr w:rsidR="00CA4BE2" w:rsidSect="00FF550A">
      <w:footerReference w:type="default" r:id="rId2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7B44A4" w14:textId="77777777" w:rsidR="00C007AE" w:rsidRDefault="00C007AE">
      <w:pPr>
        <w:spacing w:line="240" w:lineRule="auto"/>
      </w:pPr>
      <w:r>
        <w:separator/>
      </w:r>
    </w:p>
  </w:endnote>
  <w:endnote w:type="continuationSeparator" w:id="0">
    <w:p w14:paraId="3FAC19DF" w14:textId="77777777" w:rsidR="00C007AE" w:rsidRDefault="00C007A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26BD995-B9D6-4A25-B120-B6385ADEE6BE}"/>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2" w:fontKey="{CC2ADB59-B1FB-47F5-AC72-B781A8FFBA3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3F355D" w14:textId="77777777" w:rsidR="00CA4BE2" w:rsidRDefault="00000000">
    <w:pPr>
      <w:jc w:val="right"/>
      <w:rPr>
        <w:sz w:val="20"/>
        <w:szCs w:val="20"/>
      </w:rPr>
    </w:pPr>
    <w:r>
      <w:rPr>
        <w:sz w:val="20"/>
        <w:szCs w:val="20"/>
      </w:rPr>
      <w:fldChar w:fldCharType="begin"/>
    </w:r>
    <w:r>
      <w:rPr>
        <w:sz w:val="20"/>
        <w:szCs w:val="20"/>
      </w:rPr>
      <w:instrText>PAGE</w:instrText>
    </w:r>
    <w:r>
      <w:rPr>
        <w:sz w:val="20"/>
        <w:szCs w:val="20"/>
      </w:rPr>
      <w:fldChar w:fldCharType="separate"/>
    </w:r>
    <w:r w:rsidR="00FF550A">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EDE91C" w14:textId="77777777" w:rsidR="00C007AE" w:rsidRDefault="00C007AE">
      <w:pPr>
        <w:spacing w:line="240" w:lineRule="auto"/>
      </w:pPr>
      <w:r>
        <w:separator/>
      </w:r>
    </w:p>
  </w:footnote>
  <w:footnote w:type="continuationSeparator" w:id="0">
    <w:p w14:paraId="49643FEA" w14:textId="77777777" w:rsidR="00C007AE" w:rsidRDefault="00C007A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4BE2"/>
    <w:rsid w:val="00017370"/>
    <w:rsid w:val="001C3FE9"/>
    <w:rsid w:val="00303D1E"/>
    <w:rsid w:val="005766E8"/>
    <w:rsid w:val="0077567C"/>
    <w:rsid w:val="00866BDF"/>
    <w:rsid w:val="00BA24B3"/>
    <w:rsid w:val="00C007AE"/>
    <w:rsid w:val="00CA4BE2"/>
    <w:rsid w:val="00D203D7"/>
    <w:rsid w:val="00FF550A"/>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46D675"/>
  <w15:docId w15:val="{2960EC88-CDFE-4AA3-A0AE-1FF53C45BE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TOCHeading">
    <w:name w:val="TOC Heading"/>
    <w:basedOn w:val="Heading1"/>
    <w:next w:val="Normal"/>
    <w:uiPriority w:val="39"/>
    <w:unhideWhenUsed/>
    <w:qFormat/>
    <w:rsid w:val="00FF550A"/>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FF550A"/>
    <w:pPr>
      <w:spacing w:after="100"/>
    </w:pPr>
  </w:style>
  <w:style w:type="paragraph" w:styleId="TOC2">
    <w:name w:val="toc 2"/>
    <w:basedOn w:val="Normal"/>
    <w:next w:val="Normal"/>
    <w:autoRedefine/>
    <w:uiPriority w:val="39"/>
    <w:unhideWhenUsed/>
    <w:rsid w:val="00FF550A"/>
    <w:pPr>
      <w:spacing w:after="100"/>
      <w:ind w:left="240"/>
    </w:pPr>
  </w:style>
  <w:style w:type="paragraph" w:styleId="TOC3">
    <w:name w:val="toc 3"/>
    <w:basedOn w:val="Normal"/>
    <w:next w:val="Normal"/>
    <w:autoRedefine/>
    <w:uiPriority w:val="39"/>
    <w:unhideWhenUsed/>
    <w:rsid w:val="00FF550A"/>
    <w:pPr>
      <w:spacing w:after="100"/>
      <w:ind w:left="480"/>
    </w:pPr>
  </w:style>
  <w:style w:type="character" w:styleId="Hyperlink">
    <w:name w:val="Hyperlink"/>
    <w:basedOn w:val="DefaultParagraphFont"/>
    <w:uiPriority w:val="99"/>
    <w:unhideWhenUsed/>
    <w:rsid w:val="00FF550A"/>
    <w:rPr>
      <w:color w:val="0000FF" w:themeColor="hyperlink"/>
      <w:u w:val="single"/>
    </w:rPr>
  </w:style>
  <w:style w:type="table" w:styleId="TableGrid">
    <w:name w:val="Table Grid"/>
    <w:basedOn w:val="TableNormal"/>
    <w:uiPriority w:val="39"/>
    <w:rsid w:val="001C3FE9"/>
    <w:pPr>
      <w:spacing w:line="240" w:lineRule="auto"/>
      <w:jc w:val="left"/>
    </w:pPr>
    <w:rPr>
      <w:rFonts w:asciiTheme="minorHAnsi" w:eastAsia="Arial" w:hAnsiTheme="minorHAnsi" w:cstheme="minorBidi"/>
      <w:kern w:val="2"/>
      <w:lang w:val="en-IN"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hyperlink" Target="https://www.eib.org/en/surveys/climate-survey/7th-climate-survey/eu-27" TargetMode="External"/><Relationship Id="rId18" Type="http://schemas.openxmlformats.org/officeDocument/2006/relationships/hyperlink" Target="https://www.ikea.com/global/en/our-business/how-we-work/year-in-review-fy25/?msockid=03c109e0fc3f6e35096f1f1ffd086fa4"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ingka.com/newsroom/ingka-group-scales-buyback-by-39-achieves-60-zero-emission-home-deliveries-and-95-renewable-electricity-sourcing/" TargetMode="External"/><Relationship Id="rId7" Type="http://schemas.openxmlformats.org/officeDocument/2006/relationships/image" Target="media/image1.png"/><Relationship Id="rId12" Type="http://schemas.openxmlformats.org/officeDocument/2006/relationships/hyperlink" Target="https://www.eib.org/en/surveys/climate-survey/7th-climate-survey/eu-27" TargetMode="External"/><Relationship Id="rId17" Type="http://schemas.openxmlformats.org/officeDocument/2006/relationships/hyperlink" Target="https://www.ikea.com/global/en/newsroom/corporate/ikea-retail-sales-fy25-251016/?msockid=2c0c2a436c4363983d213c976d3b6269" TargetMode="External"/><Relationship Id="rId25" Type="http://schemas.openxmlformats.org/officeDocument/2006/relationships/hyperlink" Target="https://www.pwc.com/gx/en/issues/c-suite-insights/voice-of-the-consumer-survey.html" TargetMode="External"/><Relationship Id="rId2" Type="http://schemas.openxmlformats.org/officeDocument/2006/relationships/styles" Target="styles.xml"/><Relationship Id="rId16" Type="http://schemas.openxmlformats.org/officeDocument/2006/relationships/hyperlink" Target="https://www.ikea.com/global/en/newsroom/corporate/ikea-retail-sales-fy25-251016/?msockid=2c0c2a436c4363983d213c976d3b6269" TargetMode="External"/><Relationship Id="rId20" Type="http://schemas.openxmlformats.org/officeDocument/2006/relationships/hyperlink" Target="https://www.ingka.com/newsroom/ingka-group-scales-buyback-by-39-achieves-60-zero-emission-home-deliveries-and-95-renewable-electricity-sourcing/"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pwc.com/gx/en/issues/c-suite-insights/voice-of-the-consumer-survey.html" TargetMode="External"/><Relationship Id="rId5" Type="http://schemas.openxmlformats.org/officeDocument/2006/relationships/footnotes" Target="footnotes.xml"/><Relationship Id="rId15" Type="http://schemas.openxmlformats.org/officeDocument/2006/relationships/hyperlink" Target="https://lifeathome.ikea.com/" TargetMode="External"/><Relationship Id="rId23" Type="http://schemas.openxmlformats.org/officeDocument/2006/relationships/hyperlink" Target="https://www.jysk.com/index.php/about-us"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ikea.com/global/en/our-business/how-we-work/year-in-review-fy25/?msockid=03c109e0fc3f6e35096f1f1ffd086fa4"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lifeathome.ikea.com/" TargetMode="External"/><Relationship Id="rId22" Type="http://schemas.openxmlformats.org/officeDocument/2006/relationships/hyperlink" Target="https://www.jysk.com/index.php/about-us" TargetMode="External"/><Relationship Id="rId27"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44B84A-F571-4B30-A90B-415B48DC58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16</Pages>
  <Words>4271</Words>
  <Characters>24348</Characters>
  <Application>Microsoft Office Word</Application>
  <DocSecurity>0</DocSecurity>
  <Lines>202</Lines>
  <Paragraphs>57</Paragraphs>
  <ScaleCrop>false</ScaleCrop>
  <Company/>
  <LinksUpToDate>false</LinksUpToDate>
  <CharactersWithSpaces>28562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Soumik Roy Chowdhury</cp:lastModifiedBy>
  <cp:revision>9</cp:revision>
  <dcterms:created xsi:type="dcterms:W3CDTF">2026-08-04T08:51:00Z</dcterms:created>
  <dcterms:modified xsi:type="dcterms:W3CDTF">2026-08-04T13:25:00Z</dcterms:modified>
</cp:coreProperties>
</file>