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8B9F2" w14:textId="77777777" w:rsidR="004D0756" w:rsidRPr="000F0816" w:rsidRDefault="004D0756" w:rsidP="000F0816">
      <w:pPr>
        <w:jc w:val="center"/>
        <w:rPr>
          <w:rFonts w:ascii="Arial" w:hAnsi="Arial" w:cs="Arial"/>
        </w:rPr>
      </w:pPr>
    </w:p>
    <w:p w14:paraId="047234A3" w14:textId="77777777" w:rsidR="004D0756" w:rsidRDefault="000F0816" w:rsidP="000F0816">
      <w:pPr>
        <w:jc w:val="center"/>
      </w:pPr>
      <w:r w:rsidRPr="000F0816">
        <w:rPr>
          <w:noProof/>
        </w:rPr>
        <w:drawing>
          <wp:inline distT="0" distB="0" distL="0" distR="0" wp14:anchorId="5B49727C" wp14:editId="2BB9EFE4">
            <wp:extent cx="2809875" cy="1181100"/>
            <wp:effectExtent l="0" t="0" r="0" b="0"/>
            <wp:docPr id="7" name="Picture 6">
              <a:extLst xmlns:a="http://schemas.openxmlformats.org/drawingml/2006/main">
                <a:ext uri="{FF2B5EF4-FFF2-40B4-BE49-F238E27FC236}">
                  <a16:creationId xmlns:a16="http://schemas.microsoft.com/office/drawing/2014/main" id="{242D0901-C5A3-4EE8-B3C2-E28DDD49762B}"/>
                </a:ext>
              </a:extLst>
            </wp:docPr>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242D0901-C5A3-4EE8-B3C2-E28DDD49762B}"/>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2809875" cy="1181100"/>
                    </a:xfrm>
                    <a:prstGeom prst="rect">
                      <a:avLst/>
                    </a:prstGeom>
                  </pic:spPr>
                </pic:pic>
              </a:graphicData>
            </a:graphic>
          </wp:inline>
        </w:drawing>
      </w:r>
    </w:p>
    <w:p w14:paraId="2C59FBC7" w14:textId="77777777" w:rsidR="004D0756" w:rsidRDefault="004D0756" w:rsidP="000F0816">
      <w:pPr>
        <w:jc w:val="center"/>
      </w:pPr>
    </w:p>
    <w:p w14:paraId="131CBB5E" w14:textId="77777777" w:rsidR="000F0816" w:rsidRDefault="000F0816" w:rsidP="000F0816">
      <w:pPr>
        <w:jc w:val="center"/>
      </w:pPr>
    </w:p>
    <w:p w14:paraId="504CAFDB" w14:textId="77777777" w:rsidR="000F0816" w:rsidRPr="00F60670" w:rsidRDefault="000F0816" w:rsidP="00840AC2">
      <w:pPr>
        <w:spacing w:line="360" w:lineRule="auto"/>
        <w:jc w:val="center"/>
        <w:rPr>
          <w:rFonts w:ascii="Arial" w:hAnsi="Arial" w:cs="Arial"/>
          <w:b/>
          <w:bCs/>
          <w:lang w:eastAsia="en-GB"/>
        </w:rPr>
      </w:pPr>
      <w:r w:rsidRPr="00F60670">
        <w:rPr>
          <w:rFonts w:ascii="Arial" w:hAnsi="Arial" w:cs="Arial"/>
          <w:b/>
          <w:bCs/>
          <w:lang w:eastAsia="en-GB"/>
        </w:rPr>
        <w:t>Developing and Managing Individuals and Teams</w:t>
      </w:r>
    </w:p>
    <w:p w14:paraId="290352EE" w14:textId="77777777" w:rsidR="000F0816" w:rsidRPr="00F60670" w:rsidRDefault="000F0816" w:rsidP="00840AC2">
      <w:pPr>
        <w:spacing w:line="360" w:lineRule="auto"/>
        <w:jc w:val="center"/>
        <w:rPr>
          <w:rFonts w:ascii="Arial" w:hAnsi="Arial" w:cs="Arial"/>
          <w:b/>
          <w:bCs/>
          <w:lang w:eastAsia="en-GB"/>
        </w:rPr>
      </w:pPr>
      <w:r w:rsidRPr="00F60670">
        <w:rPr>
          <w:rFonts w:ascii="Arial" w:hAnsi="Arial" w:cs="Arial"/>
          <w:b/>
          <w:bCs/>
          <w:lang w:eastAsia="en-GB"/>
        </w:rPr>
        <w:t>Module code: LCLM5002 Contribution to</w:t>
      </w:r>
    </w:p>
    <w:p w14:paraId="7F913D4A" w14:textId="77777777" w:rsidR="000F0816" w:rsidRPr="00F60670" w:rsidRDefault="000F0816" w:rsidP="00840AC2">
      <w:pPr>
        <w:spacing w:line="360" w:lineRule="auto"/>
        <w:jc w:val="center"/>
        <w:rPr>
          <w:rFonts w:ascii="Arial" w:hAnsi="Arial" w:cs="Arial"/>
          <w:b/>
          <w:bCs/>
          <w:lang w:eastAsia="en-GB"/>
        </w:rPr>
      </w:pPr>
      <w:r w:rsidRPr="00F60670">
        <w:rPr>
          <w:rFonts w:ascii="Arial" w:hAnsi="Arial" w:cs="Arial"/>
          <w:b/>
          <w:bCs/>
          <w:lang w:eastAsia="en-GB"/>
        </w:rPr>
        <w:t>Overall Module</w:t>
      </w:r>
    </w:p>
    <w:p w14:paraId="01E92F01" w14:textId="77777777" w:rsidR="000F0816" w:rsidRPr="00F60670" w:rsidRDefault="000F0816" w:rsidP="00840AC2">
      <w:pPr>
        <w:spacing w:line="360" w:lineRule="auto"/>
        <w:jc w:val="center"/>
        <w:rPr>
          <w:rFonts w:ascii="Arial" w:hAnsi="Arial" w:cs="Arial"/>
          <w:b/>
          <w:bCs/>
          <w:lang w:eastAsia="en-GB"/>
        </w:rPr>
      </w:pPr>
      <w:r w:rsidRPr="00F60670">
        <w:rPr>
          <w:rFonts w:ascii="Arial" w:hAnsi="Arial" w:cs="Arial"/>
          <w:b/>
          <w:bCs/>
          <w:lang w:eastAsia="en-GB"/>
        </w:rPr>
        <w:t>50%</w:t>
      </w:r>
    </w:p>
    <w:p w14:paraId="69BCFB39" w14:textId="77777777" w:rsidR="000F0816" w:rsidRPr="00F60670" w:rsidRDefault="000F0816" w:rsidP="00840AC2">
      <w:pPr>
        <w:spacing w:line="360" w:lineRule="auto"/>
        <w:jc w:val="center"/>
        <w:rPr>
          <w:rFonts w:ascii="Arial" w:hAnsi="Arial" w:cs="Arial"/>
          <w:b/>
          <w:bCs/>
          <w:lang w:eastAsia="en-GB"/>
        </w:rPr>
      </w:pPr>
      <w:r w:rsidRPr="00F60670">
        <w:rPr>
          <w:rFonts w:ascii="Arial" w:hAnsi="Arial" w:cs="Arial"/>
          <w:b/>
          <w:bCs/>
          <w:lang w:eastAsia="en-GB"/>
        </w:rPr>
        <w:t>Assessment (%):</w:t>
      </w:r>
    </w:p>
    <w:p w14:paraId="11FEACF4" w14:textId="77777777" w:rsidR="000F0816" w:rsidRPr="00F60670" w:rsidRDefault="000F0816" w:rsidP="00840AC2">
      <w:pPr>
        <w:spacing w:line="360" w:lineRule="auto"/>
        <w:jc w:val="center"/>
        <w:rPr>
          <w:rFonts w:ascii="Arial" w:hAnsi="Arial" w:cs="Arial"/>
          <w:b/>
          <w:bCs/>
          <w:lang w:eastAsia="en-GB"/>
        </w:rPr>
      </w:pPr>
      <w:r w:rsidRPr="00F60670">
        <w:rPr>
          <w:rFonts w:ascii="Arial" w:hAnsi="Arial" w:cs="Arial"/>
          <w:b/>
          <w:bCs/>
          <w:lang w:eastAsia="en-GB"/>
        </w:rPr>
        <w:t>Module Leader: Dr. Amer Kareem</w:t>
      </w:r>
    </w:p>
    <w:p w14:paraId="723DBEB1" w14:textId="77777777" w:rsidR="000F0816" w:rsidRPr="00F60670" w:rsidRDefault="000F0816" w:rsidP="00840AC2">
      <w:pPr>
        <w:spacing w:line="360" w:lineRule="auto"/>
        <w:jc w:val="center"/>
        <w:rPr>
          <w:rFonts w:ascii="Arial" w:hAnsi="Arial" w:cs="Arial"/>
          <w:b/>
          <w:bCs/>
          <w:lang w:eastAsia="en-GB"/>
        </w:rPr>
      </w:pPr>
      <w:r w:rsidRPr="00F60670">
        <w:rPr>
          <w:rFonts w:ascii="Arial" w:hAnsi="Arial" w:cs="Arial"/>
          <w:b/>
          <w:bCs/>
          <w:lang w:eastAsia="en-GB"/>
        </w:rPr>
        <w:t>Student Name: Rahmia Sulay Kamil</w:t>
      </w:r>
    </w:p>
    <w:p w14:paraId="45C97307" w14:textId="5E65AC2A" w:rsidR="000F0816" w:rsidRPr="00F60670" w:rsidRDefault="000F0816" w:rsidP="00840AC2">
      <w:pPr>
        <w:spacing w:line="360" w:lineRule="auto"/>
        <w:jc w:val="center"/>
        <w:rPr>
          <w:rFonts w:ascii="Arial" w:hAnsi="Arial" w:cs="Arial"/>
          <w:b/>
          <w:bCs/>
          <w:lang w:eastAsia="en-GB"/>
        </w:rPr>
      </w:pPr>
      <w:r w:rsidRPr="00F60670">
        <w:rPr>
          <w:rFonts w:ascii="Arial" w:hAnsi="Arial" w:cs="Arial"/>
          <w:b/>
          <w:bCs/>
          <w:lang w:eastAsia="en-GB"/>
        </w:rPr>
        <w:t>Student ID:</w:t>
      </w:r>
      <w:r w:rsidR="00F60670">
        <w:rPr>
          <w:rFonts w:ascii="Arial" w:hAnsi="Arial" w:cs="Arial"/>
          <w:b/>
          <w:bCs/>
          <w:lang w:eastAsia="en-GB"/>
        </w:rPr>
        <w:t>2335591</w:t>
      </w:r>
    </w:p>
    <w:p w14:paraId="5C4EAE94" w14:textId="77777777" w:rsidR="000F0816" w:rsidRPr="00840AC2" w:rsidRDefault="000F0816" w:rsidP="00840AC2">
      <w:pPr>
        <w:spacing w:line="360" w:lineRule="auto"/>
        <w:jc w:val="center"/>
        <w:rPr>
          <w:rFonts w:ascii="Arial" w:hAnsi="Arial" w:cs="Arial"/>
          <w:sz w:val="22"/>
          <w:szCs w:val="22"/>
          <w:lang w:eastAsia="en-GB"/>
        </w:rPr>
      </w:pPr>
    </w:p>
    <w:p w14:paraId="518C5834" w14:textId="77777777" w:rsidR="000F0816" w:rsidRPr="00840AC2" w:rsidRDefault="000F0816" w:rsidP="00840AC2">
      <w:pPr>
        <w:spacing w:line="360" w:lineRule="auto"/>
        <w:jc w:val="both"/>
        <w:rPr>
          <w:rFonts w:ascii="Arial" w:hAnsi="Arial" w:cs="Arial"/>
          <w:sz w:val="22"/>
          <w:szCs w:val="22"/>
        </w:rPr>
      </w:pPr>
    </w:p>
    <w:p w14:paraId="1020A713" w14:textId="77777777" w:rsidR="004D0756" w:rsidRPr="00840AC2" w:rsidRDefault="004D0756" w:rsidP="00840AC2">
      <w:pPr>
        <w:spacing w:line="360" w:lineRule="auto"/>
        <w:jc w:val="both"/>
        <w:rPr>
          <w:rFonts w:ascii="Arial" w:hAnsi="Arial" w:cs="Arial"/>
          <w:sz w:val="22"/>
          <w:szCs w:val="22"/>
        </w:rPr>
      </w:pPr>
    </w:p>
    <w:p w14:paraId="4FB631C2" w14:textId="77777777" w:rsidR="004D0756" w:rsidRPr="00840AC2" w:rsidRDefault="004D0756" w:rsidP="00840AC2">
      <w:pPr>
        <w:spacing w:line="360" w:lineRule="auto"/>
        <w:jc w:val="both"/>
        <w:rPr>
          <w:rFonts w:ascii="Arial" w:hAnsi="Arial" w:cs="Arial"/>
          <w:sz w:val="22"/>
          <w:szCs w:val="22"/>
        </w:rPr>
      </w:pPr>
    </w:p>
    <w:p w14:paraId="1B9FBF9D" w14:textId="77777777" w:rsidR="004D0756" w:rsidRPr="00840AC2" w:rsidRDefault="004D0756" w:rsidP="00840AC2">
      <w:pPr>
        <w:spacing w:line="360" w:lineRule="auto"/>
        <w:jc w:val="both"/>
        <w:rPr>
          <w:rFonts w:ascii="Arial" w:hAnsi="Arial" w:cs="Arial"/>
          <w:sz w:val="22"/>
          <w:szCs w:val="22"/>
        </w:rPr>
      </w:pPr>
    </w:p>
    <w:p w14:paraId="5A869F3C" w14:textId="77777777" w:rsidR="004D0756" w:rsidRPr="00840AC2" w:rsidRDefault="004D0756" w:rsidP="00840AC2">
      <w:pPr>
        <w:spacing w:line="360" w:lineRule="auto"/>
        <w:jc w:val="both"/>
        <w:rPr>
          <w:rFonts w:ascii="Arial" w:hAnsi="Arial" w:cs="Arial"/>
          <w:sz w:val="22"/>
          <w:szCs w:val="22"/>
        </w:rPr>
      </w:pPr>
    </w:p>
    <w:p w14:paraId="79979949" w14:textId="77777777" w:rsidR="004D0756" w:rsidRPr="00840AC2" w:rsidRDefault="004D0756" w:rsidP="00840AC2">
      <w:pPr>
        <w:spacing w:line="360" w:lineRule="auto"/>
        <w:jc w:val="both"/>
        <w:rPr>
          <w:rFonts w:ascii="Arial" w:hAnsi="Arial" w:cs="Arial"/>
          <w:sz w:val="22"/>
          <w:szCs w:val="22"/>
        </w:rPr>
      </w:pPr>
    </w:p>
    <w:p w14:paraId="47E07337" w14:textId="77777777" w:rsidR="004D0756" w:rsidRPr="00840AC2" w:rsidRDefault="004D0756" w:rsidP="00840AC2">
      <w:pPr>
        <w:spacing w:line="360" w:lineRule="auto"/>
        <w:jc w:val="both"/>
        <w:rPr>
          <w:rFonts w:ascii="Arial" w:hAnsi="Arial" w:cs="Arial"/>
          <w:sz w:val="22"/>
          <w:szCs w:val="22"/>
        </w:rPr>
      </w:pPr>
    </w:p>
    <w:p w14:paraId="08B0DBD3" w14:textId="77777777" w:rsidR="004D0756" w:rsidRPr="00840AC2" w:rsidRDefault="004D0756" w:rsidP="00840AC2">
      <w:pPr>
        <w:spacing w:line="360" w:lineRule="auto"/>
        <w:jc w:val="both"/>
        <w:rPr>
          <w:rFonts w:ascii="Arial" w:hAnsi="Arial" w:cs="Arial"/>
          <w:sz w:val="22"/>
          <w:szCs w:val="22"/>
        </w:rPr>
      </w:pPr>
    </w:p>
    <w:p w14:paraId="03EDF523" w14:textId="77777777" w:rsidR="004D0756" w:rsidRPr="00840AC2" w:rsidRDefault="004D0756" w:rsidP="00840AC2">
      <w:pPr>
        <w:spacing w:line="360" w:lineRule="auto"/>
        <w:jc w:val="both"/>
        <w:rPr>
          <w:rFonts w:ascii="Arial" w:hAnsi="Arial" w:cs="Arial"/>
          <w:sz w:val="22"/>
          <w:szCs w:val="22"/>
        </w:rPr>
      </w:pPr>
    </w:p>
    <w:p w14:paraId="5AE1FE21" w14:textId="77777777" w:rsidR="004D0756" w:rsidRPr="00840AC2" w:rsidRDefault="004D0756" w:rsidP="00840AC2">
      <w:pPr>
        <w:spacing w:line="360" w:lineRule="auto"/>
        <w:jc w:val="both"/>
        <w:rPr>
          <w:rFonts w:ascii="Arial" w:hAnsi="Arial" w:cs="Arial"/>
          <w:sz w:val="22"/>
          <w:szCs w:val="22"/>
        </w:rPr>
      </w:pPr>
    </w:p>
    <w:p w14:paraId="2ADF1D98" w14:textId="77777777" w:rsidR="004D0756" w:rsidRDefault="004D0756" w:rsidP="00840AC2">
      <w:pPr>
        <w:spacing w:line="360" w:lineRule="auto"/>
        <w:jc w:val="both"/>
        <w:rPr>
          <w:rFonts w:ascii="Arial" w:hAnsi="Arial" w:cs="Arial"/>
          <w:sz w:val="22"/>
          <w:szCs w:val="22"/>
        </w:rPr>
      </w:pPr>
    </w:p>
    <w:p w14:paraId="4C7F0F62" w14:textId="77777777" w:rsidR="00840AC2" w:rsidRPr="00F60670" w:rsidRDefault="00A0672C" w:rsidP="00A0672C">
      <w:pPr>
        <w:spacing w:line="360" w:lineRule="auto"/>
        <w:jc w:val="center"/>
        <w:rPr>
          <w:rFonts w:ascii="Arial" w:hAnsi="Arial" w:cs="Arial"/>
          <w:b/>
          <w:bCs/>
        </w:rPr>
      </w:pPr>
      <w:r w:rsidRPr="00F60670">
        <w:rPr>
          <w:rFonts w:ascii="Arial" w:hAnsi="Arial" w:cs="Arial"/>
          <w:b/>
          <w:bCs/>
        </w:rPr>
        <w:t>Table of content</w:t>
      </w:r>
    </w:p>
    <w:p w14:paraId="417E0129" w14:textId="77777777" w:rsidR="00A0672C" w:rsidRPr="00913886" w:rsidRDefault="00A0672C"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Introduction..................................................................................................................</w:t>
      </w:r>
      <w:r w:rsidR="00913886">
        <w:rPr>
          <w:rFonts w:ascii="Arial" w:hAnsi="Arial" w:cs="Arial"/>
          <w:sz w:val="22"/>
          <w:szCs w:val="22"/>
          <w:lang w:eastAsia="en-GB"/>
        </w:rPr>
        <w:t>..</w:t>
      </w:r>
      <w:r w:rsidRPr="00913886">
        <w:rPr>
          <w:rFonts w:ascii="Arial" w:hAnsi="Arial" w:cs="Arial"/>
          <w:sz w:val="22"/>
          <w:szCs w:val="22"/>
          <w:lang w:eastAsia="en-GB"/>
        </w:rPr>
        <w:t>..........1</w:t>
      </w:r>
    </w:p>
    <w:p w14:paraId="19FF6494" w14:textId="77777777" w:rsidR="00A0672C" w:rsidRPr="00913886" w:rsidRDefault="00A0672C"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Societal changes................................................................................................</w:t>
      </w:r>
      <w:r w:rsidR="00E919F5" w:rsidRP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......2</w:t>
      </w:r>
    </w:p>
    <w:p w14:paraId="75C23DB5" w14:textId="77777777" w:rsidR="00A0672C" w:rsidRPr="00913886" w:rsidRDefault="00A0672C"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Technology trends........................................................................................................</w:t>
      </w:r>
      <w:r w:rsid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...3</w:t>
      </w:r>
    </w:p>
    <w:p w14:paraId="37C62E95" w14:textId="77777777" w:rsidR="00A0672C" w:rsidRPr="00913886" w:rsidRDefault="00A0672C"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Flexible working arrangements..............................................................................</w:t>
      </w:r>
      <w:r w:rsidR="00E919F5" w:rsidRP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....4</w:t>
      </w:r>
    </w:p>
    <w:p w14:paraId="48F5DE46" w14:textId="77777777" w:rsidR="00A0672C" w:rsidRPr="00913886" w:rsidRDefault="00A0672C"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Addressing technology trends.............................................................................</w:t>
      </w:r>
      <w:r w:rsidR="00E919F5" w:rsidRP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....5</w:t>
      </w:r>
    </w:p>
    <w:p w14:paraId="1B5CFC99" w14:textId="77777777" w:rsidR="00E919F5" w:rsidRPr="00913886" w:rsidRDefault="00E919F5"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Integration and inter-connectivity...................................................................................</w:t>
      </w:r>
      <w:r w:rsid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...6</w:t>
      </w:r>
    </w:p>
    <w:p w14:paraId="595332E7" w14:textId="77777777" w:rsidR="00E919F5" w:rsidRPr="00913886" w:rsidRDefault="00E919F5"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Leadership and accountability..........................................................................................</w:t>
      </w:r>
      <w:r w:rsidR="00913886">
        <w:rPr>
          <w:rFonts w:ascii="Arial" w:hAnsi="Arial" w:cs="Arial"/>
          <w:sz w:val="22"/>
          <w:szCs w:val="22"/>
          <w:lang w:eastAsia="en-GB"/>
        </w:rPr>
        <w:t>.</w:t>
      </w:r>
      <w:r w:rsidRPr="00913886">
        <w:rPr>
          <w:rFonts w:ascii="Arial" w:hAnsi="Arial" w:cs="Arial"/>
          <w:sz w:val="22"/>
          <w:szCs w:val="22"/>
          <w:lang w:eastAsia="en-GB"/>
        </w:rPr>
        <w:t>..</w:t>
      </w:r>
      <w:r w:rsidR="00913886">
        <w:rPr>
          <w:rFonts w:ascii="Arial" w:hAnsi="Arial" w:cs="Arial"/>
          <w:sz w:val="22"/>
          <w:szCs w:val="22"/>
          <w:lang w:eastAsia="en-GB"/>
        </w:rPr>
        <w:t>...</w:t>
      </w:r>
      <w:r w:rsidRPr="00913886">
        <w:rPr>
          <w:rFonts w:ascii="Arial" w:hAnsi="Arial" w:cs="Arial"/>
          <w:sz w:val="22"/>
          <w:szCs w:val="22"/>
          <w:lang w:eastAsia="en-GB"/>
        </w:rPr>
        <w:t>..7</w:t>
      </w:r>
    </w:p>
    <w:p w14:paraId="67D4A008" w14:textId="77777777" w:rsidR="00913886" w:rsidRPr="00913886" w:rsidRDefault="00E919F5"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Operational embedding......................................................................................................</w:t>
      </w:r>
      <w:r w:rsidR="00913886">
        <w:rPr>
          <w:rFonts w:ascii="Arial" w:hAnsi="Arial" w:cs="Arial"/>
          <w:sz w:val="22"/>
          <w:szCs w:val="22"/>
          <w:lang w:eastAsia="en-GB"/>
        </w:rPr>
        <w:t>...</w:t>
      </w:r>
      <w:r w:rsidRPr="00913886">
        <w:rPr>
          <w:rFonts w:ascii="Arial" w:hAnsi="Arial" w:cs="Arial"/>
          <w:sz w:val="22"/>
          <w:szCs w:val="22"/>
          <w:lang w:eastAsia="en-GB"/>
        </w:rPr>
        <w:t>...8</w:t>
      </w:r>
    </w:p>
    <w:p w14:paraId="630C441F" w14:textId="77777777" w:rsidR="00913886" w:rsidRPr="00913886" w:rsidRDefault="00913886"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Monitoring &amp; feedback.......................................................................................................</w:t>
      </w:r>
      <w:r>
        <w:rPr>
          <w:rFonts w:ascii="Arial" w:hAnsi="Arial" w:cs="Arial"/>
          <w:sz w:val="22"/>
          <w:szCs w:val="22"/>
          <w:lang w:eastAsia="en-GB"/>
        </w:rPr>
        <w:t>...</w:t>
      </w:r>
      <w:r w:rsidRPr="00913886">
        <w:rPr>
          <w:rFonts w:ascii="Arial" w:hAnsi="Arial" w:cs="Arial"/>
          <w:sz w:val="22"/>
          <w:szCs w:val="22"/>
          <w:lang w:eastAsia="en-GB"/>
        </w:rPr>
        <w:t>....9</w:t>
      </w:r>
    </w:p>
    <w:p w14:paraId="689E44B5" w14:textId="77777777" w:rsidR="00913886" w:rsidRPr="00913886" w:rsidRDefault="00913886"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Critique and potential barriers.....................................................................................</w:t>
      </w:r>
      <w:r>
        <w:rPr>
          <w:rFonts w:ascii="Arial" w:hAnsi="Arial" w:cs="Arial"/>
          <w:sz w:val="22"/>
          <w:szCs w:val="22"/>
          <w:lang w:eastAsia="en-GB"/>
        </w:rPr>
        <w:t>..</w:t>
      </w:r>
      <w:r w:rsidRPr="00913886">
        <w:rPr>
          <w:rFonts w:ascii="Arial" w:hAnsi="Arial" w:cs="Arial"/>
          <w:sz w:val="22"/>
          <w:szCs w:val="22"/>
          <w:lang w:eastAsia="en-GB"/>
        </w:rPr>
        <w:t>....</w:t>
      </w:r>
      <w:r>
        <w:rPr>
          <w:rFonts w:ascii="Arial" w:hAnsi="Arial" w:cs="Arial"/>
          <w:sz w:val="22"/>
          <w:szCs w:val="22"/>
          <w:lang w:eastAsia="en-GB"/>
        </w:rPr>
        <w:t>...</w:t>
      </w:r>
      <w:r w:rsidRPr="00913886">
        <w:rPr>
          <w:rFonts w:ascii="Arial" w:hAnsi="Arial" w:cs="Arial"/>
          <w:sz w:val="22"/>
          <w:szCs w:val="22"/>
          <w:lang w:eastAsia="en-GB"/>
        </w:rPr>
        <w:t>.....9</w:t>
      </w:r>
    </w:p>
    <w:p w14:paraId="1ABEBFBA" w14:textId="77777777" w:rsidR="00E919F5" w:rsidRPr="00913886" w:rsidRDefault="00E919F5"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Conclusion and Recommendations.................................................................................</w:t>
      </w:r>
      <w:r w:rsidR="00913886">
        <w:rPr>
          <w:rFonts w:ascii="Arial" w:hAnsi="Arial" w:cs="Arial"/>
          <w:sz w:val="22"/>
          <w:szCs w:val="22"/>
          <w:lang w:eastAsia="en-GB"/>
        </w:rPr>
        <w:t>.....</w:t>
      </w:r>
      <w:r w:rsidRPr="00913886">
        <w:rPr>
          <w:rFonts w:ascii="Arial" w:hAnsi="Arial" w:cs="Arial"/>
          <w:sz w:val="22"/>
          <w:szCs w:val="22"/>
          <w:lang w:eastAsia="en-GB"/>
        </w:rPr>
        <w:t>..</w:t>
      </w:r>
      <w:r w:rsidR="00913886" w:rsidRPr="00913886">
        <w:rPr>
          <w:rFonts w:ascii="Arial" w:hAnsi="Arial" w:cs="Arial"/>
          <w:sz w:val="22"/>
          <w:szCs w:val="22"/>
          <w:lang w:eastAsia="en-GB"/>
        </w:rPr>
        <w:t>10</w:t>
      </w:r>
    </w:p>
    <w:p w14:paraId="22CE1299" w14:textId="77777777" w:rsidR="00913886" w:rsidRPr="00913886" w:rsidRDefault="00913886" w:rsidP="00913886">
      <w:pPr>
        <w:spacing w:line="360" w:lineRule="auto"/>
        <w:jc w:val="both"/>
        <w:rPr>
          <w:rFonts w:ascii="Arial" w:hAnsi="Arial" w:cs="Arial"/>
          <w:sz w:val="22"/>
          <w:szCs w:val="22"/>
          <w:lang w:eastAsia="en-GB"/>
        </w:rPr>
      </w:pPr>
      <w:r w:rsidRPr="00913886">
        <w:rPr>
          <w:rFonts w:ascii="Arial" w:hAnsi="Arial" w:cs="Arial"/>
          <w:sz w:val="22"/>
          <w:szCs w:val="22"/>
          <w:lang w:eastAsia="en-GB"/>
        </w:rPr>
        <w:t>References........................................................................................................................</w:t>
      </w:r>
      <w:r>
        <w:rPr>
          <w:rFonts w:ascii="Arial" w:hAnsi="Arial" w:cs="Arial"/>
          <w:sz w:val="22"/>
          <w:szCs w:val="22"/>
          <w:lang w:eastAsia="en-GB"/>
        </w:rPr>
        <w:t>.</w:t>
      </w:r>
      <w:r w:rsidRPr="00913886">
        <w:rPr>
          <w:rFonts w:ascii="Arial" w:hAnsi="Arial" w:cs="Arial"/>
          <w:sz w:val="22"/>
          <w:szCs w:val="22"/>
          <w:lang w:eastAsia="en-GB"/>
        </w:rPr>
        <w:t>....11</w:t>
      </w:r>
    </w:p>
    <w:p w14:paraId="56AC2AC2" w14:textId="77777777" w:rsidR="00913886" w:rsidRPr="00913886" w:rsidRDefault="00913886" w:rsidP="00913886">
      <w:pPr>
        <w:spacing w:line="360" w:lineRule="auto"/>
        <w:jc w:val="both"/>
        <w:rPr>
          <w:rFonts w:ascii="Arial" w:hAnsi="Arial" w:cs="Arial"/>
          <w:sz w:val="22"/>
          <w:szCs w:val="22"/>
          <w:lang w:eastAsia="en-GB"/>
        </w:rPr>
      </w:pPr>
    </w:p>
    <w:p w14:paraId="25F130A4" w14:textId="77777777" w:rsidR="00E919F5" w:rsidRPr="00913886" w:rsidRDefault="00E919F5" w:rsidP="00E919F5">
      <w:pPr>
        <w:spacing w:line="360" w:lineRule="auto"/>
        <w:jc w:val="both"/>
        <w:rPr>
          <w:rFonts w:ascii="Arial" w:hAnsi="Arial" w:cs="Arial"/>
          <w:sz w:val="22"/>
          <w:szCs w:val="22"/>
          <w:lang w:eastAsia="en-GB"/>
        </w:rPr>
      </w:pPr>
    </w:p>
    <w:p w14:paraId="30E3C717" w14:textId="77777777" w:rsidR="00E919F5" w:rsidRDefault="00E919F5" w:rsidP="00E919F5">
      <w:pPr>
        <w:spacing w:line="360" w:lineRule="auto"/>
        <w:jc w:val="both"/>
        <w:rPr>
          <w:rFonts w:ascii="Arial" w:hAnsi="Arial" w:cs="Arial"/>
          <w:b/>
          <w:bCs/>
          <w:sz w:val="22"/>
          <w:szCs w:val="22"/>
          <w:lang w:eastAsia="en-GB"/>
        </w:rPr>
      </w:pPr>
    </w:p>
    <w:p w14:paraId="2D598A15" w14:textId="77777777" w:rsidR="00A0672C" w:rsidRDefault="00A0672C" w:rsidP="00A0672C">
      <w:pPr>
        <w:spacing w:line="360" w:lineRule="auto"/>
        <w:jc w:val="both"/>
        <w:rPr>
          <w:rFonts w:ascii="Arial" w:hAnsi="Arial" w:cs="Arial"/>
          <w:b/>
          <w:bCs/>
          <w:sz w:val="22"/>
          <w:szCs w:val="22"/>
          <w:lang w:eastAsia="en-GB"/>
        </w:rPr>
      </w:pPr>
    </w:p>
    <w:p w14:paraId="5F132177" w14:textId="77777777" w:rsidR="00A0672C" w:rsidRPr="00840AC2" w:rsidRDefault="00A0672C" w:rsidP="00A0672C">
      <w:pPr>
        <w:spacing w:line="360" w:lineRule="auto"/>
        <w:jc w:val="both"/>
        <w:rPr>
          <w:rFonts w:ascii="Arial" w:hAnsi="Arial" w:cs="Arial"/>
          <w:b/>
          <w:bCs/>
          <w:sz w:val="22"/>
          <w:szCs w:val="22"/>
          <w:lang w:eastAsia="en-GB"/>
        </w:rPr>
      </w:pPr>
    </w:p>
    <w:p w14:paraId="7BF7CA43" w14:textId="77777777" w:rsidR="00A0672C" w:rsidRDefault="00A0672C" w:rsidP="00A0672C">
      <w:pPr>
        <w:spacing w:line="360" w:lineRule="auto"/>
        <w:jc w:val="center"/>
        <w:rPr>
          <w:rFonts w:ascii="Arial" w:hAnsi="Arial" w:cs="Arial"/>
          <w:sz w:val="22"/>
          <w:szCs w:val="22"/>
        </w:rPr>
      </w:pPr>
    </w:p>
    <w:p w14:paraId="6C176C17" w14:textId="77777777" w:rsidR="00840AC2" w:rsidRDefault="00840AC2" w:rsidP="00840AC2">
      <w:pPr>
        <w:spacing w:line="360" w:lineRule="auto"/>
        <w:jc w:val="both"/>
        <w:rPr>
          <w:rFonts w:ascii="Arial" w:hAnsi="Arial" w:cs="Arial"/>
          <w:sz w:val="22"/>
          <w:szCs w:val="22"/>
        </w:rPr>
      </w:pPr>
    </w:p>
    <w:p w14:paraId="599AA305" w14:textId="77777777" w:rsidR="00840AC2" w:rsidRDefault="00840AC2" w:rsidP="00840AC2">
      <w:pPr>
        <w:spacing w:line="360" w:lineRule="auto"/>
        <w:jc w:val="both"/>
        <w:rPr>
          <w:rFonts w:ascii="Arial" w:hAnsi="Arial" w:cs="Arial"/>
          <w:sz w:val="22"/>
          <w:szCs w:val="22"/>
        </w:rPr>
      </w:pPr>
    </w:p>
    <w:p w14:paraId="1C6CC99D" w14:textId="77777777" w:rsidR="00840AC2" w:rsidRDefault="00840AC2" w:rsidP="00840AC2">
      <w:pPr>
        <w:spacing w:line="360" w:lineRule="auto"/>
        <w:jc w:val="both"/>
        <w:rPr>
          <w:rFonts w:ascii="Arial" w:hAnsi="Arial" w:cs="Arial"/>
          <w:sz w:val="22"/>
          <w:szCs w:val="22"/>
        </w:rPr>
      </w:pPr>
    </w:p>
    <w:p w14:paraId="147F5ADD" w14:textId="77777777" w:rsidR="00840AC2" w:rsidRDefault="00840AC2" w:rsidP="00840AC2">
      <w:pPr>
        <w:spacing w:line="360" w:lineRule="auto"/>
        <w:jc w:val="both"/>
        <w:rPr>
          <w:rFonts w:ascii="Arial" w:hAnsi="Arial" w:cs="Arial"/>
          <w:sz w:val="22"/>
          <w:szCs w:val="22"/>
        </w:rPr>
      </w:pPr>
    </w:p>
    <w:p w14:paraId="74CD870E" w14:textId="77777777" w:rsidR="00840AC2" w:rsidRDefault="00840AC2" w:rsidP="00840AC2">
      <w:pPr>
        <w:spacing w:line="360" w:lineRule="auto"/>
        <w:jc w:val="both"/>
        <w:rPr>
          <w:rFonts w:ascii="Arial" w:hAnsi="Arial" w:cs="Arial"/>
          <w:sz w:val="22"/>
          <w:szCs w:val="22"/>
        </w:rPr>
      </w:pPr>
    </w:p>
    <w:p w14:paraId="0BC31BD3" w14:textId="77777777" w:rsidR="00840AC2" w:rsidRDefault="00840AC2" w:rsidP="00840AC2">
      <w:pPr>
        <w:spacing w:line="360" w:lineRule="auto"/>
        <w:jc w:val="both"/>
        <w:rPr>
          <w:rFonts w:ascii="Arial" w:hAnsi="Arial" w:cs="Arial"/>
          <w:sz w:val="22"/>
          <w:szCs w:val="22"/>
        </w:rPr>
      </w:pPr>
    </w:p>
    <w:p w14:paraId="570F2B2B" w14:textId="77777777" w:rsidR="00840AC2" w:rsidRDefault="00840AC2" w:rsidP="00840AC2">
      <w:pPr>
        <w:spacing w:line="360" w:lineRule="auto"/>
        <w:jc w:val="both"/>
        <w:rPr>
          <w:rFonts w:ascii="Arial" w:hAnsi="Arial" w:cs="Arial"/>
          <w:sz w:val="22"/>
          <w:szCs w:val="22"/>
        </w:rPr>
      </w:pPr>
    </w:p>
    <w:p w14:paraId="7BF7EF54" w14:textId="77777777" w:rsidR="00840AC2" w:rsidRPr="00840AC2" w:rsidRDefault="00840AC2" w:rsidP="00840AC2">
      <w:pPr>
        <w:spacing w:line="360" w:lineRule="auto"/>
        <w:jc w:val="both"/>
        <w:rPr>
          <w:rFonts w:ascii="Arial" w:hAnsi="Arial" w:cs="Arial"/>
          <w:sz w:val="22"/>
          <w:szCs w:val="22"/>
        </w:rPr>
      </w:pPr>
    </w:p>
    <w:p w14:paraId="71A55A21" w14:textId="77777777" w:rsidR="00643BCB"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Introduction</w:t>
      </w:r>
    </w:p>
    <w:p w14:paraId="6F7FA47D"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br/>
        <w:t xml:space="preserve">In today’s dynamic business landscape, organisations face a convergence of three major factor-sets demanding structural re-thinking of how work is organised, how people are managed, and how human resource (HR) practices adapt. First, societal changes — including demographic shifts, evolving worker expectations and labour market transformations — are reshaping the workforce and the employment contract. Second, technology trends such as artificial intelligence (AI), data analytics, cloud platforms and immersive technologies are changing how work is done, how HR operates and how performance is managed. Third, flexible working arrangements have moved from being a fringe perk to a core organisational requirement, with hybrid and remote models more deeply embedded in mainstream practice. This essay explains the specific factors related to these three domains (societal changes, technology trends, flexible working) within organisations (600 words), evaluates different contemporary HR practices to address each factor (600 words), and then critically evaluates how departmental managers can ensure these practices are implemented as a matter of </w:t>
      </w:r>
    </w:p>
    <w:p w14:paraId="0ED63D09" w14:textId="77777777" w:rsidR="00643BCB"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Specific factors related to societal changes, technology trends and flexible working arrangements</w:t>
      </w:r>
    </w:p>
    <w:p w14:paraId="4BF02BDB" w14:textId="77777777" w:rsidR="00840AC2" w:rsidRPr="00840AC2" w:rsidRDefault="00840AC2" w:rsidP="00840AC2">
      <w:pPr>
        <w:spacing w:line="360" w:lineRule="auto"/>
        <w:jc w:val="both"/>
        <w:rPr>
          <w:rFonts w:ascii="Arial" w:hAnsi="Arial" w:cs="Arial"/>
          <w:b/>
          <w:bCs/>
          <w:sz w:val="22"/>
          <w:szCs w:val="22"/>
          <w:lang w:eastAsia="en-GB"/>
        </w:rPr>
      </w:pPr>
    </w:p>
    <w:p w14:paraId="57CF4321" w14:textId="77777777" w:rsidR="00840AC2" w:rsidRDefault="00840AC2" w:rsidP="00840AC2">
      <w:pPr>
        <w:spacing w:line="360" w:lineRule="auto"/>
        <w:jc w:val="both"/>
        <w:rPr>
          <w:rFonts w:ascii="Arial" w:hAnsi="Arial" w:cs="Arial"/>
          <w:sz w:val="22"/>
          <w:szCs w:val="22"/>
          <w:lang w:eastAsia="en-GB"/>
        </w:rPr>
      </w:pPr>
    </w:p>
    <w:p w14:paraId="454F2945" w14:textId="77777777" w:rsidR="00840AC2" w:rsidRDefault="00840AC2" w:rsidP="00840AC2">
      <w:pPr>
        <w:spacing w:line="360" w:lineRule="auto"/>
        <w:jc w:val="both"/>
        <w:rPr>
          <w:rFonts w:ascii="Arial" w:hAnsi="Arial" w:cs="Arial"/>
          <w:sz w:val="22"/>
          <w:szCs w:val="22"/>
          <w:lang w:eastAsia="en-GB"/>
        </w:rPr>
      </w:pPr>
    </w:p>
    <w:p w14:paraId="08EF2592" w14:textId="77777777" w:rsidR="00840AC2" w:rsidRDefault="00840AC2" w:rsidP="00840AC2">
      <w:pPr>
        <w:spacing w:line="360" w:lineRule="auto"/>
        <w:jc w:val="both"/>
        <w:rPr>
          <w:rFonts w:ascii="Arial" w:hAnsi="Arial" w:cs="Arial"/>
          <w:sz w:val="22"/>
          <w:szCs w:val="22"/>
          <w:lang w:eastAsia="en-GB"/>
        </w:rPr>
      </w:pPr>
    </w:p>
    <w:p w14:paraId="5980FBEC" w14:textId="77777777" w:rsidR="00840AC2" w:rsidRDefault="00840AC2" w:rsidP="00840AC2">
      <w:pPr>
        <w:spacing w:line="360" w:lineRule="auto"/>
        <w:jc w:val="both"/>
        <w:rPr>
          <w:rFonts w:ascii="Arial" w:hAnsi="Arial" w:cs="Arial"/>
          <w:sz w:val="22"/>
          <w:szCs w:val="22"/>
          <w:lang w:eastAsia="en-GB"/>
        </w:rPr>
      </w:pPr>
    </w:p>
    <w:p w14:paraId="444D7B2E" w14:textId="77777777" w:rsidR="00840AC2" w:rsidRDefault="00840AC2" w:rsidP="00840AC2">
      <w:pPr>
        <w:spacing w:line="360" w:lineRule="auto"/>
        <w:jc w:val="both"/>
        <w:rPr>
          <w:rFonts w:ascii="Arial" w:hAnsi="Arial" w:cs="Arial"/>
          <w:sz w:val="22"/>
          <w:szCs w:val="22"/>
          <w:lang w:eastAsia="en-GB"/>
        </w:rPr>
      </w:pPr>
    </w:p>
    <w:p w14:paraId="6B7B6382" w14:textId="77777777" w:rsidR="00840AC2" w:rsidRDefault="00840AC2" w:rsidP="00840AC2">
      <w:pPr>
        <w:spacing w:line="360" w:lineRule="auto"/>
        <w:jc w:val="both"/>
        <w:rPr>
          <w:rFonts w:ascii="Arial" w:hAnsi="Arial" w:cs="Arial"/>
          <w:sz w:val="22"/>
          <w:szCs w:val="22"/>
          <w:lang w:eastAsia="en-GB"/>
        </w:rPr>
      </w:pPr>
    </w:p>
    <w:p w14:paraId="77A55D39" w14:textId="77777777" w:rsidR="00840AC2" w:rsidRDefault="00840AC2" w:rsidP="00840AC2">
      <w:pPr>
        <w:spacing w:line="360" w:lineRule="auto"/>
        <w:jc w:val="both"/>
        <w:rPr>
          <w:rFonts w:ascii="Arial" w:hAnsi="Arial" w:cs="Arial"/>
          <w:sz w:val="22"/>
          <w:szCs w:val="22"/>
          <w:lang w:eastAsia="en-GB"/>
        </w:rPr>
      </w:pPr>
    </w:p>
    <w:p w14:paraId="1DF63C3C" w14:textId="77777777" w:rsidR="00840AC2" w:rsidRDefault="00840AC2" w:rsidP="00840AC2">
      <w:pPr>
        <w:spacing w:line="360" w:lineRule="auto"/>
        <w:jc w:val="both"/>
        <w:rPr>
          <w:rFonts w:ascii="Arial" w:hAnsi="Arial" w:cs="Arial"/>
          <w:sz w:val="22"/>
          <w:szCs w:val="22"/>
          <w:lang w:eastAsia="en-GB"/>
        </w:rPr>
      </w:pPr>
    </w:p>
    <w:p w14:paraId="0A718C43" w14:textId="77777777" w:rsidR="00840AC2" w:rsidRDefault="00840AC2" w:rsidP="00840AC2">
      <w:pPr>
        <w:spacing w:line="360" w:lineRule="auto"/>
        <w:jc w:val="both"/>
        <w:rPr>
          <w:rFonts w:ascii="Arial" w:hAnsi="Arial" w:cs="Arial"/>
          <w:sz w:val="22"/>
          <w:szCs w:val="22"/>
          <w:lang w:eastAsia="en-GB"/>
        </w:rPr>
      </w:pPr>
    </w:p>
    <w:p w14:paraId="411E9E3D" w14:textId="77777777" w:rsidR="00840AC2" w:rsidRDefault="00840AC2" w:rsidP="00840AC2">
      <w:pPr>
        <w:spacing w:line="360" w:lineRule="auto"/>
        <w:jc w:val="both"/>
        <w:rPr>
          <w:rFonts w:ascii="Arial" w:hAnsi="Arial" w:cs="Arial"/>
          <w:sz w:val="22"/>
          <w:szCs w:val="22"/>
          <w:lang w:eastAsia="en-GB"/>
        </w:rPr>
      </w:pPr>
    </w:p>
    <w:p w14:paraId="4EA950F8" w14:textId="77777777" w:rsidR="00840AC2" w:rsidRPr="00840AC2" w:rsidRDefault="00840AC2" w:rsidP="00840AC2">
      <w:pPr>
        <w:spacing w:line="360" w:lineRule="auto"/>
        <w:jc w:val="both"/>
        <w:rPr>
          <w:rFonts w:ascii="Arial" w:hAnsi="Arial" w:cs="Arial"/>
          <w:sz w:val="22"/>
          <w:szCs w:val="22"/>
          <w:lang w:eastAsia="en-GB"/>
        </w:rPr>
      </w:pPr>
    </w:p>
    <w:p w14:paraId="50940685" w14:textId="77777777" w:rsidR="00A0672C"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Societal</w:t>
      </w:r>
      <w:r w:rsidRPr="00F60670">
        <w:rPr>
          <w:rFonts w:ascii="Arial" w:hAnsi="Arial" w:cs="Arial"/>
          <w:lang w:eastAsia="en-GB"/>
        </w:rPr>
        <w:t xml:space="preserve"> </w:t>
      </w:r>
      <w:r w:rsidRPr="00F60670">
        <w:rPr>
          <w:rFonts w:ascii="Arial" w:hAnsi="Arial" w:cs="Arial"/>
          <w:b/>
          <w:bCs/>
          <w:lang w:eastAsia="en-GB"/>
        </w:rPr>
        <w:t>changes</w:t>
      </w:r>
    </w:p>
    <w:p w14:paraId="59CB00A5" w14:textId="2E7EC497" w:rsidR="00643BCB" w:rsidRDefault="00643BCB" w:rsidP="00840AC2">
      <w:pPr>
        <w:spacing w:line="360" w:lineRule="auto"/>
        <w:jc w:val="both"/>
        <w:rPr>
          <w:rFonts w:ascii="Arial" w:hAnsi="Arial" w:cs="Arial"/>
          <w:sz w:val="22"/>
          <w:szCs w:val="22"/>
          <w:lang w:eastAsia="en-GB"/>
        </w:rPr>
      </w:pPr>
      <w:r w:rsidRPr="00840AC2">
        <w:rPr>
          <w:rFonts w:ascii="Arial" w:hAnsi="Arial" w:cs="Arial"/>
          <w:b/>
          <w:bCs/>
          <w:sz w:val="22"/>
          <w:szCs w:val="22"/>
          <w:lang w:eastAsia="en-GB"/>
        </w:rPr>
        <w:br/>
      </w:r>
      <w:r w:rsidRPr="00840AC2">
        <w:rPr>
          <w:rFonts w:ascii="Arial" w:hAnsi="Arial" w:cs="Arial"/>
          <w:sz w:val="22"/>
          <w:szCs w:val="22"/>
          <w:lang w:eastAsia="en-GB"/>
        </w:rPr>
        <w:t>Organisations are operating in a context of changing workforce demographics (ageing populations, multi-generational workforces, increased participation of women and carers), shifting labour-market dynamics and evolving social expectations around work. For example, demographic analysis shows that in many developed economies labour supply is tightening and workers are opting for fewer hours or greater leisure, prompting organisations to re-think workforce planning.  The rise of a multigenerational workforce means that younger employees place higher value on flexibility, meaning and purpose, while older workers may prioritise work–life balance or phased retirement.</w:t>
      </w:r>
      <w:r w:rsidR="008B3706" w:rsidRPr="00840AC2">
        <w:rPr>
          <w:rFonts w:ascii="Arial" w:hAnsi="Arial" w:cs="Arial"/>
          <w:sz w:val="22"/>
          <w:szCs w:val="22"/>
          <w:lang w:eastAsia="en-GB"/>
        </w:rPr>
        <w:t xml:space="preserve"> </w:t>
      </w:r>
      <w:r w:rsidRPr="00840AC2">
        <w:rPr>
          <w:rFonts w:ascii="Arial" w:hAnsi="Arial" w:cs="Arial"/>
          <w:sz w:val="22"/>
          <w:szCs w:val="22"/>
          <w:lang w:eastAsia="en-GB"/>
        </w:rPr>
        <w:t>Moreover, societal expectations around inclusion, diversity, work-life boundaries, social responsibility and sustainability are increasingly embedded in how organisations are judged by employees (and potential recruits). As shown by a global survey, 52 % of workers expect AI to impact their careers positively, and many feel that continuing skills development and opportunities matter.  These societal changes also manifest in the growing demand for flexible working: for example, the UK CIPD reports that 91 % of employers say they offer some kind of flexible arrangement in 2025, yet access remains uneven. </w:t>
      </w:r>
      <w:r w:rsidR="008B3706" w:rsidRPr="00840AC2">
        <w:rPr>
          <w:rFonts w:ascii="Arial" w:hAnsi="Arial" w:cs="Arial"/>
          <w:sz w:val="22"/>
          <w:szCs w:val="22"/>
          <w:lang w:eastAsia="en-GB"/>
        </w:rPr>
        <w:t xml:space="preserve"> </w:t>
      </w:r>
      <w:r w:rsidRPr="00840AC2">
        <w:rPr>
          <w:rFonts w:ascii="Arial" w:hAnsi="Arial" w:cs="Arial"/>
          <w:sz w:val="22"/>
          <w:szCs w:val="22"/>
          <w:lang w:eastAsia="en-GB"/>
        </w:rPr>
        <w:t>Such factors create pressure on HR to adapt strategy, structure and practice.</w:t>
      </w:r>
    </w:p>
    <w:p w14:paraId="5BE49C19" w14:textId="77777777" w:rsidR="00840AC2" w:rsidRDefault="00840AC2" w:rsidP="00840AC2">
      <w:pPr>
        <w:spacing w:line="360" w:lineRule="auto"/>
        <w:jc w:val="both"/>
        <w:rPr>
          <w:rFonts w:ascii="Arial" w:hAnsi="Arial" w:cs="Arial"/>
          <w:sz w:val="22"/>
          <w:szCs w:val="22"/>
          <w:lang w:eastAsia="en-GB"/>
        </w:rPr>
      </w:pPr>
    </w:p>
    <w:p w14:paraId="6C4542F8" w14:textId="77777777" w:rsidR="00840AC2" w:rsidRDefault="00840AC2" w:rsidP="00840AC2">
      <w:pPr>
        <w:spacing w:line="360" w:lineRule="auto"/>
        <w:jc w:val="both"/>
        <w:rPr>
          <w:rFonts w:ascii="Arial" w:hAnsi="Arial" w:cs="Arial"/>
          <w:sz w:val="22"/>
          <w:szCs w:val="22"/>
          <w:lang w:eastAsia="en-GB"/>
        </w:rPr>
      </w:pPr>
    </w:p>
    <w:p w14:paraId="382726C5" w14:textId="77777777" w:rsidR="00840AC2" w:rsidRDefault="00840AC2" w:rsidP="00840AC2">
      <w:pPr>
        <w:spacing w:line="360" w:lineRule="auto"/>
        <w:jc w:val="both"/>
        <w:rPr>
          <w:rFonts w:ascii="Arial" w:hAnsi="Arial" w:cs="Arial"/>
          <w:sz w:val="22"/>
          <w:szCs w:val="22"/>
          <w:lang w:eastAsia="en-GB"/>
        </w:rPr>
      </w:pPr>
    </w:p>
    <w:p w14:paraId="51072503" w14:textId="77777777" w:rsidR="00840AC2" w:rsidRDefault="00840AC2" w:rsidP="00840AC2">
      <w:pPr>
        <w:spacing w:line="360" w:lineRule="auto"/>
        <w:jc w:val="both"/>
        <w:rPr>
          <w:rFonts w:ascii="Arial" w:hAnsi="Arial" w:cs="Arial"/>
          <w:sz w:val="22"/>
          <w:szCs w:val="22"/>
          <w:lang w:eastAsia="en-GB"/>
        </w:rPr>
      </w:pPr>
    </w:p>
    <w:p w14:paraId="1A23CEF1" w14:textId="77777777" w:rsidR="00840AC2" w:rsidRDefault="00840AC2" w:rsidP="00840AC2">
      <w:pPr>
        <w:spacing w:line="360" w:lineRule="auto"/>
        <w:jc w:val="both"/>
        <w:rPr>
          <w:rFonts w:ascii="Arial" w:hAnsi="Arial" w:cs="Arial"/>
          <w:sz w:val="22"/>
          <w:szCs w:val="22"/>
          <w:lang w:eastAsia="en-GB"/>
        </w:rPr>
      </w:pPr>
    </w:p>
    <w:p w14:paraId="6AC6A7C6" w14:textId="77777777" w:rsidR="00840AC2" w:rsidRDefault="00840AC2" w:rsidP="00840AC2">
      <w:pPr>
        <w:spacing w:line="360" w:lineRule="auto"/>
        <w:jc w:val="both"/>
        <w:rPr>
          <w:rFonts w:ascii="Arial" w:hAnsi="Arial" w:cs="Arial"/>
          <w:sz w:val="22"/>
          <w:szCs w:val="22"/>
          <w:lang w:eastAsia="en-GB"/>
        </w:rPr>
      </w:pPr>
    </w:p>
    <w:p w14:paraId="621F47EB" w14:textId="77777777" w:rsidR="00840AC2" w:rsidRDefault="00840AC2" w:rsidP="00840AC2">
      <w:pPr>
        <w:spacing w:line="360" w:lineRule="auto"/>
        <w:jc w:val="both"/>
        <w:rPr>
          <w:rFonts w:ascii="Arial" w:hAnsi="Arial" w:cs="Arial"/>
          <w:sz w:val="22"/>
          <w:szCs w:val="22"/>
          <w:lang w:eastAsia="en-GB"/>
        </w:rPr>
      </w:pPr>
    </w:p>
    <w:p w14:paraId="6516FF46" w14:textId="77777777" w:rsidR="00840AC2" w:rsidRDefault="00840AC2" w:rsidP="00840AC2">
      <w:pPr>
        <w:spacing w:line="360" w:lineRule="auto"/>
        <w:jc w:val="both"/>
        <w:rPr>
          <w:rFonts w:ascii="Arial" w:hAnsi="Arial" w:cs="Arial"/>
          <w:sz w:val="22"/>
          <w:szCs w:val="22"/>
          <w:lang w:eastAsia="en-GB"/>
        </w:rPr>
      </w:pPr>
    </w:p>
    <w:p w14:paraId="3E4C18C4" w14:textId="77777777" w:rsidR="00840AC2" w:rsidRDefault="00840AC2" w:rsidP="00840AC2">
      <w:pPr>
        <w:spacing w:line="360" w:lineRule="auto"/>
        <w:jc w:val="both"/>
        <w:rPr>
          <w:rFonts w:ascii="Arial" w:hAnsi="Arial" w:cs="Arial"/>
          <w:sz w:val="22"/>
          <w:szCs w:val="22"/>
          <w:lang w:eastAsia="en-GB"/>
        </w:rPr>
      </w:pPr>
    </w:p>
    <w:p w14:paraId="085EE61B" w14:textId="77777777" w:rsidR="00840AC2" w:rsidRDefault="00840AC2" w:rsidP="00840AC2">
      <w:pPr>
        <w:spacing w:line="360" w:lineRule="auto"/>
        <w:jc w:val="both"/>
        <w:rPr>
          <w:rFonts w:ascii="Arial" w:hAnsi="Arial" w:cs="Arial"/>
          <w:sz w:val="22"/>
          <w:szCs w:val="22"/>
          <w:lang w:eastAsia="en-GB"/>
        </w:rPr>
      </w:pPr>
    </w:p>
    <w:p w14:paraId="3BAE578D" w14:textId="77777777" w:rsidR="00840AC2" w:rsidRDefault="00840AC2" w:rsidP="00840AC2">
      <w:pPr>
        <w:spacing w:line="360" w:lineRule="auto"/>
        <w:jc w:val="both"/>
        <w:rPr>
          <w:rFonts w:ascii="Arial" w:hAnsi="Arial" w:cs="Arial"/>
          <w:sz w:val="22"/>
          <w:szCs w:val="22"/>
          <w:lang w:eastAsia="en-GB"/>
        </w:rPr>
      </w:pPr>
    </w:p>
    <w:p w14:paraId="2A61897A" w14:textId="77777777" w:rsidR="00A0672C" w:rsidRDefault="00A0672C" w:rsidP="00840AC2">
      <w:pPr>
        <w:spacing w:line="360" w:lineRule="auto"/>
        <w:jc w:val="both"/>
        <w:rPr>
          <w:rFonts w:ascii="Arial" w:hAnsi="Arial" w:cs="Arial"/>
          <w:sz w:val="22"/>
          <w:szCs w:val="22"/>
          <w:lang w:eastAsia="en-GB"/>
        </w:rPr>
      </w:pPr>
    </w:p>
    <w:p w14:paraId="7AE3CB35" w14:textId="77777777" w:rsidR="00840AC2" w:rsidRPr="00840AC2" w:rsidRDefault="00840AC2" w:rsidP="00840AC2">
      <w:pPr>
        <w:spacing w:line="360" w:lineRule="auto"/>
        <w:jc w:val="both"/>
        <w:rPr>
          <w:rFonts w:ascii="Arial" w:hAnsi="Arial" w:cs="Arial"/>
          <w:sz w:val="22"/>
          <w:szCs w:val="22"/>
          <w:lang w:eastAsia="en-GB"/>
        </w:rPr>
      </w:pPr>
    </w:p>
    <w:p w14:paraId="0FF7B1CF" w14:textId="77777777" w:rsidR="00A0672C"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Technology</w:t>
      </w:r>
      <w:r w:rsidRPr="00F60670">
        <w:rPr>
          <w:rFonts w:ascii="Arial" w:hAnsi="Arial" w:cs="Arial"/>
          <w:lang w:eastAsia="en-GB"/>
        </w:rPr>
        <w:t xml:space="preserve"> </w:t>
      </w:r>
      <w:r w:rsidRPr="00F60670">
        <w:rPr>
          <w:rFonts w:ascii="Arial" w:hAnsi="Arial" w:cs="Arial"/>
          <w:b/>
          <w:bCs/>
          <w:lang w:eastAsia="en-GB"/>
        </w:rPr>
        <w:t>trends</w:t>
      </w:r>
    </w:p>
    <w:p w14:paraId="2C6D07ED" w14:textId="0E318A22" w:rsidR="00643BCB" w:rsidRDefault="00643BCB" w:rsidP="00840AC2">
      <w:pPr>
        <w:spacing w:line="360" w:lineRule="auto"/>
        <w:jc w:val="both"/>
        <w:rPr>
          <w:rFonts w:ascii="Arial" w:hAnsi="Arial" w:cs="Arial"/>
          <w:sz w:val="22"/>
          <w:szCs w:val="22"/>
          <w:lang w:eastAsia="en-GB"/>
        </w:rPr>
      </w:pPr>
      <w:r w:rsidRPr="00840AC2">
        <w:rPr>
          <w:rFonts w:ascii="Arial" w:hAnsi="Arial" w:cs="Arial"/>
          <w:b/>
          <w:bCs/>
          <w:sz w:val="22"/>
          <w:szCs w:val="22"/>
          <w:lang w:eastAsia="en-GB"/>
        </w:rPr>
        <w:br/>
      </w:r>
      <w:r w:rsidRPr="00840AC2">
        <w:rPr>
          <w:rFonts w:ascii="Arial" w:hAnsi="Arial" w:cs="Arial"/>
          <w:sz w:val="22"/>
          <w:szCs w:val="22"/>
          <w:lang w:eastAsia="en-GB"/>
        </w:rPr>
        <w:t>Technology is rapidly altering how work is performed, how employees are selected, developed and managed, and how HR itself functions. Key trends in widespread adoption of cloud-based HR systems, advanced analytics and people-data platforms, AI/VR/AR for training and onboarding, and the increasing expectation for digital-first employee experience.  For instance, immersive technologies (VR/AR/Metaverse) are being applied to HR for onboarding and skills training. </w:t>
      </w:r>
      <w:r w:rsidR="008B3706" w:rsidRPr="00840AC2">
        <w:rPr>
          <w:rFonts w:ascii="Arial" w:hAnsi="Arial" w:cs="Arial"/>
          <w:sz w:val="22"/>
          <w:szCs w:val="22"/>
          <w:lang w:eastAsia="en-GB"/>
        </w:rPr>
        <w:t xml:space="preserve"> </w:t>
      </w:r>
      <w:r w:rsidRPr="00840AC2">
        <w:rPr>
          <w:rFonts w:ascii="Arial" w:hAnsi="Arial" w:cs="Arial"/>
          <w:sz w:val="22"/>
          <w:szCs w:val="22"/>
          <w:lang w:eastAsia="en-GB"/>
        </w:rPr>
        <w:t>Moreover, the digital era is shifting the psychological contract: employees expect real-time feedback, personalised development and seamless digital services. </w:t>
      </w:r>
      <w:r w:rsidR="008B3706" w:rsidRPr="00840AC2">
        <w:rPr>
          <w:rFonts w:ascii="Arial" w:hAnsi="Arial" w:cs="Arial"/>
          <w:sz w:val="22"/>
          <w:szCs w:val="22"/>
          <w:lang w:eastAsia="en-GB"/>
        </w:rPr>
        <w:t xml:space="preserve"> </w:t>
      </w:r>
      <w:r w:rsidRPr="00840AC2">
        <w:rPr>
          <w:rFonts w:ascii="Arial" w:hAnsi="Arial" w:cs="Arial"/>
          <w:sz w:val="22"/>
          <w:szCs w:val="22"/>
          <w:lang w:eastAsia="en-GB"/>
        </w:rPr>
        <w:t>The challenge is that many HR professionals report lacking the core digital/data skills to respond effectively to the pace of change.  This means organisations must not only adopt technology but also manage change, upskill HR and ensure ethical, inclusive technology usage.</w:t>
      </w:r>
    </w:p>
    <w:p w14:paraId="6DD5CBA3" w14:textId="77777777" w:rsidR="00A0672C" w:rsidRPr="00840AC2" w:rsidRDefault="00A0672C" w:rsidP="00840AC2">
      <w:pPr>
        <w:spacing w:line="360" w:lineRule="auto"/>
        <w:jc w:val="both"/>
        <w:rPr>
          <w:rFonts w:ascii="Arial" w:hAnsi="Arial" w:cs="Arial"/>
          <w:sz w:val="22"/>
          <w:szCs w:val="22"/>
          <w:lang w:eastAsia="en-GB"/>
        </w:rPr>
      </w:pPr>
    </w:p>
    <w:p w14:paraId="3DF2236D" w14:textId="77777777" w:rsidR="000F0816" w:rsidRDefault="000F0816" w:rsidP="00840AC2">
      <w:pPr>
        <w:spacing w:line="360" w:lineRule="auto"/>
        <w:jc w:val="both"/>
        <w:rPr>
          <w:rFonts w:ascii="Arial" w:hAnsi="Arial" w:cs="Arial"/>
          <w:sz w:val="22"/>
          <w:szCs w:val="22"/>
          <w:lang w:eastAsia="en-GB"/>
        </w:rPr>
      </w:pPr>
    </w:p>
    <w:p w14:paraId="0D45E624" w14:textId="77777777" w:rsidR="00E919F5" w:rsidRDefault="00E919F5" w:rsidP="00840AC2">
      <w:pPr>
        <w:spacing w:line="360" w:lineRule="auto"/>
        <w:jc w:val="both"/>
        <w:rPr>
          <w:rFonts w:ascii="Arial" w:hAnsi="Arial" w:cs="Arial"/>
          <w:sz w:val="22"/>
          <w:szCs w:val="22"/>
          <w:lang w:eastAsia="en-GB"/>
        </w:rPr>
      </w:pPr>
    </w:p>
    <w:p w14:paraId="4D9AA8E0" w14:textId="77777777" w:rsidR="00E919F5" w:rsidRDefault="00E919F5" w:rsidP="00840AC2">
      <w:pPr>
        <w:spacing w:line="360" w:lineRule="auto"/>
        <w:jc w:val="both"/>
        <w:rPr>
          <w:rFonts w:ascii="Arial" w:hAnsi="Arial" w:cs="Arial"/>
          <w:sz w:val="22"/>
          <w:szCs w:val="22"/>
          <w:lang w:eastAsia="en-GB"/>
        </w:rPr>
      </w:pPr>
    </w:p>
    <w:p w14:paraId="414D8340" w14:textId="77777777" w:rsidR="00E919F5" w:rsidRDefault="00E919F5" w:rsidP="00840AC2">
      <w:pPr>
        <w:spacing w:line="360" w:lineRule="auto"/>
        <w:jc w:val="both"/>
        <w:rPr>
          <w:rFonts w:ascii="Arial" w:hAnsi="Arial" w:cs="Arial"/>
          <w:sz w:val="22"/>
          <w:szCs w:val="22"/>
          <w:lang w:eastAsia="en-GB"/>
        </w:rPr>
      </w:pPr>
    </w:p>
    <w:p w14:paraId="55B0FAFA" w14:textId="77777777" w:rsidR="00E919F5" w:rsidRDefault="00E919F5" w:rsidP="00840AC2">
      <w:pPr>
        <w:spacing w:line="360" w:lineRule="auto"/>
        <w:jc w:val="both"/>
        <w:rPr>
          <w:rFonts w:ascii="Arial" w:hAnsi="Arial" w:cs="Arial"/>
          <w:sz w:val="22"/>
          <w:szCs w:val="22"/>
          <w:lang w:eastAsia="en-GB"/>
        </w:rPr>
      </w:pPr>
    </w:p>
    <w:p w14:paraId="019922AA" w14:textId="77777777" w:rsidR="00E919F5" w:rsidRDefault="00E919F5" w:rsidP="00840AC2">
      <w:pPr>
        <w:spacing w:line="360" w:lineRule="auto"/>
        <w:jc w:val="both"/>
        <w:rPr>
          <w:rFonts w:ascii="Arial" w:hAnsi="Arial" w:cs="Arial"/>
          <w:sz w:val="22"/>
          <w:szCs w:val="22"/>
          <w:lang w:eastAsia="en-GB"/>
        </w:rPr>
      </w:pPr>
    </w:p>
    <w:p w14:paraId="6AD37F10" w14:textId="77777777" w:rsidR="00E919F5" w:rsidRDefault="00E919F5" w:rsidP="00840AC2">
      <w:pPr>
        <w:spacing w:line="360" w:lineRule="auto"/>
        <w:jc w:val="both"/>
        <w:rPr>
          <w:rFonts w:ascii="Arial" w:hAnsi="Arial" w:cs="Arial"/>
          <w:sz w:val="22"/>
          <w:szCs w:val="22"/>
          <w:lang w:eastAsia="en-GB"/>
        </w:rPr>
      </w:pPr>
    </w:p>
    <w:p w14:paraId="4EBE8891" w14:textId="77777777" w:rsidR="00E919F5" w:rsidRDefault="00E919F5" w:rsidP="00840AC2">
      <w:pPr>
        <w:spacing w:line="360" w:lineRule="auto"/>
        <w:jc w:val="both"/>
        <w:rPr>
          <w:rFonts w:ascii="Arial" w:hAnsi="Arial" w:cs="Arial"/>
          <w:sz w:val="22"/>
          <w:szCs w:val="22"/>
          <w:lang w:eastAsia="en-GB"/>
        </w:rPr>
      </w:pPr>
    </w:p>
    <w:p w14:paraId="7E89FC5D" w14:textId="77777777" w:rsidR="00E919F5" w:rsidRDefault="00E919F5" w:rsidP="00840AC2">
      <w:pPr>
        <w:spacing w:line="360" w:lineRule="auto"/>
        <w:jc w:val="both"/>
        <w:rPr>
          <w:rFonts w:ascii="Arial" w:hAnsi="Arial" w:cs="Arial"/>
          <w:sz w:val="22"/>
          <w:szCs w:val="22"/>
          <w:lang w:eastAsia="en-GB"/>
        </w:rPr>
      </w:pPr>
    </w:p>
    <w:p w14:paraId="0EA365E3" w14:textId="77777777" w:rsidR="00E919F5" w:rsidRDefault="00E919F5" w:rsidP="00840AC2">
      <w:pPr>
        <w:spacing w:line="360" w:lineRule="auto"/>
        <w:jc w:val="both"/>
        <w:rPr>
          <w:rFonts w:ascii="Arial" w:hAnsi="Arial" w:cs="Arial"/>
          <w:sz w:val="22"/>
          <w:szCs w:val="22"/>
          <w:lang w:eastAsia="en-GB"/>
        </w:rPr>
      </w:pPr>
    </w:p>
    <w:p w14:paraId="2D8870BC" w14:textId="77777777" w:rsidR="00913886" w:rsidRDefault="00913886" w:rsidP="00840AC2">
      <w:pPr>
        <w:spacing w:line="360" w:lineRule="auto"/>
        <w:jc w:val="both"/>
        <w:rPr>
          <w:rFonts w:ascii="Arial" w:hAnsi="Arial" w:cs="Arial"/>
          <w:sz w:val="22"/>
          <w:szCs w:val="22"/>
          <w:lang w:eastAsia="en-GB"/>
        </w:rPr>
      </w:pPr>
    </w:p>
    <w:p w14:paraId="6659A9C5" w14:textId="77777777" w:rsidR="00913886" w:rsidRDefault="00913886" w:rsidP="00840AC2">
      <w:pPr>
        <w:spacing w:line="360" w:lineRule="auto"/>
        <w:jc w:val="both"/>
        <w:rPr>
          <w:rFonts w:ascii="Arial" w:hAnsi="Arial" w:cs="Arial"/>
          <w:sz w:val="22"/>
          <w:szCs w:val="22"/>
          <w:lang w:eastAsia="en-GB"/>
        </w:rPr>
      </w:pPr>
    </w:p>
    <w:p w14:paraId="18D2E3BA" w14:textId="77777777" w:rsidR="00913886" w:rsidRDefault="00913886" w:rsidP="00840AC2">
      <w:pPr>
        <w:spacing w:line="360" w:lineRule="auto"/>
        <w:jc w:val="both"/>
        <w:rPr>
          <w:rFonts w:ascii="Arial" w:hAnsi="Arial" w:cs="Arial"/>
          <w:sz w:val="22"/>
          <w:szCs w:val="22"/>
          <w:lang w:eastAsia="en-GB"/>
        </w:rPr>
      </w:pPr>
    </w:p>
    <w:p w14:paraId="6D772564" w14:textId="77777777" w:rsidR="00913886" w:rsidRDefault="00913886" w:rsidP="00840AC2">
      <w:pPr>
        <w:spacing w:line="360" w:lineRule="auto"/>
        <w:jc w:val="both"/>
        <w:rPr>
          <w:rFonts w:ascii="Arial" w:hAnsi="Arial" w:cs="Arial"/>
          <w:sz w:val="22"/>
          <w:szCs w:val="22"/>
          <w:lang w:eastAsia="en-GB"/>
        </w:rPr>
      </w:pPr>
    </w:p>
    <w:p w14:paraId="0EE270D5" w14:textId="77777777" w:rsidR="00E919F5" w:rsidRPr="00840AC2" w:rsidRDefault="00E919F5" w:rsidP="00840AC2">
      <w:pPr>
        <w:spacing w:line="360" w:lineRule="auto"/>
        <w:jc w:val="both"/>
        <w:rPr>
          <w:rFonts w:ascii="Arial" w:hAnsi="Arial" w:cs="Arial"/>
          <w:sz w:val="22"/>
          <w:szCs w:val="22"/>
          <w:lang w:eastAsia="en-GB"/>
        </w:rPr>
      </w:pPr>
    </w:p>
    <w:p w14:paraId="200F4677" w14:textId="77777777" w:rsidR="00A0672C"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Flexible working arrangements</w:t>
      </w:r>
    </w:p>
    <w:p w14:paraId="050F07B8" w14:textId="4140A44B" w:rsidR="00643BCB" w:rsidRPr="00A0672C" w:rsidRDefault="00643BCB" w:rsidP="00840AC2">
      <w:pPr>
        <w:spacing w:line="360" w:lineRule="auto"/>
        <w:jc w:val="both"/>
        <w:rPr>
          <w:rFonts w:ascii="Arial" w:hAnsi="Arial" w:cs="Arial"/>
          <w:b/>
          <w:bCs/>
          <w:sz w:val="22"/>
          <w:szCs w:val="22"/>
          <w:lang w:eastAsia="en-GB"/>
        </w:rPr>
      </w:pPr>
      <w:r w:rsidRPr="00840AC2">
        <w:rPr>
          <w:rFonts w:ascii="Arial" w:hAnsi="Arial" w:cs="Arial"/>
          <w:sz w:val="22"/>
          <w:szCs w:val="22"/>
          <w:lang w:eastAsia="en-GB"/>
        </w:rPr>
        <w:br/>
        <w:t>The pandemic accelerated the shift to remote/hybrid working and flexible scheduling; this is now embedded in organisational design and employee expectations. Research by CIPD shows that flexible and hybrid working practices in 2025 are plentiful (91 % of employers offering) but not always equitable or fully realised.</w:t>
      </w:r>
      <w:r w:rsidR="008B3706" w:rsidRPr="00840AC2">
        <w:rPr>
          <w:rFonts w:ascii="Arial" w:hAnsi="Arial" w:cs="Arial"/>
          <w:sz w:val="22"/>
          <w:szCs w:val="22"/>
          <w:lang w:eastAsia="en-GB"/>
        </w:rPr>
        <w:t xml:space="preserve"> </w:t>
      </w:r>
      <w:r w:rsidRPr="00840AC2">
        <w:rPr>
          <w:rFonts w:ascii="Arial" w:hAnsi="Arial" w:cs="Arial"/>
          <w:sz w:val="22"/>
          <w:szCs w:val="22"/>
          <w:lang w:eastAsia="en-GB"/>
        </w:rPr>
        <w:t xml:space="preserve">Flexible working is no longer simply “work from home” but includes compressed hours, job-sharing, flexible start/end times and hybrid location models. However, implementation remains inconsistent; for example, only 50 % of employees report using </w:t>
      </w:r>
      <w:r w:rsidR="008B3706" w:rsidRPr="00840AC2">
        <w:rPr>
          <w:rFonts w:ascii="Arial" w:hAnsi="Arial" w:cs="Arial"/>
          <w:sz w:val="22"/>
          <w:szCs w:val="22"/>
          <w:lang w:eastAsia="en-GB"/>
        </w:rPr>
        <w:t>homeworking</w:t>
      </w:r>
      <w:r w:rsidRPr="00840AC2">
        <w:rPr>
          <w:rFonts w:ascii="Arial" w:hAnsi="Arial" w:cs="Arial"/>
          <w:sz w:val="22"/>
          <w:szCs w:val="22"/>
          <w:lang w:eastAsia="en-GB"/>
        </w:rPr>
        <w:t xml:space="preserve"> as part of flexible arrangements. </w:t>
      </w:r>
      <w:r w:rsidR="008B3706" w:rsidRPr="00840AC2">
        <w:rPr>
          <w:rFonts w:ascii="Arial" w:hAnsi="Arial" w:cs="Arial"/>
          <w:sz w:val="22"/>
          <w:szCs w:val="22"/>
          <w:lang w:eastAsia="en-GB"/>
        </w:rPr>
        <w:t xml:space="preserve"> </w:t>
      </w:r>
      <w:r w:rsidRPr="00840AC2">
        <w:rPr>
          <w:rFonts w:ascii="Arial" w:hAnsi="Arial" w:cs="Arial"/>
          <w:sz w:val="22"/>
          <w:szCs w:val="22"/>
          <w:lang w:eastAsia="en-GB"/>
        </w:rPr>
        <w:t>Flexible working is also connected to employee wellbeing, productivity, retention and attraction: meta-analysis shows that when properly managed, flexible arrangements can reduce stress, enhance commitment and improve performance. </w:t>
      </w:r>
      <w:r w:rsidR="008B3706" w:rsidRPr="00840AC2">
        <w:rPr>
          <w:rFonts w:ascii="Arial" w:hAnsi="Arial" w:cs="Arial"/>
          <w:sz w:val="22"/>
          <w:szCs w:val="22"/>
          <w:lang w:eastAsia="en-GB"/>
        </w:rPr>
        <w:t xml:space="preserve"> </w:t>
      </w:r>
      <w:r w:rsidRPr="00840AC2">
        <w:rPr>
          <w:rFonts w:ascii="Arial" w:hAnsi="Arial" w:cs="Arial"/>
          <w:sz w:val="22"/>
          <w:szCs w:val="22"/>
          <w:lang w:eastAsia="en-GB"/>
        </w:rPr>
        <w:t>At the same time, organisations must address culture, fairness (avoiding a “two-tier workforce”) and equity of access. </w:t>
      </w:r>
      <w:r w:rsidR="008B3706" w:rsidRPr="00A0672C">
        <w:rPr>
          <w:rFonts w:ascii="Arial" w:hAnsi="Arial" w:cs="Arial"/>
          <w:b/>
          <w:bCs/>
          <w:sz w:val="22"/>
          <w:szCs w:val="22"/>
          <w:lang w:eastAsia="en-GB"/>
        </w:rPr>
        <w:t xml:space="preserve"> </w:t>
      </w:r>
    </w:p>
    <w:p w14:paraId="2CA7D212"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In sum, these factors together (societal change + technology trends + flexible working) form a “triple-layer” challenge for organisations: adapting to a more diverse, expectation-rich workforce; leveraging technology to transform HR and work; and embedding flexible arrangements as a strategic norm rather than an exception.</w:t>
      </w:r>
    </w:p>
    <w:p w14:paraId="3D32C72B"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Evaluation of different contemporary HR practices to address each aforementioned factor</w:t>
      </w:r>
    </w:p>
    <w:p w14:paraId="600F9329" w14:textId="67EBB652" w:rsidR="00643BCB"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Addressing societal changes: inclusive workforce and talent-management practices</w:t>
      </w:r>
      <w:r w:rsidRPr="00840AC2">
        <w:rPr>
          <w:rFonts w:ascii="Arial" w:hAnsi="Arial" w:cs="Arial"/>
          <w:sz w:val="22"/>
          <w:szCs w:val="22"/>
          <w:lang w:eastAsia="en-GB"/>
        </w:rPr>
        <w:br/>
        <w:t>To respond to demographic change and evolving workforce expectations, HR can adopt practices such as multi-generational talent management (including phased retirement, mentoring, ‘reverse mentoring’ where younger employees coach older ones), inclusive career design and re-thinking reward systems to reflect purpose and flexibility. For example, the trend for older workers to want flexible working and meaningful work means HR must design career paths that allow shorter hours, job-sharing or semiretirement options.  Inclusion practices (D&amp;I, thinking about carers, gender balance) are also critical given societal shifts. From a talent-acquisition perspective, HR practices must emphasise employer branding around flexibility, purpose and continual development (a key expectation of younger workers). The adoption of employee-experience frameworks (i.e., designing work as more than tasks — but as a meaningful journey) supports alignment with societal expectations. These practices are effective because they tap into what employees now value (flexibility, meaning, autonomy) and help organisations attract/retain talent as labour markets tighten (especially given demographic pressures).</w:t>
      </w:r>
    </w:p>
    <w:p w14:paraId="508D843B" w14:textId="77777777" w:rsidR="00840AC2" w:rsidRPr="00840AC2" w:rsidRDefault="00840AC2" w:rsidP="00840AC2">
      <w:pPr>
        <w:spacing w:line="360" w:lineRule="auto"/>
        <w:jc w:val="both"/>
        <w:rPr>
          <w:rFonts w:ascii="Arial" w:hAnsi="Arial" w:cs="Arial"/>
          <w:sz w:val="22"/>
          <w:szCs w:val="22"/>
          <w:lang w:eastAsia="en-GB"/>
        </w:rPr>
      </w:pPr>
    </w:p>
    <w:p w14:paraId="60169A55" w14:textId="77777777" w:rsidR="00E919F5"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Addressing technology trends: digital HR, analytics, continuous learning</w:t>
      </w:r>
    </w:p>
    <w:p w14:paraId="5E2B92FB" w14:textId="6F0CB469"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b/>
          <w:bCs/>
          <w:sz w:val="22"/>
          <w:szCs w:val="22"/>
          <w:lang w:eastAsia="en-GB"/>
        </w:rPr>
        <w:br/>
      </w:r>
      <w:r w:rsidRPr="00840AC2">
        <w:rPr>
          <w:rFonts w:ascii="Arial" w:hAnsi="Arial" w:cs="Arial"/>
          <w:sz w:val="22"/>
          <w:szCs w:val="22"/>
          <w:lang w:eastAsia="en-GB"/>
        </w:rPr>
        <w:t>HR practices must evolve to embrace digital platforms (cloud HRIS, people analytics), AI-enabled recruitment and onboarding, virtual and immersive training, and data-driven workforce planning. For instance, the adoption of an AI/VR platform for onboarding not only addresses the tech trend but supports remote work and flexible models. The rise of HR analytics allows organisations to monitor engagement, performance, turnover risk and tailor interventions proactively. For example, research notes that many HR professionals feel under-skilled in data/digital domains, implying HR practices around upskilling HR itself must be introduced. </w:t>
      </w:r>
      <w:r w:rsidR="008B3706" w:rsidRPr="00840AC2">
        <w:rPr>
          <w:rFonts w:ascii="Arial" w:hAnsi="Arial" w:cs="Arial"/>
          <w:sz w:val="22"/>
          <w:szCs w:val="22"/>
          <w:lang w:eastAsia="en-GB"/>
        </w:rPr>
        <w:t xml:space="preserve"> </w:t>
      </w:r>
      <w:r w:rsidRPr="00840AC2">
        <w:rPr>
          <w:rFonts w:ascii="Arial" w:hAnsi="Arial" w:cs="Arial"/>
          <w:sz w:val="22"/>
          <w:szCs w:val="22"/>
          <w:lang w:eastAsia="en-GB"/>
        </w:rPr>
        <w:t>Learning and development practices must become continuous, on-demand and digitally delivered (micro-learning, mobile learning). Such HR practices address the technology factor by turning technology into enabler of agile HR and helping future-proof the workforce. Importantly, ethical and inclusive oversight of technology (ensuring AI does not generate bias) becomes part of HR practice. </w:t>
      </w:r>
      <w:r w:rsidR="008B3706" w:rsidRPr="00840AC2">
        <w:rPr>
          <w:rFonts w:ascii="Arial" w:hAnsi="Arial" w:cs="Arial"/>
          <w:sz w:val="22"/>
          <w:szCs w:val="22"/>
          <w:lang w:eastAsia="en-GB"/>
        </w:rPr>
        <w:t xml:space="preserve"> </w:t>
      </w:r>
    </w:p>
    <w:p w14:paraId="48B29ACC" w14:textId="630BE4EE" w:rsidR="00643BCB"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Addressing flexible working arrangements: policy, culture, manager training, performance frameworks</w:t>
      </w:r>
      <w:r w:rsidRPr="00840AC2">
        <w:rPr>
          <w:rFonts w:ascii="Arial" w:hAnsi="Arial" w:cs="Arial"/>
          <w:sz w:val="22"/>
          <w:szCs w:val="22"/>
          <w:lang w:eastAsia="en-GB"/>
        </w:rPr>
        <w:br/>
        <w:t>To fully embed flexible and hybrid working, HR must develop clear and equitable flexible-working policies, manager training on flexible work-leadership, performance-management frameworks that focus on outputs rather than inputs (time in office), and investments in digital collaboration tools and work-design. The ACAS guidance emphasises the need to change culture, support managers and reduce stigma. </w:t>
      </w:r>
      <w:r w:rsidR="008B3706" w:rsidRPr="00840AC2">
        <w:rPr>
          <w:rFonts w:ascii="Arial" w:hAnsi="Arial" w:cs="Arial"/>
          <w:sz w:val="22"/>
          <w:szCs w:val="22"/>
          <w:lang w:eastAsia="en-GB"/>
        </w:rPr>
        <w:t xml:space="preserve"> </w:t>
      </w:r>
      <w:r w:rsidRPr="00840AC2">
        <w:rPr>
          <w:rFonts w:ascii="Arial" w:hAnsi="Arial" w:cs="Arial"/>
          <w:sz w:val="22"/>
          <w:szCs w:val="22"/>
          <w:lang w:eastAsia="en-GB"/>
        </w:rPr>
        <w:t>HR practices such as offering flexible work from day one, advertising flexibility in job adverts (61 % of employers believe this matters for attraction) are strategic. </w:t>
      </w:r>
      <w:r w:rsidR="008B3706" w:rsidRPr="00840AC2">
        <w:rPr>
          <w:rFonts w:ascii="Arial" w:hAnsi="Arial" w:cs="Arial"/>
          <w:sz w:val="22"/>
          <w:szCs w:val="22"/>
          <w:lang w:eastAsia="en-GB"/>
        </w:rPr>
        <w:t xml:space="preserve"> </w:t>
      </w:r>
      <w:r w:rsidRPr="00840AC2">
        <w:rPr>
          <w:rFonts w:ascii="Arial" w:hAnsi="Arial" w:cs="Arial"/>
          <w:sz w:val="22"/>
          <w:szCs w:val="22"/>
          <w:lang w:eastAsia="en-GB"/>
        </w:rPr>
        <w:t>Also, HR must ensure equitable access to flexible arrangements — avoiding a scenario where only certain roles benefit (two-tier workforce). Flexible-working practices (e.g., job-share, flex-time, compressed hours) must be integrated into the broader talent and engagement strategy. The evidence (meta-review) shows that flexible arrangements — when supported by organisational commitment and manager buy-</w:t>
      </w:r>
      <w:proofErr w:type="gramStart"/>
      <w:r w:rsidRPr="00840AC2">
        <w:rPr>
          <w:rFonts w:ascii="Arial" w:hAnsi="Arial" w:cs="Arial"/>
          <w:sz w:val="22"/>
          <w:szCs w:val="22"/>
          <w:lang w:eastAsia="en-GB"/>
        </w:rPr>
        <w:t>in  lead</w:t>
      </w:r>
      <w:proofErr w:type="gramEnd"/>
      <w:r w:rsidRPr="00840AC2">
        <w:rPr>
          <w:rFonts w:ascii="Arial" w:hAnsi="Arial" w:cs="Arial"/>
          <w:sz w:val="22"/>
          <w:szCs w:val="22"/>
          <w:lang w:eastAsia="en-GB"/>
        </w:rPr>
        <w:t xml:space="preserve"> to improved organisational commitment, attendance and performance. </w:t>
      </w:r>
      <w:r w:rsidR="008B3706">
        <w:rPr>
          <w:rFonts w:ascii="Arial" w:hAnsi="Arial" w:cs="Arial"/>
          <w:sz w:val="22"/>
          <w:szCs w:val="22"/>
          <w:lang w:eastAsia="en-GB"/>
        </w:rPr>
        <w:t xml:space="preserve"> </w:t>
      </w:r>
    </w:p>
    <w:p w14:paraId="06E9685E" w14:textId="77777777" w:rsidR="00840AC2" w:rsidRDefault="00840AC2" w:rsidP="00840AC2">
      <w:pPr>
        <w:spacing w:line="360" w:lineRule="auto"/>
        <w:jc w:val="both"/>
        <w:rPr>
          <w:rFonts w:ascii="Arial" w:hAnsi="Arial" w:cs="Arial"/>
          <w:sz w:val="22"/>
          <w:szCs w:val="22"/>
          <w:lang w:eastAsia="en-GB"/>
        </w:rPr>
      </w:pPr>
    </w:p>
    <w:p w14:paraId="435592F9" w14:textId="77777777" w:rsidR="00E919F5" w:rsidRDefault="00E919F5" w:rsidP="00840AC2">
      <w:pPr>
        <w:spacing w:line="360" w:lineRule="auto"/>
        <w:jc w:val="both"/>
        <w:rPr>
          <w:rFonts w:ascii="Arial" w:hAnsi="Arial" w:cs="Arial"/>
          <w:sz w:val="22"/>
          <w:szCs w:val="22"/>
          <w:lang w:eastAsia="en-GB"/>
        </w:rPr>
      </w:pPr>
    </w:p>
    <w:p w14:paraId="44F43678" w14:textId="77777777" w:rsidR="00E919F5" w:rsidRDefault="00E919F5" w:rsidP="00840AC2">
      <w:pPr>
        <w:spacing w:line="360" w:lineRule="auto"/>
        <w:jc w:val="both"/>
        <w:rPr>
          <w:rFonts w:ascii="Arial" w:hAnsi="Arial" w:cs="Arial"/>
          <w:sz w:val="22"/>
          <w:szCs w:val="22"/>
          <w:lang w:eastAsia="en-GB"/>
        </w:rPr>
      </w:pPr>
    </w:p>
    <w:p w14:paraId="67DA7587" w14:textId="77777777" w:rsidR="00E919F5" w:rsidRDefault="00E919F5" w:rsidP="00840AC2">
      <w:pPr>
        <w:spacing w:line="360" w:lineRule="auto"/>
        <w:jc w:val="both"/>
        <w:rPr>
          <w:rFonts w:ascii="Arial" w:hAnsi="Arial" w:cs="Arial"/>
          <w:sz w:val="22"/>
          <w:szCs w:val="22"/>
          <w:lang w:eastAsia="en-GB"/>
        </w:rPr>
      </w:pPr>
    </w:p>
    <w:p w14:paraId="42DBB760" w14:textId="77777777" w:rsidR="00E919F5" w:rsidRPr="00840AC2" w:rsidRDefault="00E919F5" w:rsidP="00840AC2">
      <w:pPr>
        <w:spacing w:line="360" w:lineRule="auto"/>
        <w:jc w:val="both"/>
        <w:rPr>
          <w:rFonts w:ascii="Arial" w:hAnsi="Arial" w:cs="Arial"/>
          <w:sz w:val="22"/>
          <w:szCs w:val="22"/>
          <w:lang w:eastAsia="en-GB"/>
        </w:rPr>
      </w:pPr>
    </w:p>
    <w:p w14:paraId="0216B6F8" w14:textId="77777777" w:rsidR="00A0672C"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Integration and inter-connectivity</w:t>
      </w:r>
    </w:p>
    <w:p w14:paraId="3C75FA72"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br/>
        <w:t>It is worth emphasising that these HR practices are not isolated: inclusive talent-management, digital HR and flexible-working practices interlink. For example, a flexible-working policy needs digital collaboration tools (technology), manager training (practice), and inclusive culture (societal). HR must coordinate across these domains to avoid silos.</w:t>
      </w:r>
    </w:p>
    <w:p w14:paraId="1515C3A8" w14:textId="77777777" w:rsidR="00643BCB" w:rsidRPr="00840AC2" w:rsidRDefault="00643BCB" w:rsidP="00840AC2">
      <w:pPr>
        <w:spacing w:line="360" w:lineRule="auto"/>
        <w:jc w:val="both"/>
        <w:rPr>
          <w:rFonts w:ascii="Arial" w:hAnsi="Arial" w:cs="Arial"/>
          <w:sz w:val="22"/>
          <w:szCs w:val="22"/>
          <w:lang w:eastAsia="en-GB"/>
        </w:rPr>
      </w:pPr>
    </w:p>
    <w:p w14:paraId="7EFFBF25"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Critical evaluation of how departmental managers can ensure these contemporary practices are being implemented as a matter of urgency</w:t>
      </w:r>
    </w:p>
    <w:p w14:paraId="3454FAB5" w14:textId="77777777" w:rsidR="00643BCB"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Implementation of HR practices is often where strategy falters. Departmental managers (line managers, team leads) play a pivotal role as the “front-line” translators of HR strategy into day-to-day behaviour. The urgency comes from a labour-market in which talent is scarce, technology disruption is fast, and flexible working is now expected rather than optional. To ensure implementation, managers should focus on three dimensions: leadership and accountability; operational embedding; and monitoring &amp; feedback.</w:t>
      </w:r>
    </w:p>
    <w:p w14:paraId="02E7FCD8" w14:textId="1F7B3C74" w:rsidR="00247616" w:rsidRDefault="00247616" w:rsidP="00840AC2">
      <w:pPr>
        <w:spacing w:line="360" w:lineRule="auto"/>
        <w:jc w:val="both"/>
        <w:rPr>
          <w:rFonts w:ascii="Arial" w:hAnsi="Arial" w:cs="Arial"/>
          <w:sz w:val="22"/>
          <w:szCs w:val="22"/>
          <w:lang w:eastAsia="en-GB"/>
        </w:rPr>
      </w:pPr>
      <w:r>
        <w:fldChar w:fldCharType="begin"/>
      </w:r>
      <w:r>
        <w:instrText xml:space="preserve"> INCLUDEPICTURE "/Users/baguindanalikamil/Library/Group Containers/UBF8T346G9.ms/WebArchiveCopyPasteTempFiles/com.microsoft.Word/hr_business_partner_dashboard_to_analyze_critical_kpis_slide01.jpg" \* MERGEFORMATINET </w:instrText>
      </w:r>
      <w:r>
        <w:fldChar w:fldCharType="separate"/>
      </w:r>
      <w:r>
        <w:rPr>
          <w:noProof/>
        </w:rPr>
        <w:drawing>
          <wp:inline distT="0" distB="0" distL="0" distR="0" wp14:anchorId="51FFB978" wp14:editId="7FBD6290">
            <wp:extent cx="5731510" cy="3224530"/>
            <wp:effectExtent l="0" t="0" r="0" b="1270"/>
            <wp:docPr id="831047680" name="Picture 1" descr="HR Business Partner Dashboard To Analyze Critical Kpis PPT S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Business Partner Dashboard To Analyze Critical Kpis PPT Samp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r>
        <w:fldChar w:fldCharType="end"/>
      </w:r>
    </w:p>
    <w:p w14:paraId="3B22CCCB" w14:textId="77777777" w:rsidR="00840AC2" w:rsidRDefault="00840AC2" w:rsidP="00840AC2">
      <w:pPr>
        <w:spacing w:line="360" w:lineRule="auto"/>
        <w:jc w:val="both"/>
        <w:rPr>
          <w:rFonts w:ascii="Arial" w:hAnsi="Arial" w:cs="Arial"/>
          <w:b/>
          <w:bCs/>
          <w:sz w:val="22"/>
          <w:szCs w:val="22"/>
          <w:lang w:eastAsia="en-GB"/>
        </w:rPr>
      </w:pPr>
    </w:p>
    <w:p w14:paraId="411755D2" w14:textId="77777777" w:rsidR="00A0672C" w:rsidRDefault="00A0672C" w:rsidP="00840AC2">
      <w:pPr>
        <w:spacing w:line="360" w:lineRule="auto"/>
        <w:jc w:val="both"/>
        <w:rPr>
          <w:rFonts w:ascii="Arial" w:hAnsi="Arial" w:cs="Arial"/>
          <w:b/>
          <w:bCs/>
          <w:sz w:val="22"/>
          <w:szCs w:val="22"/>
          <w:lang w:eastAsia="en-GB"/>
        </w:rPr>
      </w:pPr>
    </w:p>
    <w:p w14:paraId="37443D78" w14:textId="77777777" w:rsidR="00A0672C" w:rsidRDefault="00A0672C" w:rsidP="00840AC2">
      <w:pPr>
        <w:spacing w:line="360" w:lineRule="auto"/>
        <w:jc w:val="both"/>
        <w:rPr>
          <w:rFonts w:ascii="Arial" w:hAnsi="Arial" w:cs="Arial"/>
          <w:b/>
          <w:bCs/>
          <w:sz w:val="22"/>
          <w:szCs w:val="22"/>
          <w:lang w:eastAsia="en-GB"/>
        </w:rPr>
      </w:pPr>
    </w:p>
    <w:p w14:paraId="586A9138" w14:textId="77777777" w:rsidR="00A0672C" w:rsidRDefault="00A0672C" w:rsidP="00840AC2">
      <w:pPr>
        <w:spacing w:line="360" w:lineRule="auto"/>
        <w:jc w:val="both"/>
        <w:rPr>
          <w:rFonts w:ascii="Arial" w:hAnsi="Arial" w:cs="Arial"/>
          <w:b/>
          <w:bCs/>
          <w:sz w:val="22"/>
          <w:szCs w:val="22"/>
          <w:lang w:eastAsia="en-GB"/>
        </w:rPr>
      </w:pPr>
    </w:p>
    <w:p w14:paraId="0B51EFE8" w14:textId="77777777" w:rsidR="00A0672C" w:rsidRPr="00840AC2" w:rsidRDefault="00A0672C" w:rsidP="00840AC2">
      <w:pPr>
        <w:spacing w:line="360" w:lineRule="auto"/>
        <w:jc w:val="both"/>
        <w:rPr>
          <w:rFonts w:ascii="Arial" w:hAnsi="Arial" w:cs="Arial"/>
          <w:b/>
          <w:bCs/>
          <w:sz w:val="22"/>
          <w:szCs w:val="22"/>
          <w:lang w:eastAsia="en-GB"/>
        </w:rPr>
      </w:pPr>
    </w:p>
    <w:p w14:paraId="616D5399" w14:textId="0FE1CB19" w:rsidR="00A0672C" w:rsidRDefault="00643BCB" w:rsidP="00840AC2">
      <w:pPr>
        <w:spacing w:line="360" w:lineRule="auto"/>
        <w:jc w:val="both"/>
        <w:rPr>
          <w:rFonts w:ascii="Arial" w:hAnsi="Arial" w:cs="Arial"/>
          <w:b/>
          <w:bCs/>
          <w:sz w:val="22"/>
          <w:szCs w:val="22"/>
          <w:lang w:eastAsia="en-GB"/>
        </w:rPr>
      </w:pPr>
      <w:r w:rsidRPr="00840AC2">
        <w:rPr>
          <w:rFonts w:ascii="Arial" w:hAnsi="Arial" w:cs="Arial"/>
          <w:b/>
          <w:bCs/>
          <w:sz w:val="22"/>
          <w:szCs w:val="22"/>
          <w:lang w:eastAsia="en-GB"/>
        </w:rPr>
        <w:t>Leadership and accountability</w:t>
      </w:r>
      <w:r w:rsidR="00E44EC9">
        <w:rPr>
          <w:rFonts w:ascii="Arial" w:hAnsi="Arial" w:cs="Arial"/>
          <w:b/>
          <w:bCs/>
          <w:sz w:val="22"/>
          <w:szCs w:val="22"/>
          <w:lang w:eastAsia="en-GB"/>
        </w:rPr>
        <w:t xml:space="preserve"> </w:t>
      </w:r>
      <w:r w:rsidR="00E44EC9" w:rsidRPr="00E44EC9">
        <w:rPr>
          <w:rFonts w:ascii="Arial" w:hAnsi="Arial" w:cs="Arial"/>
          <w:b/>
          <w:bCs/>
          <w:sz w:val="22"/>
          <w:szCs w:val="22"/>
          <w:lang w:eastAsia="en-GB"/>
        </w:rPr>
        <w:t>Role in Expectancy Theory</w:t>
      </w:r>
    </w:p>
    <w:p w14:paraId="3A2CF6E3" w14:textId="5A2975E9" w:rsidR="00643BCB" w:rsidRDefault="00E44EC9" w:rsidP="00840AC2">
      <w:pPr>
        <w:spacing w:line="360" w:lineRule="auto"/>
        <w:jc w:val="both"/>
        <w:rPr>
          <w:rFonts w:ascii="Arial" w:hAnsi="Arial" w:cs="Arial"/>
          <w:sz w:val="22"/>
          <w:szCs w:val="22"/>
          <w:lang w:eastAsia="en-GB"/>
        </w:rPr>
      </w:pPr>
      <w:r w:rsidRPr="00E44EC9">
        <w:rPr>
          <w:rFonts w:ascii="Arial" w:hAnsi="Arial" w:cs="Arial"/>
          <w:sz w:val="22"/>
          <w:szCs w:val="22"/>
          <w:lang w:eastAsia="en-GB"/>
        </w:rPr>
        <w:t>Accountability is essential to the instrumentality component of Expectancy Theory. When employees can see a reliable and fair connection between performance and consequences—whether rewards or corrective feedback—they are more likely to remain motivated. Inconsistent accountability disrupts the perceived performance–reward link, reducing employee motivation and organizational trust.</w:t>
      </w:r>
      <w:r>
        <w:rPr>
          <w:rFonts w:ascii="Arial" w:hAnsi="Arial" w:cs="Arial"/>
          <w:sz w:val="22"/>
          <w:szCs w:val="22"/>
          <w:lang w:eastAsia="en-GB"/>
        </w:rPr>
        <w:t xml:space="preserve"> </w:t>
      </w:r>
      <w:r w:rsidRPr="00E44EC9">
        <w:rPr>
          <w:rFonts w:ascii="Arial" w:hAnsi="Arial" w:cs="Arial"/>
          <w:sz w:val="22"/>
          <w:szCs w:val="22"/>
          <w:lang w:eastAsia="en-GB"/>
        </w:rPr>
        <w:t>HR policies should reinforce the three components of Expectancy Theory. Training and development programs enhance expectancy by improving employee skills and confidence. Transparent performance appraisal systems strengthen instrumentality by measuring results fairly and consistently. Benefits, recognition programs, and career development opportunities support valence by providing rewards that employees genuinely value.</w:t>
      </w:r>
    </w:p>
    <w:p w14:paraId="6A08484A" w14:textId="77777777" w:rsidR="00A0672C" w:rsidRDefault="00A0672C" w:rsidP="00840AC2">
      <w:pPr>
        <w:spacing w:line="360" w:lineRule="auto"/>
        <w:jc w:val="both"/>
        <w:rPr>
          <w:rFonts w:ascii="Arial" w:hAnsi="Arial" w:cs="Arial"/>
          <w:sz w:val="22"/>
          <w:szCs w:val="22"/>
          <w:lang w:eastAsia="en-GB"/>
        </w:rPr>
      </w:pPr>
    </w:p>
    <w:p w14:paraId="5ACA3950" w14:textId="77777777" w:rsidR="00E919F5" w:rsidRDefault="00E919F5" w:rsidP="00840AC2">
      <w:pPr>
        <w:spacing w:line="360" w:lineRule="auto"/>
        <w:jc w:val="both"/>
        <w:rPr>
          <w:rFonts w:ascii="Arial" w:hAnsi="Arial" w:cs="Arial"/>
          <w:sz w:val="22"/>
          <w:szCs w:val="22"/>
          <w:lang w:eastAsia="en-GB"/>
        </w:rPr>
      </w:pPr>
    </w:p>
    <w:p w14:paraId="1B05AAA0" w14:textId="77777777" w:rsidR="00E919F5" w:rsidRDefault="00E919F5" w:rsidP="00840AC2">
      <w:pPr>
        <w:spacing w:line="360" w:lineRule="auto"/>
        <w:jc w:val="both"/>
        <w:rPr>
          <w:rFonts w:ascii="Arial" w:hAnsi="Arial" w:cs="Arial"/>
          <w:sz w:val="22"/>
          <w:szCs w:val="22"/>
          <w:lang w:eastAsia="en-GB"/>
        </w:rPr>
      </w:pPr>
    </w:p>
    <w:p w14:paraId="436F7991" w14:textId="77777777" w:rsidR="00E919F5" w:rsidRDefault="00E919F5" w:rsidP="00840AC2">
      <w:pPr>
        <w:spacing w:line="360" w:lineRule="auto"/>
        <w:jc w:val="both"/>
        <w:rPr>
          <w:rFonts w:ascii="Arial" w:hAnsi="Arial" w:cs="Arial"/>
          <w:sz w:val="22"/>
          <w:szCs w:val="22"/>
          <w:lang w:eastAsia="en-GB"/>
        </w:rPr>
      </w:pPr>
    </w:p>
    <w:p w14:paraId="2697876B" w14:textId="77777777" w:rsidR="00E919F5" w:rsidRDefault="00E919F5" w:rsidP="00840AC2">
      <w:pPr>
        <w:spacing w:line="360" w:lineRule="auto"/>
        <w:jc w:val="both"/>
        <w:rPr>
          <w:rFonts w:ascii="Arial" w:hAnsi="Arial" w:cs="Arial"/>
          <w:sz w:val="22"/>
          <w:szCs w:val="22"/>
          <w:lang w:eastAsia="en-GB"/>
        </w:rPr>
      </w:pPr>
    </w:p>
    <w:p w14:paraId="1E32E240" w14:textId="77777777" w:rsidR="00E919F5" w:rsidRDefault="00E919F5" w:rsidP="00840AC2">
      <w:pPr>
        <w:spacing w:line="360" w:lineRule="auto"/>
        <w:jc w:val="both"/>
        <w:rPr>
          <w:rFonts w:ascii="Arial" w:hAnsi="Arial" w:cs="Arial"/>
          <w:sz w:val="22"/>
          <w:szCs w:val="22"/>
          <w:lang w:eastAsia="en-GB"/>
        </w:rPr>
      </w:pPr>
    </w:p>
    <w:p w14:paraId="211E6494" w14:textId="77777777" w:rsidR="00E919F5" w:rsidRDefault="00E919F5" w:rsidP="00840AC2">
      <w:pPr>
        <w:spacing w:line="360" w:lineRule="auto"/>
        <w:jc w:val="both"/>
        <w:rPr>
          <w:rFonts w:ascii="Arial" w:hAnsi="Arial" w:cs="Arial"/>
          <w:sz w:val="22"/>
          <w:szCs w:val="22"/>
          <w:lang w:eastAsia="en-GB"/>
        </w:rPr>
      </w:pPr>
    </w:p>
    <w:p w14:paraId="26054581" w14:textId="77777777" w:rsidR="00E919F5" w:rsidRDefault="00E919F5" w:rsidP="00840AC2">
      <w:pPr>
        <w:spacing w:line="360" w:lineRule="auto"/>
        <w:jc w:val="both"/>
        <w:rPr>
          <w:rFonts w:ascii="Arial" w:hAnsi="Arial" w:cs="Arial"/>
          <w:sz w:val="22"/>
          <w:szCs w:val="22"/>
          <w:lang w:eastAsia="en-GB"/>
        </w:rPr>
      </w:pPr>
    </w:p>
    <w:p w14:paraId="33482122" w14:textId="77777777" w:rsidR="00E919F5" w:rsidRDefault="00E919F5" w:rsidP="00840AC2">
      <w:pPr>
        <w:spacing w:line="360" w:lineRule="auto"/>
        <w:jc w:val="both"/>
        <w:rPr>
          <w:rFonts w:ascii="Arial" w:hAnsi="Arial" w:cs="Arial"/>
          <w:sz w:val="22"/>
          <w:szCs w:val="22"/>
          <w:lang w:eastAsia="en-GB"/>
        </w:rPr>
      </w:pPr>
    </w:p>
    <w:p w14:paraId="712BE2D3" w14:textId="77777777" w:rsidR="00E919F5" w:rsidRDefault="00E919F5" w:rsidP="00840AC2">
      <w:pPr>
        <w:spacing w:line="360" w:lineRule="auto"/>
        <w:jc w:val="both"/>
        <w:rPr>
          <w:rFonts w:ascii="Arial" w:hAnsi="Arial" w:cs="Arial"/>
          <w:sz w:val="22"/>
          <w:szCs w:val="22"/>
          <w:lang w:eastAsia="en-GB"/>
        </w:rPr>
      </w:pPr>
    </w:p>
    <w:p w14:paraId="3BA9B1D0" w14:textId="77777777" w:rsidR="00E919F5" w:rsidRDefault="00E919F5" w:rsidP="00840AC2">
      <w:pPr>
        <w:spacing w:line="360" w:lineRule="auto"/>
        <w:jc w:val="both"/>
        <w:rPr>
          <w:rFonts w:ascii="Arial" w:hAnsi="Arial" w:cs="Arial"/>
          <w:sz w:val="22"/>
          <w:szCs w:val="22"/>
          <w:lang w:eastAsia="en-GB"/>
        </w:rPr>
      </w:pPr>
    </w:p>
    <w:p w14:paraId="78174775" w14:textId="77777777" w:rsidR="00E919F5" w:rsidRDefault="00E919F5" w:rsidP="00840AC2">
      <w:pPr>
        <w:spacing w:line="360" w:lineRule="auto"/>
        <w:jc w:val="both"/>
        <w:rPr>
          <w:rFonts w:ascii="Arial" w:hAnsi="Arial" w:cs="Arial"/>
          <w:sz w:val="22"/>
          <w:szCs w:val="22"/>
          <w:lang w:eastAsia="en-GB"/>
        </w:rPr>
      </w:pPr>
    </w:p>
    <w:p w14:paraId="301D5DF9" w14:textId="77777777" w:rsidR="00E919F5" w:rsidRDefault="00E919F5" w:rsidP="00840AC2">
      <w:pPr>
        <w:spacing w:line="360" w:lineRule="auto"/>
        <w:jc w:val="both"/>
        <w:rPr>
          <w:rFonts w:ascii="Arial" w:hAnsi="Arial" w:cs="Arial"/>
          <w:sz w:val="22"/>
          <w:szCs w:val="22"/>
          <w:lang w:eastAsia="en-GB"/>
        </w:rPr>
      </w:pPr>
    </w:p>
    <w:p w14:paraId="71AAE6B5" w14:textId="77777777" w:rsidR="00E919F5" w:rsidRDefault="00E919F5" w:rsidP="00840AC2">
      <w:pPr>
        <w:spacing w:line="360" w:lineRule="auto"/>
        <w:jc w:val="both"/>
        <w:rPr>
          <w:rFonts w:ascii="Arial" w:hAnsi="Arial" w:cs="Arial"/>
          <w:sz w:val="22"/>
          <w:szCs w:val="22"/>
          <w:lang w:eastAsia="en-GB"/>
        </w:rPr>
      </w:pPr>
    </w:p>
    <w:p w14:paraId="44619202" w14:textId="77777777" w:rsidR="00E919F5" w:rsidRDefault="00E919F5" w:rsidP="00840AC2">
      <w:pPr>
        <w:spacing w:line="360" w:lineRule="auto"/>
        <w:jc w:val="both"/>
        <w:rPr>
          <w:rFonts w:ascii="Arial" w:hAnsi="Arial" w:cs="Arial"/>
          <w:sz w:val="22"/>
          <w:szCs w:val="22"/>
          <w:lang w:eastAsia="en-GB"/>
        </w:rPr>
      </w:pPr>
    </w:p>
    <w:p w14:paraId="6E2B31E9" w14:textId="77777777" w:rsidR="00E919F5" w:rsidRDefault="00E919F5" w:rsidP="00840AC2">
      <w:pPr>
        <w:spacing w:line="360" w:lineRule="auto"/>
        <w:jc w:val="both"/>
        <w:rPr>
          <w:rFonts w:ascii="Arial" w:hAnsi="Arial" w:cs="Arial"/>
          <w:sz w:val="22"/>
          <w:szCs w:val="22"/>
          <w:lang w:eastAsia="en-GB"/>
        </w:rPr>
      </w:pPr>
    </w:p>
    <w:p w14:paraId="0A26BA06" w14:textId="77777777" w:rsidR="00E919F5" w:rsidRDefault="00E919F5" w:rsidP="00840AC2">
      <w:pPr>
        <w:spacing w:line="360" w:lineRule="auto"/>
        <w:jc w:val="both"/>
        <w:rPr>
          <w:rFonts w:ascii="Arial" w:hAnsi="Arial" w:cs="Arial"/>
          <w:sz w:val="22"/>
          <w:szCs w:val="22"/>
          <w:lang w:eastAsia="en-GB"/>
        </w:rPr>
      </w:pPr>
    </w:p>
    <w:p w14:paraId="0ABB2DC2" w14:textId="77777777" w:rsidR="00E919F5" w:rsidRPr="00840AC2" w:rsidRDefault="00E919F5" w:rsidP="00840AC2">
      <w:pPr>
        <w:spacing w:line="360" w:lineRule="auto"/>
        <w:jc w:val="both"/>
        <w:rPr>
          <w:rFonts w:ascii="Arial" w:hAnsi="Arial" w:cs="Arial"/>
          <w:sz w:val="22"/>
          <w:szCs w:val="22"/>
          <w:lang w:eastAsia="en-GB"/>
        </w:rPr>
      </w:pPr>
    </w:p>
    <w:p w14:paraId="49D71A15" w14:textId="77777777" w:rsidR="00A0672C"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Operational embedding</w:t>
      </w:r>
    </w:p>
    <w:p w14:paraId="5C1070B8" w14:textId="77777777" w:rsidR="00643BCB"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br/>
        <w:t>Implementation must move beyond policy into operations. Managers must integrate flexible-working arrangements into team planning: e.g., scheduling, workload-allocation, team meetings designed for hybrid inclusion, ensuring remote participants are not disadvantaged. Technology must support this: managers should ensure their team uses collaboration tools, digital onboarding, real-time feedback platforms, and analytics dashboards provided by HR. Managers should schedule regular check-ins, hybrid-compatible team-building, and include flexible work discussions in 1:1s and performance reviews. Regarding societal/inclusion factors, managers must ensure all team members — across ages, roles, carers, part-time workers — have equitable access to flexibility and development opportunities. They should avoid creating a “core” in-office team and a “peripheral” remote team. Where older workers or employees with caring responsibilities exist, managers should proactively apply flexible models (e.g., phased retirement, job-sharing).</w:t>
      </w:r>
    </w:p>
    <w:p w14:paraId="7DC11B8E" w14:textId="77777777" w:rsidR="00A0672C" w:rsidRDefault="00A0672C" w:rsidP="00840AC2">
      <w:pPr>
        <w:spacing w:line="360" w:lineRule="auto"/>
        <w:jc w:val="both"/>
        <w:rPr>
          <w:rFonts w:ascii="Arial" w:hAnsi="Arial" w:cs="Arial"/>
          <w:sz w:val="22"/>
          <w:szCs w:val="22"/>
          <w:lang w:eastAsia="en-GB"/>
        </w:rPr>
      </w:pPr>
    </w:p>
    <w:p w14:paraId="744B192F" w14:textId="77777777" w:rsidR="00A0672C" w:rsidRDefault="00A0672C" w:rsidP="00840AC2">
      <w:pPr>
        <w:spacing w:line="360" w:lineRule="auto"/>
        <w:jc w:val="both"/>
        <w:rPr>
          <w:rFonts w:ascii="Arial" w:hAnsi="Arial" w:cs="Arial"/>
          <w:sz w:val="22"/>
          <w:szCs w:val="22"/>
          <w:lang w:eastAsia="en-GB"/>
        </w:rPr>
      </w:pPr>
    </w:p>
    <w:p w14:paraId="001210FF" w14:textId="77777777" w:rsidR="00A0672C" w:rsidRDefault="00A0672C" w:rsidP="00840AC2">
      <w:pPr>
        <w:spacing w:line="360" w:lineRule="auto"/>
        <w:jc w:val="both"/>
        <w:rPr>
          <w:rFonts w:ascii="Arial" w:hAnsi="Arial" w:cs="Arial"/>
          <w:sz w:val="22"/>
          <w:szCs w:val="22"/>
          <w:lang w:eastAsia="en-GB"/>
        </w:rPr>
      </w:pPr>
    </w:p>
    <w:p w14:paraId="5022AFEC" w14:textId="77777777" w:rsidR="00A0672C" w:rsidRDefault="00A0672C" w:rsidP="00840AC2">
      <w:pPr>
        <w:spacing w:line="360" w:lineRule="auto"/>
        <w:jc w:val="both"/>
        <w:rPr>
          <w:rFonts w:ascii="Arial" w:hAnsi="Arial" w:cs="Arial"/>
          <w:sz w:val="22"/>
          <w:szCs w:val="22"/>
          <w:lang w:eastAsia="en-GB"/>
        </w:rPr>
      </w:pPr>
    </w:p>
    <w:p w14:paraId="5DC3CDCC" w14:textId="77777777" w:rsidR="00E919F5" w:rsidRDefault="00E919F5" w:rsidP="00840AC2">
      <w:pPr>
        <w:spacing w:line="360" w:lineRule="auto"/>
        <w:jc w:val="both"/>
        <w:rPr>
          <w:rFonts w:ascii="Arial" w:hAnsi="Arial" w:cs="Arial"/>
          <w:sz w:val="22"/>
          <w:szCs w:val="22"/>
          <w:lang w:eastAsia="en-GB"/>
        </w:rPr>
      </w:pPr>
    </w:p>
    <w:p w14:paraId="3BBAE327" w14:textId="77777777" w:rsidR="00E919F5" w:rsidRDefault="00E919F5" w:rsidP="00840AC2">
      <w:pPr>
        <w:spacing w:line="360" w:lineRule="auto"/>
        <w:jc w:val="both"/>
        <w:rPr>
          <w:rFonts w:ascii="Arial" w:hAnsi="Arial" w:cs="Arial"/>
          <w:sz w:val="22"/>
          <w:szCs w:val="22"/>
          <w:lang w:eastAsia="en-GB"/>
        </w:rPr>
      </w:pPr>
    </w:p>
    <w:p w14:paraId="0BA9130E" w14:textId="77777777" w:rsidR="00E919F5" w:rsidRDefault="00E919F5" w:rsidP="00840AC2">
      <w:pPr>
        <w:spacing w:line="360" w:lineRule="auto"/>
        <w:jc w:val="both"/>
        <w:rPr>
          <w:rFonts w:ascii="Arial" w:hAnsi="Arial" w:cs="Arial"/>
          <w:sz w:val="22"/>
          <w:szCs w:val="22"/>
          <w:lang w:eastAsia="en-GB"/>
        </w:rPr>
      </w:pPr>
    </w:p>
    <w:p w14:paraId="704CC94A" w14:textId="77777777" w:rsidR="00E919F5" w:rsidRDefault="00E919F5" w:rsidP="00840AC2">
      <w:pPr>
        <w:spacing w:line="360" w:lineRule="auto"/>
        <w:jc w:val="both"/>
        <w:rPr>
          <w:rFonts w:ascii="Arial" w:hAnsi="Arial" w:cs="Arial"/>
          <w:sz w:val="22"/>
          <w:szCs w:val="22"/>
          <w:lang w:eastAsia="en-GB"/>
        </w:rPr>
      </w:pPr>
    </w:p>
    <w:p w14:paraId="4CD3077B" w14:textId="77777777" w:rsidR="00E919F5" w:rsidRDefault="00E919F5" w:rsidP="00840AC2">
      <w:pPr>
        <w:spacing w:line="360" w:lineRule="auto"/>
        <w:jc w:val="both"/>
        <w:rPr>
          <w:rFonts w:ascii="Arial" w:hAnsi="Arial" w:cs="Arial"/>
          <w:sz w:val="22"/>
          <w:szCs w:val="22"/>
          <w:lang w:eastAsia="en-GB"/>
        </w:rPr>
      </w:pPr>
    </w:p>
    <w:p w14:paraId="56D2CD3A" w14:textId="77777777" w:rsidR="00E919F5" w:rsidRDefault="00E919F5" w:rsidP="00840AC2">
      <w:pPr>
        <w:spacing w:line="360" w:lineRule="auto"/>
        <w:jc w:val="both"/>
        <w:rPr>
          <w:rFonts w:ascii="Arial" w:hAnsi="Arial" w:cs="Arial"/>
          <w:sz w:val="22"/>
          <w:szCs w:val="22"/>
          <w:lang w:eastAsia="en-GB"/>
        </w:rPr>
      </w:pPr>
    </w:p>
    <w:p w14:paraId="70181836" w14:textId="77777777" w:rsidR="00E919F5" w:rsidRDefault="00E919F5" w:rsidP="00840AC2">
      <w:pPr>
        <w:spacing w:line="360" w:lineRule="auto"/>
        <w:jc w:val="both"/>
        <w:rPr>
          <w:rFonts w:ascii="Arial" w:hAnsi="Arial" w:cs="Arial"/>
          <w:sz w:val="22"/>
          <w:szCs w:val="22"/>
          <w:lang w:eastAsia="en-GB"/>
        </w:rPr>
      </w:pPr>
    </w:p>
    <w:p w14:paraId="6765D044" w14:textId="77777777" w:rsidR="00E919F5" w:rsidRDefault="00E919F5" w:rsidP="00840AC2">
      <w:pPr>
        <w:spacing w:line="360" w:lineRule="auto"/>
        <w:jc w:val="both"/>
        <w:rPr>
          <w:rFonts w:ascii="Arial" w:hAnsi="Arial" w:cs="Arial"/>
          <w:sz w:val="22"/>
          <w:szCs w:val="22"/>
          <w:lang w:eastAsia="en-GB"/>
        </w:rPr>
      </w:pPr>
    </w:p>
    <w:p w14:paraId="47F3BC42" w14:textId="77777777" w:rsidR="00E919F5" w:rsidRDefault="00E919F5" w:rsidP="00840AC2">
      <w:pPr>
        <w:spacing w:line="360" w:lineRule="auto"/>
        <w:jc w:val="both"/>
        <w:rPr>
          <w:rFonts w:ascii="Arial" w:hAnsi="Arial" w:cs="Arial"/>
          <w:sz w:val="22"/>
          <w:szCs w:val="22"/>
          <w:lang w:eastAsia="en-GB"/>
        </w:rPr>
      </w:pPr>
    </w:p>
    <w:p w14:paraId="6C8A1DF8" w14:textId="77777777" w:rsidR="00A0672C" w:rsidRPr="00A0672C" w:rsidRDefault="00A0672C" w:rsidP="00840AC2">
      <w:pPr>
        <w:spacing w:line="360" w:lineRule="auto"/>
        <w:jc w:val="both"/>
        <w:rPr>
          <w:rFonts w:ascii="Arial" w:hAnsi="Arial" w:cs="Arial"/>
          <w:b/>
          <w:bCs/>
          <w:sz w:val="22"/>
          <w:szCs w:val="22"/>
          <w:lang w:eastAsia="en-GB"/>
        </w:rPr>
      </w:pPr>
    </w:p>
    <w:p w14:paraId="09ACA5D0" w14:textId="77777777" w:rsidR="000F0816" w:rsidRPr="00840AC2" w:rsidRDefault="000F0816" w:rsidP="00840AC2">
      <w:pPr>
        <w:spacing w:line="360" w:lineRule="auto"/>
        <w:jc w:val="both"/>
        <w:rPr>
          <w:rFonts w:ascii="Arial" w:hAnsi="Arial" w:cs="Arial"/>
          <w:b/>
          <w:bCs/>
          <w:sz w:val="22"/>
          <w:szCs w:val="22"/>
          <w:lang w:eastAsia="en-GB"/>
        </w:rPr>
      </w:pPr>
    </w:p>
    <w:p w14:paraId="3F61D3A3" w14:textId="77777777" w:rsidR="00A0672C"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Monitoring &amp; feedback</w:t>
      </w:r>
    </w:p>
    <w:p w14:paraId="2700DB19" w14:textId="77777777" w:rsidR="00643BCB"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br/>
        <w:t>Urgency requires measurement. Managers must utilise people-analytics dashboards (provided by HR) to track usage of flexible working, employee engagement, performance outcomes, digital-tool adoption, upskilling uptake and diversity metrics. Regular feedback loops — team-surveys, listening sessions, pulse checks — help identify obstacles (e.g., unequal access to flexibility, technology barriers, manager bias). Managers should review performance measurement criteria: replacing “hours at desk” metrics with output-based KPIs, ensuring remote/hybrid staff are not penalised. Where technology adoption is low, managers should intervene (e.g., arrange coaching). Managers must escalate to HR when systemic issues (e.g., role-based barriers to flexibility) appear, so policy can be adapted. Lastly, managers must communicate urgency: setting clear goals (e.g., “by Q2 we expect all team members to have a flexible-working request logged and hybrid schedule agreed”), tracking progress in team meetings and recognising successes.</w:t>
      </w:r>
    </w:p>
    <w:p w14:paraId="66E2217A" w14:textId="77777777" w:rsidR="00A0672C" w:rsidRDefault="00A0672C" w:rsidP="00840AC2">
      <w:pPr>
        <w:spacing w:line="360" w:lineRule="auto"/>
        <w:jc w:val="both"/>
        <w:rPr>
          <w:rFonts w:ascii="Arial" w:hAnsi="Arial" w:cs="Arial"/>
          <w:sz w:val="22"/>
          <w:szCs w:val="22"/>
          <w:lang w:eastAsia="en-GB"/>
        </w:rPr>
      </w:pPr>
    </w:p>
    <w:p w14:paraId="0C2B2588" w14:textId="77777777" w:rsidR="00E919F5" w:rsidRPr="00840AC2" w:rsidRDefault="00E919F5" w:rsidP="00840AC2">
      <w:pPr>
        <w:spacing w:line="360" w:lineRule="auto"/>
        <w:jc w:val="both"/>
        <w:rPr>
          <w:rFonts w:ascii="Arial" w:hAnsi="Arial" w:cs="Arial"/>
          <w:sz w:val="22"/>
          <w:szCs w:val="22"/>
          <w:lang w:eastAsia="en-GB"/>
        </w:rPr>
      </w:pPr>
    </w:p>
    <w:p w14:paraId="6E4B8E92" w14:textId="77777777" w:rsidR="00A0672C"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Critique and potential barriers</w:t>
      </w:r>
    </w:p>
    <w:p w14:paraId="63A971C5" w14:textId="77777777" w:rsidR="00643BCB"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br/>
        <w:t>However, managers often face competing pressures (operational targets, short-term deadlines, legacy mindsets) and may resist new work-models. Without proper incentives and support, implementation may falter. HR must therefore provide managers with both training and resources (time, tool-kits) and align manager performance metrics with the new practices. The urgency may lead to superficial compliance (e.g., remote working allowed but team culture still treats remote as second-class). Therefore, managers must lead with authenticity. Also, implementation must consider context: not all roles can be fully remote, so managers must tailor flexibility arrangements, manage fairness perceptions and avoid dividing the workforce. Managers should also be conscious of technology fatigue, overload and need to manage team wellbeing. In short, urgent implementation requires a concerted and sustained managerial effort, clear metrics, training and cultural reinforcement.</w:t>
      </w:r>
    </w:p>
    <w:p w14:paraId="767E80A2" w14:textId="77777777" w:rsidR="00A0672C" w:rsidRDefault="00A0672C" w:rsidP="00840AC2">
      <w:pPr>
        <w:spacing w:line="360" w:lineRule="auto"/>
        <w:jc w:val="both"/>
        <w:rPr>
          <w:rFonts w:ascii="Arial" w:hAnsi="Arial" w:cs="Arial"/>
          <w:sz w:val="22"/>
          <w:szCs w:val="22"/>
          <w:lang w:eastAsia="en-GB"/>
        </w:rPr>
      </w:pPr>
    </w:p>
    <w:p w14:paraId="6E19C088" w14:textId="77777777" w:rsidR="00A0672C" w:rsidRDefault="00A0672C" w:rsidP="00840AC2">
      <w:pPr>
        <w:spacing w:line="360" w:lineRule="auto"/>
        <w:jc w:val="both"/>
        <w:rPr>
          <w:rFonts w:ascii="Arial" w:hAnsi="Arial" w:cs="Arial"/>
          <w:sz w:val="22"/>
          <w:szCs w:val="22"/>
          <w:lang w:eastAsia="en-GB"/>
        </w:rPr>
      </w:pPr>
    </w:p>
    <w:p w14:paraId="6CFC2102" w14:textId="77777777" w:rsidR="00E919F5" w:rsidRDefault="00E919F5" w:rsidP="00840AC2">
      <w:pPr>
        <w:spacing w:line="360" w:lineRule="auto"/>
        <w:jc w:val="both"/>
        <w:rPr>
          <w:rFonts w:ascii="Arial" w:hAnsi="Arial" w:cs="Arial"/>
          <w:sz w:val="22"/>
          <w:szCs w:val="22"/>
          <w:lang w:eastAsia="en-GB"/>
        </w:rPr>
      </w:pPr>
    </w:p>
    <w:p w14:paraId="1F8B3075" w14:textId="77777777" w:rsidR="00913886" w:rsidRPr="00840AC2" w:rsidRDefault="00913886" w:rsidP="00840AC2">
      <w:pPr>
        <w:spacing w:line="360" w:lineRule="auto"/>
        <w:jc w:val="both"/>
        <w:rPr>
          <w:rFonts w:ascii="Arial" w:hAnsi="Arial" w:cs="Arial"/>
          <w:sz w:val="22"/>
          <w:szCs w:val="22"/>
          <w:lang w:eastAsia="en-GB"/>
        </w:rPr>
      </w:pPr>
    </w:p>
    <w:p w14:paraId="39CEAD2E" w14:textId="77777777" w:rsidR="00840AC2" w:rsidRPr="00F60670" w:rsidRDefault="00643BCB" w:rsidP="00840AC2">
      <w:pPr>
        <w:spacing w:line="360" w:lineRule="auto"/>
        <w:jc w:val="both"/>
        <w:rPr>
          <w:rFonts w:ascii="Arial" w:hAnsi="Arial" w:cs="Arial"/>
          <w:b/>
          <w:bCs/>
          <w:lang w:eastAsia="en-GB"/>
        </w:rPr>
      </w:pPr>
      <w:r w:rsidRPr="00F60670">
        <w:rPr>
          <w:rFonts w:ascii="Arial" w:hAnsi="Arial" w:cs="Arial"/>
          <w:b/>
          <w:bCs/>
          <w:lang w:eastAsia="en-GB"/>
        </w:rPr>
        <w:t>Conclusion and Recommendations</w:t>
      </w:r>
    </w:p>
    <w:p w14:paraId="48D68BC9"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br/>
        <w:t>In an era defined by rapid societal, technological and working-arrangement change, organisations cannot afford to delay adaptation. The interplay between demographic shifts (societal change), accelerating digital/HR technology trends, and the transition to flexible working demands that HR practices be redesigned, integrated and operationalised urgently. The effective HR practices reviewed — inclusive talent management, digital HR systems and analytics, continuous learning, equitable flexible-working policies and culture change — offer a pathway. Yet without proactive departmental management, policies will remain aspirational. To bridge the gap, the following recommendations are offered:</w:t>
      </w:r>
    </w:p>
    <w:p w14:paraId="69BD8232"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Embed flexibility as a strategic norm: HR should classify flexible working not as a benefit but as a core part of work-design. Job descriptions, recruitment adverts and performance frameworks should reflect this.</w:t>
      </w:r>
    </w:p>
    <w:p w14:paraId="2638B2C0"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Upskill HR and managers in digital literacy and people analytics: Investing in training for HR professionals and line managers ensures that technology adoption becomes effective and non-threatening.</w:t>
      </w:r>
    </w:p>
    <w:p w14:paraId="682E2985"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Establish manager-led accountability frameworks: Departmental managers should have clear KPIs tied to flexibility uptake, digital adoption and inclusion metrics, and HR should monitor and support progress.</w:t>
      </w:r>
    </w:p>
    <w:p w14:paraId="4DFBAEE1"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Ensure equity of access: Organisations must audit flexible working usage across roles, levels, demographics and ensure no “two-tier workforce” emerges. Tailored arrangements should be available across the board.</w:t>
      </w:r>
    </w:p>
    <w:p w14:paraId="4B70C63A"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Use data for continuous improvement: Leverage HR analytics to monitor outcomes (engagement, productivity, retention) from flexible working, technology usage and inclusive practices; feedback results into HR and departmental strategy.</w:t>
      </w:r>
    </w:p>
    <w:p w14:paraId="40718CC4"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Foster a culture of trust and collaboration: Beyond policy, managers and leaders must model behaviours (hybrid presence, remote meeting inclusion, digital collaboration) and build a culture where flexibility and technology are enablers not threats.</w:t>
      </w:r>
    </w:p>
    <w:p w14:paraId="5F32120B" w14:textId="77777777" w:rsidR="00643BCB" w:rsidRPr="00840AC2" w:rsidRDefault="00643BCB" w:rsidP="00840AC2">
      <w:pPr>
        <w:spacing w:line="360" w:lineRule="auto"/>
        <w:jc w:val="both"/>
        <w:rPr>
          <w:rFonts w:ascii="Arial" w:hAnsi="Arial" w:cs="Arial"/>
          <w:sz w:val="22"/>
          <w:szCs w:val="22"/>
          <w:lang w:eastAsia="en-GB"/>
        </w:rPr>
      </w:pPr>
      <w:r w:rsidRPr="00840AC2">
        <w:rPr>
          <w:rFonts w:ascii="Arial" w:hAnsi="Arial" w:cs="Arial"/>
          <w:sz w:val="22"/>
          <w:szCs w:val="22"/>
          <w:lang w:eastAsia="en-GB"/>
        </w:rPr>
        <w:t>By acting now, organisations will be better positioned to attract and retain talent, adapt to technological disruption and deliver sustainable performance in a rapidly changing world.</w:t>
      </w:r>
    </w:p>
    <w:p w14:paraId="1EEB1DD8" w14:textId="77777777" w:rsidR="000F0816" w:rsidRDefault="000F0816" w:rsidP="00840AC2">
      <w:pPr>
        <w:spacing w:line="360" w:lineRule="auto"/>
        <w:jc w:val="both"/>
        <w:rPr>
          <w:rFonts w:ascii="Arial" w:hAnsi="Arial" w:cs="Arial"/>
          <w:sz w:val="22"/>
          <w:szCs w:val="22"/>
          <w:lang w:eastAsia="en-GB"/>
        </w:rPr>
      </w:pPr>
    </w:p>
    <w:p w14:paraId="3CE4A5E2" w14:textId="6430B381" w:rsidR="00E919F5" w:rsidRPr="00F60670" w:rsidRDefault="00DB37EF" w:rsidP="00840AC2">
      <w:pPr>
        <w:spacing w:line="360" w:lineRule="auto"/>
        <w:jc w:val="both"/>
        <w:rPr>
          <w:rFonts w:ascii="Arial" w:hAnsi="Arial" w:cs="Arial"/>
          <w:b/>
          <w:bCs/>
          <w:color w:val="000000"/>
        </w:rPr>
      </w:pPr>
      <w:r w:rsidRPr="00F60670">
        <w:rPr>
          <w:rFonts w:ascii="Arial" w:hAnsi="Arial" w:cs="Arial"/>
          <w:b/>
          <w:bCs/>
          <w:color w:val="000000"/>
        </w:rPr>
        <w:t>References</w:t>
      </w:r>
    </w:p>
    <w:p w14:paraId="1AAAEE63"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Williams, J. (2025)</w:t>
      </w:r>
      <w:r w:rsidRPr="00DB37EF">
        <w:rPr>
          <w:rStyle w:val="apple-converted-space"/>
          <w:rFonts w:ascii="Arial" w:hAnsi="Arial" w:cs="Arial"/>
          <w:color w:val="000000"/>
          <w:sz w:val="22"/>
          <w:szCs w:val="22"/>
        </w:rPr>
        <w:t> </w:t>
      </w:r>
      <w:r w:rsidRPr="00DB37EF">
        <w:rPr>
          <w:rStyle w:val="Emphasis"/>
          <w:rFonts w:ascii="Arial" w:hAnsi="Arial" w:cs="Arial"/>
          <w:color w:val="000000"/>
          <w:sz w:val="22"/>
          <w:szCs w:val="22"/>
        </w:rPr>
        <w:t>Leadership in Hybrid Organisations</w:t>
      </w:r>
      <w:r w:rsidRPr="00DB37EF">
        <w:rPr>
          <w:rFonts w:ascii="Arial" w:hAnsi="Arial" w:cs="Arial"/>
          <w:color w:val="000000"/>
          <w:sz w:val="22"/>
          <w:szCs w:val="22"/>
        </w:rPr>
        <w:t>. Oxford: Oxford University Press. Harvard Business Review (2024)</w:t>
      </w:r>
      <w:r w:rsidRPr="00DB37EF">
        <w:rPr>
          <w:rStyle w:val="apple-converted-space"/>
          <w:rFonts w:ascii="Arial" w:hAnsi="Arial" w:cs="Arial"/>
          <w:color w:val="000000"/>
          <w:sz w:val="22"/>
          <w:szCs w:val="22"/>
        </w:rPr>
        <w:t> </w:t>
      </w:r>
      <w:r w:rsidRPr="00DB37EF">
        <w:rPr>
          <w:rStyle w:val="Emphasis"/>
          <w:rFonts w:ascii="Arial" w:hAnsi="Arial" w:cs="Arial"/>
          <w:color w:val="000000"/>
          <w:sz w:val="22"/>
          <w:szCs w:val="22"/>
        </w:rPr>
        <w:t>Reinventing Work Post-Pandemic</w:t>
      </w:r>
      <w:r w:rsidRPr="00DB37EF">
        <w:rPr>
          <w:rFonts w:ascii="Arial" w:hAnsi="Arial" w:cs="Arial"/>
          <w:color w:val="000000"/>
          <w:sz w:val="22"/>
          <w:szCs w:val="22"/>
        </w:rPr>
        <w:t>. Boston: HBR Press. References (Harvard Style)</w:t>
      </w:r>
    </w:p>
    <w:p w14:paraId="2A880FED"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CIPD (2023) People Profession 2030: A Collective View of Future Trends. London: CIPD.</w:t>
      </w:r>
    </w:p>
    <w:p w14:paraId="40D7C745"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Robertson, I. &amp; Cooper, C. (2022) Wellbeing at Work: How to Build Resilient and Thriving Teams. London: Kogan Page.</w:t>
      </w:r>
    </w:p>
    <w:p w14:paraId="3104898B"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Ulrich, D., Younger, J., Brockbank, W. &amp; Ulrich, M. (2021) HR from the Outside In. New York: McGraw-Hill.</w:t>
      </w:r>
    </w:p>
    <w:p w14:paraId="161D6D6B"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Armstrong, M. &amp; Taylor, S. (2023) Armstrong’s Handbook of Human Resource Management Practice. 16th ed. London: Kogan Page.</w:t>
      </w:r>
    </w:p>
    <w:p w14:paraId="01FB6623"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Banerjee, S. (2022) ‘AI and HR: Ethical considerations’, Journal of HR Tech, 14(2), pp. 45–60.</w:t>
      </w:r>
    </w:p>
    <w:p w14:paraId="2489EC09"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Boxall, P. &amp; Purcell, J. (2022) Strategy and Human Resource Management. 5th ed. London: Palgrave.</w:t>
      </w:r>
    </w:p>
    <w:p w14:paraId="5A30EC43"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Carolan, C. (2023) ‘Hybrid working: Culture and collaboration’, Workplace Review, 11(3), pp. 71–82.</w:t>
      </w:r>
    </w:p>
    <w:p w14:paraId="21E4B2C3"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Chartered Management Institute (CMI) (2023) Managing Hybrid Teams. London: CMI.</w:t>
      </w:r>
    </w:p>
    <w:p w14:paraId="5DAAB64F"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Davenport, T. &amp; Kirby, J. (2021) Humans + Machines: Reimagining Work in the Age of AI. Boston: Harvard Business Review Press.</w:t>
      </w:r>
    </w:p>
    <w:p w14:paraId="7920DBDF"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DeLisi, M. (2022) ‘Inclusive leadership in modern organisations’, Leadership Quarterly, 33(5), pp. 1–12.</w:t>
      </w:r>
    </w:p>
    <w:p w14:paraId="7C9FFEC8"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Fleming, P. (2022) Dark Academia and the Future of Work. Oxford: Oxford University Press.</w:t>
      </w:r>
    </w:p>
    <w:p w14:paraId="20FE39C4"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Gifford, J. (2021) People Analytics. London: CIPD.</w:t>
      </w:r>
    </w:p>
    <w:p w14:paraId="53FAD876"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Kelliher, C. &amp; Anderson, D. (2020) Flexible Working and Organisational Change. London: Routledge.</w:t>
      </w:r>
    </w:p>
    <w:p w14:paraId="594F12EA"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Kotter, J. (2012) Leading Change. Boston: Harvard Business School Press.</w:t>
      </w:r>
    </w:p>
    <w:p w14:paraId="49957200"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Luthans, F. &amp; Youssef, C. (2021) Psychological Capital and Leadership. New York: Springer.</w:t>
      </w:r>
    </w:p>
    <w:p w14:paraId="05433F6C"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McKinsey (2023) The Future of Work After COVID-19. New York: McKinsey Global Institute.</w:t>
      </w:r>
    </w:p>
    <w:p w14:paraId="7FE4C867"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Parry, E. &amp; Battista, V. (2019) ‘The digital workplace’, International Journal of HRM, 30(1), pp. 3–20.</w:t>
      </w:r>
    </w:p>
    <w:p w14:paraId="06E92423"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PwC (2023) Global Workforce Hopes and Fears Survey. London: PwC.</w:t>
      </w:r>
    </w:p>
    <w:p w14:paraId="391C0AD6" w14:textId="77777777"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Schein, E. (2017) Organisational Culture and Leadership. 5th ed. Hoboken: Wiley.</w:t>
      </w:r>
    </w:p>
    <w:p w14:paraId="5EB12A44" w14:textId="03D88F75" w:rsidR="00DB37EF" w:rsidRPr="00DB37EF" w:rsidRDefault="00DB37EF" w:rsidP="00DB37EF">
      <w:pPr>
        <w:spacing w:line="360" w:lineRule="auto"/>
        <w:jc w:val="both"/>
        <w:rPr>
          <w:rFonts w:ascii="Arial" w:hAnsi="Arial" w:cs="Arial"/>
          <w:color w:val="000000"/>
          <w:sz w:val="22"/>
          <w:szCs w:val="22"/>
        </w:rPr>
      </w:pPr>
      <w:r w:rsidRPr="00DB37EF">
        <w:rPr>
          <w:rFonts w:ascii="Arial" w:hAnsi="Arial" w:cs="Arial"/>
          <w:color w:val="000000"/>
          <w:sz w:val="22"/>
          <w:szCs w:val="22"/>
        </w:rPr>
        <w:t>Torrington, D., Hall, L. &amp; Taylor, S. (2022) Human Resource Management. 12th ed. Harlow: Pearson.</w:t>
      </w:r>
    </w:p>
    <w:p w14:paraId="6C3685B9" w14:textId="4DAF66EB" w:rsidR="00DB37EF" w:rsidRPr="00DB37EF" w:rsidRDefault="00DB37EF" w:rsidP="00DB37EF">
      <w:pPr>
        <w:spacing w:line="360" w:lineRule="auto"/>
        <w:jc w:val="both"/>
        <w:rPr>
          <w:rFonts w:ascii="Arial" w:hAnsi="Arial" w:cs="Arial"/>
          <w:color w:val="000000"/>
          <w:sz w:val="22"/>
          <w:szCs w:val="22"/>
        </w:rPr>
      </w:pPr>
    </w:p>
    <w:p w14:paraId="5CEA85A7" w14:textId="77777777" w:rsidR="00DB37EF" w:rsidRDefault="00DB37EF" w:rsidP="00840AC2">
      <w:pPr>
        <w:spacing w:line="360" w:lineRule="auto"/>
        <w:jc w:val="both"/>
        <w:rPr>
          <w:rFonts w:ascii="-webkit-standard" w:hAnsi="-webkit-standard"/>
          <w:color w:val="000000"/>
          <w:sz w:val="27"/>
          <w:szCs w:val="27"/>
        </w:rPr>
      </w:pPr>
    </w:p>
    <w:p w14:paraId="2C44D11E" w14:textId="77777777" w:rsidR="00DB37EF" w:rsidRDefault="00DB37EF" w:rsidP="00840AC2">
      <w:pPr>
        <w:spacing w:line="360" w:lineRule="auto"/>
        <w:jc w:val="both"/>
        <w:rPr>
          <w:rFonts w:ascii="Arial" w:hAnsi="Arial" w:cs="Arial"/>
          <w:sz w:val="22"/>
          <w:szCs w:val="22"/>
          <w:lang w:eastAsia="en-GB"/>
        </w:rPr>
      </w:pPr>
    </w:p>
    <w:p w14:paraId="41024AE3" w14:textId="77777777" w:rsidR="00DB37EF" w:rsidRPr="00840AC2" w:rsidRDefault="00DB37EF" w:rsidP="00840AC2">
      <w:pPr>
        <w:spacing w:line="360" w:lineRule="auto"/>
        <w:jc w:val="both"/>
        <w:rPr>
          <w:rFonts w:ascii="Arial" w:hAnsi="Arial" w:cs="Arial"/>
          <w:sz w:val="22"/>
          <w:szCs w:val="22"/>
          <w:lang w:eastAsia="en-GB"/>
        </w:rPr>
      </w:pPr>
    </w:p>
    <w:p w14:paraId="577A8032" w14:textId="77777777" w:rsidR="004D0756" w:rsidRPr="00840AC2" w:rsidRDefault="004D0756" w:rsidP="00840AC2">
      <w:pPr>
        <w:spacing w:line="360" w:lineRule="auto"/>
        <w:jc w:val="both"/>
        <w:rPr>
          <w:rFonts w:ascii="Arial" w:hAnsi="Arial" w:cs="Arial"/>
          <w:sz w:val="22"/>
          <w:szCs w:val="22"/>
        </w:rPr>
      </w:pPr>
    </w:p>
    <w:sectPr w:rsidR="004D0756" w:rsidRPr="00840AC2">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DDCC7" w14:textId="77777777" w:rsidR="00622B0C" w:rsidRDefault="00622B0C" w:rsidP="00247616">
      <w:pPr>
        <w:spacing w:after="0" w:line="240" w:lineRule="auto"/>
      </w:pPr>
      <w:r>
        <w:separator/>
      </w:r>
    </w:p>
  </w:endnote>
  <w:endnote w:type="continuationSeparator" w:id="0">
    <w:p w14:paraId="4C29EE2E" w14:textId="77777777" w:rsidR="00622B0C" w:rsidRDefault="00622B0C" w:rsidP="00247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695176"/>
      <w:docPartObj>
        <w:docPartGallery w:val="Page Numbers (Bottom of Page)"/>
        <w:docPartUnique/>
      </w:docPartObj>
    </w:sdtPr>
    <w:sdtEndPr>
      <w:rPr>
        <w:rStyle w:val="PageNumber"/>
      </w:rPr>
    </w:sdtEndPr>
    <w:sdtContent>
      <w:p w14:paraId="18737077" w14:textId="7B7CF582" w:rsidR="00247616" w:rsidRDefault="00247616" w:rsidP="00F412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EE0FDBE" w14:textId="77777777" w:rsidR="00247616" w:rsidRDefault="00247616" w:rsidP="002476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8114096"/>
      <w:docPartObj>
        <w:docPartGallery w:val="Page Numbers (Bottom of Page)"/>
        <w:docPartUnique/>
      </w:docPartObj>
    </w:sdtPr>
    <w:sdtEndPr>
      <w:rPr>
        <w:rStyle w:val="PageNumber"/>
      </w:rPr>
    </w:sdtEndPr>
    <w:sdtContent>
      <w:p w14:paraId="54EFFC6A" w14:textId="3634D95B" w:rsidR="00247616" w:rsidRDefault="00247616" w:rsidP="00F412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0A0AA1DB" w14:textId="77777777" w:rsidR="00247616" w:rsidRDefault="00247616" w:rsidP="002476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F0F4C" w14:textId="77777777" w:rsidR="00622B0C" w:rsidRDefault="00622B0C" w:rsidP="00247616">
      <w:pPr>
        <w:spacing w:after="0" w:line="240" w:lineRule="auto"/>
      </w:pPr>
      <w:r>
        <w:separator/>
      </w:r>
    </w:p>
  </w:footnote>
  <w:footnote w:type="continuationSeparator" w:id="0">
    <w:p w14:paraId="63BE6D5B" w14:textId="77777777" w:rsidR="00622B0C" w:rsidRDefault="00622B0C" w:rsidP="002476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37801"/>
    <w:multiLevelType w:val="hybridMultilevel"/>
    <w:tmpl w:val="222C3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311E05"/>
    <w:multiLevelType w:val="multilevel"/>
    <w:tmpl w:val="DA06B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0F206A"/>
    <w:multiLevelType w:val="multilevel"/>
    <w:tmpl w:val="8D4E6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D251FA"/>
    <w:multiLevelType w:val="multilevel"/>
    <w:tmpl w:val="6792A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4687818">
    <w:abstractNumId w:val="1"/>
  </w:num>
  <w:num w:numId="2" w16cid:durableId="452790265">
    <w:abstractNumId w:val="2"/>
  </w:num>
  <w:num w:numId="3" w16cid:durableId="1958902849">
    <w:abstractNumId w:val="0"/>
  </w:num>
  <w:num w:numId="4" w16cid:durableId="19114254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756"/>
    <w:rsid w:val="000F0816"/>
    <w:rsid w:val="00247616"/>
    <w:rsid w:val="0049458A"/>
    <w:rsid w:val="004D0756"/>
    <w:rsid w:val="0057544F"/>
    <w:rsid w:val="005C4DDB"/>
    <w:rsid w:val="00622B0C"/>
    <w:rsid w:val="00643BCB"/>
    <w:rsid w:val="006C207A"/>
    <w:rsid w:val="007B4407"/>
    <w:rsid w:val="008317BD"/>
    <w:rsid w:val="00840AC2"/>
    <w:rsid w:val="008A0820"/>
    <w:rsid w:val="008B3706"/>
    <w:rsid w:val="00913886"/>
    <w:rsid w:val="00A0672C"/>
    <w:rsid w:val="00DB37EF"/>
    <w:rsid w:val="00E02092"/>
    <w:rsid w:val="00E44EC9"/>
    <w:rsid w:val="00E919F5"/>
    <w:rsid w:val="00F60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315D6"/>
  <w15:chartTrackingRefBased/>
  <w15:docId w15:val="{F2023277-4321-E448-AF07-15F6CC983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7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D07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D07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D07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07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07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07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07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07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7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D07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D07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4D07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07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07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07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07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0756"/>
    <w:rPr>
      <w:rFonts w:eastAsiaTheme="majorEastAsia" w:cstheme="majorBidi"/>
      <w:color w:val="272727" w:themeColor="text1" w:themeTint="D8"/>
    </w:rPr>
  </w:style>
  <w:style w:type="paragraph" w:styleId="Title">
    <w:name w:val="Title"/>
    <w:basedOn w:val="Normal"/>
    <w:next w:val="Normal"/>
    <w:link w:val="TitleChar"/>
    <w:uiPriority w:val="10"/>
    <w:qFormat/>
    <w:rsid w:val="004D07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7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7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7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0756"/>
    <w:pPr>
      <w:spacing w:before="160"/>
      <w:jc w:val="center"/>
    </w:pPr>
    <w:rPr>
      <w:i/>
      <w:iCs/>
      <w:color w:val="404040" w:themeColor="text1" w:themeTint="BF"/>
    </w:rPr>
  </w:style>
  <w:style w:type="character" w:customStyle="1" w:styleId="QuoteChar">
    <w:name w:val="Quote Char"/>
    <w:basedOn w:val="DefaultParagraphFont"/>
    <w:link w:val="Quote"/>
    <w:uiPriority w:val="29"/>
    <w:rsid w:val="004D0756"/>
    <w:rPr>
      <w:i/>
      <w:iCs/>
      <w:color w:val="404040" w:themeColor="text1" w:themeTint="BF"/>
    </w:rPr>
  </w:style>
  <w:style w:type="paragraph" w:styleId="ListParagraph">
    <w:name w:val="List Paragraph"/>
    <w:basedOn w:val="Normal"/>
    <w:uiPriority w:val="34"/>
    <w:qFormat/>
    <w:rsid w:val="004D0756"/>
    <w:pPr>
      <w:ind w:left="720"/>
      <w:contextualSpacing/>
    </w:pPr>
  </w:style>
  <w:style w:type="character" w:styleId="IntenseEmphasis">
    <w:name w:val="Intense Emphasis"/>
    <w:basedOn w:val="DefaultParagraphFont"/>
    <w:uiPriority w:val="21"/>
    <w:qFormat/>
    <w:rsid w:val="004D0756"/>
    <w:rPr>
      <w:i/>
      <w:iCs/>
      <w:color w:val="2F5496" w:themeColor="accent1" w:themeShade="BF"/>
    </w:rPr>
  </w:style>
  <w:style w:type="paragraph" w:styleId="IntenseQuote">
    <w:name w:val="Intense Quote"/>
    <w:basedOn w:val="Normal"/>
    <w:next w:val="Normal"/>
    <w:link w:val="IntenseQuoteChar"/>
    <w:uiPriority w:val="30"/>
    <w:qFormat/>
    <w:rsid w:val="004D07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0756"/>
    <w:rPr>
      <w:i/>
      <w:iCs/>
      <w:color w:val="2F5496" w:themeColor="accent1" w:themeShade="BF"/>
    </w:rPr>
  </w:style>
  <w:style w:type="character" w:styleId="IntenseReference">
    <w:name w:val="Intense Reference"/>
    <w:basedOn w:val="DefaultParagraphFont"/>
    <w:uiPriority w:val="32"/>
    <w:qFormat/>
    <w:rsid w:val="004D0756"/>
    <w:rPr>
      <w:b/>
      <w:bCs/>
      <w:smallCaps/>
      <w:color w:val="2F5496" w:themeColor="accent1" w:themeShade="BF"/>
      <w:spacing w:val="5"/>
    </w:rPr>
  </w:style>
  <w:style w:type="paragraph" w:styleId="NormalWeb">
    <w:name w:val="Normal (Web)"/>
    <w:basedOn w:val="Normal"/>
    <w:uiPriority w:val="99"/>
    <w:semiHidden/>
    <w:unhideWhenUsed/>
    <w:rsid w:val="004D07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D0756"/>
  </w:style>
  <w:style w:type="character" w:styleId="Strong">
    <w:name w:val="Strong"/>
    <w:basedOn w:val="DefaultParagraphFont"/>
    <w:uiPriority w:val="22"/>
    <w:qFormat/>
    <w:rsid w:val="004D0756"/>
    <w:rPr>
      <w:b/>
      <w:bCs/>
    </w:rPr>
  </w:style>
  <w:style w:type="paragraph" w:customStyle="1" w:styleId="p1">
    <w:name w:val="p1"/>
    <w:basedOn w:val="Normal"/>
    <w:rsid w:val="00643BCB"/>
    <w:pPr>
      <w:spacing w:after="0" w:line="240" w:lineRule="auto"/>
    </w:pPr>
    <w:rPr>
      <w:rFonts w:ascii="Arial" w:eastAsia="Times New Roman" w:hAnsi="Arial" w:cs="Arial"/>
      <w:color w:val="000000"/>
      <w:kern w:val="0"/>
      <w:sz w:val="17"/>
      <w:szCs w:val="17"/>
      <w:lang w:eastAsia="en-GB"/>
      <w14:ligatures w14:val="none"/>
    </w:rPr>
  </w:style>
  <w:style w:type="character" w:customStyle="1" w:styleId="ms-1">
    <w:name w:val="ms-1"/>
    <w:basedOn w:val="DefaultParagraphFont"/>
    <w:rsid w:val="00643BCB"/>
  </w:style>
  <w:style w:type="character" w:customStyle="1" w:styleId="max-w-15ch">
    <w:name w:val="max-w-[15ch]"/>
    <w:basedOn w:val="DefaultParagraphFont"/>
    <w:rsid w:val="00643BCB"/>
  </w:style>
  <w:style w:type="character" w:customStyle="1" w:styleId="-me-1">
    <w:name w:val="-me-1"/>
    <w:basedOn w:val="DefaultParagraphFont"/>
    <w:rsid w:val="00643BCB"/>
  </w:style>
  <w:style w:type="character" w:styleId="Emphasis">
    <w:name w:val="Emphasis"/>
    <w:basedOn w:val="DefaultParagraphFont"/>
    <w:uiPriority w:val="20"/>
    <w:qFormat/>
    <w:rsid w:val="00643BCB"/>
    <w:rPr>
      <w:i/>
      <w:iCs/>
    </w:rPr>
  </w:style>
  <w:style w:type="paragraph" w:customStyle="1" w:styleId="p2">
    <w:name w:val="p2"/>
    <w:basedOn w:val="Normal"/>
    <w:rsid w:val="000F0816"/>
    <w:pPr>
      <w:spacing w:after="0" w:line="240" w:lineRule="auto"/>
    </w:pPr>
    <w:rPr>
      <w:rFonts w:ascii="Arial" w:eastAsia="Times New Roman" w:hAnsi="Arial" w:cs="Arial"/>
      <w:color w:val="000000"/>
      <w:kern w:val="0"/>
      <w:sz w:val="17"/>
      <w:szCs w:val="17"/>
      <w:lang w:eastAsia="en-GB"/>
      <w14:ligatures w14:val="none"/>
    </w:rPr>
  </w:style>
  <w:style w:type="paragraph" w:styleId="Footer">
    <w:name w:val="footer"/>
    <w:basedOn w:val="Normal"/>
    <w:link w:val="FooterChar"/>
    <w:uiPriority w:val="99"/>
    <w:unhideWhenUsed/>
    <w:rsid w:val="00247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616"/>
  </w:style>
  <w:style w:type="character" w:styleId="PageNumber">
    <w:name w:val="page number"/>
    <w:basedOn w:val="DefaultParagraphFont"/>
    <w:uiPriority w:val="99"/>
    <w:semiHidden/>
    <w:unhideWhenUsed/>
    <w:rsid w:val="002476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480059">
      <w:bodyDiv w:val="1"/>
      <w:marLeft w:val="0"/>
      <w:marRight w:val="0"/>
      <w:marTop w:val="0"/>
      <w:marBottom w:val="0"/>
      <w:divBdr>
        <w:top w:val="none" w:sz="0" w:space="0" w:color="auto"/>
        <w:left w:val="none" w:sz="0" w:space="0" w:color="auto"/>
        <w:bottom w:val="none" w:sz="0" w:space="0" w:color="auto"/>
        <w:right w:val="none" w:sz="0" w:space="0" w:color="auto"/>
      </w:divBdr>
    </w:div>
    <w:div w:id="386999541">
      <w:bodyDiv w:val="1"/>
      <w:marLeft w:val="0"/>
      <w:marRight w:val="0"/>
      <w:marTop w:val="0"/>
      <w:marBottom w:val="0"/>
      <w:divBdr>
        <w:top w:val="none" w:sz="0" w:space="0" w:color="auto"/>
        <w:left w:val="none" w:sz="0" w:space="0" w:color="auto"/>
        <w:bottom w:val="none" w:sz="0" w:space="0" w:color="auto"/>
        <w:right w:val="none" w:sz="0" w:space="0" w:color="auto"/>
      </w:divBdr>
    </w:div>
    <w:div w:id="432282474">
      <w:bodyDiv w:val="1"/>
      <w:marLeft w:val="0"/>
      <w:marRight w:val="0"/>
      <w:marTop w:val="0"/>
      <w:marBottom w:val="0"/>
      <w:divBdr>
        <w:top w:val="none" w:sz="0" w:space="0" w:color="auto"/>
        <w:left w:val="none" w:sz="0" w:space="0" w:color="auto"/>
        <w:bottom w:val="none" w:sz="0" w:space="0" w:color="auto"/>
        <w:right w:val="none" w:sz="0" w:space="0" w:color="auto"/>
      </w:divBdr>
    </w:div>
    <w:div w:id="739250911">
      <w:bodyDiv w:val="1"/>
      <w:marLeft w:val="0"/>
      <w:marRight w:val="0"/>
      <w:marTop w:val="0"/>
      <w:marBottom w:val="0"/>
      <w:divBdr>
        <w:top w:val="none" w:sz="0" w:space="0" w:color="auto"/>
        <w:left w:val="none" w:sz="0" w:space="0" w:color="auto"/>
        <w:bottom w:val="none" w:sz="0" w:space="0" w:color="auto"/>
        <w:right w:val="none" w:sz="0" w:space="0" w:color="auto"/>
      </w:divBdr>
    </w:div>
    <w:div w:id="105319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2980</Words>
  <Characters>16987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rahmia kamil</dc:creator>
  <cp:keywords/>
  <dc:description/>
  <cp:lastModifiedBy>Rahmia Sulay Kamil (2335591)</cp:lastModifiedBy>
  <cp:revision>2</cp:revision>
  <dcterms:created xsi:type="dcterms:W3CDTF">2025-12-07T09:27:00Z</dcterms:created>
  <dcterms:modified xsi:type="dcterms:W3CDTF">2025-12-07T09:27:00Z</dcterms:modified>
</cp:coreProperties>
</file>