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CB5A0" w14:textId="65464655" w:rsidR="00D65A81" w:rsidRPr="00D65A81" w:rsidRDefault="00D65A81" w:rsidP="00D65A81">
      <w:pPr>
        <w:ind w:left="720"/>
        <w:jc w:val="right"/>
        <w:rPr>
          <w:rFonts w:ascii="Arial" w:hAnsi="Arial" w:cs="Arial"/>
          <w:bCs/>
          <w:sz w:val="18"/>
          <w:szCs w:val="18"/>
        </w:rPr>
      </w:pPr>
      <w:r w:rsidRPr="00D65A81">
        <w:rPr>
          <w:rFonts w:ascii="Arial" w:hAnsi="Arial" w:cs="Arial"/>
          <w:bCs/>
          <w:sz w:val="18"/>
          <w:szCs w:val="18"/>
        </w:rPr>
        <w:t>Lucie Jones 2200871</w:t>
      </w:r>
    </w:p>
    <w:p w14:paraId="54051773" w14:textId="5832FB69" w:rsidR="00D65A81" w:rsidRDefault="00D65A81" w:rsidP="00D65A81">
      <w:pPr>
        <w:ind w:left="720"/>
        <w:jc w:val="right"/>
        <w:rPr>
          <w:rFonts w:ascii="Arial" w:hAnsi="Arial" w:cs="Arial"/>
          <w:b/>
          <w:sz w:val="18"/>
          <w:szCs w:val="18"/>
        </w:rPr>
      </w:pPr>
      <w:r w:rsidRPr="00D65A81">
        <w:rPr>
          <w:rFonts w:ascii="Arial" w:hAnsi="Arial" w:cs="Arial"/>
          <w:bCs/>
          <w:sz w:val="18"/>
          <w:szCs w:val="18"/>
        </w:rPr>
        <w:t>ECAD 4008</w:t>
      </w:r>
    </w:p>
    <w:p w14:paraId="5DF69E84" w14:textId="77777777" w:rsidR="00D65A81" w:rsidRDefault="00D65A81" w:rsidP="00D65A81">
      <w:pPr>
        <w:ind w:left="720"/>
        <w:rPr>
          <w:rFonts w:ascii="Arial" w:hAnsi="Arial" w:cs="Arial"/>
          <w:b/>
          <w:sz w:val="18"/>
          <w:szCs w:val="18"/>
        </w:rPr>
      </w:pPr>
    </w:p>
    <w:p w14:paraId="03C17C8D" w14:textId="52107F75" w:rsidR="00D65A81" w:rsidRPr="00D65A81" w:rsidRDefault="00D65A81" w:rsidP="00D65A81">
      <w:pPr>
        <w:ind w:left="720"/>
        <w:rPr>
          <w:rFonts w:ascii="Arial" w:hAnsi="Arial" w:cs="Arial"/>
          <w:b/>
          <w:sz w:val="18"/>
          <w:szCs w:val="18"/>
        </w:rPr>
      </w:pPr>
      <w:bookmarkStart w:id="0" w:name="_Hlk132095846"/>
      <w:r w:rsidRPr="00D65A81">
        <w:rPr>
          <w:rFonts w:ascii="Arial" w:hAnsi="Arial" w:cs="Arial"/>
          <w:b/>
          <w:sz w:val="18"/>
          <w:szCs w:val="18"/>
        </w:rPr>
        <w:t>Good teaching and learning means employing a blend of approaches including direct teaching.</w:t>
      </w:r>
    </w:p>
    <w:bookmarkEnd w:id="0"/>
    <w:p w14:paraId="30D3D8D5" w14:textId="77777777" w:rsidR="00D65A81" w:rsidRPr="00D65A81" w:rsidRDefault="00D65A81" w:rsidP="00D65A81">
      <w:pPr>
        <w:ind w:left="720"/>
        <w:rPr>
          <w:rFonts w:ascii="Arial" w:hAnsi="Arial" w:cs="Arial"/>
          <w:b/>
          <w:sz w:val="18"/>
          <w:szCs w:val="18"/>
        </w:rPr>
      </w:pPr>
    </w:p>
    <w:p w14:paraId="4A323247" w14:textId="7BBAE332" w:rsidR="00D65A81" w:rsidRPr="00D65A81" w:rsidRDefault="00D65A81" w:rsidP="00D65A81">
      <w:pPr>
        <w:ind w:left="720"/>
        <w:rPr>
          <w:rFonts w:ascii="Arial" w:hAnsi="Arial" w:cs="Arial"/>
          <w:b/>
          <w:sz w:val="18"/>
          <w:szCs w:val="18"/>
        </w:rPr>
      </w:pPr>
      <w:r w:rsidRPr="00D65A81">
        <w:rPr>
          <w:rFonts w:ascii="Arial" w:hAnsi="Arial" w:cs="Arial"/>
          <w:b/>
          <w:sz w:val="18"/>
          <w:szCs w:val="18"/>
        </w:rPr>
        <w:t>Good teaching and learning sets tasks and select resources that build on previous knowledge and experience and engage interest.</w:t>
      </w:r>
    </w:p>
    <w:p w14:paraId="02BFB1E7" w14:textId="77777777" w:rsidR="00D65A81" w:rsidRPr="00D65A81" w:rsidRDefault="00D65A81" w:rsidP="00D65A81">
      <w:pPr>
        <w:ind w:left="720"/>
        <w:rPr>
          <w:rFonts w:ascii="Arial" w:hAnsi="Arial" w:cs="Arial"/>
          <w:b/>
          <w:sz w:val="18"/>
          <w:szCs w:val="18"/>
        </w:rPr>
      </w:pPr>
    </w:p>
    <w:p w14:paraId="0F1891CF" w14:textId="77777777" w:rsidR="00D65A81" w:rsidRPr="00D65A81" w:rsidRDefault="00D65A81" w:rsidP="00D65A81">
      <w:pPr>
        <w:ind w:left="720"/>
        <w:rPr>
          <w:rFonts w:ascii="Arial" w:hAnsi="Arial" w:cs="Arial"/>
          <w:b/>
          <w:sz w:val="18"/>
          <w:szCs w:val="18"/>
        </w:rPr>
      </w:pPr>
      <w:bookmarkStart w:id="1" w:name="_Hlk132102590"/>
      <w:r w:rsidRPr="00D65A81">
        <w:rPr>
          <w:rFonts w:ascii="Arial" w:hAnsi="Arial" w:cs="Arial"/>
          <w:b/>
          <w:sz w:val="18"/>
          <w:szCs w:val="18"/>
        </w:rPr>
        <w:t>Good teaching and learning ranges within and across Areas of Learning and experience.</w:t>
      </w:r>
    </w:p>
    <w:bookmarkEnd w:id="1"/>
    <w:p w14:paraId="3C9E7018" w14:textId="6CA048BC" w:rsidR="00D65A81" w:rsidRPr="00D65A81" w:rsidRDefault="00D65A81" w:rsidP="00D65A81">
      <w:pPr>
        <w:ind w:left="720"/>
        <w:rPr>
          <w:rFonts w:ascii="Arial" w:hAnsi="Arial" w:cs="Arial"/>
          <w:b/>
          <w:sz w:val="18"/>
          <w:szCs w:val="18"/>
        </w:rPr>
      </w:pPr>
      <w:r w:rsidRPr="00D65A81">
        <w:rPr>
          <w:rFonts w:ascii="Arial" w:hAnsi="Arial" w:cs="Arial"/>
          <w:b/>
          <w:sz w:val="18"/>
          <w:szCs w:val="18"/>
        </w:rPr>
        <w:t xml:space="preserve">                                                                                         (Donaldson 2015:68)</w:t>
      </w:r>
    </w:p>
    <w:p w14:paraId="253F148C" w14:textId="77777777" w:rsidR="00D65A81" w:rsidRPr="00370A78" w:rsidRDefault="00D65A81" w:rsidP="00D65A81">
      <w:pPr>
        <w:ind w:left="720"/>
        <w:rPr>
          <w:rFonts w:ascii="Arial" w:hAnsi="Arial" w:cs="Arial"/>
          <w:b/>
          <w:sz w:val="24"/>
          <w:szCs w:val="24"/>
        </w:rPr>
      </w:pPr>
    </w:p>
    <w:p w14:paraId="000411CF" w14:textId="77777777" w:rsidR="00D65A81" w:rsidRDefault="00D65A81" w:rsidP="00D65A81">
      <w:pPr>
        <w:ind w:left="720"/>
        <w:rPr>
          <w:rFonts w:ascii="Arial" w:hAnsi="Arial" w:cs="Arial"/>
          <w:sz w:val="24"/>
          <w:szCs w:val="24"/>
        </w:rPr>
      </w:pPr>
    </w:p>
    <w:p w14:paraId="372BE899" w14:textId="77777777" w:rsidR="00D65A81" w:rsidRDefault="00D65A81" w:rsidP="00D65A81">
      <w:pPr>
        <w:ind w:left="720"/>
        <w:rPr>
          <w:rFonts w:ascii="Arial" w:hAnsi="Arial" w:cs="Arial"/>
          <w:sz w:val="24"/>
          <w:szCs w:val="24"/>
        </w:rPr>
      </w:pPr>
    </w:p>
    <w:p w14:paraId="0BCA6A0C" w14:textId="272F4EC3" w:rsidR="00D65A81" w:rsidRDefault="00D65A81" w:rsidP="00D65A81">
      <w:pPr>
        <w:jc w:val="both"/>
        <w:rPr>
          <w:rFonts w:ascii="Arial" w:hAnsi="Arial" w:cs="Arial"/>
          <w:sz w:val="24"/>
          <w:szCs w:val="24"/>
        </w:rPr>
      </w:pPr>
      <w:r>
        <w:rPr>
          <w:rFonts w:ascii="Arial" w:hAnsi="Arial" w:cs="Arial"/>
          <w:sz w:val="24"/>
          <w:szCs w:val="24"/>
        </w:rPr>
        <w:t xml:space="preserve">Consider the 3 pedagogic principles outlined above. Discuss these principles in relation to </w:t>
      </w:r>
      <w:bookmarkStart w:id="2" w:name="_Hlk60833274"/>
      <w:r>
        <w:rPr>
          <w:rFonts w:ascii="Arial" w:hAnsi="Arial" w:cs="Arial"/>
          <w:sz w:val="24"/>
          <w:szCs w:val="24"/>
        </w:rPr>
        <w:t xml:space="preserve">practices in education, </w:t>
      </w:r>
      <w:bookmarkEnd w:id="2"/>
      <w:r>
        <w:rPr>
          <w:rFonts w:ascii="Arial" w:hAnsi="Arial" w:cs="Arial"/>
          <w:sz w:val="24"/>
          <w:szCs w:val="24"/>
        </w:rPr>
        <w:t>showing secure understanding, identifying strengths and areas for development for each principle.</w:t>
      </w:r>
    </w:p>
    <w:p w14:paraId="43D44ACC" w14:textId="6062A3AA" w:rsidR="00D65A81" w:rsidRDefault="00D65A81" w:rsidP="00D65A81">
      <w:pPr>
        <w:jc w:val="both"/>
        <w:rPr>
          <w:rFonts w:ascii="Arial" w:hAnsi="Arial" w:cs="Arial"/>
          <w:sz w:val="24"/>
          <w:szCs w:val="24"/>
        </w:rPr>
      </w:pPr>
    </w:p>
    <w:p w14:paraId="31110605" w14:textId="5814FA27" w:rsidR="006F1269" w:rsidRDefault="00907AC1" w:rsidP="00E32FB9">
      <w:pPr>
        <w:jc w:val="both"/>
        <w:rPr>
          <w:rFonts w:ascii="Arial" w:hAnsi="Arial" w:cs="Arial"/>
          <w:sz w:val="24"/>
          <w:szCs w:val="24"/>
        </w:rPr>
      </w:pPr>
      <w:r>
        <w:rPr>
          <w:rFonts w:ascii="Arial" w:hAnsi="Arial" w:cs="Arial"/>
          <w:sz w:val="24"/>
          <w:szCs w:val="24"/>
        </w:rPr>
        <w:t xml:space="preserve">In March 2014 Graham Donaldson </w:t>
      </w:r>
      <w:r w:rsidRPr="00907AC1">
        <w:rPr>
          <w:rFonts w:ascii="Arial" w:hAnsi="Arial" w:cs="Arial"/>
          <w:sz w:val="24"/>
          <w:szCs w:val="24"/>
        </w:rPr>
        <w:t>carried out a major review of Wales's curriculum and assessment policies from the foundation phase to key stage 4.</w:t>
      </w:r>
      <w:r w:rsidR="00EF6EC1" w:rsidRPr="00EF6EC1">
        <w:t xml:space="preserve"> </w:t>
      </w:r>
      <w:r w:rsidR="00EF6EC1" w:rsidRPr="00EF6EC1">
        <w:rPr>
          <w:rFonts w:ascii="Arial" w:hAnsi="Arial" w:cs="Arial"/>
          <w:sz w:val="24"/>
          <w:szCs w:val="24"/>
        </w:rPr>
        <w:t>The merging of the traditional approach of a subject-based curriculum with a more dynamic approach focused on skills and competencies is encouraged by Professor Graham Donaldson.</w:t>
      </w:r>
      <w:r w:rsidR="00EF6EC1">
        <w:rPr>
          <w:rFonts w:ascii="Arial" w:hAnsi="Arial" w:cs="Arial"/>
          <w:sz w:val="24"/>
          <w:szCs w:val="24"/>
        </w:rPr>
        <w:t xml:space="preserve"> </w:t>
      </w:r>
      <w:r w:rsidR="00EF6EC1" w:rsidRPr="00EF6EC1">
        <w:rPr>
          <w:rFonts w:ascii="Arial" w:hAnsi="Arial" w:cs="Arial"/>
          <w:sz w:val="24"/>
          <w:szCs w:val="24"/>
        </w:rPr>
        <w:t>The Review discovered strong support for a change towards arranging learning around skills and/or themes among teachers and schools.</w:t>
      </w:r>
      <w:r w:rsidR="00EF6EC1" w:rsidRPr="00EF6EC1">
        <w:t xml:space="preserve"> </w:t>
      </w:r>
      <w:r w:rsidR="00EF6EC1" w:rsidRPr="00EF6EC1">
        <w:rPr>
          <w:rFonts w:ascii="Arial" w:hAnsi="Arial" w:cs="Arial"/>
          <w:sz w:val="24"/>
          <w:szCs w:val="24"/>
        </w:rPr>
        <w:t>The Welsh Government recognised the significance of providing every child and young person in Wales with access to curriculum and assessment practises that will best serve their current needs and prepare them for their futures when it decided to commission this Review of Curriculum and Assessment Arrangements.</w:t>
      </w:r>
      <w:r w:rsidR="00EF6EC1">
        <w:rPr>
          <w:rFonts w:ascii="Arial" w:hAnsi="Arial" w:cs="Arial"/>
          <w:sz w:val="24"/>
          <w:szCs w:val="24"/>
        </w:rPr>
        <w:t xml:space="preserve"> (Welsh Government 2015).</w:t>
      </w:r>
      <w:r w:rsidR="009F66D0" w:rsidRPr="009F66D0">
        <w:t xml:space="preserve"> </w:t>
      </w:r>
      <w:r w:rsidR="009F66D0" w:rsidRPr="009F66D0">
        <w:rPr>
          <w:rFonts w:ascii="Arial" w:hAnsi="Arial" w:cs="Arial"/>
          <w:sz w:val="24"/>
          <w:szCs w:val="24"/>
        </w:rPr>
        <w:t>Wales’s curriculum emphasises collaboration to create an educational system that benefits all students. Although teachers and educators can choose what and how they educate to get the most out of their students, the national curriculu</w:t>
      </w:r>
      <w:r w:rsidR="009F66D0">
        <w:rPr>
          <w:rFonts w:ascii="Arial" w:hAnsi="Arial" w:cs="Arial"/>
          <w:sz w:val="24"/>
          <w:szCs w:val="24"/>
        </w:rPr>
        <w:t>m f</w:t>
      </w:r>
      <w:r w:rsidR="009F66D0" w:rsidRPr="009F66D0">
        <w:rPr>
          <w:rFonts w:ascii="Arial" w:hAnsi="Arial" w:cs="Arial"/>
          <w:sz w:val="24"/>
          <w:szCs w:val="24"/>
        </w:rPr>
        <w:t>or Wales framework will ensure uniformity and basic learning.</w:t>
      </w:r>
      <w:r w:rsidR="009F66D0" w:rsidRPr="009F66D0">
        <w:t xml:space="preserve"> </w:t>
      </w:r>
      <w:r w:rsidR="009F66D0" w:rsidRPr="009F66D0">
        <w:rPr>
          <w:rFonts w:ascii="Arial" w:hAnsi="Arial" w:cs="Arial"/>
          <w:sz w:val="24"/>
          <w:szCs w:val="24"/>
        </w:rPr>
        <w:t>Along with reading, numeracy, and digital skills, subjects will be divided into six Areas of Learning and Experience.</w:t>
      </w:r>
      <w:r w:rsidR="00587BCA" w:rsidRPr="00587BCA">
        <w:t xml:space="preserve"> </w:t>
      </w:r>
      <w:r w:rsidR="00587BCA" w:rsidRPr="00587BCA">
        <w:rPr>
          <w:rFonts w:ascii="Arial" w:hAnsi="Arial" w:cs="Arial"/>
          <w:sz w:val="24"/>
          <w:szCs w:val="24"/>
        </w:rPr>
        <w:t xml:space="preserve">These </w:t>
      </w:r>
      <w:r w:rsidR="00587BCA">
        <w:rPr>
          <w:rFonts w:ascii="Arial" w:hAnsi="Arial" w:cs="Arial"/>
          <w:sz w:val="24"/>
          <w:szCs w:val="24"/>
        </w:rPr>
        <w:t>L</w:t>
      </w:r>
      <w:r w:rsidR="00587BCA" w:rsidRPr="00587BCA">
        <w:rPr>
          <w:rFonts w:ascii="Arial" w:hAnsi="Arial" w:cs="Arial"/>
          <w:sz w:val="24"/>
          <w:szCs w:val="24"/>
        </w:rPr>
        <w:t xml:space="preserve">earning and </w:t>
      </w:r>
      <w:r w:rsidR="00587BCA">
        <w:rPr>
          <w:rFonts w:ascii="Arial" w:hAnsi="Arial" w:cs="Arial"/>
          <w:sz w:val="24"/>
          <w:szCs w:val="24"/>
        </w:rPr>
        <w:t>E</w:t>
      </w:r>
      <w:r w:rsidR="00587BCA" w:rsidRPr="00587BCA">
        <w:rPr>
          <w:rFonts w:ascii="Arial" w:hAnsi="Arial" w:cs="Arial"/>
          <w:sz w:val="24"/>
          <w:szCs w:val="24"/>
        </w:rPr>
        <w:t xml:space="preserve">xperience </w:t>
      </w:r>
      <w:r w:rsidR="00587BCA">
        <w:rPr>
          <w:rFonts w:ascii="Arial" w:hAnsi="Arial" w:cs="Arial"/>
          <w:sz w:val="24"/>
          <w:szCs w:val="24"/>
        </w:rPr>
        <w:t>A</w:t>
      </w:r>
      <w:r w:rsidR="00587BCA" w:rsidRPr="00587BCA">
        <w:rPr>
          <w:rFonts w:ascii="Arial" w:hAnsi="Arial" w:cs="Arial"/>
          <w:sz w:val="24"/>
          <w:szCs w:val="24"/>
        </w:rPr>
        <w:t>reas would be applicable to children aged 3 to 16 and would support the learning continuum.</w:t>
      </w:r>
      <w:r w:rsidR="009F66D0" w:rsidRPr="009F66D0">
        <w:rPr>
          <w:rFonts w:ascii="Arial" w:hAnsi="Arial" w:cs="Arial"/>
          <w:sz w:val="24"/>
          <w:szCs w:val="24"/>
        </w:rPr>
        <w:t xml:space="preserve"> Although certain disciplines will be taught, schools might mix them to help students grasp how they relate to one another.</w:t>
      </w:r>
      <w:r w:rsidR="006F1269" w:rsidRPr="006F1269">
        <w:t xml:space="preserve"> </w:t>
      </w:r>
      <w:r w:rsidR="006F1269" w:rsidRPr="006F1269">
        <w:rPr>
          <w:rFonts w:ascii="Arial" w:hAnsi="Arial" w:cs="Arial"/>
          <w:sz w:val="24"/>
          <w:szCs w:val="24"/>
        </w:rPr>
        <w:t xml:space="preserve">Children's holistic development is at the core of curriculum pedagogical practise and closely relates to the four </w:t>
      </w:r>
      <w:r w:rsidR="006F1269">
        <w:rPr>
          <w:rFonts w:ascii="Arial" w:hAnsi="Arial" w:cs="Arial"/>
          <w:sz w:val="24"/>
          <w:szCs w:val="24"/>
        </w:rPr>
        <w:t>purposes</w:t>
      </w:r>
      <w:r w:rsidR="006F1269" w:rsidRPr="006F1269">
        <w:rPr>
          <w:rFonts w:ascii="Arial" w:hAnsi="Arial" w:cs="Arial"/>
          <w:sz w:val="24"/>
          <w:szCs w:val="24"/>
        </w:rPr>
        <w:t xml:space="preserve"> of the curriculum, the description of what matters of the six domains of learning and experience, as well as the principles of child development.</w:t>
      </w:r>
      <w:r w:rsidR="00E32FB9" w:rsidRPr="00E32FB9">
        <w:t xml:space="preserve"> </w:t>
      </w:r>
      <w:r w:rsidR="00E32FB9" w:rsidRPr="00E32FB9">
        <w:rPr>
          <w:rFonts w:ascii="Arial" w:hAnsi="Arial" w:cs="Arial"/>
          <w:sz w:val="24"/>
          <w:szCs w:val="24"/>
        </w:rPr>
        <w:t xml:space="preserve">Pedagogy is at the </w:t>
      </w:r>
      <w:r w:rsidR="00E32FB9">
        <w:rPr>
          <w:rFonts w:ascii="Arial" w:hAnsi="Arial" w:cs="Arial"/>
          <w:sz w:val="24"/>
          <w:szCs w:val="24"/>
        </w:rPr>
        <w:t>centre</w:t>
      </w:r>
      <w:r w:rsidR="00E32FB9" w:rsidRPr="00E32FB9">
        <w:rPr>
          <w:rFonts w:ascii="Arial" w:hAnsi="Arial" w:cs="Arial"/>
          <w:sz w:val="24"/>
          <w:szCs w:val="24"/>
        </w:rPr>
        <w:t xml:space="preserve"> of curriculum</w:t>
      </w:r>
      <w:r w:rsidR="00E32FB9">
        <w:rPr>
          <w:rFonts w:ascii="Arial" w:hAnsi="Arial" w:cs="Arial"/>
          <w:sz w:val="24"/>
          <w:szCs w:val="24"/>
        </w:rPr>
        <w:t xml:space="preserve">. </w:t>
      </w:r>
      <w:r w:rsidR="00E32FB9" w:rsidRPr="00E32FB9">
        <w:rPr>
          <w:rFonts w:ascii="Arial" w:hAnsi="Arial" w:cs="Arial"/>
          <w:sz w:val="24"/>
          <w:szCs w:val="24"/>
        </w:rPr>
        <w:t>Curriculum design for all learners is underpinned by twelve pedagogical principles</w:t>
      </w:r>
      <w:r w:rsidR="00E32FB9">
        <w:rPr>
          <w:rFonts w:ascii="Arial" w:hAnsi="Arial" w:cs="Arial"/>
          <w:sz w:val="24"/>
          <w:szCs w:val="24"/>
        </w:rPr>
        <w:t xml:space="preserve"> </w:t>
      </w:r>
      <w:r w:rsidR="00E32FB9" w:rsidRPr="00E32FB9">
        <w:rPr>
          <w:rFonts w:ascii="Arial" w:hAnsi="Arial" w:cs="Arial"/>
          <w:sz w:val="24"/>
          <w:szCs w:val="24"/>
        </w:rPr>
        <w:t xml:space="preserve">Schools should think about the pedagogical strategies they will need to use to help learners realise the four </w:t>
      </w:r>
      <w:r w:rsidR="00E32FB9">
        <w:rPr>
          <w:rFonts w:ascii="Arial" w:hAnsi="Arial" w:cs="Arial"/>
          <w:sz w:val="24"/>
          <w:szCs w:val="24"/>
        </w:rPr>
        <w:t>purposes</w:t>
      </w:r>
      <w:r w:rsidR="00E32FB9" w:rsidRPr="00E32FB9">
        <w:rPr>
          <w:rFonts w:ascii="Arial" w:hAnsi="Arial" w:cs="Arial"/>
          <w:sz w:val="24"/>
          <w:szCs w:val="24"/>
        </w:rPr>
        <w:t xml:space="preserve"> while developing their curricul</w:t>
      </w:r>
      <w:r w:rsidR="00E32FB9">
        <w:rPr>
          <w:rFonts w:ascii="Arial" w:hAnsi="Arial" w:cs="Arial"/>
          <w:sz w:val="24"/>
          <w:szCs w:val="24"/>
        </w:rPr>
        <w:t>um</w:t>
      </w:r>
      <w:r w:rsidR="00E32FB9" w:rsidRPr="00E32FB9">
        <w:rPr>
          <w:rFonts w:ascii="Arial" w:hAnsi="Arial" w:cs="Arial"/>
          <w:sz w:val="24"/>
          <w:szCs w:val="24"/>
        </w:rPr>
        <w:t>. Schools should make sure that teachers and other staff members are aware of the pedagogical concepts and the studies that support them. A thorough grasp of child and adolescent development is essential for effective schooling. The Foundation Phase's primary goals are to promote children's initiative and inventiveness</w:t>
      </w:r>
      <w:r w:rsidR="00E32FB9">
        <w:rPr>
          <w:rFonts w:ascii="Arial" w:hAnsi="Arial" w:cs="Arial"/>
          <w:sz w:val="24"/>
          <w:szCs w:val="24"/>
        </w:rPr>
        <w:t>. T</w:t>
      </w:r>
      <w:r w:rsidR="00E32FB9" w:rsidRPr="00E32FB9">
        <w:rPr>
          <w:rFonts w:ascii="Arial" w:hAnsi="Arial" w:cs="Arial"/>
          <w:sz w:val="24"/>
          <w:szCs w:val="24"/>
        </w:rPr>
        <w:t>o use creativity to make learning more enjoyable an</w:t>
      </w:r>
      <w:r w:rsidR="00E32FB9">
        <w:rPr>
          <w:rFonts w:ascii="Arial" w:hAnsi="Arial" w:cs="Arial"/>
          <w:sz w:val="24"/>
          <w:szCs w:val="24"/>
        </w:rPr>
        <w:t xml:space="preserve">d </w:t>
      </w:r>
      <w:r w:rsidR="00E32FB9" w:rsidRPr="00E32FB9">
        <w:rPr>
          <w:rFonts w:ascii="Arial" w:hAnsi="Arial" w:cs="Arial"/>
          <w:sz w:val="24"/>
          <w:szCs w:val="24"/>
        </w:rPr>
        <w:t>more effective. Out</w:t>
      </w:r>
      <w:r w:rsidR="00587BCA">
        <w:rPr>
          <w:rFonts w:ascii="Arial" w:hAnsi="Arial" w:cs="Arial"/>
          <w:sz w:val="24"/>
          <w:szCs w:val="24"/>
        </w:rPr>
        <w:t>door</w:t>
      </w:r>
      <w:r w:rsidR="00E32FB9" w:rsidRPr="00E32FB9">
        <w:rPr>
          <w:rFonts w:ascii="Arial" w:hAnsi="Arial" w:cs="Arial"/>
          <w:sz w:val="24"/>
          <w:szCs w:val="24"/>
        </w:rPr>
        <w:t xml:space="preserve"> learning is encouraged. Additionally, it is important to provide kids the chance to learn about their surroundings through hands-on activities that foster critical thinking and questioning.</w:t>
      </w:r>
    </w:p>
    <w:p w14:paraId="0575CB42" w14:textId="1303613F" w:rsidR="006F1269" w:rsidRDefault="006F1269" w:rsidP="00907AC1">
      <w:pPr>
        <w:tabs>
          <w:tab w:val="left" w:pos="3892"/>
        </w:tabs>
        <w:rPr>
          <w:rFonts w:ascii="Arial" w:hAnsi="Arial" w:cs="Arial"/>
          <w:sz w:val="24"/>
          <w:szCs w:val="24"/>
        </w:rPr>
      </w:pPr>
    </w:p>
    <w:p w14:paraId="0BFA71F3" w14:textId="77777777" w:rsidR="00313B47" w:rsidRDefault="00313B47" w:rsidP="000C78E6">
      <w:pPr>
        <w:tabs>
          <w:tab w:val="left" w:pos="3892"/>
        </w:tabs>
        <w:rPr>
          <w:rFonts w:ascii="Arial" w:hAnsi="Arial" w:cs="Arial"/>
          <w:b/>
          <w:sz w:val="24"/>
          <w:szCs w:val="24"/>
        </w:rPr>
      </w:pPr>
    </w:p>
    <w:p w14:paraId="6344F570" w14:textId="77777777" w:rsidR="00313B47" w:rsidRDefault="00313B47" w:rsidP="000C78E6">
      <w:pPr>
        <w:tabs>
          <w:tab w:val="left" w:pos="3892"/>
        </w:tabs>
        <w:rPr>
          <w:rFonts w:ascii="Arial" w:hAnsi="Arial" w:cs="Arial"/>
          <w:b/>
          <w:sz w:val="24"/>
          <w:szCs w:val="24"/>
        </w:rPr>
      </w:pPr>
    </w:p>
    <w:p w14:paraId="17F3B80A" w14:textId="21F230C0" w:rsidR="000C78E6" w:rsidRPr="000C78E6" w:rsidRDefault="000C78E6" w:rsidP="000C78E6">
      <w:pPr>
        <w:tabs>
          <w:tab w:val="left" w:pos="3892"/>
        </w:tabs>
        <w:rPr>
          <w:rFonts w:ascii="Arial" w:hAnsi="Arial" w:cs="Arial"/>
          <w:b/>
          <w:sz w:val="24"/>
          <w:szCs w:val="24"/>
        </w:rPr>
      </w:pPr>
      <w:r w:rsidRPr="000C78E6">
        <w:rPr>
          <w:rFonts w:ascii="Arial" w:hAnsi="Arial" w:cs="Arial"/>
          <w:b/>
          <w:sz w:val="24"/>
          <w:szCs w:val="24"/>
        </w:rPr>
        <w:lastRenderedPageBreak/>
        <w:t>Good teaching and learning means employing a blend of approaches including direct teaching.</w:t>
      </w:r>
    </w:p>
    <w:p w14:paraId="34DD3D44" w14:textId="6629AF8E" w:rsidR="00BC35B3" w:rsidRDefault="00436134" w:rsidP="009D228D">
      <w:pPr>
        <w:tabs>
          <w:tab w:val="left" w:pos="3892"/>
        </w:tabs>
        <w:jc w:val="both"/>
        <w:rPr>
          <w:rFonts w:ascii="Arial" w:hAnsi="Arial" w:cs="Arial"/>
          <w:sz w:val="24"/>
          <w:szCs w:val="24"/>
        </w:rPr>
      </w:pPr>
      <w:r>
        <w:rPr>
          <w:rFonts w:ascii="Arial" w:hAnsi="Arial" w:cs="Arial"/>
          <w:sz w:val="24"/>
          <w:szCs w:val="24"/>
        </w:rPr>
        <w:t>This statement is one of the twelve peda</w:t>
      </w:r>
      <w:r w:rsidR="00AB2BCD">
        <w:rPr>
          <w:rFonts w:ascii="Arial" w:hAnsi="Arial" w:cs="Arial"/>
          <w:sz w:val="24"/>
          <w:szCs w:val="24"/>
        </w:rPr>
        <w:t xml:space="preserve">gogical principles. </w:t>
      </w:r>
      <w:r w:rsidR="00D100D5" w:rsidRPr="00D100D5">
        <w:rPr>
          <w:rFonts w:ascii="Arial" w:hAnsi="Arial" w:cs="Arial"/>
          <w:sz w:val="24"/>
          <w:szCs w:val="24"/>
        </w:rPr>
        <w:t>According to a formal definition of blended learning first offered by Garrison and Kanuka (2004),</w:t>
      </w:r>
      <w:r w:rsidR="00486F30" w:rsidRPr="00486F30">
        <w:rPr>
          <w:rFonts w:ascii="Arial" w:hAnsi="Arial" w:cs="Arial"/>
          <w:color w:val="062D46"/>
          <w:sz w:val="33"/>
          <w:szCs w:val="33"/>
          <w:shd w:val="clear" w:color="auto" w:fill="FAFCFE"/>
        </w:rPr>
        <w:t xml:space="preserve"> </w:t>
      </w:r>
      <w:r w:rsidR="00486F30" w:rsidRPr="00486F30">
        <w:rPr>
          <w:rFonts w:ascii="Arial" w:hAnsi="Arial" w:cs="Arial"/>
          <w:sz w:val="24"/>
          <w:szCs w:val="24"/>
        </w:rPr>
        <w:t>Blended learning is “the thoughtful integration of classroom face-to-face learning experiences with online learning experiences.</w:t>
      </w:r>
      <w:r w:rsidR="00486F30" w:rsidRPr="00486F30">
        <w:rPr>
          <w:rFonts w:ascii="Arial" w:hAnsi="Arial" w:cs="Arial"/>
          <w:sz w:val="24"/>
          <w:szCs w:val="24"/>
        </w:rPr>
        <w:t>”</w:t>
      </w:r>
      <w:r w:rsidR="00486F30" w:rsidRPr="00313B47">
        <w:rPr>
          <w:rFonts w:ascii="Arial" w:hAnsi="Arial" w:cs="Arial"/>
          <w:sz w:val="24"/>
          <w:szCs w:val="24"/>
        </w:rPr>
        <w:t xml:space="preserve"> The</w:t>
      </w:r>
      <w:r w:rsidR="00313B47" w:rsidRPr="00313B47">
        <w:rPr>
          <w:rFonts w:ascii="Arial" w:hAnsi="Arial" w:cs="Arial"/>
          <w:sz w:val="24"/>
          <w:szCs w:val="24"/>
        </w:rPr>
        <w:t xml:space="preserve"> blended learning approach combines traditional instructor-led learning with technology and digital media as a method of instruction. Access to online information that may be used at a personal pace gives learners more freedom and convenience. Additionally, it gives teachers more time to connect with students one-on-one and create sessions that effectively and pedagogically integrate both in-person and online learning.</w:t>
      </w:r>
      <w:r w:rsidR="00EA6DD4">
        <w:rPr>
          <w:rFonts w:ascii="Arial" w:hAnsi="Arial" w:cs="Arial"/>
          <w:sz w:val="24"/>
          <w:szCs w:val="24"/>
        </w:rPr>
        <w:t xml:space="preserve"> </w:t>
      </w:r>
      <w:r w:rsidR="001F5215" w:rsidRPr="001F5215">
        <w:rPr>
          <w:rFonts w:ascii="Arial" w:hAnsi="Arial" w:cs="Arial"/>
          <w:sz w:val="24"/>
          <w:szCs w:val="24"/>
        </w:rPr>
        <w:t xml:space="preserve">“Blended Learning is part of the ongoing convergence of two archetypal learning environments. </w:t>
      </w:r>
      <w:r w:rsidR="00BC35B3" w:rsidRPr="00BC35B3">
        <w:rPr>
          <w:rFonts w:ascii="Arial" w:hAnsi="Arial" w:cs="Arial"/>
          <w:sz w:val="24"/>
          <w:szCs w:val="24"/>
        </w:rPr>
        <w:t>On the other hand, we have distributed learning environments that have begun to grow and expand in exponential ways” (</w:t>
      </w:r>
      <w:hyperlink r:id="rId5" w:anchor="v=onepage&amp;amp;q&amp;amp;f=false" w:tgtFrame="_blank" w:history="1">
        <w:r w:rsidR="00BC35B3" w:rsidRPr="00BC35B3">
          <w:rPr>
            <w:rStyle w:val="Hyperlink"/>
            <w:rFonts w:ascii="Arial" w:hAnsi="Arial" w:cs="Arial"/>
            <w:sz w:val="24"/>
            <w:szCs w:val="24"/>
          </w:rPr>
          <w:t xml:space="preserve">The </w:t>
        </w:r>
        <w:r w:rsidR="00BC35B3" w:rsidRPr="00BC35B3">
          <w:rPr>
            <w:rStyle w:val="Hyperlink"/>
            <w:rFonts w:ascii="Arial" w:hAnsi="Arial" w:cs="Arial"/>
            <w:sz w:val="24"/>
            <w:szCs w:val="24"/>
          </w:rPr>
          <w:t>Handbook of Blended Learning</w:t>
        </w:r>
      </w:hyperlink>
      <w:r w:rsidR="00BC35B3" w:rsidRPr="00BC35B3">
        <w:rPr>
          <w:rFonts w:ascii="Arial" w:hAnsi="Arial" w:cs="Arial"/>
          <w:sz w:val="24"/>
          <w:szCs w:val="24"/>
        </w:rPr>
        <w:t>).</w:t>
      </w:r>
      <w:r w:rsidR="00E5242E" w:rsidRPr="00E5242E">
        <w:t xml:space="preserve"> </w:t>
      </w:r>
      <w:r w:rsidR="00E5242E" w:rsidRPr="00E5242E">
        <w:rPr>
          <w:rFonts w:ascii="Arial" w:hAnsi="Arial" w:cs="Arial"/>
          <w:sz w:val="24"/>
          <w:szCs w:val="24"/>
        </w:rPr>
        <w:t>Blended learning promotes independent learners who have control over their own learning.</w:t>
      </w:r>
      <w:r w:rsidR="00623E99" w:rsidRPr="00623E99">
        <w:t xml:space="preserve"> </w:t>
      </w:r>
      <w:r w:rsidR="00623E99" w:rsidRPr="00623E99">
        <w:rPr>
          <w:rFonts w:ascii="Arial" w:hAnsi="Arial" w:cs="Arial"/>
          <w:sz w:val="24"/>
          <w:szCs w:val="24"/>
        </w:rPr>
        <w:t>The usage of blended learning facilitates and aids in better meeting the learning requirements and goals of students.</w:t>
      </w:r>
      <w:r w:rsidR="00AE2366" w:rsidRPr="00AE2366">
        <w:t xml:space="preserve"> </w:t>
      </w:r>
      <w:r w:rsidR="00AE2366" w:rsidRPr="00AE2366">
        <w:rPr>
          <w:rFonts w:ascii="Arial" w:hAnsi="Arial" w:cs="Arial"/>
          <w:sz w:val="24"/>
          <w:szCs w:val="24"/>
        </w:rPr>
        <w:t xml:space="preserve">According to research, blended learning techniques </w:t>
      </w:r>
      <w:r w:rsidR="00AE2366" w:rsidRPr="00AE2366">
        <w:rPr>
          <w:rFonts w:ascii="Arial" w:hAnsi="Arial" w:cs="Arial"/>
          <w:sz w:val="24"/>
          <w:szCs w:val="24"/>
        </w:rPr>
        <w:t>can</w:t>
      </w:r>
      <w:r w:rsidR="00AE2366" w:rsidRPr="00AE2366">
        <w:rPr>
          <w:rFonts w:ascii="Arial" w:hAnsi="Arial" w:cs="Arial"/>
          <w:sz w:val="24"/>
          <w:szCs w:val="24"/>
        </w:rPr>
        <w:t xml:space="preserve"> increase the efficacy and efficiency of relevant learning experiences. The ability for instructors and students to communicate via email, message boards, or chat rooms can increase student engagement and provide a setting for cooperative learning.</w:t>
      </w:r>
      <w:r w:rsidR="00EF03D6">
        <w:rPr>
          <w:rFonts w:ascii="Arial" w:hAnsi="Arial" w:cs="Arial"/>
          <w:sz w:val="24"/>
          <w:szCs w:val="24"/>
        </w:rPr>
        <w:t xml:space="preserve"> </w:t>
      </w:r>
      <w:r w:rsidR="00EF03D6" w:rsidRPr="00EF03D6">
        <w:rPr>
          <w:rFonts w:ascii="Arial" w:hAnsi="Arial" w:cs="Arial"/>
          <w:sz w:val="24"/>
          <w:szCs w:val="24"/>
        </w:rPr>
        <w:t>A blended learning strategy dramatically reduces the amount of face-to-face education. The majority of instruction</w:t>
      </w:r>
      <w:r w:rsidR="00EF03D6">
        <w:rPr>
          <w:rFonts w:ascii="Arial" w:hAnsi="Arial" w:cs="Arial"/>
          <w:sz w:val="24"/>
          <w:szCs w:val="24"/>
        </w:rPr>
        <w:t xml:space="preserve"> </w:t>
      </w:r>
      <w:r w:rsidR="00EF03D6" w:rsidRPr="00EF03D6">
        <w:rPr>
          <w:rFonts w:ascii="Arial" w:hAnsi="Arial" w:cs="Arial"/>
          <w:sz w:val="24"/>
          <w:szCs w:val="24"/>
        </w:rPr>
        <w:t>between 30 and 70 percent</w:t>
      </w:r>
      <w:r w:rsidR="00EF03D6">
        <w:rPr>
          <w:rFonts w:ascii="Arial" w:hAnsi="Arial" w:cs="Arial"/>
          <w:sz w:val="24"/>
          <w:szCs w:val="24"/>
        </w:rPr>
        <w:t xml:space="preserve"> </w:t>
      </w:r>
      <w:r w:rsidR="00EF03D6" w:rsidRPr="00EF03D6">
        <w:rPr>
          <w:rFonts w:ascii="Arial" w:hAnsi="Arial" w:cs="Arial"/>
          <w:sz w:val="24"/>
          <w:szCs w:val="24"/>
        </w:rPr>
        <w:t>is now delivered online, giving teachers more students to mentor and a wider audience to reach.</w:t>
      </w:r>
      <w:r w:rsidR="0074618F">
        <w:rPr>
          <w:rFonts w:ascii="Arial" w:hAnsi="Arial" w:cs="Arial"/>
          <w:sz w:val="24"/>
          <w:szCs w:val="24"/>
        </w:rPr>
        <w:t xml:space="preserve"> There are many ways in which blended learning </w:t>
      </w:r>
      <w:r w:rsidR="0050612E">
        <w:rPr>
          <w:rFonts w:ascii="Arial" w:hAnsi="Arial" w:cs="Arial"/>
          <w:sz w:val="24"/>
          <w:szCs w:val="24"/>
        </w:rPr>
        <w:t xml:space="preserve">can be incorporated in learning. </w:t>
      </w:r>
      <w:r w:rsidR="0088738E" w:rsidRPr="0088738E">
        <w:rPr>
          <w:rFonts w:ascii="Arial" w:hAnsi="Arial" w:cs="Arial"/>
          <w:sz w:val="24"/>
          <w:szCs w:val="24"/>
        </w:rPr>
        <w:t>The flipped learning model is one type of blended learning strategy that is well-liked by both teachers and students. Prior to attending any session, students are required to familiarise themselves to new material through online readings or videos. They get a fundamental knowledge of the content being taught as a result, and class time is freed up for interesting and interactive activities like group discussions, debates, and problem-solving exercises. This may be used by teachers to deliver more individualised education that caters to student requirements.</w:t>
      </w:r>
      <w:r w:rsidR="009F792B" w:rsidRPr="009F792B">
        <w:t xml:space="preserve"> </w:t>
      </w:r>
      <w:r w:rsidR="009F792B" w:rsidRPr="009F792B">
        <w:rPr>
          <w:rFonts w:ascii="Arial" w:hAnsi="Arial" w:cs="Arial"/>
          <w:sz w:val="24"/>
          <w:szCs w:val="24"/>
        </w:rPr>
        <w:t xml:space="preserve">As part of a station rotation approach, students go between a number of learning stations that provide various learning opportunities, including teacher-led teaching, small-group activities, individual learning, and online learning activities. The teacher divides the class into smaller groups, assigning each group to a different station. Following that, students proceed in a circle through the stations, pausing at each for a specified amount of time before </w:t>
      </w:r>
      <w:r w:rsidR="001B5713" w:rsidRPr="009F792B">
        <w:rPr>
          <w:rFonts w:ascii="Arial" w:hAnsi="Arial" w:cs="Arial"/>
          <w:sz w:val="24"/>
          <w:szCs w:val="24"/>
        </w:rPr>
        <w:t>continuing</w:t>
      </w:r>
      <w:r w:rsidR="009F792B" w:rsidRPr="009F792B">
        <w:rPr>
          <w:rFonts w:ascii="Arial" w:hAnsi="Arial" w:cs="Arial"/>
          <w:sz w:val="24"/>
          <w:szCs w:val="24"/>
        </w:rPr>
        <w:t xml:space="preserve"> to the next. This method enables differentiation and personalised learning depending on student needs and interests. Students may be invited to work separately or cooperatively at each of the stations, or the teacher may offer instructions or assistance. Additionally, it provides opportunities for teamwork and the improvement of social and communication abilities.</w:t>
      </w:r>
      <w:r w:rsidR="00A63E0B">
        <w:rPr>
          <w:rFonts w:ascii="Arial" w:hAnsi="Arial" w:cs="Arial"/>
          <w:sz w:val="24"/>
          <w:szCs w:val="24"/>
        </w:rPr>
        <w:t xml:space="preserve"> </w:t>
      </w:r>
      <w:r w:rsidR="00A63E0B" w:rsidRPr="00A63E0B">
        <w:rPr>
          <w:rFonts w:ascii="Arial" w:hAnsi="Arial" w:cs="Arial"/>
          <w:sz w:val="24"/>
          <w:szCs w:val="24"/>
        </w:rPr>
        <w:t>Students have more influence over the speed and course of their learning when using a flexible approach. Students often progress through online courses at their own speed, with teachers on hand to offer assistance and direction as required. Students who want more support or challenge may find the flex model particularly helpful since it provides for more personalised learning experiences.</w:t>
      </w:r>
      <w:r w:rsidR="00971D33" w:rsidRPr="00971D33">
        <w:t xml:space="preserve"> </w:t>
      </w:r>
      <w:r w:rsidR="00971D33" w:rsidRPr="00971D33">
        <w:rPr>
          <w:rFonts w:ascii="Arial" w:hAnsi="Arial" w:cs="Arial"/>
          <w:sz w:val="24"/>
          <w:szCs w:val="24"/>
        </w:rPr>
        <w:t xml:space="preserve">Students engage in peer-to-peer learning by collaborating with their classmates to examine course material. </w:t>
      </w:r>
      <w:r w:rsidR="006828FD" w:rsidRPr="00971D33">
        <w:rPr>
          <w:rFonts w:ascii="Arial" w:hAnsi="Arial" w:cs="Arial"/>
          <w:sz w:val="24"/>
          <w:szCs w:val="24"/>
        </w:rPr>
        <w:t>Instead,</w:t>
      </w:r>
      <w:r w:rsidR="00971D33" w:rsidRPr="00971D33">
        <w:rPr>
          <w:rFonts w:ascii="Arial" w:hAnsi="Arial" w:cs="Arial"/>
          <w:sz w:val="24"/>
          <w:szCs w:val="24"/>
        </w:rPr>
        <w:t xml:space="preserve"> </w:t>
      </w:r>
      <w:r w:rsidR="006828FD" w:rsidRPr="00971D33">
        <w:rPr>
          <w:rFonts w:ascii="Arial" w:hAnsi="Arial" w:cs="Arial"/>
          <w:sz w:val="24"/>
          <w:szCs w:val="24"/>
        </w:rPr>
        <w:t>then</w:t>
      </w:r>
      <w:r w:rsidR="00971D33" w:rsidRPr="00971D33">
        <w:rPr>
          <w:rFonts w:ascii="Arial" w:hAnsi="Arial" w:cs="Arial"/>
          <w:sz w:val="24"/>
          <w:szCs w:val="24"/>
        </w:rPr>
        <w:t xml:space="preserve"> serving as the exclusive source of knowledge, teachers might serve as facilitators so that students can learn from one another's viewpoints and experiences. include group discussions during live courses, peer reviews, mentorship, and joint projects. This strategy may be very helpful for fostering </w:t>
      </w:r>
      <w:r w:rsidR="00971D33" w:rsidRPr="00971D33">
        <w:rPr>
          <w:rFonts w:ascii="Arial" w:hAnsi="Arial" w:cs="Arial"/>
          <w:sz w:val="24"/>
          <w:szCs w:val="24"/>
        </w:rPr>
        <w:lastRenderedPageBreak/>
        <w:t>leadership, teamwork, and communication skills.</w:t>
      </w:r>
      <w:r w:rsidR="006828FD" w:rsidRPr="006828FD">
        <w:t xml:space="preserve"> </w:t>
      </w:r>
      <w:r w:rsidR="006828FD" w:rsidRPr="006828FD">
        <w:rPr>
          <w:rFonts w:ascii="Arial" w:hAnsi="Arial" w:cs="Arial"/>
          <w:sz w:val="24"/>
          <w:szCs w:val="24"/>
        </w:rPr>
        <w:t>Although blended learning has many benefits, there are also possible drawbacks to be aware of.</w:t>
      </w:r>
      <w:r w:rsidR="009D228D">
        <w:rPr>
          <w:rFonts w:ascii="Arial" w:hAnsi="Arial" w:cs="Arial"/>
          <w:sz w:val="24"/>
          <w:szCs w:val="24"/>
        </w:rPr>
        <w:t xml:space="preserve"> </w:t>
      </w:r>
      <w:r w:rsidR="00873752" w:rsidRPr="00873752">
        <w:rPr>
          <w:rFonts w:ascii="Arial" w:hAnsi="Arial" w:cs="Arial"/>
          <w:sz w:val="24"/>
          <w:szCs w:val="24"/>
        </w:rPr>
        <w:t>It might be difficult for students who don't have access to these essential resources to participate in blended learning, which involves dependable internet connection and working equipment.</w:t>
      </w:r>
      <w:r w:rsidR="009D228D" w:rsidRPr="009D228D">
        <w:t xml:space="preserve"> </w:t>
      </w:r>
      <w:r w:rsidR="009D228D" w:rsidRPr="009D228D">
        <w:rPr>
          <w:rFonts w:ascii="Arial" w:hAnsi="Arial" w:cs="Arial"/>
          <w:sz w:val="24"/>
          <w:szCs w:val="24"/>
        </w:rPr>
        <w:t>Less personalised input from teachers may be given to students in some blended learning methods than they would in a regular classroom.</w:t>
      </w:r>
      <w:r w:rsidR="00C45683" w:rsidRPr="00C45683">
        <w:t xml:space="preserve"> </w:t>
      </w:r>
      <w:r w:rsidR="00C45683" w:rsidRPr="00C45683">
        <w:rPr>
          <w:rFonts w:ascii="Arial" w:hAnsi="Arial" w:cs="Arial"/>
          <w:sz w:val="24"/>
          <w:szCs w:val="24"/>
        </w:rPr>
        <w:t>Students who use blended learning must be motivated and self-disciplined in order to maintain their academic schedule and turn in assignments on time.</w:t>
      </w:r>
      <w:r w:rsidR="00E62AE2" w:rsidRPr="00E62AE2">
        <w:t xml:space="preserve"> </w:t>
      </w:r>
      <w:r w:rsidR="00E62AE2" w:rsidRPr="00E62AE2">
        <w:rPr>
          <w:rFonts w:ascii="Arial" w:hAnsi="Arial" w:cs="Arial"/>
          <w:sz w:val="24"/>
          <w:szCs w:val="24"/>
        </w:rPr>
        <w:t>For students who benefit from individualised attention and support as well as opportunities for face-to-face interaction and socialisation with peers, which can be a crucial component of a learning experience, blended learning could decrease the amount of interaction between students and teachers.</w:t>
      </w:r>
      <w:r w:rsidR="00CE21E9" w:rsidRPr="00CE21E9">
        <w:t xml:space="preserve"> </w:t>
      </w:r>
      <w:r w:rsidR="00CE21E9" w:rsidRPr="00CE21E9">
        <w:rPr>
          <w:rFonts w:ascii="Arial" w:hAnsi="Arial" w:cs="Arial"/>
          <w:sz w:val="24"/>
          <w:szCs w:val="24"/>
        </w:rPr>
        <w:t>A direct teaching approach comprises the teacher giving clear, step-by-step instructions while frequently employing media or live streaming. It adheres to a methodical, scripted process based on seven teaching, instruction, and objective components. It reduces variance and promotes imitation to teach specific skills, like phonics, handwriting, or arithmetic.</w:t>
      </w:r>
      <w:r w:rsidR="00941475">
        <w:rPr>
          <w:rFonts w:ascii="Arial" w:hAnsi="Arial" w:cs="Arial"/>
          <w:sz w:val="24"/>
          <w:szCs w:val="24"/>
        </w:rPr>
        <w:t xml:space="preserve"> </w:t>
      </w:r>
      <w:r w:rsidR="00941475" w:rsidRPr="00941475">
        <w:rPr>
          <w:rFonts w:ascii="Arial" w:hAnsi="Arial" w:cs="Arial"/>
          <w:sz w:val="24"/>
          <w:szCs w:val="24"/>
        </w:rPr>
        <w:t xml:space="preserve">For learning certain ideas or abilities, direct </w:t>
      </w:r>
      <w:r w:rsidR="00941475">
        <w:rPr>
          <w:rFonts w:ascii="Arial" w:hAnsi="Arial" w:cs="Arial"/>
          <w:sz w:val="24"/>
          <w:szCs w:val="24"/>
        </w:rPr>
        <w:t>teaching</w:t>
      </w:r>
      <w:r w:rsidR="00941475" w:rsidRPr="00941475">
        <w:rPr>
          <w:rFonts w:ascii="Arial" w:hAnsi="Arial" w:cs="Arial"/>
          <w:sz w:val="24"/>
          <w:szCs w:val="24"/>
        </w:rPr>
        <w:t xml:space="preserve"> is preferable. It is also simpler for instructors to develop evaluation tools with high levels of validity and reliability due to the precision of the objectives or learning aims.</w:t>
      </w:r>
      <w:r w:rsidR="003F5083" w:rsidRPr="003F5083">
        <w:t xml:space="preserve"> </w:t>
      </w:r>
      <w:r w:rsidR="003F5083" w:rsidRPr="003F5083">
        <w:rPr>
          <w:rFonts w:ascii="Arial" w:hAnsi="Arial" w:cs="Arial"/>
          <w:sz w:val="24"/>
          <w:szCs w:val="24"/>
        </w:rPr>
        <w:t>Direct teaching's framework might be so tight as to limit the teacher's ability to be creative. This approach follows a step-by-step process, therefore there is very little space for creativity. The instructor must possess a thorough understanding of the material, produce well-organized materials, and have outstanding communication skills for direct teaching or instruction to be effective. Without these qualities, a teacher would be unable to instruct or teach pupils directly or help them develop higher-order thinking abilities.</w:t>
      </w:r>
    </w:p>
    <w:p w14:paraId="2D06B394" w14:textId="77777777" w:rsidR="00F6396C" w:rsidRDefault="00F6396C" w:rsidP="00907AC1">
      <w:pPr>
        <w:tabs>
          <w:tab w:val="left" w:pos="3892"/>
        </w:tabs>
      </w:pPr>
    </w:p>
    <w:p w14:paraId="738FDE67" w14:textId="77777777" w:rsidR="000C78E6" w:rsidRDefault="000C78E6" w:rsidP="00907AC1">
      <w:pPr>
        <w:tabs>
          <w:tab w:val="left" w:pos="3892"/>
        </w:tabs>
        <w:rPr>
          <w:rFonts w:ascii="Arial" w:hAnsi="Arial" w:cs="Arial"/>
          <w:sz w:val="24"/>
          <w:szCs w:val="24"/>
        </w:rPr>
      </w:pPr>
    </w:p>
    <w:p w14:paraId="7D89826D" w14:textId="77777777" w:rsidR="00A306B8" w:rsidRPr="00A306B8" w:rsidRDefault="00A306B8" w:rsidP="00A306B8">
      <w:pPr>
        <w:tabs>
          <w:tab w:val="left" w:pos="3892"/>
        </w:tabs>
        <w:rPr>
          <w:rFonts w:ascii="Arial" w:hAnsi="Arial" w:cs="Arial"/>
          <w:b/>
          <w:sz w:val="24"/>
          <w:szCs w:val="24"/>
        </w:rPr>
      </w:pPr>
      <w:r w:rsidRPr="00A306B8">
        <w:rPr>
          <w:rFonts w:ascii="Arial" w:hAnsi="Arial" w:cs="Arial"/>
          <w:b/>
          <w:sz w:val="24"/>
          <w:szCs w:val="24"/>
        </w:rPr>
        <w:t>Good teaching and learning sets tasks and select resources that build on previous knowledge and experience and engage interest.</w:t>
      </w:r>
    </w:p>
    <w:p w14:paraId="2F6D7905" w14:textId="00570B19" w:rsidR="000C78E6" w:rsidRDefault="00C113AF" w:rsidP="005331BD">
      <w:pPr>
        <w:tabs>
          <w:tab w:val="left" w:pos="3892"/>
        </w:tabs>
        <w:jc w:val="both"/>
        <w:rPr>
          <w:rFonts w:ascii="Arial" w:hAnsi="Arial" w:cs="Arial"/>
          <w:sz w:val="24"/>
          <w:szCs w:val="24"/>
        </w:rPr>
      </w:pPr>
      <w:r w:rsidRPr="00C113AF">
        <w:rPr>
          <w:rFonts w:ascii="Arial" w:hAnsi="Arial" w:cs="Arial"/>
          <w:sz w:val="24"/>
          <w:szCs w:val="24"/>
        </w:rPr>
        <w:t>One of the most important learning influences is prior knowledge. Although children may have the necessary past knowledge, they might not be able to relate this to the new information, hence it is crucial to remind children of their prior knowledge before introducing new information</w:t>
      </w:r>
      <w:r w:rsidR="006E2FBB">
        <w:rPr>
          <w:rFonts w:ascii="Arial" w:hAnsi="Arial" w:cs="Arial"/>
          <w:sz w:val="24"/>
          <w:szCs w:val="24"/>
        </w:rPr>
        <w:t xml:space="preserve"> </w:t>
      </w:r>
      <w:r w:rsidR="006E2FBB" w:rsidRPr="006E2FBB">
        <w:rPr>
          <w:rFonts w:ascii="Arial" w:hAnsi="Arial" w:cs="Arial"/>
          <w:sz w:val="24"/>
          <w:szCs w:val="24"/>
        </w:rPr>
        <w:t>(Howard-Jone et al.</w:t>
      </w:r>
      <w:r w:rsidR="006E2FBB">
        <w:rPr>
          <w:rFonts w:ascii="Arial" w:hAnsi="Arial" w:cs="Arial"/>
          <w:sz w:val="24"/>
          <w:szCs w:val="24"/>
        </w:rPr>
        <w:t xml:space="preserve"> </w:t>
      </w:r>
      <w:r w:rsidR="006E2FBB" w:rsidRPr="006E2FBB">
        <w:rPr>
          <w:rFonts w:ascii="Arial" w:hAnsi="Arial" w:cs="Arial"/>
          <w:sz w:val="24"/>
          <w:szCs w:val="24"/>
        </w:rPr>
        <w:t>2018)</w:t>
      </w:r>
      <w:r w:rsidR="00533C6C">
        <w:rPr>
          <w:rFonts w:ascii="Arial" w:hAnsi="Arial" w:cs="Arial"/>
          <w:sz w:val="24"/>
          <w:szCs w:val="24"/>
        </w:rPr>
        <w:t xml:space="preserve">. </w:t>
      </w:r>
      <w:r w:rsidR="00533C6C" w:rsidRPr="00533C6C">
        <w:rPr>
          <w:rFonts w:ascii="Arial" w:hAnsi="Arial" w:cs="Arial"/>
          <w:sz w:val="24"/>
          <w:szCs w:val="24"/>
        </w:rPr>
        <w:t>Prior knowledge refers to the knowledge and educational context that a student possesses before encountering new material.</w:t>
      </w:r>
      <w:r w:rsidR="00092092">
        <w:rPr>
          <w:rFonts w:ascii="Arial" w:hAnsi="Arial" w:cs="Arial"/>
          <w:sz w:val="24"/>
          <w:szCs w:val="24"/>
        </w:rPr>
        <w:t xml:space="preserve"> It can be</w:t>
      </w:r>
      <w:r w:rsidR="00092092" w:rsidRPr="00092092">
        <w:rPr>
          <w:rFonts w:ascii="Arial" w:hAnsi="Arial" w:cs="Arial"/>
          <w:sz w:val="24"/>
          <w:szCs w:val="24"/>
        </w:rPr>
        <w:t xml:space="preserve"> defined as 'the knowledge, skills, or ability that a student brings to the learning process' (Jonassen &amp; </w:t>
      </w:r>
      <w:proofErr w:type="spellStart"/>
      <w:r w:rsidR="00092092" w:rsidRPr="00092092">
        <w:rPr>
          <w:rFonts w:ascii="Arial" w:hAnsi="Arial" w:cs="Arial"/>
          <w:sz w:val="24"/>
          <w:szCs w:val="24"/>
        </w:rPr>
        <w:t>Gabrowski</w:t>
      </w:r>
      <w:proofErr w:type="spellEnd"/>
      <w:r w:rsidR="00092092" w:rsidRPr="00092092">
        <w:rPr>
          <w:rFonts w:ascii="Arial" w:hAnsi="Arial" w:cs="Arial"/>
          <w:sz w:val="24"/>
          <w:szCs w:val="24"/>
        </w:rPr>
        <w:t xml:space="preserve"> (1993)</w:t>
      </w:r>
      <w:r w:rsidR="00092092">
        <w:rPr>
          <w:rFonts w:ascii="Arial" w:hAnsi="Arial" w:cs="Arial"/>
          <w:sz w:val="24"/>
          <w:szCs w:val="24"/>
        </w:rPr>
        <w:t>.</w:t>
      </w:r>
      <w:r w:rsidR="003737A2">
        <w:rPr>
          <w:rFonts w:ascii="Arial" w:hAnsi="Arial" w:cs="Arial"/>
          <w:sz w:val="24"/>
          <w:szCs w:val="24"/>
        </w:rPr>
        <w:t xml:space="preserve"> </w:t>
      </w:r>
      <w:r w:rsidR="003737A2" w:rsidRPr="003737A2">
        <w:rPr>
          <w:rFonts w:ascii="Arial" w:hAnsi="Arial" w:cs="Arial"/>
          <w:sz w:val="24"/>
          <w:szCs w:val="24"/>
        </w:rPr>
        <w:t>The beneficial impacts of previous knowledge are visible when objective methods are used, which is a key takeaway. A closer look at these studies often reveals that flawed assessment methods are helpful for examining learning processes that provide explanations for the prior knowledge effect, even though superficial methods like familiarity ratings have repeatedly failed to demonstrate a clear relationship between prior knowledge and learning outcomes. As a result, figuring out past expertise should be a top priority when planning studies and grading performance.</w:t>
      </w:r>
      <w:r w:rsidR="00CC6908">
        <w:rPr>
          <w:rFonts w:ascii="Arial" w:hAnsi="Arial" w:cs="Arial"/>
          <w:sz w:val="24"/>
          <w:szCs w:val="24"/>
        </w:rPr>
        <w:t xml:space="preserve"> </w:t>
      </w:r>
      <w:r w:rsidR="00CC6908" w:rsidRPr="00CC6908">
        <w:rPr>
          <w:rFonts w:ascii="Arial" w:hAnsi="Arial" w:cs="Arial"/>
          <w:sz w:val="24"/>
          <w:szCs w:val="24"/>
        </w:rPr>
        <w:t>According to the cognitive load hypothesis, new information gets processed in the working memory, which has a limited capacity, and a new cognitive schema is built in the long-term memory while learning new information. (</w:t>
      </w:r>
      <w:proofErr w:type="spellStart"/>
      <w:r w:rsidR="00CC6908" w:rsidRPr="00CC6908">
        <w:rPr>
          <w:rFonts w:ascii="Arial" w:hAnsi="Arial" w:cs="Arial"/>
          <w:sz w:val="24"/>
          <w:szCs w:val="24"/>
        </w:rPr>
        <w:t>Sweller</w:t>
      </w:r>
      <w:proofErr w:type="spellEnd"/>
      <w:r w:rsidR="00CC6908" w:rsidRPr="00CC6908">
        <w:rPr>
          <w:rFonts w:ascii="Arial" w:hAnsi="Arial" w:cs="Arial"/>
          <w:sz w:val="24"/>
          <w:szCs w:val="24"/>
        </w:rPr>
        <w:t xml:space="preserve"> et al., 1998).</w:t>
      </w:r>
      <w:r w:rsidR="00D20333" w:rsidRPr="00D20333">
        <w:t xml:space="preserve"> </w:t>
      </w:r>
      <w:r w:rsidR="00D20333" w:rsidRPr="00D20333">
        <w:rPr>
          <w:rFonts w:ascii="Arial" w:hAnsi="Arial" w:cs="Arial"/>
          <w:sz w:val="24"/>
          <w:szCs w:val="24"/>
        </w:rPr>
        <w:t>Engagement is significantly impacted by cognitive load (Kirschner et al., 2011)</w:t>
      </w:r>
      <w:r w:rsidR="00D20333">
        <w:rPr>
          <w:rFonts w:ascii="Arial" w:hAnsi="Arial" w:cs="Arial"/>
          <w:sz w:val="24"/>
          <w:szCs w:val="24"/>
        </w:rPr>
        <w:t xml:space="preserve">. </w:t>
      </w:r>
      <w:r w:rsidR="00C121CE">
        <w:rPr>
          <w:rFonts w:ascii="Arial" w:hAnsi="Arial" w:cs="Arial"/>
          <w:sz w:val="24"/>
          <w:szCs w:val="24"/>
        </w:rPr>
        <w:t xml:space="preserve"> </w:t>
      </w:r>
      <w:r w:rsidR="00C121CE" w:rsidRPr="00C121CE">
        <w:rPr>
          <w:rFonts w:ascii="Arial" w:hAnsi="Arial" w:cs="Arial"/>
          <w:sz w:val="24"/>
          <w:szCs w:val="24"/>
        </w:rPr>
        <w:t xml:space="preserve">According to </w:t>
      </w:r>
      <w:proofErr w:type="spellStart"/>
      <w:r w:rsidR="00C121CE" w:rsidRPr="00C121CE">
        <w:rPr>
          <w:rFonts w:ascii="Arial" w:hAnsi="Arial" w:cs="Arial"/>
          <w:sz w:val="24"/>
          <w:szCs w:val="24"/>
        </w:rPr>
        <w:t>Paas</w:t>
      </w:r>
      <w:proofErr w:type="spellEnd"/>
      <w:r w:rsidR="00C121CE" w:rsidRPr="00C121CE">
        <w:rPr>
          <w:rFonts w:ascii="Arial" w:hAnsi="Arial" w:cs="Arial"/>
          <w:sz w:val="24"/>
          <w:szCs w:val="24"/>
        </w:rPr>
        <w:t xml:space="preserve"> et al. (1994), subject traits, task features, and subject-task interactions are the main determinants of cognitive load. Students with greater past knowledge may have more working memory capacity available to process their current learning activities since prior knowledge is </w:t>
      </w:r>
      <w:r w:rsidR="00C121CE" w:rsidRPr="00C121CE">
        <w:rPr>
          <w:rFonts w:ascii="Arial" w:hAnsi="Arial" w:cs="Arial"/>
          <w:sz w:val="24"/>
          <w:szCs w:val="24"/>
        </w:rPr>
        <w:lastRenderedPageBreak/>
        <w:t>a topic feature. (</w:t>
      </w:r>
      <w:proofErr w:type="spellStart"/>
      <w:r w:rsidR="00C121CE" w:rsidRPr="00C121CE">
        <w:rPr>
          <w:rFonts w:ascii="Arial" w:hAnsi="Arial" w:cs="Arial"/>
          <w:sz w:val="24"/>
          <w:szCs w:val="24"/>
        </w:rPr>
        <w:t>Mihalca</w:t>
      </w:r>
      <w:proofErr w:type="spellEnd"/>
      <w:r w:rsidR="00C121CE" w:rsidRPr="00C121CE">
        <w:rPr>
          <w:rFonts w:ascii="Arial" w:hAnsi="Arial" w:cs="Arial"/>
          <w:sz w:val="24"/>
          <w:szCs w:val="24"/>
        </w:rPr>
        <w:t xml:space="preserve"> et al., 2011).</w:t>
      </w:r>
      <w:r w:rsidR="004D0BAA" w:rsidRPr="004D0BAA">
        <w:t xml:space="preserve"> </w:t>
      </w:r>
      <w:r w:rsidR="004D0BAA" w:rsidRPr="004D0BAA">
        <w:rPr>
          <w:rFonts w:ascii="Arial" w:hAnsi="Arial" w:cs="Arial"/>
          <w:sz w:val="24"/>
          <w:szCs w:val="24"/>
        </w:rPr>
        <w:t>The degree to which pupils use past knowledge in the classroom varies substantially. Some kids need a lot of help remembering and integrating prior knowledge into new learning. There are differences in the quality of preceding information as well, and it's not unusual to discover older kids who have firmly ingrained errors regarding earlier learning. The teacher's pedagogical task is to get every student to recall earlier information while also evaluating the level of their present comprehension.</w:t>
      </w:r>
      <w:r w:rsidR="006E5C9F" w:rsidRPr="006E5C9F">
        <w:t xml:space="preserve"> </w:t>
      </w:r>
      <w:r w:rsidR="006E5C9F" w:rsidRPr="006E5C9F">
        <w:rPr>
          <w:rFonts w:ascii="Arial" w:hAnsi="Arial" w:cs="Arial"/>
          <w:sz w:val="24"/>
          <w:szCs w:val="24"/>
        </w:rPr>
        <w:t>Prior knowledge is built upon to create new learning. The more we know about what pupils already believe and the more we support them in using their past knowledge, the more likely it is that they will learn well and will not misunderstand the information in our courses. When we rely on class conversation to hear what students have to say, we run the risk of being deceived about what they comprehend since prior knowledge differs per student. Typically, only a tiny part of the class will speak up during class debates as a whole. Diverse strategies are required to engage all kids.</w:t>
      </w:r>
      <w:r w:rsidR="00CE44CD">
        <w:rPr>
          <w:rFonts w:ascii="Arial" w:hAnsi="Arial" w:cs="Arial"/>
          <w:sz w:val="24"/>
          <w:szCs w:val="24"/>
        </w:rPr>
        <w:t xml:space="preserve"> There is different </w:t>
      </w:r>
      <w:r w:rsidR="00166366">
        <w:rPr>
          <w:rFonts w:ascii="Arial" w:hAnsi="Arial" w:cs="Arial"/>
          <w:sz w:val="24"/>
          <w:szCs w:val="24"/>
        </w:rPr>
        <w:t>ways</w:t>
      </w:r>
      <w:r w:rsidR="00CE44CD">
        <w:rPr>
          <w:rFonts w:ascii="Arial" w:hAnsi="Arial" w:cs="Arial"/>
          <w:sz w:val="24"/>
          <w:szCs w:val="24"/>
        </w:rPr>
        <w:t xml:space="preserve"> in which teachers can help students </w:t>
      </w:r>
      <w:r w:rsidR="00287652">
        <w:rPr>
          <w:rFonts w:ascii="Arial" w:hAnsi="Arial" w:cs="Arial"/>
          <w:sz w:val="24"/>
          <w:szCs w:val="24"/>
        </w:rPr>
        <w:t xml:space="preserve">with prior knowledge. </w:t>
      </w:r>
      <w:r w:rsidR="00166366" w:rsidRPr="00166366">
        <w:rPr>
          <w:rFonts w:ascii="Arial" w:hAnsi="Arial" w:cs="Arial"/>
          <w:sz w:val="24"/>
          <w:szCs w:val="24"/>
        </w:rPr>
        <w:t>Before beginning a subject, encourage students to note down their thoughts or prior knowledge at the conclusion of the class period. On their walk out the door, have them turn in their answers. You can learn more about what pupils already know by reading their replies before the following class.</w:t>
      </w:r>
      <w:r w:rsidR="00CB6B2B" w:rsidRPr="00CB6B2B">
        <w:t xml:space="preserve"> </w:t>
      </w:r>
      <w:r w:rsidR="00CB6B2B" w:rsidRPr="00CB6B2B">
        <w:rPr>
          <w:rFonts w:ascii="Arial" w:hAnsi="Arial" w:cs="Arial"/>
          <w:sz w:val="24"/>
          <w:szCs w:val="24"/>
        </w:rPr>
        <w:t>Ask a question at the beginning of each subject or unit. Students should complete a chart with three columns, one for what they know, one for what they believe they know, and one for what they need to learn</w:t>
      </w:r>
      <w:r w:rsidR="00CB6B2B">
        <w:rPr>
          <w:rFonts w:ascii="Arial" w:hAnsi="Arial" w:cs="Arial"/>
          <w:sz w:val="24"/>
          <w:szCs w:val="24"/>
        </w:rPr>
        <w:t xml:space="preserve">. </w:t>
      </w:r>
      <w:r w:rsidR="002C3933" w:rsidRPr="002C3933">
        <w:rPr>
          <w:rFonts w:ascii="Arial" w:hAnsi="Arial" w:cs="Arial"/>
          <w:sz w:val="24"/>
          <w:szCs w:val="24"/>
        </w:rPr>
        <w:t xml:space="preserve">Giving pupils the chance to evaluate their own knowledge and abilities is another effective method for determining what they already know. To promote honest replies, such self-evaluations ought to be anonymous and low stakes. Instead of evaluating each student's performance individually, the goal is to get a general sense of the variety of abilities and information that each student possesses.  Questions may centre on the required competencies, know-how, and experiences anticipated of your students as well as the competencies the student is expected to possess upon completion of the </w:t>
      </w:r>
      <w:r w:rsidR="00E70176" w:rsidRPr="002C3933">
        <w:rPr>
          <w:rFonts w:ascii="Arial" w:hAnsi="Arial" w:cs="Arial"/>
          <w:sz w:val="24"/>
          <w:szCs w:val="24"/>
        </w:rPr>
        <w:t>course.</w:t>
      </w:r>
      <w:r w:rsidR="00E70176">
        <w:rPr>
          <w:rFonts w:ascii="Arial" w:hAnsi="Arial" w:cs="Arial"/>
          <w:sz w:val="24"/>
          <w:szCs w:val="24"/>
        </w:rPr>
        <w:t xml:space="preserve"> Another strategy is</w:t>
      </w:r>
      <w:r w:rsidR="00306047">
        <w:rPr>
          <w:rFonts w:ascii="Arial" w:hAnsi="Arial" w:cs="Arial"/>
          <w:sz w:val="24"/>
          <w:szCs w:val="24"/>
        </w:rPr>
        <w:t xml:space="preserve"> </w:t>
      </w:r>
      <w:r w:rsidR="00E70176" w:rsidRPr="00E70176">
        <w:rPr>
          <w:rFonts w:ascii="Arial" w:hAnsi="Arial" w:cs="Arial"/>
          <w:sz w:val="24"/>
          <w:szCs w:val="24"/>
        </w:rPr>
        <w:t>taking a quiz early in the school year to find out what background knowledge students bring to your class.  The results of this type of examination will provide a solid indication of the abilities and information that a student already possesses.  Students may be required to write essays, respond to multiple-choice questions, or complete short answer questions as part of these examinations, which look at how well they comprehend key terms and concepts</w:t>
      </w:r>
      <w:r w:rsidR="005331BD">
        <w:rPr>
          <w:rFonts w:ascii="Arial" w:hAnsi="Arial" w:cs="Arial"/>
          <w:sz w:val="24"/>
          <w:szCs w:val="24"/>
        </w:rPr>
        <w:t xml:space="preserve">. </w:t>
      </w:r>
      <w:r w:rsidR="004F22F8">
        <w:rPr>
          <w:rFonts w:ascii="Arial" w:hAnsi="Arial" w:cs="Arial"/>
          <w:sz w:val="24"/>
          <w:szCs w:val="24"/>
        </w:rPr>
        <w:t xml:space="preserve"> </w:t>
      </w:r>
      <w:r w:rsidR="005331BD" w:rsidRPr="005331BD">
        <w:rPr>
          <w:rFonts w:ascii="Arial" w:hAnsi="Arial" w:cs="Arial"/>
          <w:sz w:val="24"/>
          <w:szCs w:val="24"/>
        </w:rPr>
        <w:t>An activity needs to be stimulating and challenging enough to hold kids' attention and keep them actively involved. The word "involvement" was first used by Professor Laevers (A Process-Oriented Child Monitoring System, 1993) to describe the intense focus children exhibit when they are immersed in an activity that fascinates them. The influence of the learning stimulus, which could not be the same for every child, will determine the disposition to learn and the incentive to stick with a learning activity. A youngster may or may not desire to pursue a specific activity depending on prior knowledge and experience, but if given the choice, they may select a different interest. This is permissible since multiple strategies might lead to the same results.</w:t>
      </w:r>
    </w:p>
    <w:p w14:paraId="464A006A" w14:textId="77777777" w:rsidR="000C78E6" w:rsidRDefault="000C78E6" w:rsidP="00907AC1">
      <w:pPr>
        <w:tabs>
          <w:tab w:val="left" w:pos="3892"/>
        </w:tabs>
        <w:rPr>
          <w:rFonts w:ascii="Arial" w:hAnsi="Arial" w:cs="Arial"/>
          <w:sz w:val="24"/>
          <w:szCs w:val="24"/>
        </w:rPr>
      </w:pPr>
    </w:p>
    <w:p w14:paraId="52B434E0" w14:textId="77777777" w:rsidR="00F754BC" w:rsidRPr="00F754BC" w:rsidRDefault="00F754BC" w:rsidP="00F754BC">
      <w:pPr>
        <w:tabs>
          <w:tab w:val="left" w:pos="3892"/>
        </w:tabs>
        <w:rPr>
          <w:rFonts w:ascii="Arial" w:hAnsi="Arial" w:cs="Arial"/>
          <w:b/>
          <w:sz w:val="24"/>
          <w:szCs w:val="24"/>
        </w:rPr>
      </w:pPr>
      <w:r w:rsidRPr="00F754BC">
        <w:rPr>
          <w:rFonts w:ascii="Arial" w:hAnsi="Arial" w:cs="Arial"/>
          <w:b/>
          <w:sz w:val="24"/>
          <w:szCs w:val="24"/>
        </w:rPr>
        <w:t>Good teaching and learning ranges within and across Areas of Learning and experience.</w:t>
      </w:r>
    </w:p>
    <w:p w14:paraId="5CCEE8D5" w14:textId="59BF4D2E" w:rsidR="001B1618" w:rsidRDefault="00A13D43" w:rsidP="00BD39E1">
      <w:pPr>
        <w:tabs>
          <w:tab w:val="left" w:pos="3892"/>
        </w:tabs>
        <w:jc w:val="both"/>
        <w:rPr>
          <w:rFonts w:ascii="Arial" w:hAnsi="Arial" w:cs="Arial"/>
          <w:sz w:val="24"/>
          <w:szCs w:val="24"/>
        </w:rPr>
      </w:pPr>
      <w:r w:rsidRPr="00A13D43">
        <w:rPr>
          <w:rFonts w:ascii="Arial" w:hAnsi="Arial" w:cs="Arial"/>
          <w:sz w:val="24"/>
          <w:szCs w:val="24"/>
        </w:rPr>
        <w:t>The Curriculum</w:t>
      </w:r>
      <w:r>
        <w:rPr>
          <w:rFonts w:ascii="Arial" w:hAnsi="Arial" w:cs="Arial"/>
          <w:sz w:val="24"/>
          <w:szCs w:val="24"/>
        </w:rPr>
        <w:t xml:space="preserve"> for</w:t>
      </w:r>
      <w:r w:rsidRPr="00A13D43">
        <w:rPr>
          <w:rFonts w:ascii="Arial" w:hAnsi="Arial" w:cs="Arial"/>
          <w:sz w:val="24"/>
          <w:szCs w:val="24"/>
        </w:rPr>
        <w:t xml:space="preserve"> </w:t>
      </w:r>
      <w:r w:rsidRPr="00A13D43">
        <w:rPr>
          <w:rFonts w:ascii="Arial" w:hAnsi="Arial" w:cs="Arial"/>
          <w:sz w:val="24"/>
          <w:szCs w:val="24"/>
        </w:rPr>
        <w:t xml:space="preserve">Welsh Framework aids educators in creating a more comprehensive method of teaching. The six Areas bring together well-known specialties and promote substantial connections between them. These particular subjects continue to be crucial, especially as students advance and develop their areas of specialisation. The Curriculum for Wales recommendations </w:t>
      </w:r>
      <w:r w:rsidRPr="00A13D43">
        <w:rPr>
          <w:rFonts w:ascii="Arial" w:hAnsi="Arial" w:cs="Arial"/>
          <w:sz w:val="24"/>
          <w:szCs w:val="24"/>
        </w:rPr>
        <w:t>encourages</w:t>
      </w:r>
      <w:r w:rsidRPr="00A13D43">
        <w:rPr>
          <w:rFonts w:ascii="Arial" w:hAnsi="Arial" w:cs="Arial"/>
          <w:sz w:val="24"/>
          <w:szCs w:val="24"/>
        </w:rPr>
        <w:t xml:space="preserve"> </w:t>
      </w:r>
      <w:r w:rsidRPr="00A13D43">
        <w:rPr>
          <w:rFonts w:ascii="Arial" w:hAnsi="Arial" w:cs="Arial"/>
          <w:sz w:val="24"/>
          <w:szCs w:val="24"/>
        </w:rPr>
        <w:lastRenderedPageBreak/>
        <w:t>cross-disciplinary planning, teaching, and learning both within and between Areas. This will make it possible for students to integrate their learning and blend their various experiences, knowledge, and abilities.</w:t>
      </w:r>
      <w:r w:rsidR="00351B24">
        <w:rPr>
          <w:rFonts w:ascii="Arial" w:hAnsi="Arial" w:cs="Arial"/>
          <w:sz w:val="24"/>
          <w:szCs w:val="24"/>
        </w:rPr>
        <w:t xml:space="preserve"> Each Area of Learning </w:t>
      </w:r>
      <w:r w:rsidR="001831F7">
        <w:rPr>
          <w:rFonts w:ascii="Arial" w:hAnsi="Arial" w:cs="Arial"/>
          <w:sz w:val="24"/>
          <w:szCs w:val="24"/>
        </w:rPr>
        <w:t>has a number of ‘what matters statements.</w:t>
      </w:r>
      <w:r w:rsidR="005E50F0" w:rsidRPr="005E50F0">
        <w:t xml:space="preserve"> </w:t>
      </w:r>
      <w:r w:rsidR="005E50F0" w:rsidRPr="005E50F0">
        <w:rPr>
          <w:rFonts w:ascii="Arial" w:hAnsi="Arial" w:cs="Arial"/>
          <w:sz w:val="24"/>
          <w:szCs w:val="24"/>
        </w:rPr>
        <w:t xml:space="preserve">In this Framework, there are 27 statements about what issues that must be made. </w:t>
      </w:r>
      <w:r w:rsidR="00067195" w:rsidRPr="00067195">
        <w:rPr>
          <w:rFonts w:ascii="Arial" w:hAnsi="Arial" w:cs="Arial"/>
          <w:sz w:val="24"/>
          <w:szCs w:val="24"/>
        </w:rPr>
        <w:t>Together, they span the breadth of the A</w:t>
      </w:r>
      <w:r w:rsidR="00067195">
        <w:rPr>
          <w:rFonts w:ascii="Arial" w:hAnsi="Arial" w:cs="Arial"/>
          <w:sz w:val="24"/>
          <w:szCs w:val="24"/>
        </w:rPr>
        <w:t xml:space="preserve">rea of </w:t>
      </w:r>
      <w:r w:rsidR="000926D2" w:rsidRPr="00067195">
        <w:rPr>
          <w:rFonts w:ascii="Arial" w:hAnsi="Arial" w:cs="Arial"/>
          <w:sz w:val="24"/>
          <w:szCs w:val="24"/>
        </w:rPr>
        <w:t>L</w:t>
      </w:r>
      <w:r w:rsidR="000926D2">
        <w:rPr>
          <w:rFonts w:ascii="Arial" w:hAnsi="Arial" w:cs="Arial"/>
          <w:sz w:val="24"/>
          <w:szCs w:val="24"/>
        </w:rPr>
        <w:t>earning</w:t>
      </w:r>
      <w:r w:rsidR="00067195" w:rsidRPr="00067195">
        <w:rPr>
          <w:rFonts w:ascii="Arial" w:hAnsi="Arial" w:cs="Arial"/>
          <w:sz w:val="24"/>
          <w:szCs w:val="24"/>
        </w:rPr>
        <w:t xml:space="preserve">, supporting and complementing each other, making links with the four purposes, and setting out the big ideas in the </w:t>
      </w:r>
      <w:r w:rsidR="00067195" w:rsidRPr="00067195">
        <w:rPr>
          <w:rFonts w:ascii="Arial" w:hAnsi="Arial" w:cs="Arial"/>
          <w:sz w:val="24"/>
          <w:szCs w:val="24"/>
        </w:rPr>
        <w:t>Area.</w:t>
      </w:r>
      <w:r w:rsidR="00067195" w:rsidRPr="005E50F0">
        <w:rPr>
          <w:rFonts w:ascii="Arial" w:hAnsi="Arial" w:cs="Arial"/>
          <w:sz w:val="24"/>
          <w:szCs w:val="24"/>
        </w:rPr>
        <w:t xml:space="preserve"> As</w:t>
      </w:r>
      <w:r w:rsidR="005E50F0" w:rsidRPr="005E50F0">
        <w:rPr>
          <w:rFonts w:ascii="Arial" w:hAnsi="Arial" w:cs="Arial"/>
          <w:sz w:val="24"/>
          <w:szCs w:val="24"/>
        </w:rPr>
        <w:t xml:space="preserve"> students must comprehend each assertion, these guarantee a level of uniformity in curriculum design across contexts and schools. Learners can grow to a more comprehensive grasp of the essential facts, concepts, and principles in each Area by investigating and reviewing these statements across the learning continuum.</w:t>
      </w:r>
      <w:r w:rsidR="009929DC" w:rsidRPr="009929DC">
        <w:t xml:space="preserve"> </w:t>
      </w:r>
      <w:r w:rsidR="009929DC" w:rsidRPr="009929DC">
        <w:rPr>
          <w:rFonts w:ascii="Arial" w:hAnsi="Arial" w:cs="Arial"/>
          <w:sz w:val="24"/>
          <w:szCs w:val="24"/>
        </w:rPr>
        <w:t>Instead of only being able to recollect individual information without comprehending the context, this more advanced understanding enables learners to appreciate how their learning adds to these concepts and why it is essential. A range of assessment techniques that allow the learner and the practitioner to understand where a learner is and what they need to accomplish next should be used to promote this advancement.</w:t>
      </w:r>
      <w:r w:rsidR="0051262C">
        <w:rPr>
          <w:rFonts w:ascii="Arial" w:hAnsi="Arial" w:cs="Arial"/>
          <w:sz w:val="24"/>
          <w:szCs w:val="24"/>
        </w:rPr>
        <w:t xml:space="preserve"> </w:t>
      </w:r>
      <w:r w:rsidR="0051262C" w:rsidRPr="0051262C">
        <w:rPr>
          <w:rFonts w:ascii="Arial" w:hAnsi="Arial" w:cs="Arial"/>
          <w:sz w:val="24"/>
          <w:szCs w:val="24"/>
        </w:rPr>
        <w:t>The Framework does not mandate that settings and schools create a timetable that is specifically organised in accordance with the Areas or that they plan their setting, school, or staffing on that basis.</w:t>
      </w:r>
      <w:r w:rsidR="00955594">
        <w:rPr>
          <w:rFonts w:ascii="Arial" w:hAnsi="Arial" w:cs="Arial"/>
          <w:sz w:val="24"/>
          <w:szCs w:val="24"/>
        </w:rPr>
        <w:t xml:space="preserve"> T</w:t>
      </w:r>
      <w:r w:rsidR="00791D64">
        <w:rPr>
          <w:rFonts w:ascii="Arial" w:hAnsi="Arial" w:cs="Arial"/>
          <w:sz w:val="24"/>
          <w:szCs w:val="24"/>
        </w:rPr>
        <w:t xml:space="preserve">here are six Areas of learning and experience. These are </w:t>
      </w:r>
      <w:r w:rsidR="00417AB3">
        <w:rPr>
          <w:rFonts w:ascii="Arial" w:hAnsi="Arial" w:cs="Arial"/>
          <w:sz w:val="24"/>
          <w:szCs w:val="24"/>
        </w:rPr>
        <w:t>Health and Well-being</w:t>
      </w:r>
      <w:r w:rsidR="00417AB3">
        <w:rPr>
          <w:rFonts w:ascii="Arial" w:hAnsi="Arial" w:cs="Arial"/>
          <w:sz w:val="24"/>
          <w:szCs w:val="24"/>
        </w:rPr>
        <w:t xml:space="preserve">, </w:t>
      </w:r>
      <w:r w:rsidR="00791D64">
        <w:rPr>
          <w:rFonts w:ascii="Arial" w:hAnsi="Arial" w:cs="Arial"/>
          <w:sz w:val="24"/>
          <w:szCs w:val="24"/>
        </w:rPr>
        <w:t>Expressive Arts,</w:t>
      </w:r>
      <w:r w:rsidR="00417AB3">
        <w:rPr>
          <w:rFonts w:ascii="Arial" w:hAnsi="Arial" w:cs="Arial"/>
          <w:sz w:val="24"/>
          <w:szCs w:val="24"/>
        </w:rPr>
        <w:t xml:space="preserve"> </w:t>
      </w:r>
      <w:r w:rsidR="00791D64">
        <w:rPr>
          <w:rFonts w:ascii="Arial" w:hAnsi="Arial" w:cs="Arial"/>
          <w:sz w:val="24"/>
          <w:szCs w:val="24"/>
        </w:rPr>
        <w:t xml:space="preserve">Humanities, Languages, </w:t>
      </w:r>
      <w:r w:rsidR="00434AF9">
        <w:rPr>
          <w:rFonts w:ascii="Arial" w:hAnsi="Arial" w:cs="Arial"/>
          <w:sz w:val="24"/>
          <w:szCs w:val="24"/>
        </w:rPr>
        <w:t>Literacy</w:t>
      </w:r>
      <w:r w:rsidR="00791D64">
        <w:rPr>
          <w:rFonts w:ascii="Arial" w:hAnsi="Arial" w:cs="Arial"/>
          <w:sz w:val="24"/>
          <w:szCs w:val="24"/>
        </w:rPr>
        <w:t xml:space="preserve"> and Com</w:t>
      </w:r>
      <w:r w:rsidR="00CA3C95">
        <w:rPr>
          <w:rFonts w:ascii="Arial" w:hAnsi="Arial" w:cs="Arial"/>
          <w:sz w:val="24"/>
          <w:szCs w:val="24"/>
        </w:rPr>
        <w:t>munication, Mathematics and Numeracy and Science and Techn</w:t>
      </w:r>
      <w:r w:rsidR="00434AF9">
        <w:rPr>
          <w:rFonts w:ascii="Arial" w:hAnsi="Arial" w:cs="Arial"/>
          <w:sz w:val="24"/>
          <w:szCs w:val="24"/>
        </w:rPr>
        <w:t xml:space="preserve">ology. </w:t>
      </w:r>
      <w:r w:rsidR="00417AB3">
        <w:rPr>
          <w:rFonts w:ascii="Arial" w:hAnsi="Arial" w:cs="Arial"/>
          <w:sz w:val="24"/>
          <w:szCs w:val="24"/>
        </w:rPr>
        <w:t xml:space="preserve"> </w:t>
      </w:r>
      <w:r w:rsidR="00417AB3" w:rsidRPr="00417AB3">
        <w:rPr>
          <w:rFonts w:ascii="Arial" w:hAnsi="Arial" w:cs="Arial"/>
          <w:sz w:val="24"/>
          <w:szCs w:val="24"/>
        </w:rPr>
        <w:t>The Learning and Experience Area for Health and Well-being offers a comprehensive framework for comprehending health and well-being. It focuses on enhancing students' ability to deal with the possibilities and difficulties of life. Physical and mental health, as well as emotional and social well-being, make up the core elements of this Area.</w:t>
      </w:r>
      <w:r w:rsidR="001E1332" w:rsidRPr="001E1332">
        <w:t xml:space="preserve"> </w:t>
      </w:r>
      <w:r w:rsidR="001E1332" w:rsidRPr="001E1332">
        <w:rPr>
          <w:rFonts w:ascii="Arial" w:hAnsi="Arial" w:cs="Arial"/>
          <w:sz w:val="24"/>
          <w:szCs w:val="24"/>
        </w:rPr>
        <w:t xml:space="preserve">Five disciplines are included in the Expressive Arts Area of Learning and Experience (Area): art, dance, </w:t>
      </w:r>
      <w:r w:rsidR="001E1332" w:rsidRPr="001E1332">
        <w:rPr>
          <w:rFonts w:ascii="Arial" w:hAnsi="Arial" w:cs="Arial"/>
          <w:sz w:val="24"/>
          <w:szCs w:val="24"/>
        </w:rPr>
        <w:t>theatre</w:t>
      </w:r>
      <w:r w:rsidR="001E1332" w:rsidRPr="001E1332">
        <w:rPr>
          <w:rFonts w:ascii="Arial" w:hAnsi="Arial" w:cs="Arial"/>
          <w:sz w:val="24"/>
          <w:szCs w:val="24"/>
        </w:rPr>
        <w:t>, cinema, digital media, and music. It is acknowledged that, although if each field has a distinct body of knowledge and set of abilities, they all share the creative process.</w:t>
      </w:r>
      <w:r w:rsidR="00D93DEC" w:rsidRPr="00D93DEC">
        <w:t xml:space="preserve"> </w:t>
      </w:r>
      <w:r w:rsidR="00D93DEC" w:rsidRPr="00D93DEC">
        <w:rPr>
          <w:rFonts w:ascii="Arial" w:hAnsi="Arial" w:cs="Arial"/>
          <w:sz w:val="24"/>
          <w:szCs w:val="24"/>
        </w:rPr>
        <w:t>It is crucial that this Area strives to open up the expressive arts to all students and, through this inclusive approach, to broaden the perspectives of every student. Learning via the expressive arts may engage students physically, socially, and emotionally while also fostering their resilience, well-being, and sense of self. This can assist children in developing into strong, self-assured people who are prepared to live happy lives as respected members of society.</w:t>
      </w:r>
      <w:r w:rsidR="00DD1A2B">
        <w:rPr>
          <w:rFonts w:ascii="Arial" w:hAnsi="Arial" w:cs="Arial"/>
          <w:sz w:val="24"/>
          <w:szCs w:val="24"/>
        </w:rPr>
        <w:t xml:space="preserve"> </w:t>
      </w:r>
      <w:r w:rsidR="00DD1A2B" w:rsidRPr="00DD1A2B">
        <w:rPr>
          <w:rFonts w:ascii="Arial" w:hAnsi="Arial" w:cs="Arial"/>
          <w:sz w:val="24"/>
          <w:szCs w:val="24"/>
        </w:rPr>
        <w:t>The Humanities Area of Learning and Experience (Area) aims to spark learners' imaginations, arouse a sense of wonder, and encourage them to advance their knowledge, wisdom, and understanding. The most pressing challenges confronting mankind, such as sustainability and social change, are encouraged in this area, which also aids in the development of the abilities needed to analyse and communicate the past and present. The Area includes social studies, business studies, history, religion, values, and ethics. Despite having their own distinct bodies of knowledge and skills, these disciplines have many shared themes, concepts, and transferrable abilities. If and when appropriate, instructors may also introduce students to allied fields including psychology, sociology, economics, philosophy, law, and politics.</w:t>
      </w:r>
      <w:r w:rsidR="00BD39E1">
        <w:rPr>
          <w:rFonts w:ascii="Arial" w:hAnsi="Arial" w:cs="Arial"/>
          <w:sz w:val="24"/>
          <w:szCs w:val="24"/>
        </w:rPr>
        <w:t xml:space="preserve"> </w:t>
      </w:r>
      <w:r w:rsidR="00BD39E1" w:rsidRPr="00BD39E1">
        <w:rPr>
          <w:rFonts w:ascii="Arial" w:hAnsi="Arial" w:cs="Arial"/>
          <w:sz w:val="24"/>
          <w:szCs w:val="24"/>
        </w:rPr>
        <w:t xml:space="preserve">The goal of the learning and experience in </w:t>
      </w:r>
      <w:r w:rsidR="00A42284">
        <w:rPr>
          <w:rFonts w:ascii="Arial" w:hAnsi="Arial" w:cs="Arial"/>
          <w:sz w:val="24"/>
          <w:szCs w:val="24"/>
        </w:rPr>
        <w:t>Literacy</w:t>
      </w:r>
      <w:r w:rsidR="009A0DD0">
        <w:rPr>
          <w:rFonts w:ascii="Arial" w:hAnsi="Arial" w:cs="Arial"/>
          <w:sz w:val="24"/>
          <w:szCs w:val="24"/>
        </w:rPr>
        <w:t>, Languages and Communication</w:t>
      </w:r>
      <w:r w:rsidR="00BD39E1" w:rsidRPr="00BD39E1">
        <w:rPr>
          <w:rFonts w:ascii="Arial" w:hAnsi="Arial" w:cs="Arial"/>
          <w:sz w:val="24"/>
          <w:szCs w:val="24"/>
        </w:rPr>
        <w:t xml:space="preserve"> is to prepare students for efficient communication in Welsh, English, and other languages. It tries to motivate students to apply what they have discovered about how languages function in one language to the study and use of other languages. </w:t>
      </w:r>
      <w:r w:rsidR="00B85A36" w:rsidRPr="00B85A36">
        <w:rPr>
          <w:rFonts w:ascii="Arial" w:hAnsi="Arial" w:cs="Arial"/>
          <w:sz w:val="24"/>
          <w:szCs w:val="24"/>
        </w:rPr>
        <w:t xml:space="preserve">The growth of mathematics has always accompanied the advancement of civilization. Architecture, art, music, finance, and engineering are just a few of the numerous facets of our everyday life that are influenced by this truly global field. And </w:t>
      </w:r>
      <w:r w:rsidR="00B85A36" w:rsidRPr="00B85A36">
        <w:rPr>
          <w:rFonts w:ascii="Arial" w:hAnsi="Arial" w:cs="Arial"/>
          <w:sz w:val="24"/>
          <w:szCs w:val="24"/>
        </w:rPr>
        <w:lastRenderedPageBreak/>
        <w:t>while it is imaginative and lovely in and of itself, as well as in its applications, it is also crucial for advancement in other fields of knowledge and experience.</w:t>
      </w:r>
      <w:r w:rsidR="001B1618" w:rsidRPr="001B1618">
        <w:t xml:space="preserve"> </w:t>
      </w:r>
      <w:r w:rsidR="001B1618" w:rsidRPr="001B1618">
        <w:rPr>
          <w:rFonts w:ascii="Arial" w:hAnsi="Arial" w:cs="Arial"/>
          <w:sz w:val="24"/>
          <w:szCs w:val="24"/>
        </w:rPr>
        <w:t xml:space="preserve">Experiences in maths and numeracy should be as interesting, fun and accessible as possible for students and should be designed to help them build their mathematical resilience. Play helps children learn maths and numeracy in the early years by giving them the opportunity to solve problems, explore ideas, make connections, and work with others. To build on the foundations laid in the early years, students need to have the chance to work both independently and cooperatively in later </w:t>
      </w:r>
      <w:r w:rsidR="009A0DD0" w:rsidRPr="001B1618">
        <w:rPr>
          <w:rFonts w:ascii="Arial" w:hAnsi="Arial" w:cs="Arial"/>
          <w:sz w:val="24"/>
          <w:szCs w:val="24"/>
        </w:rPr>
        <w:t>years.</w:t>
      </w:r>
      <w:r w:rsidR="009A0DD0" w:rsidRPr="00A42284">
        <w:rPr>
          <w:rFonts w:ascii="Arial" w:hAnsi="Arial" w:cs="Arial"/>
          <w:sz w:val="24"/>
          <w:szCs w:val="24"/>
        </w:rPr>
        <w:t xml:space="preserve"> It</w:t>
      </w:r>
      <w:r w:rsidR="00A42284" w:rsidRPr="00A42284">
        <w:rPr>
          <w:rFonts w:ascii="Arial" w:hAnsi="Arial" w:cs="Arial"/>
          <w:sz w:val="24"/>
          <w:szCs w:val="24"/>
        </w:rPr>
        <w:t xml:space="preserve"> is impossible to exaggerate the value of science and technology in today's society. These advancements have always been catalysts for social change, supporting innovation and having an effect on everyone's economic, cultural, and environmental well-being. As a result, the chances that young people face and the decisions that they make about their lives will increasingly be influenced by the Science and Technology Area of Learning and Experience</w:t>
      </w:r>
      <w:r w:rsidR="009A0DD0" w:rsidRPr="00A42284">
        <w:rPr>
          <w:rFonts w:ascii="Arial" w:hAnsi="Arial" w:cs="Arial"/>
          <w:sz w:val="24"/>
          <w:szCs w:val="24"/>
        </w:rPr>
        <w:t>. In</w:t>
      </w:r>
      <w:r w:rsidR="00A42284" w:rsidRPr="00A42284">
        <w:rPr>
          <w:rFonts w:ascii="Arial" w:hAnsi="Arial" w:cs="Arial"/>
          <w:sz w:val="24"/>
          <w:szCs w:val="24"/>
        </w:rPr>
        <w:t xml:space="preserve"> order to improve learners' knowledge and comprehension of the world, this Area makes use of the disciplines of biology, chemistry, computer science, design and technology, and physics.</w:t>
      </w:r>
    </w:p>
    <w:p w14:paraId="58E83CC8" w14:textId="77777777" w:rsidR="001B1618" w:rsidRDefault="001B1618" w:rsidP="00BD39E1">
      <w:pPr>
        <w:tabs>
          <w:tab w:val="left" w:pos="3892"/>
        </w:tabs>
        <w:jc w:val="both"/>
        <w:rPr>
          <w:rFonts w:ascii="Arial" w:hAnsi="Arial" w:cs="Arial"/>
          <w:sz w:val="24"/>
          <w:szCs w:val="24"/>
        </w:rPr>
      </w:pPr>
    </w:p>
    <w:p w14:paraId="5A946A48" w14:textId="05F31876" w:rsidR="001B1618" w:rsidRDefault="00D14A74" w:rsidP="00BD39E1">
      <w:pPr>
        <w:tabs>
          <w:tab w:val="left" w:pos="3892"/>
        </w:tabs>
        <w:jc w:val="both"/>
        <w:rPr>
          <w:rFonts w:ascii="Arial" w:hAnsi="Arial" w:cs="Arial"/>
          <w:sz w:val="24"/>
          <w:szCs w:val="24"/>
        </w:rPr>
      </w:pPr>
      <w:r>
        <w:rPr>
          <w:rFonts w:ascii="Arial" w:hAnsi="Arial" w:cs="Arial"/>
          <w:sz w:val="24"/>
          <w:szCs w:val="24"/>
        </w:rPr>
        <w:t xml:space="preserve">Each of these three pedagogical principles are important. </w:t>
      </w:r>
      <w:r w:rsidR="00E16A66">
        <w:rPr>
          <w:rFonts w:ascii="Arial" w:hAnsi="Arial" w:cs="Arial"/>
          <w:sz w:val="24"/>
          <w:szCs w:val="24"/>
        </w:rPr>
        <w:t xml:space="preserve">I think that the first principle is important </w:t>
      </w:r>
      <w:r w:rsidR="00933F05">
        <w:rPr>
          <w:rFonts w:ascii="Arial" w:hAnsi="Arial" w:cs="Arial"/>
          <w:sz w:val="24"/>
          <w:szCs w:val="24"/>
        </w:rPr>
        <w:t xml:space="preserve">as there are </w:t>
      </w:r>
      <w:r w:rsidR="004A6F6E">
        <w:rPr>
          <w:rFonts w:ascii="Arial" w:hAnsi="Arial" w:cs="Arial"/>
          <w:sz w:val="24"/>
          <w:szCs w:val="24"/>
        </w:rPr>
        <w:t xml:space="preserve">many ways that children learn. </w:t>
      </w:r>
      <w:r w:rsidR="001D0B4D">
        <w:rPr>
          <w:rFonts w:ascii="Arial" w:hAnsi="Arial" w:cs="Arial"/>
          <w:sz w:val="24"/>
          <w:szCs w:val="24"/>
        </w:rPr>
        <w:t xml:space="preserve">These days online teaching is becoming more popular </w:t>
      </w:r>
      <w:r w:rsidR="009E008F">
        <w:rPr>
          <w:rFonts w:ascii="Arial" w:hAnsi="Arial" w:cs="Arial"/>
          <w:sz w:val="24"/>
          <w:szCs w:val="24"/>
        </w:rPr>
        <w:t>however</w:t>
      </w:r>
      <w:r w:rsidR="00F02314">
        <w:rPr>
          <w:rFonts w:ascii="Arial" w:hAnsi="Arial" w:cs="Arial"/>
          <w:sz w:val="24"/>
          <w:szCs w:val="24"/>
        </w:rPr>
        <w:t xml:space="preserve"> I do think that learners, especially children</w:t>
      </w:r>
      <w:r w:rsidR="005D3138">
        <w:rPr>
          <w:rFonts w:ascii="Arial" w:hAnsi="Arial" w:cs="Arial"/>
          <w:sz w:val="24"/>
          <w:szCs w:val="24"/>
        </w:rPr>
        <w:t>,</w:t>
      </w:r>
      <w:r w:rsidR="00F02314">
        <w:rPr>
          <w:rFonts w:ascii="Arial" w:hAnsi="Arial" w:cs="Arial"/>
          <w:sz w:val="24"/>
          <w:szCs w:val="24"/>
        </w:rPr>
        <w:t xml:space="preserve"> learn better </w:t>
      </w:r>
      <w:r w:rsidR="005D3138">
        <w:rPr>
          <w:rFonts w:ascii="Arial" w:hAnsi="Arial" w:cs="Arial"/>
          <w:sz w:val="24"/>
          <w:szCs w:val="24"/>
        </w:rPr>
        <w:t xml:space="preserve">by </w:t>
      </w:r>
      <w:r w:rsidR="00E93750">
        <w:rPr>
          <w:rFonts w:ascii="Arial" w:hAnsi="Arial" w:cs="Arial"/>
          <w:sz w:val="24"/>
          <w:szCs w:val="24"/>
        </w:rPr>
        <w:t xml:space="preserve">face to face and direct teaching. </w:t>
      </w:r>
      <w:r w:rsidR="00AD4BE4">
        <w:rPr>
          <w:rFonts w:ascii="Arial" w:hAnsi="Arial" w:cs="Arial"/>
          <w:sz w:val="24"/>
          <w:szCs w:val="24"/>
        </w:rPr>
        <w:t xml:space="preserve">I believe children learn </w:t>
      </w:r>
      <w:r w:rsidR="0022355C">
        <w:rPr>
          <w:rFonts w:ascii="Arial" w:hAnsi="Arial" w:cs="Arial"/>
          <w:sz w:val="24"/>
          <w:szCs w:val="24"/>
        </w:rPr>
        <w:t xml:space="preserve">better when </w:t>
      </w:r>
      <w:r w:rsidR="000A3319">
        <w:rPr>
          <w:rFonts w:ascii="Arial" w:hAnsi="Arial" w:cs="Arial"/>
          <w:sz w:val="24"/>
          <w:szCs w:val="24"/>
        </w:rPr>
        <w:t>they</w:t>
      </w:r>
      <w:r w:rsidR="0022355C">
        <w:rPr>
          <w:rFonts w:ascii="Arial" w:hAnsi="Arial" w:cs="Arial"/>
          <w:sz w:val="24"/>
          <w:szCs w:val="24"/>
        </w:rPr>
        <w:t xml:space="preserve"> are working tasks that relate to them. </w:t>
      </w:r>
      <w:r w:rsidR="001C16E6">
        <w:rPr>
          <w:rFonts w:ascii="Arial" w:hAnsi="Arial" w:cs="Arial"/>
          <w:sz w:val="24"/>
          <w:szCs w:val="24"/>
        </w:rPr>
        <w:t xml:space="preserve">I think that building on prior knowledge </w:t>
      </w:r>
      <w:r w:rsidR="00D13E5F">
        <w:rPr>
          <w:rFonts w:ascii="Arial" w:hAnsi="Arial" w:cs="Arial"/>
          <w:sz w:val="24"/>
          <w:szCs w:val="24"/>
        </w:rPr>
        <w:t xml:space="preserve">is important for children to </w:t>
      </w:r>
      <w:r w:rsidR="00833370">
        <w:rPr>
          <w:rFonts w:ascii="Arial" w:hAnsi="Arial" w:cs="Arial"/>
          <w:sz w:val="24"/>
          <w:szCs w:val="24"/>
        </w:rPr>
        <w:t>learn,</w:t>
      </w:r>
      <w:r w:rsidR="00D13E5F">
        <w:rPr>
          <w:rFonts w:ascii="Arial" w:hAnsi="Arial" w:cs="Arial"/>
          <w:sz w:val="24"/>
          <w:szCs w:val="24"/>
        </w:rPr>
        <w:t xml:space="preserve"> a</w:t>
      </w:r>
      <w:r w:rsidR="00783793">
        <w:rPr>
          <w:rFonts w:ascii="Arial" w:hAnsi="Arial" w:cs="Arial"/>
          <w:sz w:val="24"/>
          <w:szCs w:val="24"/>
        </w:rPr>
        <w:t xml:space="preserve">nd teachers should </w:t>
      </w:r>
      <w:r w:rsidR="00E10D94">
        <w:rPr>
          <w:rFonts w:ascii="Arial" w:hAnsi="Arial" w:cs="Arial"/>
          <w:sz w:val="24"/>
          <w:szCs w:val="24"/>
        </w:rPr>
        <w:t xml:space="preserve">revisit each topic often so that the children don’t forget what they have learnt. </w:t>
      </w:r>
      <w:r w:rsidR="00976EDE">
        <w:rPr>
          <w:rFonts w:ascii="Arial" w:hAnsi="Arial" w:cs="Arial"/>
          <w:sz w:val="24"/>
          <w:szCs w:val="24"/>
        </w:rPr>
        <w:t>I like the idea of the new curriculum</w:t>
      </w:r>
      <w:r w:rsidR="009476B2">
        <w:rPr>
          <w:rFonts w:ascii="Arial" w:hAnsi="Arial" w:cs="Arial"/>
          <w:sz w:val="24"/>
          <w:szCs w:val="24"/>
        </w:rPr>
        <w:t>.</w:t>
      </w:r>
      <w:r w:rsidR="00833370">
        <w:rPr>
          <w:rFonts w:ascii="Arial" w:hAnsi="Arial" w:cs="Arial"/>
          <w:sz w:val="24"/>
          <w:szCs w:val="24"/>
        </w:rPr>
        <w:t xml:space="preserve"> </w:t>
      </w:r>
      <w:r w:rsidR="00A40698">
        <w:rPr>
          <w:rFonts w:ascii="Arial" w:hAnsi="Arial" w:cs="Arial"/>
          <w:sz w:val="24"/>
          <w:szCs w:val="24"/>
        </w:rPr>
        <w:t>I think that it enhances lear</w:t>
      </w:r>
      <w:r w:rsidR="00142CB0">
        <w:rPr>
          <w:rFonts w:ascii="Arial" w:hAnsi="Arial" w:cs="Arial"/>
          <w:sz w:val="24"/>
          <w:szCs w:val="24"/>
        </w:rPr>
        <w:t xml:space="preserve">ning as each lesson focuses on more </w:t>
      </w:r>
      <w:r w:rsidR="00FC3E33">
        <w:rPr>
          <w:rFonts w:ascii="Arial" w:hAnsi="Arial" w:cs="Arial"/>
          <w:sz w:val="24"/>
          <w:szCs w:val="24"/>
        </w:rPr>
        <w:t>than one</w:t>
      </w:r>
      <w:r w:rsidR="00B5600C">
        <w:rPr>
          <w:rFonts w:ascii="Arial" w:hAnsi="Arial" w:cs="Arial"/>
          <w:sz w:val="24"/>
          <w:szCs w:val="24"/>
        </w:rPr>
        <w:t xml:space="preserve"> subject instead of just one. </w:t>
      </w:r>
      <w:r w:rsidR="00FC3E33">
        <w:rPr>
          <w:rFonts w:ascii="Arial" w:hAnsi="Arial" w:cs="Arial"/>
          <w:sz w:val="24"/>
          <w:szCs w:val="24"/>
        </w:rPr>
        <w:t xml:space="preserve"> </w:t>
      </w:r>
    </w:p>
    <w:p w14:paraId="3FBB2BA8" w14:textId="77777777" w:rsidR="001B1618" w:rsidRDefault="001B1618" w:rsidP="00BD39E1">
      <w:pPr>
        <w:tabs>
          <w:tab w:val="left" w:pos="3892"/>
        </w:tabs>
        <w:jc w:val="both"/>
        <w:rPr>
          <w:rFonts w:ascii="Arial" w:hAnsi="Arial" w:cs="Arial"/>
          <w:sz w:val="24"/>
          <w:szCs w:val="24"/>
        </w:rPr>
      </w:pPr>
    </w:p>
    <w:sdt>
      <w:sdtPr>
        <w:rPr>
          <w:rFonts w:ascii="Arial" w:hAnsi="Arial" w:cs="Arial"/>
          <w:sz w:val="16"/>
          <w:szCs w:val="16"/>
        </w:rPr>
        <w:id w:val="2065451297"/>
        <w:docPartObj>
          <w:docPartGallery w:val="Bibliographies"/>
          <w:docPartUnique/>
        </w:docPartObj>
      </w:sdtPr>
      <w:sdtEndPr>
        <w:rPr>
          <w:rFonts w:eastAsia="Times New Roman"/>
          <w:color w:val="auto"/>
          <w:lang w:val="en-GB" w:eastAsia="en-GB"/>
        </w:rPr>
      </w:sdtEndPr>
      <w:sdtContent>
        <w:p w14:paraId="447A8DF3" w14:textId="705CABF5" w:rsidR="00836399" w:rsidRPr="00AD55DD" w:rsidRDefault="00836399">
          <w:pPr>
            <w:pStyle w:val="Heading1"/>
            <w:rPr>
              <w:rFonts w:ascii="Arial" w:hAnsi="Arial" w:cs="Arial"/>
              <w:sz w:val="24"/>
              <w:szCs w:val="24"/>
            </w:rPr>
          </w:pPr>
          <w:r w:rsidRPr="00AD55DD">
            <w:rPr>
              <w:rFonts w:ascii="Arial" w:hAnsi="Arial" w:cs="Arial"/>
              <w:sz w:val="24"/>
              <w:szCs w:val="24"/>
            </w:rPr>
            <w:t>References</w:t>
          </w:r>
        </w:p>
        <w:sdt>
          <w:sdtPr>
            <w:rPr>
              <w:rFonts w:ascii="Arial" w:hAnsi="Arial" w:cs="Arial"/>
              <w:sz w:val="16"/>
              <w:szCs w:val="16"/>
            </w:rPr>
            <w:id w:val="-573587230"/>
            <w:bibliography/>
          </w:sdtPr>
          <w:sdtEndPr>
            <w:rPr>
              <w:i/>
              <w:iCs/>
            </w:rPr>
          </w:sdtEndPr>
          <w:sdtContent>
            <w:p w14:paraId="3595B22C" w14:textId="2B05E6B4" w:rsidR="00CE3E10" w:rsidRPr="00E63D7F" w:rsidRDefault="00CE3E10" w:rsidP="00CE3E10">
              <w:pPr>
                <w:tabs>
                  <w:tab w:val="left" w:pos="1226"/>
                </w:tabs>
                <w:rPr>
                  <w:rFonts w:ascii="Arial" w:hAnsi="Arial" w:cs="Arial"/>
                  <w:i/>
                  <w:iCs/>
                  <w:sz w:val="16"/>
                  <w:szCs w:val="16"/>
                </w:rPr>
              </w:pPr>
              <w:r w:rsidRPr="00B63F3B">
                <w:rPr>
                  <w:rFonts w:ascii="Arial" w:hAnsi="Arial" w:cs="Arial"/>
                  <w:i/>
                  <w:iCs/>
                  <w:sz w:val="16"/>
                  <w:szCs w:val="16"/>
                </w:rPr>
                <w:t>Bonk, C.J. (2012) The Handbook of Blended Learning: Global Perspectives, local designs, Google Books. John Wiley &amp; Sons. Available</w:t>
              </w:r>
              <w:r w:rsidRPr="00E63D7F">
                <w:rPr>
                  <w:rFonts w:ascii="Arial" w:hAnsi="Arial" w:cs="Arial"/>
                  <w:i/>
                  <w:iCs/>
                  <w:sz w:val="16"/>
                  <w:szCs w:val="16"/>
                </w:rPr>
                <w:t xml:space="preserve"> at: https://books.google.com/books/about/The_Handbook_of_Blended_Learning.html?id=2u2TxK06PwUC</w:t>
              </w:r>
              <w:r w:rsidRPr="00B63F3B">
                <w:rPr>
                  <w:rFonts w:ascii="Arial" w:hAnsi="Arial" w:cs="Arial"/>
                  <w:i/>
                  <w:iCs/>
                  <w:sz w:val="16"/>
                  <w:szCs w:val="16"/>
                </w:rPr>
                <w:t xml:space="preserve"> (Accessed: April 11, 2023). </w:t>
              </w:r>
            </w:p>
            <w:p w14:paraId="2B075D86" w14:textId="77777777" w:rsidR="00CE3E10" w:rsidRPr="00B63F3B" w:rsidRDefault="00CE3E10" w:rsidP="00CE3E10">
              <w:pPr>
                <w:tabs>
                  <w:tab w:val="left" w:pos="1226"/>
                </w:tabs>
                <w:rPr>
                  <w:rFonts w:ascii="Arial" w:hAnsi="Arial" w:cs="Arial"/>
                  <w:i/>
                  <w:iCs/>
                  <w:sz w:val="16"/>
                  <w:szCs w:val="16"/>
                </w:rPr>
              </w:pPr>
            </w:p>
            <w:p w14:paraId="1C2AFB8B" w14:textId="4AE114EE" w:rsidR="00A96F7D" w:rsidRPr="00E63D7F" w:rsidRDefault="00A96F7D" w:rsidP="00A96F7D">
              <w:pPr>
                <w:rPr>
                  <w:rFonts w:ascii="Arial" w:hAnsi="Arial" w:cs="Arial"/>
                  <w:i/>
                  <w:iCs/>
                  <w:sz w:val="16"/>
                  <w:szCs w:val="16"/>
                </w:rPr>
              </w:pPr>
              <w:r w:rsidRPr="00E63D7F">
                <w:rPr>
                  <w:rFonts w:ascii="Arial" w:hAnsi="Arial" w:cs="Arial"/>
                  <w:i/>
                  <w:iCs/>
                  <w:sz w:val="16"/>
                  <w:szCs w:val="16"/>
                </w:rPr>
                <w:t xml:space="preserve">Curriculum for funded non-maintained nursery settings (no date) Hwb. Available at: https://hwb.gov.wales/curriculum-for-wales/curriculum-for-funded-non-maintained-nursery-settings/ (Accessed: April 11, 2023). </w:t>
              </w:r>
            </w:p>
            <w:p w14:paraId="3747B829" w14:textId="77777777" w:rsidR="00A0311A" w:rsidRPr="00E63D7F" w:rsidRDefault="00A0311A" w:rsidP="00A96F7D">
              <w:pPr>
                <w:rPr>
                  <w:rFonts w:ascii="Arial" w:hAnsi="Arial" w:cs="Arial"/>
                  <w:i/>
                  <w:iCs/>
                  <w:sz w:val="16"/>
                  <w:szCs w:val="16"/>
                </w:rPr>
              </w:pPr>
            </w:p>
            <w:p w14:paraId="60DE72BF" w14:textId="77777777" w:rsidR="00CE3E10" w:rsidRPr="00E63D7F" w:rsidRDefault="00CE3E10" w:rsidP="00CE3E10">
              <w:pPr>
                <w:tabs>
                  <w:tab w:val="left" w:pos="1226"/>
                </w:tabs>
                <w:rPr>
                  <w:rFonts w:ascii="Arial" w:hAnsi="Arial" w:cs="Arial"/>
                  <w:i/>
                  <w:iCs/>
                  <w:sz w:val="16"/>
                  <w:szCs w:val="16"/>
                </w:rPr>
              </w:pPr>
              <w:r w:rsidRPr="00A0180D">
                <w:rPr>
                  <w:rFonts w:ascii="Arial" w:hAnsi="Arial" w:cs="Arial"/>
                  <w:i/>
                  <w:iCs/>
                  <w:sz w:val="16"/>
                  <w:szCs w:val="16"/>
                </w:rPr>
                <w:t xml:space="preserve">Dauncey, M. (2015) Donaldson Review: The 'purposes' and content of a curriculum for Wales, </w:t>
              </w:r>
              <w:proofErr w:type="spellStart"/>
              <w:r w:rsidRPr="00A0180D">
                <w:rPr>
                  <w:rFonts w:ascii="Arial" w:hAnsi="Arial" w:cs="Arial"/>
                  <w:i/>
                  <w:iCs/>
                  <w:sz w:val="16"/>
                  <w:szCs w:val="16"/>
                </w:rPr>
                <w:t>Ymwchil</w:t>
              </w:r>
              <w:proofErr w:type="spellEnd"/>
              <w:r w:rsidRPr="00A0180D">
                <w:rPr>
                  <w:rFonts w:ascii="Arial" w:hAnsi="Arial" w:cs="Arial"/>
                  <w:i/>
                  <w:iCs/>
                  <w:sz w:val="16"/>
                  <w:szCs w:val="16"/>
                </w:rPr>
                <w:t xml:space="preserve"> y Senedd | Senedd Research. Available at: https://research.senedd.wales/research-articles/donaldson-review-the-purposes-and-content-of-a-curriculum-for-wales/ (Accessed: April 11, 2023). </w:t>
              </w:r>
            </w:p>
            <w:p w14:paraId="0BF54804" w14:textId="77777777" w:rsidR="00CE3E10" w:rsidRPr="00A0180D" w:rsidRDefault="00CE3E10" w:rsidP="00CE3E10">
              <w:pPr>
                <w:tabs>
                  <w:tab w:val="left" w:pos="1226"/>
                </w:tabs>
                <w:rPr>
                  <w:rFonts w:ascii="Arial" w:hAnsi="Arial" w:cs="Arial"/>
                  <w:i/>
                  <w:iCs/>
                  <w:sz w:val="16"/>
                  <w:szCs w:val="16"/>
                </w:rPr>
              </w:pPr>
            </w:p>
            <w:p w14:paraId="628C3741" w14:textId="77777777" w:rsidR="00A0311A" w:rsidRPr="00E63D7F" w:rsidRDefault="00A0311A">
              <w:pPr>
                <w:rPr>
                  <w:rFonts w:ascii="Arial" w:hAnsi="Arial" w:cs="Arial"/>
                  <w:i/>
                  <w:iCs/>
                  <w:sz w:val="16"/>
                  <w:szCs w:val="16"/>
                </w:rPr>
              </w:pPr>
              <w:r w:rsidRPr="00E63D7F">
                <w:rPr>
                  <w:rFonts w:ascii="Arial" w:hAnsi="Arial" w:cs="Arial"/>
                  <w:i/>
                  <w:iCs/>
                  <w:sz w:val="16"/>
                  <w:szCs w:val="16"/>
                </w:rPr>
                <w:t>Donaldson, P.G. (2015) Successful futures: Review of curriculum and assessment arrangements, GOV.WALES. Available at: https://www.gov.wales/successful-futures-review-curriculum-and-assessment-arrangements (Accessed: April 11, 2023).</w:t>
              </w:r>
            </w:p>
            <w:p w14:paraId="3E32327D" w14:textId="77777777" w:rsidR="00A0311A" w:rsidRPr="00E63D7F" w:rsidRDefault="00A0311A">
              <w:pPr>
                <w:rPr>
                  <w:rFonts w:ascii="Arial" w:hAnsi="Arial" w:cs="Arial"/>
                  <w:i/>
                  <w:iCs/>
                  <w:sz w:val="16"/>
                  <w:szCs w:val="16"/>
                </w:rPr>
              </w:pPr>
            </w:p>
            <w:p w14:paraId="1B1BF13A" w14:textId="77777777" w:rsidR="00CE3E10" w:rsidRPr="00E63D7F" w:rsidRDefault="00CE3E10" w:rsidP="00CE3E10">
              <w:pPr>
                <w:tabs>
                  <w:tab w:val="left" w:pos="1226"/>
                </w:tabs>
                <w:rPr>
                  <w:rFonts w:ascii="Arial" w:hAnsi="Arial" w:cs="Arial"/>
                  <w:i/>
                  <w:iCs/>
                  <w:sz w:val="16"/>
                  <w:szCs w:val="16"/>
                </w:rPr>
              </w:pPr>
              <w:proofErr w:type="spellStart"/>
              <w:r w:rsidRPr="00A57608">
                <w:rPr>
                  <w:rFonts w:ascii="Arial" w:hAnsi="Arial" w:cs="Arial"/>
                  <w:i/>
                  <w:iCs/>
                  <w:sz w:val="16"/>
                  <w:szCs w:val="16"/>
                </w:rPr>
                <w:t>EstynHMI</w:t>
              </w:r>
              <w:proofErr w:type="spellEnd"/>
              <w:r w:rsidRPr="00A57608">
                <w:rPr>
                  <w:rFonts w:ascii="Arial" w:hAnsi="Arial" w:cs="Arial"/>
                  <w:i/>
                  <w:iCs/>
                  <w:sz w:val="16"/>
                  <w:szCs w:val="16"/>
                </w:rPr>
                <w:t xml:space="preserve"> (no date) The chief inspector's Annual Report 2021-2022, Estyn. Available at: https://www.estyn.gov.wales/annual-report/2021-2022 (Accessed: April 11, 2023). </w:t>
              </w:r>
            </w:p>
            <w:p w14:paraId="6A5D132F" w14:textId="77777777" w:rsidR="001A7219" w:rsidRPr="00E63D7F" w:rsidRDefault="001A7219" w:rsidP="00CE3E10">
              <w:pPr>
                <w:tabs>
                  <w:tab w:val="left" w:pos="1226"/>
                </w:tabs>
                <w:rPr>
                  <w:rFonts w:ascii="Arial" w:hAnsi="Arial" w:cs="Arial"/>
                  <w:i/>
                  <w:iCs/>
                  <w:sz w:val="16"/>
                  <w:szCs w:val="16"/>
                </w:rPr>
              </w:pPr>
            </w:p>
            <w:p w14:paraId="5EDA742A" w14:textId="77777777" w:rsidR="00A75C8E" w:rsidRPr="00E63D7F" w:rsidRDefault="00A75C8E" w:rsidP="001A7219">
              <w:pPr>
                <w:tabs>
                  <w:tab w:val="left" w:pos="1226"/>
                </w:tabs>
                <w:rPr>
                  <w:rFonts w:ascii="Arial" w:hAnsi="Arial" w:cs="Arial"/>
                  <w:i/>
                  <w:iCs/>
                  <w:sz w:val="16"/>
                  <w:szCs w:val="16"/>
                </w:rPr>
              </w:pPr>
              <w:proofErr w:type="spellStart"/>
              <w:r w:rsidRPr="00E63D7F">
                <w:rPr>
                  <w:rFonts w:ascii="Arial" w:hAnsi="Arial" w:cs="Arial"/>
                  <w:i/>
                  <w:iCs/>
                  <w:sz w:val="16"/>
                  <w:szCs w:val="16"/>
                </w:rPr>
                <w:t>Garrinson</w:t>
              </w:r>
              <w:proofErr w:type="spellEnd"/>
              <w:r w:rsidRPr="00E63D7F">
                <w:rPr>
                  <w:rFonts w:ascii="Arial" w:hAnsi="Arial" w:cs="Arial"/>
                  <w:i/>
                  <w:iCs/>
                  <w:sz w:val="16"/>
                  <w:szCs w:val="16"/>
                </w:rPr>
                <w:t xml:space="preserve">, D.R. and </w:t>
              </w:r>
              <w:proofErr w:type="spellStart"/>
              <w:r w:rsidRPr="00E63D7F">
                <w:rPr>
                  <w:rFonts w:ascii="Arial" w:hAnsi="Arial" w:cs="Arial"/>
                  <w:i/>
                  <w:iCs/>
                  <w:sz w:val="16"/>
                  <w:szCs w:val="16"/>
                </w:rPr>
                <w:t>AbstractThe</w:t>
              </w:r>
              <w:proofErr w:type="spellEnd"/>
              <w:r w:rsidRPr="00E63D7F">
                <w:rPr>
                  <w:rFonts w:ascii="Arial" w:hAnsi="Arial" w:cs="Arial"/>
                  <w:i/>
                  <w:iCs/>
                  <w:sz w:val="16"/>
                  <w:szCs w:val="16"/>
                </w:rPr>
                <w:t xml:space="preserve"> purpose of this paper is to provide a discussion of the transformative potential of blended learning in the context of the challenges facing higher education. Based upon a description of blended learning (2004) Blended learning: Uncovering its transformative potential in higher education, The Internet and Higher Education. JAI. Available at: https://www.sciencedirect.com/science/article/pii/S1096751604000156 (Accessed: April 11, 2023). </w:t>
              </w:r>
            </w:p>
            <w:p w14:paraId="188634E8" w14:textId="77777777" w:rsidR="00A75C8E" w:rsidRPr="00E63D7F" w:rsidRDefault="00A75C8E" w:rsidP="001A7219">
              <w:pPr>
                <w:tabs>
                  <w:tab w:val="left" w:pos="1226"/>
                </w:tabs>
                <w:rPr>
                  <w:rFonts w:ascii="Arial" w:hAnsi="Arial" w:cs="Arial"/>
                  <w:i/>
                  <w:iCs/>
                  <w:sz w:val="16"/>
                  <w:szCs w:val="16"/>
                </w:rPr>
              </w:pPr>
            </w:p>
            <w:p w14:paraId="0A60B41E" w14:textId="7DA75C20" w:rsidR="001A7219" w:rsidRPr="007127E7" w:rsidRDefault="001A7219" w:rsidP="001A7219">
              <w:pPr>
                <w:tabs>
                  <w:tab w:val="left" w:pos="1226"/>
                </w:tabs>
                <w:rPr>
                  <w:rFonts w:ascii="Arial" w:hAnsi="Arial" w:cs="Arial"/>
                  <w:i/>
                  <w:iCs/>
                  <w:sz w:val="16"/>
                  <w:szCs w:val="16"/>
                </w:rPr>
              </w:pPr>
              <w:r w:rsidRPr="007127E7">
                <w:rPr>
                  <w:rFonts w:ascii="Arial" w:hAnsi="Arial" w:cs="Arial"/>
                  <w:i/>
                  <w:iCs/>
                  <w:sz w:val="16"/>
                  <w:szCs w:val="16"/>
                </w:rPr>
                <w:t xml:space="preserve">Gee, A.B.J. (2013) Importance of prior knowledge to learning, News. Available at: https://news.illinoisstate.edu/2012/01/importance-of-prior-knowledge-to-learning/ (Accessed: April 11, 2023). </w:t>
              </w:r>
            </w:p>
            <w:p w14:paraId="5FBF4BE2" w14:textId="77777777" w:rsidR="00A0180D" w:rsidRPr="00E63D7F" w:rsidRDefault="00A0180D" w:rsidP="00A0180D">
              <w:pPr>
                <w:tabs>
                  <w:tab w:val="left" w:pos="1226"/>
                </w:tabs>
                <w:rPr>
                  <w:rFonts w:ascii="Arial" w:hAnsi="Arial" w:cs="Arial"/>
                  <w:i/>
                  <w:iCs/>
                  <w:sz w:val="16"/>
                  <w:szCs w:val="16"/>
                </w:rPr>
              </w:pPr>
            </w:p>
            <w:p w14:paraId="543FEFE1" w14:textId="77777777" w:rsidR="004C7BFC" w:rsidRPr="00E63D7F" w:rsidRDefault="004C7BFC" w:rsidP="004C7BFC">
              <w:pPr>
                <w:tabs>
                  <w:tab w:val="left" w:pos="1226"/>
                </w:tabs>
                <w:rPr>
                  <w:rFonts w:ascii="Arial" w:hAnsi="Arial" w:cs="Arial"/>
                  <w:i/>
                  <w:iCs/>
                  <w:sz w:val="16"/>
                  <w:szCs w:val="16"/>
                </w:rPr>
              </w:pPr>
              <w:r w:rsidRPr="006E4E43">
                <w:rPr>
                  <w:rFonts w:ascii="Arial" w:hAnsi="Arial" w:cs="Arial"/>
                  <w:i/>
                  <w:iCs/>
                  <w:sz w:val="16"/>
                  <w:szCs w:val="16"/>
                </w:rPr>
                <w:t xml:space="preserve">Learning and teaching pedagogy - </w:t>
              </w:r>
              <w:proofErr w:type="spellStart"/>
              <w:r w:rsidRPr="006E4E43">
                <w:rPr>
                  <w:rFonts w:ascii="Arial" w:hAnsi="Arial" w:cs="Arial"/>
                  <w:i/>
                  <w:iCs/>
                  <w:sz w:val="16"/>
                  <w:szCs w:val="16"/>
                </w:rPr>
                <w:t>hwb.gov.wales</w:t>
              </w:r>
              <w:proofErr w:type="spellEnd"/>
              <w:r w:rsidRPr="006E4E43">
                <w:rPr>
                  <w:rFonts w:ascii="Arial" w:hAnsi="Arial" w:cs="Arial"/>
                  <w:i/>
                  <w:iCs/>
                  <w:sz w:val="16"/>
                  <w:szCs w:val="16"/>
                </w:rPr>
                <w:t xml:space="preserve"> (no date). Available at: https://hwb.gov.wales/storage/8f0b360f-f1f6-4bec-b11a-df88168007f9/learning-and-teaching-pedagogy.pdf (Accessed: April 11, 2023). </w:t>
              </w:r>
            </w:p>
            <w:p w14:paraId="754E3E83" w14:textId="77777777" w:rsidR="004C7BFC" w:rsidRPr="006E4E43" w:rsidRDefault="004C7BFC" w:rsidP="004C7BFC">
              <w:pPr>
                <w:tabs>
                  <w:tab w:val="left" w:pos="1226"/>
                </w:tabs>
                <w:rPr>
                  <w:rFonts w:ascii="Arial" w:hAnsi="Arial" w:cs="Arial"/>
                  <w:i/>
                  <w:iCs/>
                  <w:sz w:val="16"/>
                  <w:szCs w:val="16"/>
                </w:rPr>
              </w:pPr>
            </w:p>
            <w:p w14:paraId="30F67CBC" w14:textId="77777777" w:rsidR="004C7BFC" w:rsidRPr="00E63D7F" w:rsidRDefault="004C7BFC" w:rsidP="004C7BFC">
              <w:pPr>
                <w:tabs>
                  <w:tab w:val="left" w:pos="1226"/>
                </w:tabs>
                <w:rPr>
                  <w:rFonts w:ascii="Arial" w:hAnsi="Arial" w:cs="Arial"/>
                  <w:i/>
                  <w:iCs/>
                  <w:sz w:val="16"/>
                  <w:szCs w:val="16"/>
                </w:rPr>
              </w:pPr>
              <w:proofErr w:type="spellStart"/>
              <w:r w:rsidRPr="00D1490B">
                <w:rPr>
                  <w:rFonts w:ascii="Arial" w:hAnsi="Arial" w:cs="Arial"/>
                  <w:i/>
                  <w:iCs/>
                  <w:sz w:val="16"/>
                  <w:szCs w:val="16"/>
                </w:rPr>
                <w:t>Mrsstrickey</w:t>
              </w:r>
              <w:proofErr w:type="spellEnd"/>
              <w:r w:rsidRPr="00D1490B">
                <w:rPr>
                  <w:rFonts w:ascii="Arial" w:hAnsi="Arial" w:cs="Arial"/>
                  <w:i/>
                  <w:iCs/>
                  <w:sz w:val="16"/>
                  <w:szCs w:val="16"/>
                </w:rPr>
                <w:t xml:space="preserve"> (2021) The importance of prior knowledge, Teach With Mrs T. Teach With Mrs T. Available at: https://www.teachwithmrst.com/post/the-importance-of-prior-knowledge (Accessed: April 11, 2023). </w:t>
              </w:r>
            </w:p>
            <w:p w14:paraId="6B72BC31" w14:textId="77777777" w:rsidR="004C7BFC" w:rsidRPr="00D1490B" w:rsidRDefault="004C7BFC" w:rsidP="004C7BFC">
              <w:pPr>
                <w:tabs>
                  <w:tab w:val="left" w:pos="1226"/>
                </w:tabs>
                <w:rPr>
                  <w:rFonts w:ascii="Arial" w:hAnsi="Arial" w:cs="Arial"/>
                  <w:i/>
                  <w:iCs/>
                  <w:sz w:val="16"/>
                  <w:szCs w:val="16"/>
                </w:rPr>
              </w:pPr>
            </w:p>
            <w:p w14:paraId="73BFEC90" w14:textId="77777777" w:rsidR="00A0212C" w:rsidRPr="00A0212C" w:rsidRDefault="00A0212C" w:rsidP="00A0212C">
              <w:pPr>
                <w:tabs>
                  <w:tab w:val="left" w:pos="1226"/>
                </w:tabs>
                <w:rPr>
                  <w:rFonts w:ascii="Arial" w:hAnsi="Arial" w:cs="Arial"/>
                  <w:i/>
                  <w:iCs/>
                  <w:sz w:val="16"/>
                  <w:szCs w:val="16"/>
                </w:rPr>
              </w:pPr>
              <w:r w:rsidRPr="00A0212C">
                <w:rPr>
                  <w:rFonts w:ascii="Arial" w:hAnsi="Arial" w:cs="Arial"/>
                  <w:i/>
                  <w:iCs/>
                  <w:sz w:val="16"/>
                  <w:szCs w:val="16"/>
                </w:rPr>
                <w:lastRenderedPageBreak/>
                <w:t xml:space="preserve">Pedagogy (2023) Hwb. Available at: https://hwb.gov.wales/curriculum-for-wales/designing-your-curriculum/pedagogy/ (Accessed: April 11, 2023). </w:t>
              </w:r>
            </w:p>
            <w:p w14:paraId="1E1AE329" w14:textId="77777777" w:rsidR="00A0212C" w:rsidRPr="00E63D7F" w:rsidRDefault="00A0212C" w:rsidP="00A0180D">
              <w:pPr>
                <w:tabs>
                  <w:tab w:val="left" w:pos="1226"/>
                </w:tabs>
                <w:rPr>
                  <w:rFonts w:ascii="Arial" w:hAnsi="Arial" w:cs="Arial"/>
                  <w:i/>
                  <w:iCs/>
                  <w:sz w:val="16"/>
                  <w:szCs w:val="16"/>
                </w:rPr>
              </w:pPr>
            </w:p>
            <w:p w14:paraId="67BE9704" w14:textId="77777777" w:rsidR="008F4CFE" w:rsidRPr="00E63D7F" w:rsidRDefault="008F4CFE" w:rsidP="008F4CFE">
              <w:pPr>
                <w:tabs>
                  <w:tab w:val="left" w:pos="1226"/>
                </w:tabs>
                <w:rPr>
                  <w:rFonts w:ascii="Arial" w:hAnsi="Arial" w:cs="Arial"/>
                  <w:i/>
                  <w:iCs/>
                  <w:sz w:val="16"/>
                  <w:szCs w:val="16"/>
                </w:rPr>
              </w:pPr>
              <w:proofErr w:type="spellStart"/>
              <w:r w:rsidRPr="00656D2C">
                <w:rPr>
                  <w:rFonts w:ascii="Arial" w:hAnsi="Arial" w:cs="Arial"/>
                  <w:i/>
                  <w:iCs/>
                  <w:sz w:val="16"/>
                  <w:szCs w:val="16"/>
                </w:rPr>
                <w:t>Raouna</w:t>
              </w:r>
              <w:proofErr w:type="spellEnd"/>
              <w:r w:rsidRPr="00656D2C">
                <w:rPr>
                  <w:rFonts w:ascii="Arial" w:hAnsi="Arial" w:cs="Arial"/>
                  <w:i/>
                  <w:iCs/>
                  <w:sz w:val="16"/>
                  <w:szCs w:val="16"/>
                </w:rPr>
                <w:t xml:space="preserve">, K. (2022) Blended learning: What it is, why it matters &amp; how to apply it, </w:t>
              </w:r>
              <w:proofErr w:type="spellStart"/>
              <w:r w:rsidRPr="00656D2C">
                <w:rPr>
                  <w:rFonts w:ascii="Arial" w:hAnsi="Arial" w:cs="Arial"/>
                  <w:i/>
                  <w:iCs/>
                  <w:sz w:val="16"/>
                  <w:szCs w:val="16"/>
                </w:rPr>
                <w:t>LearnWorlds</w:t>
              </w:r>
              <w:proofErr w:type="spellEnd"/>
              <w:r w:rsidRPr="00656D2C">
                <w:rPr>
                  <w:rFonts w:ascii="Arial" w:hAnsi="Arial" w:cs="Arial"/>
                  <w:i/>
                  <w:iCs/>
                  <w:sz w:val="16"/>
                  <w:szCs w:val="16"/>
                </w:rPr>
                <w:t xml:space="preserve">. Available at: https://www.learnworlds.com/blended-learning/ (Accessed: April 11, 2023). </w:t>
              </w:r>
            </w:p>
            <w:p w14:paraId="064A3C01" w14:textId="77777777" w:rsidR="008F4CFE" w:rsidRPr="00656D2C" w:rsidRDefault="008F4CFE" w:rsidP="008F4CFE">
              <w:pPr>
                <w:tabs>
                  <w:tab w:val="left" w:pos="1226"/>
                </w:tabs>
                <w:rPr>
                  <w:rFonts w:ascii="Arial" w:hAnsi="Arial" w:cs="Arial"/>
                  <w:i/>
                  <w:iCs/>
                  <w:sz w:val="16"/>
                  <w:szCs w:val="16"/>
                </w:rPr>
              </w:pPr>
            </w:p>
            <w:p w14:paraId="13EC40ED" w14:textId="5196D0F5" w:rsidR="00B63F3B" w:rsidRPr="00E63D7F" w:rsidRDefault="008F4CFE" w:rsidP="00A57608">
              <w:pPr>
                <w:tabs>
                  <w:tab w:val="left" w:pos="1226"/>
                </w:tabs>
                <w:rPr>
                  <w:rFonts w:ascii="Arial" w:hAnsi="Arial" w:cs="Arial"/>
                  <w:i/>
                  <w:iCs/>
                  <w:sz w:val="16"/>
                  <w:szCs w:val="16"/>
                </w:rPr>
              </w:pPr>
              <w:r w:rsidRPr="00365D33">
                <w:rPr>
                  <w:rFonts w:ascii="Arial" w:hAnsi="Arial" w:cs="Arial"/>
                  <w:i/>
                  <w:iCs/>
                  <w:sz w:val="16"/>
                  <w:szCs w:val="16"/>
                </w:rPr>
                <w:t xml:space="preserve">Renard, lucy (2023) Direct instruction - A practical guide to effective </w:t>
              </w:r>
              <w:proofErr w:type="spellStart"/>
              <w:r w:rsidRPr="00365D33">
                <w:rPr>
                  <w:rFonts w:ascii="Arial" w:hAnsi="Arial" w:cs="Arial"/>
                  <w:i/>
                  <w:iCs/>
                  <w:sz w:val="16"/>
                  <w:szCs w:val="16"/>
                </w:rPr>
                <w:t>teachingl</w:t>
              </w:r>
              <w:proofErr w:type="spellEnd"/>
              <w:r w:rsidRPr="00365D33">
                <w:rPr>
                  <w:rFonts w:ascii="Arial" w:hAnsi="Arial" w:cs="Arial"/>
                  <w:i/>
                  <w:iCs/>
                  <w:sz w:val="16"/>
                  <w:szCs w:val="16"/>
                </w:rPr>
                <w:t xml:space="preserve">, </w:t>
              </w:r>
              <w:proofErr w:type="spellStart"/>
              <w:r w:rsidRPr="00365D33">
                <w:rPr>
                  <w:rFonts w:ascii="Arial" w:hAnsi="Arial" w:cs="Arial"/>
                  <w:i/>
                  <w:iCs/>
                  <w:sz w:val="16"/>
                  <w:szCs w:val="16"/>
                </w:rPr>
                <w:t>BookWidgets</w:t>
              </w:r>
              <w:proofErr w:type="spellEnd"/>
              <w:r w:rsidRPr="00365D33">
                <w:rPr>
                  <w:rFonts w:ascii="Arial" w:hAnsi="Arial" w:cs="Arial"/>
                  <w:i/>
                  <w:iCs/>
                  <w:sz w:val="16"/>
                  <w:szCs w:val="16"/>
                </w:rPr>
                <w:t xml:space="preserve">. Available at: https://www.bookwidgets.com/blog/2019/03/direct-instruction-a-practical-guide-to-effective-teaching (Accessed: April 11, 2023). </w:t>
              </w:r>
            </w:p>
            <w:p w14:paraId="736C95A0" w14:textId="77777777" w:rsidR="00B63F3B" w:rsidRPr="00A57608" w:rsidRDefault="00B63F3B" w:rsidP="00A57608">
              <w:pPr>
                <w:tabs>
                  <w:tab w:val="left" w:pos="1226"/>
                </w:tabs>
                <w:rPr>
                  <w:rFonts w:ascii="Arial" w:hAnsi="Arial" w:cs="Arial"/>
                  <w:i/>
                  <w:iCs/>
                  <w:sz w:val="16"/>
                  <w:szCs w:val="16"/>
                </w:rPr>
              </w:pPr>
            </w:p>
            <w:p w14:paraId="47DC7EDF" w14:textId="77777777" w:rsidR="00AD298D" w:rsidRPr="00E63D7F" w:rsidRDefault="00AD298D" w:rsidP="00AD298D">
              <w:pPr>
                <w:tabs>
                  <w:tab w:val="left" w:pos="1226"/>
                </w:tabs>
                <w:rPr>
                  <w:rFonts w:ascii="Arial" w:hAnsi="Arial" w:cs="Arial"/>
                  <w:i/>
                  <w:iCs/>
                  <w:sz w:val="16"/>
                  <w:szCs w:val="16"/>
                </w:rPr>
              </w:pPr>
              <w:r w:rsidRPr="00AD298D">
                <w:rPr>
                  <w:rFonts w:ascii="Arial" w:hAnsi="Arial" w:cs="Arial"/>
                  <w:i/>
                  <w:iCs/>
                  <w:sz w:val="16"/>
                  <w:szCs w:val="16"/>
                </w:rPr>
                <w:t xml:space="preserve">Robledo, C. (2020) Microlearning Platform: </w:t>
              </w:r>
              <w:proofErr w:type="spellStart"/>
              <w:r w:rsidRPr="00AD298D">
                <w:rPr>
                  <w:rFonts w:ascii="Arial" w:hAnsi="Arial" w:cs="Arial"/>
                  <w:i/>
                  <w:iCs/>
                  <w:sz w:val="16"/>
                  <w:szCs w:val="16"/>
                </w:rPr>
                <w:t>Edapp</w:t>
              </w:r>
              <w:proofErr w:type="spellEnd"/>
              <w:r w:rsidRPr="00AD298D">
                <w:rPr>
                  <w:rFonts w:ascii="Arial" w:hAnsi="Arial" w:cs="Arial"/>
                  <w:i/>
                  <w:iCs/>
                  <w:sz w:val="16"/>
                  <w:szCs w:val="16"/>
                </w:rPr>
                <w:t xml:space="preserve"> microlearning: </w:t>
              </w:r>
              <w:proofErr w:type="spellStart"/>
              <w:r w:rsidRPr="00AD298D">
                <w:rPr>
                  <w:rFonts w:ascii="Arial" w:hAnsi="Arial" w:cs="Arial"/>
                  <w:i/>
                  <w:iCs/>
                  <w:sz w:val="16"/>
                  <w:szCs w:val="16"/>
                </w:rPr>
                <w:t>EdApp</w:t>
              </w:r>
              <w:proofErr w:type="spellEnd"/>
              <w:r w:rsidRPr="00AD298D">
                <w:rPr>
                  <w:rFonts w:ascii="Arial" w:hAnsi="Arial" w:cs="Arial"/>
                  <w:i/>
                  <w:iCs/>
                  <w:sz w:val="16"/>
                  <w:szCs w:val="16"/>
                </w:rPr>
                <w:t xml:space="preserve">: A Mobile LMS, </w:t>
              </w:r>
              <w:proofErr w:type="spellStart"/>
              <w:r w:rsidRPr="00AD298D">
                <w:rPr>
                  <w:rFonts w:ascii="Arial" w:hAnsi="Arial" w:cs="Arial"/>
                  <w:i/>
                  <w:iCs/>
                  <w:sz w:val="16"/>
                  <w:szCs w:val="16"/>
                </w:rPr>
                <w:t>EdApp</w:t>
              </w:r>
              <w:proofErr w:type="spellEnd"/>
              <w:r w:rsidRPr="00AD298D">
                <w:rPr>
                  <w:rFonts w:ascii="Arial" w:hAnsi="Arial" w:cs="Arial"/>
                  <w:i/>
                  <w:iCs/>
                  <w:sz w:val="16"/>
                  <w:szCs w:val="16"/>
                </w:rPr>
                <w:t xml:space="preserve">. Available at: https://www.edapp.com/microlearning/ (Accessed: April 11, 2023). </w:t>
              </w:r>
            </w:p>
            <w:p w14:paraId="76EFDA22" w14:textId="77777777" w:rsidR="00AD55DD" w:rsidRPr="00FB2CB4" w:rsidRDefault="00AD55DD" w:rsidP="00AD55DD">
              <w:pPr>
                <w:tabs>
                  <w:tab w:val="left" w:pos="1226"/>
                </w:tabs>
                <w:rPr>
                  <w:rFonts w:ascii="Arial" w:hAnsi="Arial" w:cs="Arial"/>
                  <w:i/>
                  <w:iCs/>
                  <w:sz w:val="16"/>
                  <w:szCs w:val="16"/>
                </w:rPr>
              </w:pPr>
            </w:p>
            <w:p w14:paraId="6A904515" w14:textId="77777777" w:rsidR="00AD55DD" w:rsidRPr="00E63D7F" w:rsidRDefault="00AD55DD" w:rsidP="00AD55DD">
              <w:pPr>
                <w:tabs>
                  <w:tab w:val="left" w:pos="1226"/>
                </w:tabs>
                <w:rPr>
                  <w:rFonts w:ascii="Arial" w:hAnsi="Arial" w:cs="Arial"/>
                  <w:i/>
                  <w:iCs/>
                  <w:sz w:val="16"/>
                  <w:szCs w:val="16"/>
                </w:rPr>
              </w:pPr>
              <w:r w:rsidRPr="0062629B">
                <w:rPr>
                  <w:rFonts w:ascii="Arial" w:hAnsi="Arial" w:cs="Arial"/>
                  <w:i/>
                  <w:iCs/>
                  <w:sz w:val="16"/>
                  <w:szCs w:val="16"/>
                </w:rPr>
                <w:t xml:space="preserve">Tay, C. (2022) A good start: The Pedagogical Challenge of engaging prior knowledge for all pupils, My College. Available at: https://my.chartered.college/impact_article/a-good-start-the-pedagogical-challenge-of-engaging-prior-knowledge-for-all-pupils/ (Accessed: April 11, 2023). </w:t>
              </w:r>
            </w:p>
            <w:p w14:paraId="7017705E" w14:textId="77777777" w:rsidR="00AD298D" w:rsidRPr="00E63D7F" w:rsidRDefault="00AD298D" w:rsidP="00AD298D">
              <w:pPr>
                <w:tabs>
                  <w:tab w:val="left" w:pos="1226"/>
                </w:tabs>
                <w:rPr>
                  <w:rFonts w:ascii="Arial" w:hAnsi="Arial" w:cs="Arial"/>
                  <w:i/>
                  <w:iCs/>
                  <w:sz w:val="16"/>
                  <w:szCs w:val="16"/>
                </w:rPr>
              </w:pPr>
            </w:p>
            <w:p w14:paraId="038D96CE" w14:textId="77777777" w:rsidR="00FB2CB4" w:rsidRPr="00E63D7F" w:rsidRDefault="00FB2CB4" w:rsidP="00FB2CB4">
              <w:pPr>
                <w:tabs>
                  <w:tab w:val="left" w:pos="1226"/>
                </w:tabs>
                <w:rPr>
                  <w:rFonts w:ascii="Arial" w:hAnsi="Arial" w:cs="Arial"/>
                  <w:i/>
                  <w:iCs/>
                  <w:sz w:val="16"/>
                  <w:szCs w:val="16"/>
                </w:rPr>
              </w:pPr>
              <w:r w:rsidRPr="00FB2CB4">
                <w:rPr>
                  <w:rFonts w:ascii="Arial" w:hAnsi="Arial" w:cs="Arial"/>
                  <w:i/>
                  <w:iCs/>
                  <w:sz w:val="16"/>
                  <w:szCs w:val="16"/>
                </w:rPr>
                <w:t xml:space="preserve">Teaching by direct instruction pros and cons (2008) </w:t>
              </w:r>
              <w:proofErr w:type="spellStart"/>
              <w:r w:rsidRPr="00FB2CB4">
                <w:rPr>
                  <w:rFonts w:ascii="Arial" w:hAnsi="Arial" w:cs="Arial"/>
                  <w:i/>
                  <w:iCs/>
                  <w:sz w:val="16"/>
                  <w:szCs w:val="16"/>
                </w:rPr>
                <w:t>BrightHub</w:t>
              </w:r>
              <w:proofErr w:type="spellEnd"/>
              <w:r w:rsidRPr="00FB2CB4">
                <w:rPr>
                  <w:rFonts w:ascii="Arial" w:hAnsi="Arial" w:cs="Arial"/>
                  <w:i/>
                  <w:iCs/>
                  <w:sz w:val="16"/>
                  <w:szCs w:val="16"/>
                </w:rPr>
                <w:t xml:space="preserve"> Education. Available at: https://www.brighthubeducation.com/teaching-methods-tips/5487-pros-and-cons-of-direct-teaching/ (Accessed: April 11, 2023). </w:t>
              </w:r>
            </w:p>
            <w:p w14:paraId="429AFE81" w14:textId="77777777" w:rsidR="00D1490B" w:rsidRPr="00E63D7F" w:rsidRDefault="00D1490B" w:rsidP="00FB2CB4">
              <w:pPr>
                <w:tabs>
                  <w:tab w:val="left" w:pos="1226"/>
                </w:tabs>
                <w:rPr>
                  <w:rFonts w:ascii="Arial" w:hAnsi="Arial" w:cs="Arial"/>
                  <w:i/>
                  <w:iCs/>
                  <w:sz w:val="16"/>
                  <w:szCs w:val="16"/>
                </w:rPr>
              </w:pPr>
            </w:p>
            <w:p w14:paraId="5050CCEB" w14:textId="77777777" w:rsidR="003547AF" w:rsidRPr="003547AF" w:rsidRDefault="003547AF" w:rsidP="003547AF">
              <w:pPr>
                <w:tabs>
                  <w:tab w:val="left" w:pos="1226"/>
                </w:tabs>
                <w:rPr>
                  <w:rFonts w:ascii="Arial" w:hAnsi="Arial" w:cs="Arial"/>
                  <w:i/>
                  <w:iCs/>
                  <w:sz w:val="16"/>
                  <w:szCs w:val="16"/>
                </w:rPr>
              </w:pPr>
              <w:proofErr w:type="spellStart"/>
              <w:r w:rsidRPr="003547AF">
                <w:rPr>
                  <w:rFonts w:ascii="Arial" w:hAnsi="Arial" w:cs="Arial"/>
                  <w:i/>
                  <w:iCs/>
                  <w:sz w:val="16"/>
                  <w:szCs w:val="16"/>
                </w:rPr>
                <w:t>Wenk</w:t>
              </w:r>
              <w:proofErr w:type="spellEnd"/>
              <w:r w:rsidRPr="003547AF">
                <w:rPr>
                  <w:rFonts w:ascii="Arial" w:hAnsi="Arial" w:cs="Arial"/>
                  <w:i/>
                  <w:iCs/>
                  <w:sz w:val="16"/>
                  <w:szCs w:val="16"/>
                </w:rPr>
                <w:t xml:space="preserve">, L. (2017) The importance of engaging prior knowledge, </w:t>
              </w:r>
              <w:proofErr w:type="spellStart"/>
              <w:r w:rsidRPr="003547AF">
                <w:rPr>
                  <w:rFonts w:ascii="Arial" w:hAnsi="Arial" w:cs="Arial"/>
                  <w:i/>
                  <w:iCs/>
                  <w:sz w:val="16"/>
                  <w:szCs w:val="16"/>
                </w:rPr>
                <w:t>Center</w:t>
              </w:r>
              <w:proofErr w:type="spellEnd"/>
              <w:r w:rsidRPr="003547AF">
                <w:rPr>
                  <w:rFonts w:ascii="Arial" w:hAnsi="Arial" w:cs="Arial"/>
                  <w:i/>
                  <w:iCs/>
                  <w:sz w:val="16"/>
                  <w:szCs w:val="16"/>
                </w:rPr>
                <w:t xml:space="preserve"> for Teaching and Learning. Available at: https://sites.hampshire.edu/ctl/2017/09/14/the-importance-of-engaging-prior-knowledge/ (Accessed: April 11, 2023). </w:t>
              </w:r>
            </w:p>
            <w:p w14:paraId="79535685" w14:textId="77777777" w:rsidR="003547AF" w:rsidRPr="0062629B" w:rsidRDefault="003547AF" w:rsidP="0062629B">
              <w:pPr>
                <w:tabs>
                  <w:tab w:val="left" w:pos="1226"/>
                </w:tabs>
                <w:rPr>
                  <w:rFonts w:ascii="Arial" w:hAnsi="Arial" w:cs="Arial"/>
                  <w:i/>
                  <w:iCs/>
                  <w:sz w:val="16"/>
                  <w:szCs w:val="16"/>
                </w:rPr>
              </w:pPr>
            </w:p>
            <w:p w14:paraId="585F6C38" w14:textId="77777777" w:rsidR="003547AF" w:rsidRPr="00E63D7F" w:rsidRDefault="00A0180D" w:rsidP="00A0180D">
              <w:pPr>
                <w:tabs>
                  <w:tab w:val="left" w:pos="1226"/>
                </w:tabs>
                <w:rPr>
                  <w:rFonts w:ascii="Arial" w:hAnsi="Arial" w:cs="Arial"/>
                  <w:i/>
                  <w:iCs/>
                  <w:sz w:val="16"/>
                  <w:szCs w:val="16"/>
                </w:rPr>
              </w:pPr>
              <w:r w:rsidRPr="00E63D7F">
                <w:rPr>
                  <w:rFonts w:ascii="Arial" w:hAnsi="Arial" w:cs="Arial"/>
                  <w:i/>
                  <w:iCs/>
                  <w:sz w:val="16"/>
                  <w:szCs w:val="16"/>
                </w:rPr>
                <w:tab/>
              </w:r>
            </w:p>
            <w:p w14:paraId="0613B883" w14:textId="77777777" w:rsidR="003547AF" w:rsidRPr="00AD55DD" w:rsidRDefault="00836399" w:rsidP="003547AF">
              <w:pPr>
                <w:tabs>
                  <w:tab w:val="left" w:pos="1226"/>
                </w:tabs>
                <w:rPr>
                  <w:rFonts w:ascii="Arial" w:hAnsi="Arial" w:cs="Arial"/>
                  <w:sz w:val="16"/>
                  <w:szCs w:val="16"/>
                </w:rPr>
              </w:pPr>
            </w:p>
          </w:sdtContent>
        </w:sdt>
      </w:sdtContent>
    </w:sdt>
    <w:p w14:paraId="2CA4770C" w14:textId="20B987A4" w:rsidR="00836399" w:rsidRPr="00AD55DD" w:rsidRDefault="00836399" w:rsidP="00A0180D">
      <w:pPr>
        <w:tabs>
          <w:tab w:val="left" w:pos="1226"/>
        </w:tabs>
        <w:rPr>
          <w:rFonts w:ascii="Arial" w:hAnsi="Arial" w:cs="Arial"/>
          <w:sz w:val="16"/>
          <w:szCs w:val="16"/>
        </w:rPr>
      </w:pPr>
    </w:p>
    <w:p w14:paraId="05E3A78A" w14:textId="77777777" w:rsidR="00836399" w:rsidRPr="00AD55DD" w:rsidRDefault="00836399" w:rsidP="00BD39E1">
      <w:pPr>
        <w:tabs>
          <w:tab w:val="left" w:pos="3892"/>
        </w:tabs>
        <w:jc w:val="both"/>
        <w:rPr>
          <w:rFonts w:ascii="Arial" w:hAnsi="Arial" w:cs="Arial"/>
          <w:sz w:val="16"/>
          <w:szCs w:val="16"/>
        </w:rPr>
      </w:pPr>
    </w:p>
    <w:p w14:paraId="35745131" w14:textId="77777777" w:rsidR="00836399" w:rsidRPr="00AD55DD" w:rsidRDefault="00836399" w:rsidP="00BD39E1">
      <w:pPr>
        <w:tabs>
          <w:tab w:val="left" w:pos="3892"/>
        </w:tabs>
        <w:jc w:val="both"/>
        <w:rPr>
          <w:rFonts w:ascii="Arial" w:hAnsi="Arial" w:cs="Arial"/>
          <w:sz w:val="16"/>
          <w:szCs w:val="16"/>
        </w:rPr>
      </w:pPr>
    </w:p>
    <w:p w14:paraId="34277630" w14:textId="77777777" w:rsidR="00836399" w:rsidRDefault="00836399" w:rsidP="00BD39E1">
      <w:pPr>
        <w:tabs>
          <w:tab w:val="left" w:pos="3892"/>
        </w:tabs>
        <w:jc w:val="both"/>
        <w:rPr>
          <w:rFonts w:ascii="Arial" w:hAnsi="Arial" w:cs="Arial"/>
          <w:sz w:val="24"/>
          <w:szCs w:val="24"/>
        </w:rPr>
      </w:pPr>
    </w:p>
    <w:p w14:paraId="081B717D" w14:textId="77777777" w:rsidR="00836399" w:rsidRDefault="00836399" w:rsidP="00BD39E1">
      <w:pPr>
        <w:tabs>
          <w:tab w:val="left" w:pos="3892"/>
        </w:tabs>
        <w:jc w:val="both"/>
        <w:rPr>
          <w:rFonts w:ascii="Arial" w:hAnsi="Arial" w:cs="Arial"/>
          <w:sz w:val="24"/>
          <w:szCs w:val="24"/>
        </w:rPr>
      </w:pPr>
    </w:p>
    <w:p w14:paraId="0F877DE6" w14:textId="77777777" w:rsidR="00836399" w:rsidRDefault="00836399" w:rsidP="00BD39E1">
      <w:pPr>
        <w:tabs>
          <w:tab w:val="left" w:pos="3892"/>
        </w:tabs>
        <w:jc w:val="both"/>
        <w:rPr>
          <w:rFonts w:ascii="Arial" w:hAnsi="Arial" w:cs="Arial"/>
          <w:sz w:val="24"/>
          <w:szCs w:val="24"/>
        </w:rPr>
      </w:pPr>
    </w:p>
    <w:p w14:paraId="77148A63" w14:textId="77777777" w:rsidR="00836399" w:rsidRDefault="00836399" w:rsidP="00BD39E1">
      <w:pPr>
        <w:tabs>
          <w:tab w:val="left" w:pos="3892"/>
        </w:tabs>
        <w:jc w:val="both"/>
        <w:rPr>
          <w:rFonts w:ascii="Arial" w:hAnsi="Arial" w:cs="Arial"/>
          <w:sz w:val="24"/>
          <w:szCs w:val="24"/>
        </w:rPr>
      </w:pPr>
    </w:p>
    <w:p w14:paraId="320AFCFE" w14:textId="77777777" w:rsidR="00836399" w:rsidRDefault="00836399" w:rsidP="00BD39E1">
      <w:pPr>
        <w:tabs>
          <w:tab w:val="left" w:pos="3892"/>
        </w:tabs>
        <w:jc w:val="both"/>
        <w:rPr>
          <w:rFonts w:ascii="Arial" w:hAnsi="Arial" w:cs="Arial"/>
          <w:sz w:val="24"/>
          <w:szCs w:val="24"/>
        </w:rPr>
      </w:pPr>
    </w:p>
    <w:p w14:paraId="768AA19C" w14:textId="77777777" w:rsidR="00836399" w:rsidRDefault="00836399" w:rsidP="00BD39E1">
      <w:pPr>
        <w:tabs>
          <w:tab w:val="left" w:pos="3892"/>
        </w:tabs>
        <w:jc w:val="both"/>
        <w:rPr>
          <w:rFonts w:ascii="Arial" w:hAnsi="Arial" w:cs="Arial"/>
          <w:sz w:val="24"/>
          <w:szCs w:val="24"/>
        </w:rPr>
      </w:pPr>
    </w:p>
    <w:p w14:paraId="472AE99C" w14:textId="2F1A9788" w:rsidR="008F793B" w:rsidRPr="00907AC1" w:rsidRDefault="008F793B" w:rsidP="00907AC1">
      <w:pPr>
        <w:tabs>
          <w:tab w:val="left" w:pos="3892"/>
        </w:tabs>
        <w:rPr>
          <w:rFonts w:ascii="Arial" w:hAnsi="Arial" w:cs="Arial"/>
          <w:sz w:val="24"/>
          <w:szCs w:val="24"/>
        </w:rPr>
      </w:pPr>
    </w:p>
    <w:sectPr w:rsidR="008F793B" w:rsidRPr="00907A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A81"/>
    <w:rsid w:val="00067195"/>
    <w:rsid w:val="00092092"/>
    <w:rsid w:val="000926D2"/>
    <w:rsid w:val="000A3319"/>
    <w:rsid w:val="000C78E6"/>
    <w:rsid w:val="00142CB0"/>
    <w:rsid w:val="00156090"/>
    <w:rsid w:val="00166366"/>
    <w:rsid w:val="001831F7"/>
    <w:rsid w:val="001A7219"/>
    <w:rsid w:val="001B1618"/>
    <w:rsid w:val="001B5713"/>
    <w:rsid w:val="001C16E6"/>
    <w:rsid w:val="001D0B4D"/>
    <w:rsid w:val="001E1332"/>
    <w:rsid w:val="001F5215"/>
    <w:rsid w:val="0022355C"/>
    <w:rsid w:val="0027079F"/>
    <w:rsid w:val="00287652"/>
    <w:rsid w:val="002A29E3"/>
    <w:rsid w:val="002B3C20"/>
    <w:rsid w:val="002C3933"/>
    <w:rsid w:val="00306047"/>
    <w:rsid w:val="00313B47"/>
    <w:rsid w:val="0031524A"/>
    <w:rsid w:val="00351B24"/>
    <w:rsid w:val="003547AF"/>
    <w:rsid w:val="00365D33"/>
    <w:rsid w:val="003737A2"/>
    <w:rsid w:val="003F5083"/>
    <w:rsid w:val="00417AB3"/>
    <w:rsid w:val="00434AF9"/>
    <w:rsid w:val="00436134"/>
    <w:rsid w:val="00486F30"/>
    <w:rsid w:val="004A6F6E"/>
    <w:rsid w:val="004C7BFC"/>
    <w:rsid w:val="004D0BAA"/>
    <w:rsid w:val="004F22F8"/>
    <w:rsid w:val="0050612E"/>
    <w:rsid w:val="0051262C"/>
    <w:rsid w:val="005331BD"/>
    <w:rsid w:val="00533C6C"/>
    <w:rsid w:val="00556BC5"/>
    <w:rsid w:val="0056303B"/>
    <w:rsid w:val="00587BCA"/>
    <w:rsid w:val="005A2D9E"/>
    <w:rsid w:val="005D3138"/>
    <w:rsid w:val="005E50F0"/>
    <w:rsid w:val="00623E99"/>
    <w:rsid w:val="0062629B"/>
    <w:rsid w:val="00656D2C"/>
    <w:rsid w:val="00660D06"/>
    <w:rsid w:val="006828FD"/>
    <w:rsid w:val="006B189A"/>
    <w:rsid w:val="006E2FBB"/>
    <w:rsid w:val="006E40EB"/>
    <w:rsid w:val="006E4E43"/>
    <w:rsid w:val="006E5C9F"/>
    <w:rsid w:val="006F1269"/>
    <w:rsid w:val="007127E7"/>
    <w:rsid w:val="0074618F"/>
    <w:rsid w:val="00783793"/>
    <w:rsid w:val="00791D64"/>
    <w:rsid w:val="007937C8"/>
    <w:rsid w:val="00833370"/>
    <w:rsid w:val="00836399"/>
    <w:rsid w:val="00873752"/>
    <w:rsid w:val="0088738E"/>
    <w:rsid w:val="008F28F4"/>
    <w:rsid w:val="008F4CFE"/>
    <w:rsid w:val="008F793B"/>
    <w:rsid w:val="00907AC1"/>
    <w:rsid w:val="00933F05"/>
    <w:rsid w:val="00941475"/>
    <w:rsid w:val="009476B2"/>
    <w:rsid w:val="00955594"/>
    <w:rsid w:val="00955EEF"/>
    <w:rsid w:val="00971D33"/>
    <w:rsid w:val="0097453C"/>
    <w:rsid w:val="00976EDE"/>
    <w:rsid w:val="00985F9D"/>
    <w:rsid w:val="009929DC"/>
    <w:rsid w:val="009A0DD0"/>
    <w:rsid w:val="009D228D"/>
    <w:rsid w:val="009E008F"/>
    <w:rsid w:val="009F66D0"/>
    <w:rsid w:val="009F792B"/>
    <w:rsid w:val="00A0180D"/>
    <w:rsid w:val="00A0212C"/>
    <w:rsid w:val="00A0311A"/>
    <w:rsid w:val="00A13D43"/>
    <w:rsid w:val="00A306B8"/>
    <w:rsid w:val="00A40698"/>
    <w:rsid w:val="00A42284"/>
    <w:rsid w:val="00A57608"/>
    <w:rsid w:val="00A63E0B"/>
    <w:rsid w:val="00A75C8E"/>
    <w:rsid w:val="00A96F7D"/>
    <w:rsid w:val="00AB2BCD"/>
    <w:rsid w:val="00AD298D"/>
    <w:rsid w:val="00AD4BE4"/>
    <w:rsid w:val="00AD55DD"/>
    <w:rsid w:val="00AE2366"/>
    <w:rsid w:val="00B075FD"/>
    <w:rsid w:val="00B5600C"/>
    <w:rsid w:val="00B63F3B"/>
    <w:rsid w:val="00B70D24"/>
    <w:rsid w:val="00B85A36"/>
    <w:rsid w:val="00BC35B3"/>
    <w:rsid w:val="00BD39E1"/>
    <w:rsid w:val="00C0497F"/>
    <w:rsid w:val="00C113AF"/>
    <w:rsid w:val="00C121CE"/>
    <w:rsid w:val="00C45683"/>
    <w:rsid w:val="00C83E20"/>
    <w:rsid w:val="00CA3C95"/>
    <w:rsid w:val="00CB6B2B"/>
    <w:rsid w:val="00CC6908"/>
    <w:rsid w:val="00CE21E9"/>
    <w:rsid w:val="00CE3E10"/>
    <w:rsid w:val="00CE44CD"/>
    <w:rsid w:val="00D100D5"/>
    <w:rsid w:val="00D10D2C"/>
    <w:rsid w:val="00D13E5F"/>
    <w:rsid w:val="00D1490B"/>
    <w:rsid w:val="00D14A74"/>
    <w:rsid w:val="00D20333"/>
    <w:rsid w:val="00D65A81"/>
    <w:rsid w:val="00D74BFB"/>
    <w:rsid w:val="00D93DEC"/>
    <w:rsid w:val="00D94BF2"/>
    <w:rsid w:val="00DA58B9"/>
    <w:rsid w:val="00DD1A2B"/>
    <w:rsid w:val="00E10D94"/>
    <w:rsid w:val="00E1404A"/>
    <w:rsid w:val="00E16A66"/>
    <w:rsid w:val="00E32FB9"/>
    <w:rsid w:val="00E5242E"/>
    <w:rsid w:val="00E62AE2"/>
    <w:rsid w:val="00E63D7F"/>
    <w:rsid w:val="00E70176"/>
    <w:rsid w:val="00E93750"/>
    <w:rsid w:val="00E97AE5"/>
    <w:rsid w:val="00EA234E"/>
    <w:rsid w:val="00EA6DD4"/>
    <w:rsid w:val="00EF03D6"/>
    <w:rsid w:val="00EF6EC1"/>
    <w:rsid w:val="00F02314"/>
    <w:rsid w:val="00F33638"/>
    <w:rsid w:val="00F6396C"/>
    <w:rsid w:val="00F754BC"/>
    <w:rsid w:val="00F82606"/>
    <w:rsid w:val="00FB2CB4"/>
    <w:rsid w:val="00FC3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07CCB"/>
  <w15:chartTrackingRefBased/>
  <w15:docId w15:val="{D0BB83D2-7A1D-495F-8B21-7E048737C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8E6"/>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36399"/>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1269"/>
    <w:rPr>
      <w:color w:val="0563C1" w:themeColor="hyperlink"/>
      <w:u w:val="single"/>
    </w:rPr>
  </w:style>
  <w:style w:type="character" w:styleId="UnresolvedMention">
    <w:name w:val="Unresolved Mention"/>
    <w:basedOn w:val="DefaultParagraphFont"/>
    <w:uiPriority w:val="99"/>
    <w:semiHidden/>
    <w:unhideWhenUsed/>
    <w:rsid w:val="006F1269"/>
    <w:rPr>
      <w:color w:val="605E5C"/>
      <w:shd w:val="clear" w:color="auto" w:fill="E1DFDD"/>
    </w:rPr>
  </w:style>
  <w:style w:type="character" w:styleId="FollowedHyperlink">
    <w:name w:val="FollowedHyperlink"/>
    <w:basedOn w:val="DefaultParagraphFont"/>
    <w:uiPriority w:val="99"/>
    <w:semiHidden/>
    <w:unhideWhenUsed/>
    <w:rsid w:val="00BC35B3"/>
    <w:rPr>
      <w:color w:val="954F72" w:themeColor="followedHyperlink"/>
      <w:u w:val="single"/>
    </w:rPr>
  </w:style>
  <w:style w:type="character" w:customStyle="1" w:styleId="Heading1Char">
    <w:name w:val="Heading 1 Char"/>
    <w:basedOn w:val="DefaultParagraphFont"/>
    <w:link w:val="Heading1"/>
    <w:uiPriority w:val="9"/>
    <w:rsid w:val="00836399"/>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A96F7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6617">
      <w:bodyDiv w:val="1"/>
      <w:marLeft w:val="0"/>
      <w:marRight w:val="0"/>
      <w:marTop w:val="0"/>
      <w:marBottom w:val="0"/>
      <w:divBdr>
        <w:top w:val="none" w:sz="0" w:space="0" w:color="auto"/>
        <w:left w:val="none" w:sz="0" w:space="0" w:color="auto"/>
        <w:bottom w:val="none" w:sz="0" w:space="0" w:color="auto"/>
        <w:right w:val="none" w:sz="0" w:space="0" w:color="auto"/>
      </w:divBdr>
    </w:div>
    <w:div w:id="235670852">
      <w:bodyDiv w:val="1"/>
      <w:marLeft w:val="0"/>
      <w:marRight w:val="0"/>
      <w:marTop w:val="0"/>
      <w:marBottom w:val="0"/>
      <w:divBdr>
        <w:top w:val="none" w:sz="0" w:space="0" w:color="auto"/>
        <w:left w:val="none" w:sz="0" w:space="0" w:color="auto"/>
        <w:bottom w:val="none" w:sz="0" w:space="0" w:color="auto"/>
        <w:right w:val="none" w:sz="0" w:space="0" w:color="auto"/>
      </w:divBdr>
    </w:div>
    <w:div w:id="366830140">
      <w:bodyDiv w:val="1"/>
      <w:marLeft w:val="0"/>
      <w:marRight w:val="0"/>
      <w:marTop w:val="0"/>
      <w:marBottom w:val="0"/>
      <w:divBdr>
        <w:top w:val="none" w:sz="0" w:space="0" w:color="auto"/>
        <w:left w:val="none" w:sz="0" w:space="0" w:color="auto"/>
        <w:bottom w:val="none" w:sz="0" w:space="0" w:color="auto"/>
        <w:right w:val="none" w:sz="0" w:space="0" w:color="auto"/>
      </w:divBdr>
    </w:div>
    <w:div w:id="384066683">
      <w:bodyDiv w:val="1"/>
      <w:marLeft w:val="0"/>
      <w:marRight w:val="0"/>
      <w:marTop w:val="0"/>
      <w:marBottom w:val="0"/>
      <w:divBdr>
        <w:top w:val="none" w:sz="0" w:space="0" w:color="auto"/>
        <w:left w:val="none" w:sz="0" w:space="0" w:color="auto"/>
        <w:bottom w:val="none" w:sz="0" w:space="0" w:color="auto"/>
        <w:right w:val="none" w:sz="0" w:space="0" w:color="auto"/>
      </w:divBdr>
    </w:div>
    <w:div w:id="554706372">
      <w:bodyDiv w:val="1"/>
      <w:marLeft w:val="0"/>
      <w:marRight w:val="0"/>
      <w:marTop w:val="0"/>
      <w:marBottom w:val="0"/>
      <w:divBdr>
        <w:top w:val="none" w:sz="0" w:space="0" w:color="auto"/>
        <w:left w:val="none" w:sz="0" w:space="0" w:color="auto"/>
        <w:bottom w:val="none" w:sz="0" w:space="0" w:color="auto"/>
        <w:right w:val="none" w:sz="0" w:space="0" w:color="auto"/>
      </w:divBdr>
    </w:div>
    <w:div w:id="621956775">
      <w:bodyDiv w:val="1"/>
      <w:marLeft w:val="0"/>
      <w:marRight w:val="0"/>
      <w:marTop w:val="0"/>
      <w:marBottom w:val="0"/>
      <w:divBdr>
        <w:top w:val="none" w:sz="0" w:space="0" w:color="auto"/>
        <w:left w:val="none" w:sz="0" w:space="0" w:color="auto"/>
        <w:bottom w:val="none" w:sz="0" w:space="0" w:color="auto"/>
        <w:right w:val="none" w:sz="0" w:space="0" w:color="auto"/>
      </w:divBdr>
    </w:div>
    <w:div w:id="735664772">
      <w:bodyDiv w:val="1"/>
      <w:marLeft w:val="0"/>
      <w:marRight w:val="0"/>
      <w:marTop w:val="0"/>
      <w:marBottom w:val="0"/>
      <w:divBdr>
        <w:top w:val="none" w:sz="0" w:space="0" w:color="auto"/>
        <w:left w:val="none" w:sz="0" w:space="0" w:color="auto"/>
        <w:bottom w:val="none" w:sz="0" w:space="0" w:color="auto"/>
        <w:right w:val="none" w:sz="0" w:space="0" w:color="auto"/>
      </w:divBdr>
    </w:div>
    <w:div w:id="946547515">
      <w:bodyDiv w:val="1"/>
      <w:marLeft w:val="0"/>
      <w:marRight w:val="0"/>
      <w:marTop w:val="0"/>
      <w:marBottom w:val="0"/>
      <w:divBdr>
        <w:top w:val="none" w:sz="0" w:space="0" w:color="auto"/>
        <w:left w:val="none" w:sz="0" w:space="0" w:color="auto"/>
        <w:bottom w:val="none" w:sz="0" w:space="0" w:color="auto"/>
        <w:right w:val="none" w:sz="0" w:space="0" w:color="auto"/>
      </w:divBdr>
    </w:div>
    <w:div w:id="967510585">
      <w:bodyDiv w:val="1"/>
      <w:marLeft w:val="0"/>
      <w:marRight w:val="0"/>
      <w:marTop w:val="0"/>
      <w:marBottom w:val="0"/>
      <w:divBdr>
        <w:top w:val="none" w:sz="0" w:space="0" w:color="auto"/>
        <w:left w:val="none" w:sz="0" w:space="0" w:color="auto"/>
        <w:bottom w:val="none" w:sz="0" w:space="0" w:color="auto"/>
        <w:right w:val="none" w:sz="0" w:space="0" w:color="auto"/>
      </w:divBdr>
    </w:div>
    <w:div w:id="1297488700">
      <w:bodyDiv w:val="1"/>
      <w:marLeft w:val="0"/>
      <w:marRight w:val="0"/>
      <w:marTop w:val="0"/>
      <w:marBottom w:val="0"/>
      <w:divBdr>
        <w:top w:val="none" w:sz="0" w:space="0" w:color="auto"/>
        <w:left w:val="none" w:sz="0" w:space="0" w:color="auto"/>
        <w:bottom w:val="none" w:sz="0" w:space="0" w:color="auto"/>
        <w:right w:val="none" w:sz="0" w:space="0" w:color="auto"/>
      </w:divBdr>
    </w:div>
    <w:div w:id="1330060372">
      <w:bodyDiv w:val="1"/>
      <w:marLeft w:val="0"/>
      <w:marRight w:val="0"/>
      <w:marTop w:val="0"/>
      <w:marBottom w:val="0"/>
      <w:divBdr>
        <w:top w:val="none" w:sz="0" w:space="0" w:color="auto"/>
        <w:left w:val="none" w:sz="0" w:space="0" w:color="auto"/>
        <w:bottom w:val="none" w:sz="0" w:space="0" w:color="auto"/>
        <w:right w:val="none" w:sz="0" w:space="0" w:color="auto"/>
      </w:divBdr>
    </w:div>
    <w:div w:id="1339966758">
      <w:bodyDiv w:val="1"/>
      <w:marLeft w:val="0"/>
      <w:marRight w:val="0"/>
      <w:marTop w:val="0"/>
      <w:marBottom w:val="0"/>
      <w:divBdr>
        <w:top w:val="none" w:sz="0" w:space="0" w:color="auto"/>
        <w:left w:val="none" w:sz="0" w:space="0" w:color="auto"/>
        <w:bottom w:val="none" w:sz="0" w:space="0" w:color="auto"/>
        <w:right w:val="none" w:sz="0" w:space="0" w:color="auto"/>
      </w:divBdr>
    </w:div>
    <w:div w:id="1589653653">
      <w:bodyDiv w:val="1"/>
      <w:marLeft w:val="0"/>
      <w:marRight w:val="0"/>
      <w:marTop w:val="0"/>
      <w:marBottom w:val="0"/>
      <w:divBdr>
        <w:top w:val="none" w:sz="0" w:space="0" w:color="auto"/>
        <w:left w:val="none" w:sz="0" w:space="0" w:color="auto"/>
        <w:bottom w:val="none" w:sz="0" w:space="0" w:color="auto"/>
        <w:right w:val="none" w:sz="0" w:space="0" w:color="auto"/>
      </w:divBdr>
    </w:div>
    <w:div w:id="1685932465">
      <w:bodyDiv w:val="1"/>
      <w:marLeft w:val="0"/>
      <w:marRight w:val="0"/>
      <w:marTop w:val="0"/>
      <w:marBottom w:val="0"/>
      <w:divBdr>
        <w:top w:val="none" w:sz="0" w:space="0" w:color="auto"/>
        <w:left w:val="none" w:sz="0" w:space="0" w:color="auto"/>
        <w:bottom w:val="none" w:sz="0" w:space="0" w:color="auto"/>
        <w:right w:val="none" w:sz="0" w:space="0" w:color="auto"/>
      </w:divBdr>
    </w:div>
    <w:div w:id="1734087259">
      <w:bodyDiv w:val="1"/>
      <w:marLeft w:val="0"/>
      <w:marRight w:val="0"/>
      <w:marTop w:val="0"/>
      <w:marBottom w:val="0"/>
      <w:divBdr>
        <w:top w:val="none" w:sz="0" w:space="0" w:color="auto"/>
        <w:left w:val="none" w:sz="0" w:space="0" w:color="auto"/>
        <w:bottom w:val="none" w:sz="0" w:space="0" w:color="auto"/>
        <w:right w:val="none" w:sz="0" w:space="0" w:color="auto"/>
      </w:divBdr>
    </w:div>
    <w:div w:id="1785269925">
      <w:bodyDiv w:val="1"/>
      <w:marLeft w:val="0"/>
      <w:marRight w:val="0"/>
      <w:marTop w:val="0"/>
      <w:marBottom w:val="0"/>
      <w:divBdr>
        <w:top w:val="none" w:sz="0" w:space="0" w:color="auto"/>
        <w:left w:val="none" w:sz="0" w:space="0" w:color="auto"/>
        <w:bottom w:val="none" w:sz="0" w:space="0" w:color="auto"/>
        <w:right w:val="none" w:sz="0" w:space="0" w:color="auto"/>
      </w:divBdr>
    </w:div>
    <w:div w:id="1870988090">
      <w:bodyDiv w:val="1"/>
      <w:marLeft w:val="0"/>
      <w:marRight w:val="0"/>
      <w:marTop w:val="0"/>
      <w:marBottom w:val="0"/>
      <w:divBdr>
        <w:top w:val="none" w:sz="0" w:space="0" w:color="auto"/>
        <w:left w:val="none" w:sz="0" w:space="0" w:color="auto"/>
        <w:bottom w:val="none" w:sz="0" w:space="0" w:color="auto"/>
        <w:right w:val="none" w:sz="0" w:space="0" w:color="auto"/>
      </w:divBdr>
    </w:div>
    <w:div w:id="1929843903">
      <w:bodyDiv w:val="1"/>
      <w:marLeft w:val="0"/>
      <w:marRight w:val="0"/>
      <w:marTop w:val="0"/>
      <w:marBottom w:val="0"/>
      <w:divBdr>
        <w:top w:val="none" w:sz="0" w:space="0" w:color="auto"/>
        <w:left w:val="none" w:sz="0" w:space="0" w:color="auto"/>
        <w:bottom w:val="none" w:sz="0" w:space="0" w:color="auto"/>
        <w:right w:val="none" w:sz="0" w:space="0" w:color="auto"/>
      </w:divBdr>
    </w:div>
    <w:div w:id="2005545247">
      <w:bodyDiv w:val="1"/>
      <w:marLeft w:val="0"/>
      <w:marRight w:val="0"/>
      <w:marTop w:val="0"/>
      <w:marBottom w:val="0"/>
      <w:divBdr>
        <w:top w:val="none" w:sz="0" w:space="0" w:color="auto"/>
        <w:left w:val="none" w:sz="0" w:space="0" w:color="auto"/>
        <w:bottom w:val="none" w:sz="0" w:space="0" w:color="auto"/>
        <w:right w:val="none" w:sz="0" w:space="0" w:color="auto"/>
      </w:divBdr>
    </w:div>
    <w:div w:id="203641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books.google.com/books?id=2u2TxK06PwUC&amp;amp;printsec=frontcover&amp;amp;source=gbs_ge_summary_r&amp;amp;ca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14742-557F-4FE6-8353-2AE6CD545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Pages>
  <Words>3789</Words>
  <Characters>21603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jones</dc:creator>
  <cp:keywords/>
  <dc:description/>
  <cp:lastModifiedBy>lucie jones</cp:lastModifiedBy>
  <cp:revision>149</cp:revision>
  <dcterms:created xsi:type="dcterms:W3CDTF">2023-04-09T14:12:00Z</dcterms:created>
  <dcterms:modified xsi:type="dcterms:W3CDTF">2023-04-11T11:32:00Z</dcterms:modified>
</cp:coreProperties>
</file>