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63E667E6" w:rsidR="00093204" w:rsidRDefault="00093204">
                                    <w:pPr>
                                      <w:pStyle w:val="NoSpacing"/>
                                      <w:jc w:val="right"/>
                                      <w:rPr>
                                        <w:color w:val="595959" w:themeColor="text1" w:themeTint="A6"/>
                                        <w:sz w:val="28"/>
                                        <w:szCs w:val="28"/>
                                      </w:rPr>
                                    </w:pPr>
                                    <w:r>
                                      <w:rPr>
                                        <w:color w:val="595959" w:themeColor="text1" w:themeTint="A6"/>
                                        <w:sz w:val="28"/>
                                        <w:szCs w:val="28"/>
                                      </w:rPr>
                                      <w:t>Name</w:t>
                                    </w:r>
                                    <w:r w:rsidR="009830DB">
                                      <w:rPr>
                                        <w:color w:val="595959" w:themeColor="text1" w:themeTint="A6"/>
                                        <w:sz w:val="28"/>
                                        <w:szCs w:val="28"/>
                                      </w:rPr>
                                      <w:t xml:space="preserve">   Alina-Mihaela Matei</w:t>
                                    </w:r>
                                  </w:p>
                                </w:sdtContent>
                              </w:sdt>
                              <w:p w14:paraId="403C690E" w14:textId="0DE9B0FB"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9830DB">
                                  <w:rPr>
                                    <w:color w:val="595959" w:themeColor="text1" w:themeTint="A6"/>
                                    <w:sz w:val="18"/>
                                    <w:szCs w:val="18"/>
                                  </w:rPr>
                                  <w:t xml:space="preserve">  2214002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63E667E6" w:rsidR="00093204" w:rsidRDefault="00093204">
                              <w:pPr>
                                <w:pStyle w:val="NoSpacing"/>
                                <w:jc w:val="right"/>
                                <w:rPr>
                                  <w:color w:val="595959" w:themeColor="text1" w:themeTint="A6"/>
                                  <w:sz w:val="28"/>
                                  <w:szCs w:val="28"/>
                                </w:rPr>
                              </w:pPr>
                              <w:r>
                                <w:rPr>
                                  <w:color w:val="595959" w:themeColor="text1" w:themeTint="A6"/>
                                  <w:sz w:val="28"/>
                                  <w:szCs w:val="28"/>
                                </w:rPr>
                                <w:t>Name</w:t>
                              </w:r>
                              <w:r w:rsidR="009830DB">
                                <w:rPr>
                                  <w:color w:val="595959" w:themeColor="text1" w:themeTint="A6"/>
                                  <w:sz w:val="28"/>
                                  <w:szCs w:val="28"/>
                                </w:rPr>
                                <w:t xml:space="preserve">   Alina-Mihaela Matei</w:t>
                              </w:r>
                            </w:p>
                          </w:sdtContent>
                        </w:sdt>
                        <w:p w14:paraId="403C690E" w14:textId="0DE9B0FB"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9830DB">
                            <w:rPr>
                              <w:color w:val="595959" w:themeColor="text1" w:themeTint="A6"/>
                              <w:sz w:val="18"/>
                              <w:szCs w:val="18"/>
                            </w:rPr>
                            <w:t xml:space="preserve">  2214002</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D42EBF6" w:rsidR="00093204" w:rsidRDefault="009830DB">
                                    <w:pPr>
                                      <w:jc w:val="right"/>
                                      <w:rPr>
                                        <w:smallCaps/>
                                        <w:color w:val="404040" w:themeColor="text1" w:themeTint="BF"/>
                                        <w:sz w:val="36"/>
                                        <w:szCs w:val="36"/>
                                      </w:rPr>
                                    </w:pPr>
                                    <w:r>
                                      <w:rPr>
                                        <w:color w:val="404040" w:themeColor="text1" w:themeTint="BF"/>
                                        <w:sz w:val="36"/>
                                        <w:szCs w:val="36"/>
                                      </w:rPr>
                                      <w:t>Criminal Law</w:t>
                                    </w:r>
                                    <w:r w:rsidRPr="009830DB">
                                      <w:rPr>
                                        <w:color w:val="404040" w:themeColor="text1" w:themeTint="BF"/>
                                        <w:sz w:val="36"/>
                                        <w:szCs w:val="36"/>
                                      </w:rPr>
                                      <w:t xml:space="preserve"> – BMLW4005/BMPL4009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D42EBF6" w:rsidR="00093204" w:rsidRDefault="009830DB">
                              <w:pPr>
                                <w:jc w:val="right"/>
                                <w:rPr>
                                  <w:smallCaps/>
                                  <w:color w:val="404040" w:themeColor="text1" w:themeTint="BF"/>
                                  <w:sz w:val="36"/>
                                  <w:szCs w:val="36"/>
                                </w:rPr>
                              </w:pPr>
                              <w:r>
                                <w:rPr>
                                  <w:color w:val="404040" w:themeColor="text1" w:themeTint="BF"/>
                                  <w:sz w:val="36"/>
                                  <w:szCs w:val="36"/>
                                </w:rPr>
                                <w:t>Criminal Law</w:t>
                              </w:r>
                              <w:r w:rsidRPr="009830DB">
                                <w:rPr>
                                  <w:color w:val="404040" w:themeColor="text1" w:themeTint="BF"/>
                                  <w:sz w:val="36"/>
                                  <w:szCs w:val="36"/>
                                </w:rPr>
                                <w:t xml:space="preserve"> – BMLW4005/BMPL4009</w:t>
                              </w:r>
                            </w:p>
                          </w:sdtContent>
                        </w:sdt>
                      </w:txbxContent>
                    </v:textbox>
                    <w10:wrap type="square" anchorx="page" anchory="page"/>
                  </v:shape>
                </w:pict>
              </mc:Fallback>
            </mc:AlternateContent>
          </w:r>
        </w:p>
        <w:p w14:paraId="4FB132AC" w14:textId="7BE1B2CF" w:rsidR="00FA6250" w:rsidRDefault="00093204" w:rsidP="00FA6250">
          <w:r>
            <w:br w:type="page"/>
          </w:r>
        </w:p>
      </w:sdtContent>
    </w:sdt>
    <w:p w14:paraId="61079DA6" w14:textId="5AF48605" w:rsidR="00565C08" w:rsidRDefault="00FD06B6" w:rsidP="00FD06B6">
      <w:pPr>
        <w:spacing w:line="360" w:lineRule="auto"/>
        <w:jc w:val="both"/>
        <w:rPr>
          <w:rFonts w:ascii="Arial" w:hAnsi="Arial" w:cs="Arial"/>
          <w:sz w:val="24"/>
          <w:szCs w:val="24"/>
        </w:rPr>
      </w:pPr>
      <w:bookmarkStart w:id="0" w:name="_Toc114220768"/>
      <w:r>
        <w:rPr>
          <w:rFonts w:ascii="Arial" w:hAnsi="Arial" w:cs="Arial"/>
          <w:sz w:val="24"/>
          <w:szCs w:val="24"/>
        </w:rPr>
        <w:lastRenderedPageBreak/>
        <w:t xml:space="preserve">     </w:t>
      </w:r>
      <w:r w:rsidR="00565C08" w:rsidRPr="00565C08">
        <w:rPr>
          <w:rFonts w:ascii="Arial" w:hAnsi="Arial" w:cs="Arial"/>
          <w:sz w:val="24"/>
          <w:szCs w:val="24"/>
        </w:rPr>
        <w:t>Is it possible for someone to be found guilty of a crime simply by doing nothing?</w:t>
      </w:r>
    </w:p>
    <w:p w14:paraId="248CACF8" w14:textId="5F3E88EB" w:rsidR="00565C08" w:rsidRDefault="00FD06B6" w:rsidP="00FD06B6">
      <w:pPr>
        <w:spacing w:line="360" w:lineRule="auto"/>
        <w:jc w:val="both"/>
        <w:rPr>
          <w:rFonts w:ascii="Arial" w:hAnsi="Arial" w:cs="Arial"/>
          <w:sz w:val="24"/>
          <w:szCs w:val="24"/>
        </w:rPr>
      </w:pPr>
      <w:r>
        <w:rPr>
          <w:rFonts w:ascii="Arial" w:hAnsi="Arial" w:cs="Arial"/>
          <w:sz w:val="24"/>
          <w:szCs w:val="24"/>
        </w:rPr>
        <w:t xml:space="preserve">     </w:t>
      </w:r>
      <w:r w:rsidR="009830DB" w:rsidRPr="0051606C">
        <w:rPr>
          <w:rFonts w:ascii="Arial" w:hAnsi="Arial" w:cs="Arial"/>
          <w:sz w:val="24"/>
          <w:szCs w:val="24"/>
        </w:rPr>
        <w:t>According to Thomas Bernard, in Britannica (2022), a crime represents</w:t>
      </w:r>
      <w:r w:rsidR="00565C08">
        <w:rPr>
          <w:rFonts w:ascii="Arial" w:hAnsi="Arial" w:cs="Arial"/>
          <w:sz w:val="24"/>
          <w:szCs w:val="24"/>
        </w:rPr>
        <w:t>:</w:t>
      </w:r>
    </w:p>
    <w:p w14:paraId="0728012F" w14:textId="0B78C66D" w:rsidR="00565C08" w:rsidRDefault="009830DB" w:rsidP="00565C08">
      <w:pPr>
        <w:spacing w:line="360" w:lineRule="auto"/>
        <w:ind w:left="993" w:right="1088"/>
        <w:jc w:val="both"/>
        <w:rPr>
          <w:rFonts w:ascii="Arial" w:hAnsi="Arial" w:cs="Arial"/>
          <w:sz w:val="24"/>
          <w:szCs w:val="24"/>
        </w:rPr>
      </w:pPr>
      <w:r w:rsidRPr="0051606C">
        <w:rPr>
          <w:rFonts w:ascii="Arial" w:hAnsi="Arial" w:cs="Arial"/>
          <w:sz w:val="24"/>
          <w:szCs w:val="24"/>
        </w:rPr>
        <w:t>‘</w:t>
      </w:r>
      <w:r w:rsidRPr="00565C08">
        <w:rPr>
          <w:rFonts w:ascii="Arial" w:hAnsi="Arial" w:cs="Arial"/>
          <w:i/>
          <w:iCs/>
          <w:sz w:val="24"/>
          <w:szCs w:val="24"/>
        </w:rPr>
        <w:t>’the intentional commission of an act usually deemed socially harmful or dangerous and specifically defined, prohibited, and punishable under criminal law</w:t>
      </w:r>
      <w:r w:rsidR="00565C08">
        <w:rPr>
          <w:rFonts w:ascii="Arial" w:hAnsi="Arial" w:cs="Arial"/>
          <w:sz w:val="24"/>
          <w:szCs w:val="24"/>
        </w:rPr>
        <w:t>”</w:t>
      </w:r>
    </w:p>
    <w:p w14:paraId="1E4F9DCB" w14:textId="042245EE" w:rsidR="00565C08" w:rsidRDefault="00565C08" w:rsidP="009830DB">
      <w:pPr>
        <w:spacing w:line="360" w:lineRule="auto"/>
        <w:jc w:val="both"/>
        <w:rPr>
          <w:rFonts w:ascii="Arial" w:hAnsi="Arial" w:cs="Arial"/>
          <w:sz w:val="24"/>
          <w:szCs w:val="24"/>
        </w:rPr>
      </w:pPr>
      <w:r>
        <w:rPr>
          <w:rFonts w:ascii="Arial" w:hAnsi="Arial" w:cs="Arial"/>
          <w:sz w:val="24"/>
          <w:szCs w:val="24"/>
        </w:rPr>
        <w:t xml:space="preserve">while </w:t>
      </w:r>
      <w:r w:rsidR="009830DB" w:rsidRPr="0051606C">
        <w:rPr>
          <w:rFonts w:ascii="Arial" w:hAnsi="Arial" w:cs="Arial"/>
          <w:sz w:val="24"/>
          <w:szCs w:val="24"/>
        </w:rPr>
        <w:t>liability is though regarded as</w:t>
      </w:r>
      <w:r w:rsidR="0044326D">
        <w:rPr>
          <w:rFonts w:ascii="Arial" w:hAnsi="Arial" w:cs="Arial"/>
          <w:sz w:val="24"/>
          <w:szCs w:val="24"/>
        </w:rPr>
        <w:t>:</w:t>
      </w:r>
    </w:p>
    <w:p w14:paraId="60C7DCAA" w14:textId="4D1E4BD2" w:rsidR="009830DB" w:rsidRPr="0051606C" w:rsidRDefault="009830DB" w:rsidP="00565C08">
      <w:pPr>
        <w:spacing w:line="360" w:lineRule="auto"/>
        <w:ind w:left="993" w:right="1088"/>
        <w:jc w:val="both"/>
        <w:rPr>
          <w:rFonts w:ascii="Arial" w:hAnsi="Arial" w:cs="Arial"/>
          <w:sz w:val="24"/>
          <w:szCs w:val="24"/>
        </w:rPr>
      </w:pPr>
      <w:r w:rsidRPr="0051606C">
        <w:rPr>
          <w:rFonts w:ascii="Arial" w:hAnsi="Arial" w:cs="Arial"/>
          <w:sz w:val="24"/>
          <w:szCs w:val="24"/>
        </w:rPr>
        <w:t>‘</w:t>
      </w:r>
      <w:r w:rsidRPr="00565C08">
        <w:rPr>
          <w:rFonts w:ascii="Arial" w:hAnsi="Arial" w:cs="Arial"/>
          <w:i/>
          <w:iCs/>
          <w:sz w:val="24"/>
          <w:szCs w:val="24"/>
        </w:rPr>
        <w:t>’a broad term including almost every type of duty, obligation, debt, responsibility, or hazard arising by way of contract, tort, or statute.</w:t>
      </w:r>
      <w:r w:rsidRPr="0051606C">
        <w:rPr>
          <w:rFonts w:ascii="Arial" w:hAnsi="Arial" w:cs="Arial"/>
          <w:sz w:val="24"/>
          <w:szCs w:val="24"/>
        </w:rPr>
        <w:t>‘’ (Britannica, 2021)</w:t>
      </w:r>
    </w:p>
    <w:p w14:paraId="6E694E21" w14:textId="77777777" w:rsidR="009830DB" w:rsidRPr="0051606C" w:rsidRDefault="009830DB" w:rsidP="00FD06B6">
      <w:pPr>
        <w:spacing w:line="360" w:lineRule="auto"/>
        <w:ind w:firstLine="408"/>
        <w:jc w:val="both"/>
        <w:rPr>
          <w:rFonts w:ascii="Arial" w:hAnsi="Arial" w:cs="Arial"/>
          <w:sz w:val="24"/>
          <w:szCs w:val="24"/>
        </w:rPr>
      </w:pPr>
      <w:r w:rsidRPr="0051606C">
        <w:rPr>
          <w:rFonts w:ascii="Arial" w:hAnsi="Arial" w:cs="Arial"/>
          <w:sz w:val="24"/>
          <w:szCs w:val="24"/>
        </w:rPr>
        <w:t xml:space="preserve">Typically, two pieces of evidence are required to establish that a crime has been committed. For a crime to be considered committed, two elements must be present: </w:t>
      </w:r>
    </w:p>
    <w:p w14:paraId="58E7492A" w14:textId="77777777" w:rsidR="009830DB" w:rsidRPr="0051606C" w:rsidRDefault="009830DB" w:rsidP="009830DB">
      <w:pPr>
        <w:pStyle w:val="ListParagraph"/>
        <w:numPr>
          <w:ilvl w:val="0"/>
          <w:numId w:val="1"/>
        </w:numPr>
        <w:spacing w:line="360" w:lineRule="auto"/>
        <w:jc w:val="both"/>
        <w:rPr>
          <w:rFonts w:ascii="Arial" w:hAnsi="Arial" w:cs="Arial"/>
          <w:i/>
          <w:iCs/>
          <w:sz w:val="24"/>
          <w:szCs w:val="24"/>
        </w:rPr>
      </w:pPr>
      <w:r>
        <w:rPr>
          <w:rFonts w:ascii="Arial" w:hAnsi="Arial" w:cs="Arial"/>
          <w:sz w:val="24"/>
          <w:szCs w:val="24"/>
        </w:rPr>
        <w:t>“</w:t>
      </w:r>
      <w:r w:rsidRPr="0051606C">
        <w:rPr>
          <w:rFonts w:ascii="Arial" w:hAnsi="Arial" w:cs="Arial"/>
          <w:sz w:val="24"/>
          <w:szCs w:val="24"/>
        </w:rPr>
        <w:t>(</w:t>
      </w:r>
      <w:r w:rsidRPr="0051606C">
        <w:rPr>
          <w:rFonts w:ascii="Arial" w:hAnsi="Arial" w:cs="Arial"/>
          <w:i/>
          <w:iCs/>
          <w:sz w:val="24"/>
          <w:szCs w:val="24"/>
        </w:rPr>
        <w:t xml:space="preserve">1) an act of guilt (actus reus) and </w:t>
      </w:r>
    </w:p>
    <w:p w14:paraId="3BEEAFCB" w14:textId="77777777" w:rsidR="009830DB" w:rsidRPr="0051606C" w:rsidRDefault="009830DB" w:rsidP="009830DB">
      <w:pPr>
        <w:pStyle w:val="ListParagraph"/>
        <w:numPr>
          <w:ilvl w:val="0"/>
          <w:numId w:val="1"/>
        </w:numPr>
        <w:spacing w:line="360" w:lineRule="auto"/>
        <w:jc w:val="both"/>
        <w:rPr>
          <w:rFonts w:ascii="Arial" w:hAnsi="Arial" w:cs="Arial"/>
          <w:sz w:val="24"/>
          <w:szCs w:val="24"/>
        </w:rPr>
      </w:pPr>
      <w:r w:rsidRPr="0051606C">
        <w:rPr>
          <w:rFonts w:ascii="Arial" w:hAnsi="Arial" w:cs="Arial"/>
          <w:i/>
          <w:iCs/>
          <w:sz w:val="24"/>
          <w:szCs w:val="24"/>
        </w:rPr>
        <w:t>(2) the mental state of malevolence (</w:t>
      </w:r>
      <w:proofErr w:type="spellStart"/>
      <w:r w:rsidRPr="0051606C">
        <w:rPr>
          <w:rFonts w:ascii="Arial" w:hAnsi="Arial" w:cs="Arial"/>
          <w:i/>
          <w:iCs/>
          <w:sz w:val="24"/>
          <w:szCs w:val="24"/>
        </w:rPr>
        <w:t>mens</w:t>
      </w:r>
      <w:proofErr w:type="spellEnd"/>
      <w:r w:rsidRPr="0051606C">
        <w:rPr>
          <w:rFonts w:ascii="Arial" w:hAnsi="Arial" w:cs="Arial"/>
          <w:i/>
          <w:iCs/>
          <w:sz w:val="24"/>
          <w:szCs w:val="24"/>
        </w:rPr>
        <w:t xml:space="preserve"> rea) (guilty mind). Strict liability offences, on the other hand, do not necessitate a showing of criminal intent. Acts of volition and their natural outcomes are necessary components of the actus reus. However, omissions are an acceptable alternative to the mandatory voluntary act. </w:t>
      </w:r>
      <w:r>
        <w:rPr>
          <w:rFonts w:ascii="Arial" w:hAnsi="Arial" w:cs="Arial"/>
          <w:i/>
          <w:iCs/>
          <w:sz w:val="24"/>
          <w:szCs w:val="24"/>
        </w:rPr>
        <w:t>[…]</w:t>
      </w:r>
      <w:r w:rsidRPr="0051606C">
        <w:rPr>
          <w:rFonts w:ascii="Arial" w:hAnsi="Arial" w:cs="Arial"/>
          <w:i/>
          <w:iCs/>
          <w:sz w:val="24"/>
          <w:szCs w:val="24"/>
        </w:rPr>
        <w:t xml:space="preserve"> However, it is important to remember that some crimes, such as assault and constructive manslaughter, cannot be committed by omission. </w:t>
      </w:r>
      <w:r>
        <w:rPr>
          <w:rFonts w:ascii="Arial" w:hAnsi="Arial" w:cs="Arial"/>
          <w:sz w:val="24"/>
          <w:szCs w:val="24"/>
        </w:rPr>
        <w:t>“</w:t>
      </w:r>
      <w:r w:rsidRPr="0051606C">
        <w:rPr>
          <w:rFonts w:ascii="Arial" w:hAnsi="Arial" w:cs="Arial"/>
          <w:sz w:val="24"/>
          <w:szCs w:val="24"/>
        </w:rPr>
        <w:t>(Cornell Law School, 2022)</w:t>
      </w:r>
    </w:p>
    <w:p w14:paraId="354B9B62" w14:textId="77777777" w:rsidR="00FA053F" w:rsidRDefault="00FA053F" w:rsidP="00A146CD">
      <w:pPr>
        <w:spacing w:line="360" w:lineRule="auto"/>
        <w:ind w:firstLine="408"/>
        <w:jc w:val="both"/>
        <w:rPr>
          <w:rFonts w:ascii="Arial" w:hAnsi="Arial" w:cs="Arial"/>
          <w:sz w:val="24"/>
          <w:szCs w:val="24"/>
        </w:rPr>
      </w:pPr>
      <w:r w:rsidRPr="00FA053F">
        <w:rPr>
          <w:rFonts w:ascii="Arial" w:hAnsi="Arial" w:cs="Arial"/>
          <w:sz w:val="24"/>
          <w:szCs w:val="24"/>
        </w:rPr>
        <w:t>The physical act of taking part in any given situation is an action, and the vast majority of people are aware that breaking the law will result in legal repercussions. The kinds of crimes that are intrinsically criminal under English and Welsh law include physical assault, theft, robbery, rape, murder, and manslaughter. Confusion arises when appropriate action is not taken. Omissions refer to this type of non-performance. An illegal act would be to physically remove a drip feed from a hospitalised patient; an illegal omission would be to fail to refill an empty drip feed.</w:t>
      </w:r>
    </w:p>
    <w:p w14:paraId="3D62ACF4" w14:textId="44C78524" w:rsidR="009830DB" w:rsidRDefault="009830DB" w:rsidP="00A146CD">
      <w:pPr>
        <w:spacing w:line="360" w:lineRule="auto"/>
        <w:ind w:firstLine="408"/>
        <w:jc w:val="both"/>
        <w:rPr>
          <w:rFonts w:ascii="Arial" w:hAnsi="Arial" w:cs="Arial"/>
          <w:sz w:val="24"/>
          <w:szCs w:val="24"/>
        </w:rPr>
      </w:pPr>
      <w:r w:rsidRPr="000F5747">
        <w:rPr>
          <w:rFonts w:ascii="Arial" w:hAnsi="Arial" w:cs="Arial"/>
          <w:sz w:val="24"/>
          <w:szCs w:val="24"/>
        </w:rPr>
        <w:t xml:space="preserve">In most cases, you cannot be prosecuted criminally for </w:t>
      </w:r>
      <w:r>
        <w:rPr>
          <w:rFonts w:ascii="Arial" w:hAnsi="Arial" w:cs="Arial"/>
          <w:sz w:val="24"/>
          <w:szCs w:val="24"/>
        </w:rPr>
        <w:t>“</w:t>
      </w:r>
      <w:r w:rsidRPr="000F5747">
        <w:rPr>
          <w:rFonts w:ascii="Arial" w:hAnsi="Arial" w:cs="Arial"/>
          <w:sz w:val="24"/>
          <w:szCs w:val="24"/>
        </w:rPr>
        <w:t>doing nothing</w:t>
      </w:r>
      <w:r>
        <w:rPr>
          <w:rFonts w:ascii="Arial" w:hAnsi="Arial" w:cs="Arial"/>
          <w:sz w:val="24"/>
          <w:szCs w:val="24"/>
        </w:rPr>
        <w:t>”; however, t</w:t>
      </w:r>
      <w:r w:rsidRPr="000F5747">
        <w:rPr>
          <w:rFonts w:ascii="Arial" w:hAnsi="Arial" w:cs="Arial"/>
          <w:sz w:val="24"/>
          <w:szCs w:val="24"/>
        </w:rPr>
        <w:t>he introduction of strict liability for omission would encourage us to rethink our strategies and behaviour in order to forestall the unintended consequences of others' acts.</w:t>
      </w:r>
      <w:r>
        <w:rPr>
          <w:rFonts w:ascii="Arial" w:hAnsi="Arial" w:cs="Arial"/>
          <w:sz w:val="24"/>
          <w:szCs w:val="24"/>
        </w:rPr>
        <w:t xml:space="preserve"> (Herring, 2018)</w:t>
      </w:r>
    </w:p>
    <w:p w14:paraId="7AEB4282" w14:textId="27199751" w:rsidR="002E70C3" w:rsidRPr="002E70C3" w:rsidRDefault="009830DB" w:rsidP="00A146CD">
      <w:pPr>
        <w:spacing w:line="360" w:lineRule="auto"/>
        <w:ind w:firstLine="408"/>
        <w:jc w:val="both"/>
        <w:rPr>
          <w:rFonts w:ascii="Arial" w:hAnsi="Arial" w:cs="Arial"/>
          <w:sz w:val="24"/>
          <w:szCs w:val="24"/>
        </w:rPr>
      </w:pPr>
      <w:r w:rsidRPr="0051606C">
        <w:rPr>
          <w:rFonts w:ascii="Arial" w:hAnsi="Arial" w:cs="Arial"/>
          <w:sz w:val="24"/>
          <w:szCs w:val="24"/>
        </w:rPr>
        <w:lastRenderedPageBreak/>
        <w:t>There are three components that must be proven in order to establish guilt for an omission-based offence. It must first be established that a duty of care existed, then that it was breached, and third, that the injury sustained was in fact caused by the violation of duty.</w:t>
      </w:r>
      <w:r w:rsidR="00565C08">
        <w:rPr>
          <w:rFonts w:ascii="Arial" w:hAnsi="Arial" w:cs="Arial"/>
          <w:sz w:val="24"/>
          <w:szCs w:val="24"/>
        </w:rPr>
        <w:t xml:space="preserve"> </w:t>
      </w:r>
      <w:r w:rsidR="002E70C3" w:rsidRPr="002E70C3">
        <w:rPr>
          <w:rFonts w:ascii="Arial" w:hAnsi="Arial" w:cs="Arial"/>
          <w:sz w:val="24"/>
          <w:szCs w:val="24"/>
        </w:rPr>
        <w:t>To do nothing when required to do so can result in criminal charges. This is a deviation from the normal rule that inaction does not give rise to liability.</w:t>
      </w:r>
      <w:r w:rsidR="002E70C3">
        <w:rPr>
          <w:rFonts w:ascii="Arial" w:hAnsi="Arial" w:cs="Arial"/>
          <w:sz w:val="24"/>
          <w:szCs w:val="24"/>
        </w:rPr>
        <w:t xml:space="preserve"> </w:t>
      </w:r>
      <w:r w:rsidR="002E70C3" w:rsidRPr="002E70C3">
        <w:rPr>
          <w:rFonts w:ascii="Arial" w:hAnsi="Arial" w:cs="Arial"/>
          <w:sz w:val="24"/>
          <w:szCs w:val="24"/>
        </w:rPr>
        <w:t>In accordance with section 6 of the Road Traffic Act of 1988, for instance, it is a criminal offence to refuse to produce a breath specimen when requested to do so without a reasonable justification.</w:t>
      </w:r>
      <w:r w:rsidR="009F6683">
        <w:rPr>
          <w:rFonts w:ascii="Arial" w:hAnsi="Arial" w:cs="Arial"/>
          <w:sz w:val="24"/>
          <w:szCs w:val="24"/>
        </w:rPr>
        <w:t xml:space="preserve"> </w:t>
      </w:r>
      <w:r w:rsidR="009F6683" w:rsidRPr="009F6683">
        <w:rPr>
          <w:rFonts w:ascii="Arial" w:hAnsi="Arial" w:cs="Arial"/>
          <w:sz w:val="24"/>
          <w:szCs w:val="24"/>
        </w:rPr>
        <w:t xml:space="preserve">Furthermore, as shown by the ruling in the case of R v </w:t>
      </w:r>
      <w:proofErr w:type="spellStart"/>
      <w:r w:rsidR="009F6683" w:rsidRPr="009F6683">
        <w:rPr>
          <w:rFonts w:ascii="Arial" w:hAnsi="Arial" w:cs="Arial"/>
          <w:sz w:val="24"/>
          <w:szCs w:val="24"/>
        </w:rPr>
        <w:t>Dytham</w:t>
      </w:r>
      <w:proofErr w:type="spellEnd"/>
      <w:r w:rsidR="009F6683">
        <w:rPr>
          <w:rFonts w:ascii="Arial" w:hAnsi="Arial" w:cs="Arial"/>
          <w:sz w:val="24"/>
          <w:szCs w:val="24"/>
        </w:rPr>
        <w:t xml:space="preserve"> (1979)</w:t>
      </w:r>
      <w:r w:rsidR="00E300EE">
        <w:rPr>
          <w:rFonts w:ascii="Arial" w:hAnsi="Arial" w:cs="Arial"/>
          <w:sz w:val="24"/>
          <w:szCs w:val="24"/>
        </w:rPr>
        <w:t xml:space="preserve"> </w:t>
      </w:r>
      <w:r w:rsidR="00E300EE" w:rsidRPr="00E300EE">
        <w:rPr>
          <w:rFonts w:ascii="Arial" w:hAnsi="Arial" w:cs="Arial"/>
          <w:sz w:val="24"/>
          <w:szCs w:val="24"/>
        </w:rPr>
        <w:t>QB 722</w:t>
      </w:r>
      <w:r w:rsidR="0094273F">
        <w:rPr>
          <w:rFonts w:ascii="Arial" w:hAnsi="Arial" w:cs="Arial"/>
          <w:sz w:val="24"/>
          <w:szCs w:val="24"/>
        </w:rPr>
        <w:t xml:space="preserve">, </w:t>
      </w:r>
      <w:r w:rsidR="009F6683" w:rsidRPr="009F6683">
        <w:rPr>
          <w:rFonts w:ascii="Arial" w:hAnsi="Arial" w:cs="Arial"/>
          <w:sz w:val="24"/>
          <w:szCs w:val="24"/>
        </w:rPr>
        <w:t>police officers have a duty to protect and help members of the public regardless of whether they are on duty at the time of the occurrence or not.</w:t>
      </w:r>
    </w:p>
    <w:p w14:paraId="544FD0D3" w14:textId="72CF760F" w:rsidR="002E70C3" w:rsidRDefault="002E70C3" w:rsidP="00A146CD">
      <w:pPr>
        <w:spacing w:line="360" w:lineRule="auto"/>
        <w:ind w:firstLine="408"/>
        <w:jc w:val="both"/>
        <w:rPr>
          <w:rFonts w:ascii="Arial" w:hAnsi="Arial" w:cs="Arial"/>
          <w:sz w:val="24"/>
          <w:szCs w:val="24"/>
        </w:rPr>
      </w:pPr>
      <w:r w:rsidRPr="002E70C3">
        <w:rPr>
          <w:rFonts w:ascii="Arial" w:hAnsi="Arial" w:cs="Arial"/>
          <w:sz w:val="24"/>
          <w:szCs w:val="24"/>
        </w:rPr>
        <w:t xml:space="preserve">Criminal culpability might occur from inaction where there is a special link between the victim and the offender. </w:t>
      </w:r>
      <w:r w:rsidR="0094273F">
        <w:rPr>
          <w:rFonts w:ascii="Arial" w:hAnsi="Arial" w:cs="Arial"/>
          <w:sz w:val="24"/>
          <w:szCs w:val="24"/>
        </w:rPr>
        <w:t>There is a</w:t>
      </w:r>
      <w:r w:rsidRPr="002E70C3">
        <w:rPr>
          <w:rFonts w:ascii="Arial" w:hAnsi="Arial" w:cs="Arial"/>
          <w:sz w:val="24"/>
          <w:szCs w:val="24"/>
        </w:rPr>
        <w:t xml:space="preserve"> voluntary presumption of responsibility to care for or protect the other person</w:t>
      </w:r>
      <w:r w:rsidR="0094273F">
        <w:rPr>
          <w:rFonts w:ascii="Arial" w:hAnsi="Arial" w:cs="Arial"/>
          <w:sz w:val="24"/>
          <w:szCs w:val="24"/>
        </w:rPr>
        <w:t xml:space="preserve"> like the </w:t>
      </w:r>
      <w:r w:rsidRPr="002E70C3">
        <w:rPr>
          <w:rFonts w:ascii="Arial" w:hAnsi="Arial" w:cs="Arial"/>
          <w:sz w:val="24"/>
          <w:szCs w:val="24"/>
        </w:rPr>
        <w:t>relationship between a father and a child</w:t>
      </w:r>
      <w:r w:rsidR="0094273F">
        <w:rPr>
          <w:rFonts w:ascii="Arial" w:hAnsi="Arial" w:cs="Arial"/>
          <w:sz w:val="24"/>
          <w:szCs w:val="24"/>
        </w:rPr>
        <w:t>,</w:t>
      </w:r>
      <w:r w:rsidRPr="002E70C3">
        <w:rPr>
          <w:rFonts w:ascii="Arial" w:hAnsi="Arial" w:cs="Arial"/>
          <w:sz w:val="24"/>
          <w:szCs w:val="24"/>
        </w:rPr>
        <w:t xml:space="preserve"> a husband and wife</w:t>
      </w:r>
      <w:r w:rsidR="0094273F">
        <w:rPr>
          <w:rFonts w:ascii="Arial" w:hAnsi="Arial" w:cs="Arial"/>
          <w:sz w:val="24"/>
          <w:szCs w:val="24"/>
        </w:rPr>
        <w:t xml:space="preserve"> or</w:t>
      </w:r>
      <w:r w:rsidRPr="002E70C3">
        <w:rPr>
          <w:rFonts w:ascii="Arial" w:hAnsi="Arial" w:cs="Arial"/>
          <w:sz w:val="24"/>
          <w:szCs w:val="24"/>
        </w:rPr>
        <w:t xml:space="preserve"> a doctor and a patient.</w:t>
      </w:r>
      <w:r w:rsidR="0094273F">
        <w:rPr>
          <w:rFonts w:ascii="Arial" w:hAnsi="Arial" w:cs="Arial"/>
          <w:sz w:val="24"/>
          <w:szCs w:val="24"/>
        </w:rPr>
        <w:t xml:space="preserve"> </w:t>
      </w:r>
      <w:r w:rsidRPr="002E70C3">
        <w:rPr>
          <w:rFonts w:ascii="Arial" w:hAnsi="Arial" w:cs="Arial"/>
          <w:sz w:val="24"/>
          <w:szCs w:val="24"/>
        </w:rPr>
        <w:t>If the doctor failed to conduct something that was in the patient's best interest, then the doctor could face criminal charges for that omission.</w:t>
      </w:r>
      <w:r w:rsidR="0094273F">
        <w:rPr>
          <w:rFonts w:ascii="Arial" w:hAnsi="Arial" w:cs="Arial"/>
          <w:sz w:val="24"/>
          <w:szCs w:val="24"/>
        </w:rPr>
        <w:t xml:space="preserve"> </w:t>
      </w:r>
      <w:r w:rsidRPr="002E70C3">
        <w:rPr>
          <w:rFonts w:ascii="Arial" w:hAnsi="Arial" w:cs="Arial"/>
          <w:sz w:val="24"/>
          <w:szCs w:val="24"/>
        </w:rPr>
        <w:t>Criminal culpability attaches when one of these relationships fails to act to prevent conduct that results in another member of the connection becoming a victim of crime.</w:t>
      </w:r>
      <w:r w:rsidR="00A146CD">
        <w:rPr>
          <w:rFonts w:ascii="Arial" w:hAnsi="Arial" w:cs="Arial"/>
          <w:sz w:val="24"/>
          <w:szCs w:val="24"/>
        </w:rPr>
        <w:t xml:space="preserve"> </w:t>
      </w:r>
      <w:r w:rsidR="00A146CD" w:rsidRPr="00A146CD">
        <w:rPr>
          <w:rFonts w:ascii="Arial" w:hAnsi="Arial" w:cs="Arial"/>
          <w:sz w:val="24"/>
          <w:szCs w:val="24"/>
        </w:rPr>
        <w:t>In R v Gibbins and Proctor [1918] 13 Cr App Rep 134, we see a connection like this one play out. D's 7-year-old boy died of starvation due to the couple's carelessness. D and his common-law wife were responsible for his upbringing. Due to D's parental duties and his wife's special attachment to their daughter, they were both found guilty of murder.</w:t>
      </w:r>
    </w:p>
    <w:p w14:paraId="03E46A26" w14:textId="4D15A48D" w:rsidR="00FD06B6" w:rsidRDefault="00FD06B6" w:rsidP="00A146CD">
      <w:pPr>
        <w:spacing w:line="360" w:lineRule="auto"/>
        <w:ind w:firstLine="408"/>
        <w:jc w:val="both"/>
        <w:rPr>
          <w:rFonts w:ascii="Arial" w:hAnsi="Arial" w:cs="Arial"/>
          <w:sz w:val="24"/>
          <w:szCs w:val="24"/>
        </w:rPr>
      </w:pPr>
      <w:r w:rsidRPr="00FD06B6">
        <w:rPr>
          <w:rFonts w:ascii="Arial" w:hAnsi="Arial" w:cs="Arial"/>
          <w:sz w:val="24"/>
          <w:szCs w:val="24"/>
        </w:rPr>
        <w:t xml:space="preserve">An individual's duty to another's wellbeing arises whenever that individual willingly takes on responsibility for that other's welfare </w:t>
      </w:r>
      <w:r w:rsidR="007F0527">
        <w:rPr>
          <w:rFonts w:ascii="Arial" w:hAnsi="Arial" w:cs="Arial"/>
          <w:sz w:val="24"/>
          <w:szCs w:val="24"/>
        </w:rPr>
        <w:t xml:space="preserve">as in the case of </w:t>
      </w:r>
      <w:r w:rsidR="007F0527" w:rsidRPr="007F0527">
        <w:rPr>
          <w:rFonts w:ascii="Arial" w:hAnsi="Arial" w:cs="Arial"/>
          <w:sz w:val="24"/>
          <w:szCs w:val="24"/>
        </w:rPr>
        <w:t>R v Stone &amp; Dobinson [1977] 1 QB 354</w:t>
      </w:r>
      <w:r w:rsidRPr="00FD06B6">
        <w:rPr>
          <w:rFonts w:ascii="Arial" w:hAnsi="Arial" w:cs="Arial"/>
          <w:sz w:val="24"/>
          <w:szCs w:val="24"/>
        </w:rPr>
        <w:t>.</w:t>
      </w:r>
      <w:r>
        <w:rPr>
          <w:rFonts w:ascii="Arial" w:hAnsi="Arial" w:cs="Arial"/>
          <w:sz w:val="24"/>
          <w:szCs w:val="24"/>
        </w:rPr>
        <w:t xml:space="preserve"> </w:t>
      </w:r>
      <w:r w:rsidRPr="00FD06B6">
        <w:rPr>
          <w:rFonts w:ascii="Arial" w:hAnsi="Arial" w:cs="Arial"/>
          <w:sz w:val="24"/>
          <w:szCs w:val="24"/>
        </w:rPr>
        <w:t>Assumption of duty can be verbalised when one says they will look after another person who is vulnerable or in need. It's also possible for blame to be inferred when one party has repeatedly extended aid to another.</w:t>
      </w:r>
      <w:r>
        <w:rPr>
          <w:rFonts w:ascii="Arial" w:hAnsi="Arial" w:cs="Arial"/>
          <w:sz w:val="24"/>
          <w:szCs w:val="24"/>
        </w:rPr>
        <w:t xml:space="preserve"> </w:t>
      </w:r>
      <w:r w:rsidRPr="00FD06B6">
        <w:rPr>
          <w:rFonts w:ascii="Arial" w:hAnsi="Arial" w:cs="Arial"/>
          <w:sz w:val="24"/>
          <w:szCs w:val="24"/>
        </w:rPr>
        <w:t>One is subject to criminal liability under the law if they fail to fulfil a duty of care owed to another person under the terms of a contract.</w:t>
      </w:r>
    </w:p>
    <w:p w14:paraId="1E034518" w14:textId="37B9CC69" w:rsidR="00FD06B6" w:rsidRPr="00FD06B6" w:rsidRDefault="00FD06B6" w:rsidP="00A146CD">
      <w:pPr>
        <w:spacing w:line="360" w:lineRule="auto"/>
        <w:ind w:firstLine="408"/>
        <w:jc w:val="both"/>
        <w:rPr>
          <w:rFonts w:ascii="Arial" w:hAnsi="Arial" w:cs="Arial"/>
          <w:sz w:val="24"/>
          <w:szCs w:val="24"/>
        </w:rPr>
      </w:pPr>
      <w:r w:rsidRPr="00FD06B6">
        <w:rPr>
          <w:rFonts w:ascii="Arial" w:hAnsi="Arial" w:cs="Arial"/>
          <w:sz w:val="24"/>
          <w:szCs w:val="24"/>
        </w:rPr>
        <w:t xml:space="preserve">In the case of </w:t>
      </w:r>
      <w:r w:rsidR="007F0527" w:rsidRPr="007F0527">
        <w:rPr>
          <w:rFonts w:ascii="Arial" w:hAnsi="Arial" w:cs="Arial"/>
          <w:sz w:val="24"/>
          <w:szCs w:val="24"/>
        </w:rPr>
        <w:t xml:space="preserve">R v </w:t>
      </w:r>
      <w:proofErr w:type="spellStart"/>
      <w:r w:rsidR="007F0527" w:rsidRPr="007F0527">
        <w:rPr>
          <w:rFonts w:ascii="Arial" w:hAnsi="Arial" w:cs="Arial"/>
          <w:sz w:val="24"/>
          <w:szCs w:val="24"/>
        </w:rPr>
        <w:t>Pittwood</w:t>
      </w:r>
      <w:proofErr w:type="spellEnd"/>
      <w:r w:rsidR="007F0527" w:rsidRPr="007F0527">
        <w:rPr>
          <w:rFonts w:ascii="Arial" w:hAnsi="Arial" w:cs="Arial"/>
          <w:sz w:val="24"/>
          <w:szCs w:val="24"/>
        </w:rPr>
        <w:t xml:space="preserve"> [1902] TLR 37</w:t>
      </w:r>
      <w:r w:rsidRPr="00FD06B6">
        <w:rPr>
          <w:rFonts w:ascii="Arial" w:hAnsi="Arial" w:cs="Arial"/>
          <w:sz w:val="24"/>
          <w:szCs w:val="24"/>
        </w:rPr>
        <w:t xml:space="preserve">, a gatekeeper who had been instructed to close the gate before leaving for the day did not do so, leading to a collision between </w:t>
      </w:r>
      <w:r w:rsidRPr="00FD06B6">
        <w:rPr>
          <w:rFonts w:ascii="Arial" w:hAnsi="Arial" w:cs="Arial"/>
          <w:sz w:val="24"/>
          <w:szCs w:val="24"/>
        </w:rPr>
        <w:lastRenderedPageBreak/>
        <w:t>a train and a cart. His failure to close the gate constituted a criminal act because it was a breach of his contractual duty to do so.</w:t>
      </w:r>
    </w:p>
    <w:p w14:paraId="77A5A2B5" w14:textId="41139C1E" w:rsidR="00FD06B6" w:rsidRDefault="00FD06B6" w:rsidP="00A146CD">
      <w:pPr>
        <w:spacing w:line="360" w:lineRule="auto"/>
        <w:ind w:firstLine="408"/>
        <w:jc w:val="both"/>
        <w:rPr>
          <w:rFonts w:ascii="Arial" w:hAnsi="Arial" w:cs="Arial"/>
          <w:sz w:val="24"/>
          <w:szCs w:val="24"/>
        </w:rPr>
      </w:pPr>
      <w:r w:rsidRPr="00FD06B6">
        <w:rPr>
          <w:rFonts w:ascii="Arial" w:hAnsi="Arial" w:cs="Arial"/>
          <w:sz w:val="24"/>
          <w:szCs w:val="24"/>
        </w:rPr>
        <w:t>The courts have ruled that some cases that initially appear to involve simple omissions are, in fact, examples of a continuing act.</w:t>
      </w:r>
      <w:r>
        <w:rPr>
          <w:rFonts w:ascii="Arial" w:hAnsi="Arial" w:cs="Arial"/>
          <w:sz w:val="24"/>
          <w:szCs w:val="24"/>
        </w:rPr>
        <w:t xml:space="preserve"> </w:t>
      </w:r>
      <w:r w:rsidRPr="00FD06B6">
        <w:rPr>
          <w:rFonts w:ascii="Arial" w:hAnsi="Arial" w:cs="Arial"/>
          <w:sz w:val="24"/>
          <w:szCs w:val="24"/>
        </w:rPr>
        <w:t>In cases where the defendant commits a crime but then takes no steps to remedy the situation, the crime is considered to be "continuous" because the offender has not stopped committing illegal acts.</w:t>
      </w:r>
      <w:r>
        <w:rPr>
          <w:rFonts w:ascii="Arial" w:hAnsi="Arial" w:cs="Arial"/>
          <w:sz w:val="24"/>
          <w:szCs w:val="24"/>
        </w:rPr>
        <w:t xml:space="preserve"> </w:t>
      </w:r>
      <w:r w:rsidRPr="00FD06B6">
        <w:rPr>
          <w:rFonts w:ascii="Arial" w:hAnsi="Arial" w:cs="Arial"/>
          <w:sz w:val="24"/>
          <w:szCs w:val="24"/>
        </w:rPr>
        <w:t xml:space="preserve">One such case is </w:t>
      </w:r>
      <w:r w:rsidR="007F0527" w:rsidRPr="007F0527">
        <w:rPr>
          <w:rFonts w:ascii="Arial" w:hAnsi="Arial" w:cs="Arial"/>
          <w:sz w:val="24"/>
          <w:szCs w:val="24"/>
        </w:rPr>
        <w:t>Fagan v MPC [1969] 1 QB 439</w:t>
      </w:r>
      <w:r w:rsidRPr="00FD06B6">
        <w:rPr>
          <w:rFonts w:ascii="Arial" w:hAnsi="Arial" w:cs="Arial"/>
          <w:sz w:val="24"/>
          <w:szCs w:val="24"/>
        </w:rPr>
        <w:t>, in which the defendant inadvertently ran over a police officer's foot and then refused to relocate the vehicle. The action was the driving onto the foot, and the inaction, which may be seen as a failure to remove the car, was actually a continuation of the original act.</w:t>
      </w:r>
      <w:r>
        <w:rPr>
          <w:rFonts w:ascii="Arial" w:hAnsi="Arial" w:cs="Arial"/>
          <w:sz w:val="24"/>
          <w:szCs w:val="24"/>
        </w:rPr>
        <w:t xml:space="preserve"> </w:t>
      </w:r>
      <w:r w:rsidRPr="00FD06B6">
        <w:rPr>
          <w:rFonts w:ascii="Arial" w:hAnsi="Arial" w:cs="Arial"/>
          <w:sz w:val="24"/>
          <w:szCs w:val="24"/>
        </w:rPr>
        <w:t>When an illegal conduct is followed by inaction, it is usually considered a continuous act rather than an omission, and criminal liability results.</w:t>
      </w:r>
      <w:r>
        <w:rPr>
          <w:rFonts w:ascii="Arial" w:hAnsi="Arial" w:cs="Arial"/>
          <w:sz w:val="24"/>
          <w:szCs w:val="24"/>
        </w:rPr>
        <w:t xml:space="preserve"> </w:t>
      </w:r>
    </w:p>
    <w:p w14:paraId="2858F0F5" w14:textId="5C201FBA" w:rsidR="00C33530" w:rsidRDefault="00C33530" w:rsidP="00A146CD">
      <w:pPr>
        <w:spacing w:line="360" w:lineRule="auto"/>
        <w:ind w:firstLine="408"/>
        <w:jc w:val="both"/>
        <w:rPr>
          <w:rFonts w:ascii="Arial" w:hAnsi="Arial" w:cs="Arial"/>
          <w:sz w:val="24"/>
          <w:szCs w:val="24"/>
        </w:rPr>
      </w:pPr>
      <w:r w:rsidRPr="00C33530">
        <w:rPr>
          <w:rFonts w:ascii="Arial" w:hAnsi="Arial" w:cs="Arial"/>
          <w:sz w:val="24"/>
          <w:szCs w:val="24"/>
        </w:rPr>
        <w:t>If someone else was put in harm's way because of your inaction, you could be found criminally accountable, even if that harm wasn't your intent. Arson by omission was proven in R v Miller [1983] 2 AC 161</w:t>
      </w:r>
      <w:r>
        <w:rPr>
          <w:rFonts w:ascii="Arial" w:hAnsi="Arial" w:cs="Arial"/>
          <w:sz w:val="24"/>
          <w:szCs w:val="24"/>
        </w:rPr>
        <w:t xml:space="preserve">, </w:t>
      </w:r>
      <w:r w:rsidRPr="00C33530">
        <w:rPr>
          <w:rFonts w:ascii="Arial" w:hAnsi="Arial" w:cs="Arial"/>
          <w:sz w:val="24"/>
          <w:szCs w:val="24"/>
        </w:rPr>
        <w:t xml:space="preserve">when the offender was declared guilty by the House of Lords. He had gone to sleep smoking, woke up to discover his mattress on fire, and then left the building to burn down instead of trying to put out the blaze. This set a precedent that whoever causes harm has the responsibility to mitigate it. In </w:t>
      </w:r>
      <w:r w:rsidR="00ED0AFD" w:rsidRPr="00ED0AFD">
        <w:rPr>
          <w:rFonts w:ascii="Arial" w:hAnsi="Arial" w:cs="Arial"/>
          <w:sz w:val="24"/>
          <w:szCs w:val="24"/>
        </w:rPr>
        <w:t>R v Evans [2009] 2 Cr App R 10</w:t>
      </w:r>
      <w:r w:rsidR="00ED0AFD">
        <w:rPr>
          <w:rFonts w:ascii="Arial" w:hAnsi="Arial" w:cs="Arial"/>
          <w:sz w:val="24"/>
          <w:szCs w:val="24"/>
        </w:rPr>
        <w:t xml:space="preserve">, </w:t>
      </w:r>
      <w:r w:rsidRPr="00C33530">
        <w:rPr>
          <w:rFonts w:ascii="Arial" w:hAnsi="Arial" w:cs="Arial"/>
          <w:sz w:val="24"/>
          <w:szCs w:val="24"/>
        </w:rPr>
        <w:t>the Court of Appeal applied this principle to uphold a manslaughter conviction. The defendant and her mother had acquired heroin for the sister, who later overdosed and died, but they had avoided getting medical attention for fear of legal repercussions. They concluded that anyone who helps bring about a potentially fatal situation owes it on the other person to do what they can to remedy the situation.</w:t>
      </w:r>
    </w:p>
    <w:p w14:paraId="48882FBA" w14:textId="21B6397D" w:rsidR="00E808AC" w:rsidRDefault="00E808AC" w:rsidP="00A146CD">
      <w:pPr>
        <w:spacing w:line="360" w:lineRule="auto"/>
        <w:ind w:firstLine="408"/>
        <w:jc w:val="both"/>
        <w:rPr>
          <w:rFonts w:ascii="Arial" w:hAnsi="Arial" w:cs="Arial"/>
          <w:sz w:val="24"/>
          <w:szCs w:val="24"/>
        </w:rPr>
      </w:pPr>
      <w:r w:rsidRPr="00E808AC">
        <w:rPr>
          <w:rFonts w:ascii="Arial" w:hAnsi="Arial" w:cs="Arial"/>
          <w:sz w:val="24"/>
          <w:szCs w:val="24"/>
        </w:rPr>
        <w:t>There are two types of duties that we owe to one another as human beings: statutory duties, which require us to act in line with the law, and moral duties, which are not enforced by the law. Good citizenship includes performing moral duties like reporting a child or animal left in a hot car or intervening in a dispute. A common law duty is the same thing.</w:t>
      </w:r>
    </w:p>
    <w:p w14:paraId="66C841B5" w14:textId="54BAD00C" w:rsidR="00AE4ABE" w:rsidRDefault="00AE4ABE" w:rsidP="00AE4ABE">
      <w:pPr>
        <w:spacing w:line="360" w:lineRule="auto"/>
        <w:ind w:firstLine="408"/>
        <w:jc w:val="both"/>
        <w:rPr>
          <w:rFonts w:ascii="Arial" w:hAnsi="Arial" w:cs="Arial"/>
          <w:sz w:val="24"/>
          <w:szCs w:val="24"/>
        </w:rPr>
      </w:pPr>
      <w:r w:rsidRPr="00AE4ABE">
        <w:rPr>
          <w:rFonts w:ascii="Arial" w:hAnsi="Arial" w:cs="Arial"/>
          <w:sz w:val="24"/>
          <w:szCs w:val="24"/>
        </w:rPr>
        <w:t>The case for establishing a universal responsibility of care can be countered by those who argue against it. The responsibility situations imposed by common law and legislation are likely to be deemed sufficient to protect society as a whole</w:t>
      </w:r>
      <w:r w:rsidR="00ED0AFD">
        <w:rPr>
          <w:rFonts w:ascii="Arial" w:hAnsi="Arial" w:cs="Arial"/>
          <w:sz w:val="24"/>
          <w:szCs w:val="24"/>
        </w:rPr>
        <w:t xml:space="preserve"> and a</w:t>
      </w:r>
      <w:r w:rsidRPr="00AE4ABE">
        <w:rPr>
          <w:rFonts w:ascii="Arial" w:hAnsi="Arial" w:cs="Arial"/>
          <w:sz w:val="24"/>
          <w:szCs w:val="24"/>
        </w:rPr>
        <w:t xml:space="preserve">lthough </w:t>
      </w:r>
      <w:r w:rsidRPr="00AE4ABE">
        <w:rPr>
          <w:rFonts w:ascii="Arial" w:hAnsi="Arial" w:cs="Arial"/>
          <w:sz w:val="24"/>
          <w:szCs w:val="24"/>
        </w:rPr>
        <w:lastRenderedPageBreak/>
        <w:t>a broad duty of care would make society more moral, it would likely lead to more issues than it would solve.</w:t>
      </w:r>
      <w:r w:rsidR="00ED0AFD">
        <w:rPr>
          <w:rFonts w:ascii="Arial" w:hAnsi="Arial" w:cs="Arial"/>
          <w:sz w:val="24"/>
          <w:szCs w:val="24"/>
        </w:rPr>
        <w:t xml:space="preserve"> </w:t>
      </w:r>
      <w:r w:rsidR="00ED0AFD" w:rsidRPr="00ED0AFD">
        <w:rPr>
          <w:rFonts w:ascii="Arial" w:hAnsi="Arial" w:cs="Arial"/>
          <w:sz w:val="24"/>
          <w:szCs w:val="24"/>
        </w:rPr>
        <w:t>Therefore, there may be an increase in criminal activity as a result of the general duty of care.</w:t>
      </w:r>
    </w:p>
    <w:p w14:paraId="20458200" w14:textId="172F34A4" w:rsidR="00565C08" w:rsidRDefault="00565C08" w:rsidP="009830DB">
      <w:pPr>
        <w:spacing w:line="360" w:lineRule="auto"/>
        <w:jc w:val="both"/>
        <w:rPr>
          <w:rFonts w:ascii="Arial" w:hAnsi="Arial" w:cs="Arial"/>
          <w:sz w:val="24"/>
          <w:szCs w:val="24"/>
        </w:rPr>
      </w:pPr>
    </w:p>
    <w:p w14:paraId="090344D5" w14:textId="5D745D45" w:rsidR="00ED0AFD" w:rsidRDefault="00ED0AFD" w:rsidP="009830DB">
      <w:pPr>
        <w:spacing w:line="360" w:lineRule="auto"/>
        <w:jc w:val="both"/>
        <w:rPr>
          <w:rFonts w:ascii="Arial" w:hAnsi="Arial" w:cs="Arial"/>
          <w:sz w:val="24"/>
          <w:szCs w:val="24"/>
        </w:rPr>
      </w:pPr>
    </w:p>
    <w:p w14:paraId="542AFB41" w14:textId="0FF5C8A1" w:rsidR="00ED0AFD" w:rsidRDefault="00ED0AFD" w:rsidP="009830DB">
      <w:pPr>
        <w:spacing w:line="360" w:lineRule="auto"/>
        <w:jc w:val="both"/>
        <w:rPr>
          <w:rFonts w:ascii="Arial" w:hAnsi="Arial" w:cs="Arial"/>
          <w:sz w:val="24"/>
          <w:szCs w:val="24"/>
        </w:rPr>
      </w:pPr>
    </w:p>
    <w:p w14:paraId="631E7E0F" w14:textId="23D700C9" w:rsidR="00ED0AFD" w:rsidRDefault="00ED0AFD" w:rsidP="009830DB">
      <w:pPr>
        <w:spacing w:line="360" w:lineRule="auto"/>
        <w:jc w:val="both"/>
        <w:rPr>
          <w:rFonts w:ascii="Arial" w:hAnsi="Arial" w:cs="Arial"/>
          <w:sz w:val="24"/>
          <w:szCs w:val="24"/>
        </w:rPr>
      </w:pPr>
    </w:p>
    <w:p w14:paraId="0A45D1C0" w14:textId="338C651A" w:rsidR="00ED0AFD" w:rsidRDefault="00ED0AFD" w:rsidP="009830DB">
      <w:pPr>
        <w:spacing w:line="360" w:lineRule="auto"/>
        <w:jc w:val="both"/>
        <w:rPr>
          <w:rFonts w:ascii="Arial" w:hAnsi="Arial" w:cs="Arial"/>
          <w:sz w:val="24"/>
          <w:szCs w:val="24"/>
        </w:rPr>
      </w:pPr>
    </w:p>
    <w:p w14:paraId="2C0F72AF" w14:textId="67AF6E0D" w:rsidR="00ED0AFD" w:rsidRDefault="00ED0AFD" w:rsidP="009830DB">
      <w:pPr>
        <w:spacing w:line="360" w:lineRule="auto"/>
        <w:jc w:val="both"/>
        <w:rPr>
          <w:rFonts w:ascii="Arial" w:hAnsi="Arial" w:cs="Arial"/>
          <w:sz w:val="24"/>
          <w:szCs w:val="24"/>
        </w:rPr>
      </w:pPr>
    </w:p>
    <w:p w14:paraId="501DD7B1" w14:textId="23E87B84" w:rsidR="00ED0AFD" w:rsidRDefault="00ED0AFD" w:rsidP="009830DB">
      <w:pPr>
        <w:spacing w:line="360" w:lineRule="auto"/>
        <w:jc w:val="both"/>
        <w:rPr>
          <w:rFonts w:ascii="Arial" w:hAnsi="Arial" w:cs="Arial"/>
          <w:sz w:val="24"/>
          <w:szCs w:val="24"/>
        </w:rPr>
      </w:pPr>
    </w:p>
    <w:p w14:paraId="28D7451B" w14:textId="6582E197" w:rsidR="00ED0AFD" w:rsidRDefault="00ED0AFD" w:rsidP="009830DB">
      <w:pPr>
        <w:spacing w:line="360" w:lineRule="auto"/>
        <w:jc w:val="both"/>
        <w:rPr>
          <w:rFonts w:ascii="Arial" w:hAnsi="Arial" w:cs="Arial"/>
          <w:sz w:val="24"/>
          <w:szCs w:val="24"/>
        </w:rPr>
      </w:pPr>
    </w:p>
    <w:p w14:paraId="69155451" w14:textId="725087EE" w:rsidR="00ED0AFD" w:rsidRDefault="00ED0AFD" w:rsidP="009830DB">
      <w:pPr>
        <w:spacing w:line="360" w:lineRule="auto"/>
        <w:jc w:val="both"/>
        <w:rPr>
          <w:rFonts w:ascii="Arial" w:hAnsi="Arial" w:cs="Arial"/>
          <w:sz w:val="24"/>
          <w:szCs w:val="24"/>
        </w:rPr>
      </w:pPr>
    </w:p>
    <w:p w14:paraId="167BB3DE" w14:textId="22B00F9C" w:rsidR="00ED0AFD" w:rsidRDefault="00ED0AFD" w:rsidP="009830DB">
      <w:pPr>
        <w:spacing w:line="360" w:lineRule="auto"/>
        <w:jc w:val="both"/>
        <w:rPr>
          <w:rFonts w:ascii="Arial" w:hAnsi="Arial" w:cs="Arial"/>
          <w:sz w:val="24"/>
          <w:szCs w:val="24"/>
        </w:rPr>
      </w:pPr>
    </w:p>
    <w:p w14:paraId="5753A3D8" w14:textId="3EC17CF2" w:rsidR="00ED0AFD" w:rsidRDefault="00ED0AFD" w:rsidP="009830DB">
      <w:pPr>
        <w:spacing w:line="360" w:lineRule="auto"/>
        <w:jc w:val="both"/>
        <w:rPr>
          <w:rFonts w:ascii="Arial" w:hAnsi="Arial" w:cs="Arial"/>
          <w:sz w:val="24"/>
          <w:szCs w:val="24"/>
        </w:rPr>
      </w:pPr>
    </w:p>
    <w:p w14:paraId="1FE323D6" w14:textId="67E28D00" w:rsidR="00ED0AFD" w:rsidRDefault="00ED0AFD" w:rsidP="009830DB">
      <w:pPr>
        <w:spacing w:line="360" w:lineRule="auto"/>
        <w:jc w:val="both"/>
        <w:rPr>
          <w:rFonts w:ascii="Arial" w:hAnsi="Arial" w:cs="Arial"/>
          <w:sz w:val="24"/>
          <w:szCs w:val="24"/>
        </w:rPr>
      </w:pPr>
    </w:p>
    <w:p w14:paraId="7948250B" w14:textId="5FC21459" w:rsidR="00ED0AFD" w:rsidRDefault="00ED0AFD" w:rsidP="009830DB">
      <w:pPr>
        <w:spacing w:line="360" w:lineRule="auto"/>
        <w:jc w:val="both"/>
        <w:rPr>
          <w:rFonts w:ascii="Arial" w:hAnsi="Arial" w:cs="Arial"/>
          <w:sz w:val="24"/>
          <w:szCs w:val="24"/>
        </w:rPr>
      </w:pPr>
    </w:p>
    <w:p w14:paraId="33939631" w14:textId="3FF592F1" w:rsidR="00ED0AFD" w:rsidRDefault="00ED0AFD" w:rsidP="009830DB">
      <w:pPr>
        <w:spacing w:line="360" w:lineRule="auto"/>
        <w:jc w:val="both"/>
        <w:rPr>
          <w:rFonts w:ascii="Arial" w:hAnsi="Arial" w:cs="Arial"/>
          <w:sz w:val="24"/>
          <w:szCs w:val="24"/>
        </w:rPr>
      </w:pPr>
    </w:p>
    <w:p w14:paraId="4B1309C8" w14:textId="346B1C84" w:rsidR="00ED0AFD" w:rsidRDefault="00ED0AFD" w:rsidP="009830DB">
      <w:pPr>
        <w:spacing w:line="360" w:lineRule="auto"/>
        <w:jc w:val="both"/>
        <w:rPr>
          <w:rFonts w:ascii="Arial" w:hAnsi="Arial" w:cs="Arial"/>
          <w:sz w:val="24"/>
          <w:szCs w:val="24"/>
        </w:rPr>
      </w:pPr>
    </w:p>
    <w:p w14:paraId="0C31CC26" w14:textId="6D717943" w:rsidR="00ED0AFD" w:rsidRDefault="00ED0AFD" w:rsidP="009830DB">
      <w:pPr>
        <w:spacing w:line="360" w:lineRule="auto"/>
        <w:jc w:val="both"/>
        <w:rPr>
          <w:rFonts w:ascii="Arial" w:hAnsi="Arial" w:cs="Arial"/>
          <w:sz w:val="24"/>
          <w:szCs w:val="24"/>
        </w:rPr>
      </w:pPr>
    </w:p>
    <w:p w14:paraId="3545E6AB" w14:textId="55AEF42E" w:rsidR="00ED0AFD" w:rsidRDefault="00ED0AFD" w:rsidP="009830DB">
      <w:pPr>
        <w:spacing w:line="360" w:lineRule="auto"/>
        <w:jc w:val="both"/>
        <w:rPr>
          <w:rFonts w:ascii="Arial" w:hAnsi="Arial" w:cs="Arial"/>
          <w:sz w:val="24"/>
          <w:szCs w:val="24"/>
        </w:rPr>
      </w:pPr>
    </w:p>
    <w:p w14:paraId="33DA5C2F" w14:textId="77777777" w:rsidR="00ED0AFD" w:rsidRPr="009830DB" w:rsidRDefault="00ED0AFD" w:rsidP="009830DB">
      <w:pPr>
        <w:spacing w:line="360" w:lineRule="auto"/>
        <w:jc w:val="both"/>
        <w:rPr>
          <w:rFonts w:ascii="Arial" w:hAnsi="Arial" w:cs="Arial"/>
          <w:sz w:val="24"/>
          <w:szCs w:val="24"/>
        </w:rPr>
      </w:pPr>
    </w:p>
    <w:p w14:paraId="659567B4" w14:textId="2B630460" w:rsidR="00FA6250" w:rsidRDefault="00FA6250" w:rsidP="00FA6250">
      <w:pPr>
        <w:pStyle w:val="Heading1"/>
      </w:pPr>
      <w:r>
        <w:t>Reference list</w:t>
      </w:r>
      <w:bookmarkEnd w:id="0"/>
    </w:p>
    <w:p w14:paraId="491E0B7E" w14:textId="77777777" w:rsidR="00ED0AFD" w:rsidRDefault="00ED0AFD" w:rsidP="00ED0AFD">
      <w:pPr>
        <w:spacing w:line="360" w:lineRule="auto"/>
        <w:jc w:val="both"/>
        <w:rPr>
          <w:rFonts w:ascii="Arial" w:hAnsi="Arial" w:cs="Arial"/>
          <w:sz w:val="24"/>
          <w:szCs w:val="24"/>
        </w:rPr>
      </w:pPr>
      <w:r w:rsidRPr="009E38E7">
        <w:rPr>
          <w:rFonts w:ascii="Arial" w:hAnsi="Arial" w:cs="Arial"/>
          <w:sz w:val="24"/>
          <w:szCs w:val="24"/>
        </w:rPr>
        <w:t>A</w:t>
      </w:r>
      <w:r>
        <w:rPr>
          <w:rFonts w:ascii="Arial" w:hAnsi="Arial" w:cs="Arial"/>
          <w:sz w:val="24"/>
          <w:szCs w:val="24"/>
        </w:rPr>
        <w:t>lexander</w:t>
      </w:r>
      <w:r w:rsidRPr="009E38E7">
        <w:rPr>
          <w:rFonts w:ascii="Arial" w:hAnsi="Arial" w:cs="Arial"/>
          <w:sz w:val="24"/>
          <w:szCs w:val="24"/>
        </w:rPr>
        <w:t>, L</w:t>
      </w:r>
      <w:r>
        <w:rPr>
          <w:rFonts w:ascii="Arial" w:hAnsi="Arial" w:cs="Arial"/>
          <w:sz w:val="24"/>
          <w:szCs w:val="24"/>
        </w:rPr>
        <w:t>.</w:t>
      </w:r>
      <w:r w:rsidRPr="009E38E7">
        <w:rPr>
          <w:rFonts w:ascii="Arial" w:hAnsi="Arial" w:cs="Arial"/>
          <w:sz w:val="24"/>
          <w:szCs w:val="24"/>
        </w:rPr>
        <w:t>, '6 Criminal Liability for Omissions: An Inventory of Issues', in Shute</w:t>
      </w:r>
      <w:r>
        <w:rPr>
          <w:rFonts w:ascii="Arial" w:hAnsi="Arial" w:cs="Arial"/>
          <w:sz w:val="24"/>
          <w:szCs w:val="24"/>
        </w:rPr>
        <w:t>, S.</w:t>
      </w:r>
      <w:r w:rsidRPr="009E38E7">
        <w:rPr>
          <w:rFonts w:ascii="Arial" w:hAnsi="Arial" w:cs="Arial"/>
          <w:sz w:val="24"/>
          <w:szCs w:val="24"/>
        </w:rPr>
        <w:t xml:space="preserve">, </w:t>
      </w:r>
      <w:proofErr w:type="spellStart"/>
      <w:r w:rsidRPr="009E38E7">
        <w:rPr>
          <w:rFonts w:ascii="Arial" w:hAnsi="Arial" w:cs="Arial"/>
          <w:sz w:val="24"/>
          <w:szCs w:val="24"/>
        </w:rPr>
        <w:t>Simester</w:t>
      </w:r>
      <w:proofErr w:type="spellEnd"/>
      <w:r>
        <w:rPr>
          <w:rFonts w:ascii="Arial" w:hAnsi="Arial" w:cs="Arial"/>
          <w:sz w:val="24"/>
          <w:szCs w:val="24"/>
        </w:rPr>
        <w:t>, A.</w:t>
      </w:r>
      <w:r w:rsidRPr="009E38E7">
        <w:rPr>
          <w:rFonts w:ascii="Arial" w:hAnsi="Arial" w:cs="Arial"/>
          <w:sz w:val="24"/>
          <w:szCs w:val="24"/>
        </w:rPr>
        <w:t xml:space="preserve"> (eds)</w:t>
      </w:r>
      <w:r>
        <w:rPr>
          <w:rFonts w:ascii="Arial" w:hAnsi="Arial" w:cs="Arial"/>
          <w:sz w:val="24"/>
          <w:szCs w:val="24"/>
        </w:rPr>
        <w:t xml:space="preserve"> (2002)</w:t>
      </w:r>
      <w:r w:rsidRPr="009E38E7">
        <w:rPr>
          <w:rFonts w:ascii="Arial" w:hAnsi="Arial" w:cs="Arial"/>
          <w:sz w:val="24"/>
          <w:szCs w:val="24"/>
        </w:rPr>
        <w:t xml:space="preserve">, </w:t>
      </w:r>
      <w:r w:rsidRPr="009830DB">
        <w:rPr>
          <w:rFonts w:ascii="Arial" w:hAnsi="Arial" w:cs="Arial"/>
          <w:i/>
          <w:iCs/>
          <w:sz w:val="24"/>
          <w:szCs w:val="24"/>
        </w:rPr>
        <w:t>Criminal Law Theory: Doctrines of the General Part, Oxford Monographs on Criminal Law and Justice</w:t>
      </w:r>
      <w:r w:rsidRPr="009E38E7">
        <w:rPr>
          <w:rFonts w:ascii="Arial" w:hAnsi="Arial" w:cs="Arial"/>
          <w:sz w:val="24"/>
          <w:szCs w:val="24"/>
        </w:rPr>
        <w:t xml:space="preserve"> (Oxford; online </w:t>
      </w:r>
      <w:proofErr w:type="spellStart"/>
      <w:r w:rsidRPr="009E38E7">
        <w:rPr>
          <w:rFonts w:ascii="Arial" w:hAnsi="Arial" w:cs="Arial"/>
          <w:sz w:val="24"/>
          <w:szCs w:val="24"/>
        </w:rPr>
        <w:t>edn</w:t>
      </w:r>
      <w:proofErr w:type="spellEnd"/>
      <w:r w:rsidRPr="009E38E7">
        <w:rPr>
          <w:rFonts w:ascii="Arial" w:hAnsi="Arial" w:cs="Arial"/>
          <w:sz w:val="24"/>
          <w:szCs w:val="24"/>
        </w:rPr>
        <w:t xml:space="preserve">, Oxford Academic, 1 </w:t>
      </w:r>
      <w:r w:rsidRPr="009E38E7">
        <w:rPr>
          <w:rFonts w:ascii="Arial" w:hAnsi="Arial" w:cs="Arial"/>
          <w:sz w:val="24"/>
          <w:szCs w:val="24"/>
        </w:rPr>
        <w:lastRenderedPageBreak/>
        <w:t xml:space="preserve">Jan. 2010), </w:t>
      </w:r>
      <w:hyperlink r:id="rId11" w:history="1">
        <w:r w:rsidRPr="002E4568">
          <w:rPr>
            <w:rStyle w:val="Hyperlink"/>
            <w:rFonts w:ascii="Arial" w:hAnsi="Arial" w:cs="Arial"/>
            <w:sz w:val="24"/>
            <w:szCs w:val="24"/>
          </w:rPr>
          <w:t>https://doi.org/10.1093/acprof:oso/9780199243495.003.0006</w:t>
        </w:r>
      </w:hyperlink>
      <w:r w:rsidRPr="009E38E7">
        <w:rPr>
          <w:rFonts w:ascii="Arial" w:hAnsi="Arial" w:cs="Arial"/>
          <w:sz w:val="24"/>
          <w:szCs w:val="24"/>
        </w:rPr>
        <w:t xml:space="preserve"> </w:t>
      </w:r>
      <w:r>
        <w:rPr>
          <w:rFonts w:ascii="Arial" w:hAnsi="Arial" w:cs="Arial"/>
          <w:sz w:val="24"/>
          <w:szCs w:val="24"/>
        </w:rPr>
        <w:t>(A</w:t>
      </w:r>
      <w:r w:rsidRPr="009E38E7">
        <w:rPr>
          <w:rFonts w:ascii="Arial" w:hAnsi="Arial" w:cs="Arial"/>
          <w:sz w:val="24"/>
          <w:szCs w:val="24"/>
        </w:rPr>
        <w:t>ccessed 16 Nov</w:t>
      </w:r>
      <w:r>
        <w:rPr>
          <w:rFonts w:ascii="Arial" w:hAnsi="Arial" w:cs="Arial"/>
          <w:sz w:val="24"/>
          <w:szCs w:val="24"/>
        </w:rPr>
        <w:t xml:space="preserve">ember </w:t>
      </w:r>
      <w:r w:rsidRPr="009E38E7">
        <w:rPr>
          <w:rFonts w:ascii="Arial" w:hAnsi="Arial" w:cs="Arial"/>
          <w:sz w:val="24"/>
          <w:szCs w:val="24"/>
        </w:rPr>
        <w:t>2022</w:t>
      </w:r>
      <w:r>
        <w:rPr>
          <w:rFonts w:ascii="Arial" w:hAnsi="Arial" w:cs="Arial"/>
          <w:sz w:val="24"/>
          <w:szCs w:val="24"/>
        </w:rPr>
        <w:t>)</w:t>
      </w:r>
    </w:p>
    <w:p w14:paraId="481AF557" w14:textId="7AF087BE" w:rsidR="009830DB" w:rsidRPr="0051606C" w:rsidRDefault="009830DB" w:rsidP="009830DB">
      <w:pPr>
        <w:spacing w:line="360" w:lineRule="auto"/>
        <w:jc w:val="both"/>
        <w:rPr>
          <w:rFonts w:ascii="Arial" w:hAnsi="Arial" w:cs="Arial"/>
          <w:sz w:val="24"/>
          <w:szCs w:val="24"/>
        </w:rPr>
      </w:pPr>
      <w:r w:rsidRPr="0051606C">
        <w:rPr>
          <w:rFonts w:ascii="Arial" w:hAnsi="Arial" w:cs="Arial"/>
          <w:sz w:val="24"/>
          <w:szCs w:val="24"/>
        </w:rPr>
        <w:t>Bernard, Thomas</w:t>
      </w:r>
      <w:r>
        <w:rPr>
          <w:rFonts w:ascii="Arial" w:hAnsi="Arial" w:cs="Arial"/>
          <w:sz w:val="24"/>
          <w:szCs w:val="24"/>
        </w:rPr>
        <w:t xml:space="preserve"> et al</w:t>
      </w:r>
      <w:r w:rsidRPr="0051606C">
        <w:rPr>
          <w:rFonts w:ascii="Arial" w:hAnsi="Arial" w:cs="Arial"/>
          <w:sz w:val="24"/>
          <w:szCs w:val="24"/>
        </w:rPr>
        <w:t>. "</w:t>
      </w:r>
      <w:r w:rsidRPr="000F5747">
        <w:rPr>
          <w:rFonts w:ascii="Arial" w:hAnsi="Arial" w:cs="Arial"/>
          <w:i/>
          <w:iCs/>
          <w:sz w:val="24"/>
          <w:szCs w:val="24"/>
        </w:rPr>
        <w:t>crime</w:t>
      </w:r>
      <w:r w:rsidRPr="0051606C">
        <w:rPr>
          <w:rFonts w:ascii="Arial" w:hAnsi="Arial" w:cs="Arial"/>
          <w:sz w:val="24"/>
          <w:szCs w:val="24"/>
        </w:rPr>
        <w:t xml:space="preserve">". </w:t>
      </w:r>
      <w:proofErr w:type="spellStart"/>
      <w:r w:rsidRPr="0051606C">
        <w:rPr>
          <w:rFonts w:ascii="Arial" w:hAnsi="Arial" w:cs="Arial"/>
          <w:sz w:val="24"/>
          <w:szCs w:val="24"/>
        </w:rPr>
        <w:t>Encyclopedia</w:t>
      </w:r>
      <w:proofErr w:type="spellEnd"/>
      <w:r w:rsidRPr="0051606C">
        <w:rPr>
          <w:rFonts w:ascii="Arial" w:hAnsi="Arial" w:cs="Arial"/>
          <w:sz w:val="24"/>
          <w:szCs w:val="24"/>
        </w:rPr>
        <w:t xml:space="preserve"> Britannica, 18 Oct. 2022, </w:t>
      </w:r>
      <w:hyperlink r:id="rId12" w:history="1">
        <w:r w:rsidR="00E300EE" w:rsidRPr="002E4568">
          <w:rPr>
            <w:rStyle w:val="Hyperlink"/>
            <w:rFonts w:ascii="Arial" w:hAnsi="Arial" w:cs="Arial"/>
            <w:sz w:val="24"/>
            <w:szCs w:val="24"/>
          </w:rPr>
          <w:t>https://www.britannica.com/topic/crime-law</w:t>
        </w:r>
      </w:hyperlink>
      <w:r w:rsidR="00E300EE">
        <w:rPr>
          <w:rFonts w:ascii="Arial" w:hAnsi="Arial" w:cs="Arial"/>
          <w:sz w:val="24"/>
          <w:szCs w:val="24"/>
        </w:rPr>
        <w:t>.</w:t>
      </w:r>
      <w:r w:rsidR="00E300EE" w:rsidRPr="00E300EE">
        <w:rPr>
          <w:rFonts w:ascii="Arial" w:hAnsi="Arial" w:cs="Arial"/>
          <w:sz w:val="24"/>
          <w:szCs w:val="24"/>
        </w:rPr>
        <w:t xml:space="preserve"> (Accessed 14 November 2022</w:t>
      </w:r>
      <w:r w:rsidR="00E300EE">
        <w:rPr>
          <w:rFonts w:ascii="Arial" w:hAnsi="Arial" w:cs="Arial"/>
          <w:sz w:val="24"/>
          <w:szCs w:val="24"/>
        </w:rPr>
        <w:t>)</w:t>
      </w:r>
    </w:p>
    <w:p w14:paraId="4D42EF02" w14:textId="40479765" w:rsidR="009830DB" w:rsidRPr="0051606C" w:rsidRDefault="009830DB" w:rsidP="009830DB">
      <w:pPr>
        <w:spacing w:line="360" w:lineRule="auto"/>
        <w:jc w:val="both"/>
        <w:rPr>
          <w:rFonts w:ascii="Arial" w:hAnsi="Arial" w:cs="Arial"/>
          <w:sz w:val="24"/>
          <w:szCs w:val="24"/>
        </w:rPr>
      </w:pPr>
      <w:r w:rsidRPr="0051606C">
        <w:rPr>
          <w:rFonts w:ascii="Arial" w:hAnsi="Arial" w:cs="Arial"/>
          <w:sz w:val="24"/>
          <w:szCs w:val="24"/>
        </w:rPr>
        <w:t>Britannica, The Editors of Encyclopaedia. "</w:t>
      </w:r>
      <w:r w:rsidRPr="000F5747">
        <w:rPr>
          <w:rFonts w:ascii="Arial" w:hAnsi="Arial" w:cs="Arial"/>
          <w:i/>
          <w:iCs/>
          <w:sz w:val="24"/>
          <w:szCs w:val="24"/>
        </w:rPr>
        <w:t>liability</w:t>
      </w:r>
      <w:r w:rsidRPr="0051606C">
        <w:rPr>
          <w:rFonts w:ascii="Arial" w:hAnsi="Arial" w:cs="Arial"/>
          <w:sz w:val="24"/>
          <w:szCs w:val="24"/>
        </w:rPr>
        <w:t xml:space="preserve">". </w:t>
      </w:r>
      <w:proofErr w:type="spellStart"/>
      <w:r w:rsidRPr="0051606C">
        <w:rPr>
          <w:rFonts w:ascii="Arial" w:hAnsi="Arial" w:cs="Arial"/>
          <w:sz w:val="24"/>
          <w:szCs w:val="24"/>
        </w:rPr>
        <w:t>Encyclopedia</w:t>
      </w:r>
      <w:proofErr w:type="spellEnd"/>
      <w:r w:rsidRPr="0051606C">
        <w:rPr>
          <w:rFonts w:ascii="Arial" w:hAnsi="Arial" w:cs="Arial"/>
          <w:sz w:val="24"/>
          <w:szCs w:val="24"/>
        </w:rPr>
        <w:t xml:space="preserve"> Britannica, 27 Dec. 2021, </w:t>
      </w:r>
      <w:hyperlink r:id="rId13" w:history="1">
        <w:r w:rsidR="00E300EE" w:rsidRPr="002E4568">
          <w:rPr>
            <w:rStyle w:val="Hyperlink"/>
            <w:rFonts w:ascii="Arial" w:hAnsi="Arial" w:cs="Arial"/>
            <w:sz w:val="24"/>
            <w:szCs w:val="24"/>
          </w:rPr>
          <w:t>https://www.britannica.com/topic/liability-law</w:t>
        </w:r>
      </w:hyperlink>
      <w:r w:rsidR="00E300EE">
        <w:rPr>
          <w:rFonts w:ascii="Arial" w:hAnsi="Arial" w:cs="Arial"/>
          <w:sz w:val="24"/>
          <w:szCs w:val="24"/>
        </w:rPr>
        <w:t>.</w:t>
      </w:r>
      <w:r w:rsidRPr="0051606C">
        <w:rPr>
          <w:rFonts w:ascii="Arial" w:hAnsi="Arial" w:cs="Arial"/>
          <w:sz w:val="24"/>
          <w:szCs w:val="24"/>
        </w:rPr>
        <w:t xml:space="preserve"> </w:t>
      </w:r>
      <w:r w:rsidR="00E300EE">
        <w:rPr>
          <w:rFonts w:ascii="Arial" w:hAnsi="Arial" w:cs="Arial"/>
          <w:sz w:val="24"/>
          <w:szCs w:val="24"/>
        </w:rPr>
        <w:t>(</w:t>
      </w:r>
      <w:r w:rsidRPr="0051606C">
        <w:rPr>
          <w:rFonts w:ascii="Arial" w:hAnsi="Arial" w:cs="Arial"/>
          <w:sz w:val="24"/>
          <w:szCs w:val="24"/>
        </w:rPr>
        <w:t>Accessed 14 November 2022</w:t>
      </w:r>
      <w:r w:rsidR="00E300EE">
        <w:rPr>
          <w:rFonts w:ascii="Arial" w:hAnsi="Arial" w:cs="Arial"/>
          <w:sz w:val="24"/>
          <w:szCs w:val="24"/>
        </w:rPr>
        <w:t>)</w:t>
      </w:r>
      <w:r w:rsidRPr="0051606C">
        <w:rPr>
          <w:rFonts w:ascii="Arial" w:hAnsi="Arial" w:cs="Arial"/>
          <w:sz w:val="24"/>
          <w:szCs w:val="24"/>
        </w:rPr>
        <w:t xml:space="preserve"> </w:t>
      </w:r>
    </w:p>
    <w:p w14:paraId="1BD808DA" w14:textId="5FE7328C" w:rsidR="009830DB" w:rsidRDefault="009830DB" w:rsidP="009830DB">
      <w:pPr>
        <w:spacing w:line="360" w:lineRule="auto"/>
        <w:jc w:val="both"/>
        <w:rPr>
          <w:rFonts w:ascii="Arial" w:hAnsi="Arial" w:cs="Arial"/>
          <w:sz w:val="24"/>
          <w:szCs w:val="24"/>
        </w:rPr>
      </w:pPr>
      <w:r w:rsidRPr="0051606C">
        <w:rPr>
          <w:rFonts w:ascii="Arial" w:hAnsi="Arial" w:cs="Arial"/>
          <w:sz w:val="24"/>
          <w:szCs w:val="24"/>
        </w:rPr>
        <w:t xml:space="preserve">Cornell Law School (2022), </w:t>
      </w:r>
      <w:r w:rsidRPr="0051606C">
        <w:rPr>
          <w:rFonts w:ascii="Arial" w:hAnsi="Arial" w:cs="Arial"/>
          <w:i/>
          <w:iCs/>
          <w:sz w:val="24"/>
          <w:szCs w:val="24"/>
        </w:rPr>
        <w:t>Actus Reus</w:t>
      </w:r>
      <w:r w:rsidRPr="0051606C">
        <w:rPr>
          <w:rFonts w:ascii="Arial" w:hAnsi="Arial" w:cs="Arial"/>
          <w:sz w:val="24"/>
          <w:szCs w:val="24"/>
        </w:rPr>
        <w:t xml:space="preserve"> available at </w:t>
      </w:r>
      <w:hyperlink r:id="rId14" w:history="1">
        <w:r w:rsidRPr="0051606C">
          <w:rPr>
            <w:rStyle w:val="Hyperlink"/>
            <w:rFonts w:ascii="Arial" w:hAnsi="Arial" w:cs="Arial"/>
            <w:sz w:val="24"/>
            <w:szCs w:val="24"/>
          </w:rPr>
          <w:t>https://www.law.cornell.edu/wex/actus_reus</w:t>
        </w:r>
      </w:hyperlink>
      <w:r w:rsidR="00E300EE">
        <w:rPr>
          <w:rStyle w:val="Hyperlink"/>
          <w:rFonts w:ascii="Arial" w:hAnsi="Arial" w:cs="Arial"/>
          <w:sz w:val="24"/>
          <w:szCs w:val="24"/>
        </w:rPr>
        <w:t xml:space="preserve"> </w:t>
      </w:r>
      <w:r w:rsidR="00E300EE">
        <w:rPr>
          <w:rFonts w:ascii="Arial" w:hAnsi="Arial" w:cs="Arial"/>
          <w:sz w:val="24"/>
          <w:szCs w:val="24"/>
        </w:rPr>
        <w:t>(</w:t>
      </w:r>
      <w:r w:rsidR="00E300EE" w:rsidRPr="0051606C">
        <w:rPr>
          <w:rFonts w:ascii="Arial" w:hAnsi="Arial" w:cs="Arial"/>
          <w:sz w:val="24"/>
          <w:szCs w:val="24"/>
        </w:rPr>
        <w:t>Accessed 1</w:t>
      </w:r>
      <w:r w:rsidR="00E300EE">
        <w:rPr>
          <w:rFonts w:ascii="Arial" w:hAnsi="Arial" w:cs="Arial"/>
          <w:sz w:val="24"/>
          <w:szCs w:val="24"/>
        </w:rPr>
        <w:t>5</w:t>
      </w:r>
      <w:r w:rsidR="00E300EE" w:rsidRPr="0051606C">
        <w:rPr>
          <w:rFonts w:ascii="Arial" w:hAnsi="Arial" w:cs="Arial"/>
          <w:sz w:val="24"/>
          <w:szCs w:val="24"/>
        </w:rPr>
        <w:t xml:space="preserve"> November 2022</w:t>
      </w:r>
      <w:r w:rsidR="00E300EE">
        <w:rPr>
          <w:rFonts w:ascii="Arial" w:hAnsi="Arial" w:cs="Arial"/>
          <w:sz w:val="24"/>
          <w:szCs w:val="24"/>
        </w:rPr>
        <w:t>)</w:t>
      </w:r>
    </w:p>
    <w:p w14:paraId="438B0930" w14:textId="5A02E053" w:rsidR="00ED0AFD" w:rsidRDefault="00ED0AFD" w:rsidP="009830DB">
      <w:pPr>
        <w:spacing w:line="360" w:lineRule="auto"/>
        <w:jc w:val="both"/>
        <w:rPr>
          <w:rFonts w:ascii="Arial" w:hAnsi="Arial" w:cs="Arial"/>
          <w:sz w:val="24"/>
          <w:szCs w:val="24"/>
        </w:rPr>
      </w:pPr>
      <w:r>
        <w:rPr>
          <w:rFonts w:ascii="Arial" w:hAnsi="Arial" w:cs="Arial"/>
          <w:sz w:val="24"/>
          <w:szCs w:val="24"/>
        </w:rPr>
        <w:t xml:space="preserve">CPS.GOV.UK (2019), </w:t>
      </w:r>
      <w:r w:rsidRPr="00E300EE">
        <w:rPr>
          <w:rFonts w:ascii="Arial" w:hAnsi="Arial" w:cs="Arial"/>
          <w:i/>
          <w:iCs/>
          <w:sz w:val="24"/>
          <w:szCs w:val="24"/>
        </w:rPr>
        <w:t>Road Traffic – Drink and Drug Driving, Section 6 RTA 1988 - Preliminary Impairment Testing</w:t>
      </w:r>
      <w:r>
        <w:rPr>
          <w:rFonts w:ascii="Arial" w:hAnsi="Arial" w:cs="Arial"/>
          <w:sz w:val="24"/>
          <w:szCs w:val="24"/>
        </w:rPr>
        <w:t xml:space="preserve">, available at </w:t>
      </w:r>
      <w:hyperlink r:id="rId15" w:anchor=":~:text=6(6)%20RTA%201988.,influence%20of%20a%20drug%20%2D%20s" w:history="1">
        <w:r w:rsidRPr="002E4568">
          <w:rPr>
            <w:rStyle w:val="Hyperlink"/>
            <w:rFonts w:ascii="Arial" w:hAnsi="Arial" w:cs="Arial"/>
            <w:sz w:val="24"/>
            <w:szCs w:val="24"/>
          </w:rPr>
          <w:t>https://www.cps.gov.uk/legal-guidance/road-traffic-drink-and-drug-driving#:~:text=6(6)%20RTA%201988.,influence%20of%20a%20drug%20%2D%20s</w:t>
        </w:r>
      </w:hyperlink>
      <w:r w:rsidRPr="008A2C11">
        <w:rPr>
          <w:rFonts w:ascii="Arial" w:hAnsi="Arial" w:cs="Arial"/>
          <w:sz w:val="24"/>
          <w:szCs w:val="24"/>
        </w:rPr>
        <w:t>.</w:t>
      </w:r>
      <w:r>
        <w:rPr>
          <w:rFonts w:ascii="Arial" w:hAnsi="Arial" w:cs="Arial"/>
          <w:sz w:val="24"/>
          <w:szCs w:val="24"/>
        </w:rPr>
        <w:t xml:space="preserve"> (A</w:t>
      </w:r>
      <w:r w:rsidRPr="009E38E7">
        <w:rPr>
          <w:rFonts w:ascii="Arial" w:hAnsi="Arial" w:cs="Arial"/>
          <w:sz w:val="24"/>
          <w:szCs w:val="24"/>
        </w:rPr>
        <w:t>ccessed 16 Nov</w:t>
      </w:r>
      <w:r>
        <w:rPr>
          <w:rFonts w:ascii="Arial" w:hAnsi="Arial" w:cs="Arial"/>
          <w:sz w:val="24"/>
          <w:szCs w:val="24"/>
        </w:rPr>
        <w:t xml:space="preserve">ember </w:t>
      </w:r>
      <w:r w:rsidRPr="009E38E7">
        <w:rPr>
          <w:rFonts w:ascii="Arial" w:hAnsi="Arial" w:cs="Arial"/>
          <w:sz w:val="24"/>
          <w:szCs w:val="24"/>
        </w:rPr>
        <w:t>2022</w:t>
      </w:r>
      <w:r>
        <w:rPr>
          <w:rFonts w:ascii="Arial" w:hAnsi="Arial" w:cs="Arial"/>
          <w:sz w:val="24"/>
          <w:szCs w:val="24"/>
        </w:rPr>
        <w:t>)</w:t>
      </w:r>
    </w:p>
    <w:p w14:paraId="3B64A6B2" w14:textId="1F5BCCA3" w:rsidR="00ED0AFD" w:rsidRPr="0051606C" w:rsidRDefault="00ED0AFD" w:rsidP="009830DB">
      <w:pPr>
        <w:spacing w:line="360" w:lineRule="auto"/>
        <w:jc w:val="both"/>
        <w:rPr>
          <w:rFonts w:ascii="Arial" w:hAnsi="Arial" w:cs="Arial"/>
          <w:sz w:val="24"/>
          <w:szCs w:val="24"/>
        </w:rPr>
      </w:pPr>
      <w:r w:rsidRPr="007F0527">
        <w:rPr>
          <w:rFonts w:ascii="Arial" w:hAnsi="Arial" w:cs="Arial"/>
          <w:sz w:val="24"/>
          <w:szCs w:val="24"/>
        </w:rPr>
        <w:t>Fagan v MPC [1969] 1 QB 439</w:t>
      </w:r>
      <w:r>
        <w:rPr>
          <w:rFonts w:ascii="Arial" w:hAnsi="Arial" w:cs="Arial"/>
          <w:sz w:val="24"/>
          <w:szCs w:val="24"/>
        </w:rPr>
        <w:t xml:space="preserve">, available at </w:t>
      </w:r>
      <w:hyperlink r:id="rId16" w:history="1">
        <w:r w:rsidRPr="002E4568">
          <w:rPr>
            <w:rStyle w:val="Hyperlink"/>
            <w:rFonts w:ascii="Arial" w:hAnsi="Arial" w:cs="Arial"/>
            <w:sz w:val="24"/>
            <w:szCs w:val="24"/>
          </w:rPr>
          <w:t>https://www.e-lawresources.co.uk/Fagan-v-MPC.php</w:t>
        </w:r>
      </w:hyperlink>
    </w:p>
    <w:p w14:paraId="49D866F7" w14:textId="1253CAE8" w:rsidR="009830DB" w:rsidRDefault="009830DB" w:rsidP="009830DB">
      <w:pPr>
        <w:spacing w:line="360" w:lineRule="auto"/>
        <w:jc w:val="both"/>
        <w:rPr>
          <w:rFonts w:ascii="Arial" w:hAnsi="Arial" w:cs="Arial"/>
          <w:sz w:val="24"/>
          <w:szCs w:val="24"/>
        </w:rPr>
      </w:pPr>
      <w:r w:rsidRPr="000F5747">
        <w:rPr>
          <w:rFonts w:ascii="Arial" w:hAnsi="Arial" w:cs="Arial"/>
          <w:sz w:val="24"/>
          <w:szCs w:val="24"/>
        </w:rPr>
        <w:t>Herring, J. (2018) </w:t>
      </w:r>
      <w:r w:rsidRPr="000F5747">
        <w:rPr>
          <w:rFonts w:ascii="Arial" w:hAnsi="Arial" w:cs="Arial"/>
          <w:i/>
          <w:iCs/>
          <w:sz w:val="24"/>
          <w:szCs w:val="24"/>
        </w:rPr>
        <w:t>Criminal Law: Text, Cases, and Materials</w:t>
      </w:r>
      <w:r w:rsidRPr="000F5747">
        <w:rPr>
          <w:rFonts w:ascii="Arial" w:hAnsi="Arial" w:cs="Arial"/>
          <w:sz w:val="24"/>
          <w:szCs w:val="24"/>
        </w:rPr>
        <w:t>. United Kingdom: Oxford University Press</w:t>
      </w:r>
      <w:r>
        <w:rPr>
          <w:rFonts w:ascii="Arial" w:hAnsi="Arial" w:cs="Arial"/>
          <w:sz w:val="24"/>
          <w:szCs w:val="24"/>
        </w:rPr>
        <w:t>, pp</w:t>
      </w:r>
      <w:r w:rsidR="00E300EE">
        <w:rPr>
          <w:rFonts w:ascii="Arial" w:hAnsi="Arial" w:cs="Arial"/>
          <w:sz w:val="24"/>
          <w:szCs w:val="24"/>
        </w:rPr>
        <w:t>.</w:t>
      </w:r>
      <w:r>
        <w:rPr>
          <w:rFonts w:ascii="Arial" w:hAnsi="Arial" w:cs="Arial"/>
          <w:sz w:val="24"/>
          <w:szCs w:val="24"/>
        </w:rPr>
        <w:t xml:space="preserve"> 66-96</w:t>
      </w:r>
    </w:p>
    <w:p w14:paraId="0DF2EE6C" w14:textId="011B818A" w:rsidR="009830DB" w:rsidRDefault="009830DB" w:rsidP="009830DB">
      <w:pPr>
        <w:spacing w:line="360" w:lineRule="auto"/>
        <w:jc w:val="both"/>
        <w:rPr>
          <w:rFonts w:ascii="Arial" w:hAnsi="Arial" w:cs="Arial"/>
          <w:sz w:val="24"/>
          <w:szCs w:val="24"/>
        </w:rPr>
      </w:pPr>
      <w:r w:rsidRPr="0051606C">
        <w:rPr>
          <w:rFonts w:ascii="Arial" w:hAnsi="Arial" w:cs="Arial"/>
          <w:sz w:val="24"/>
          <w:szCs w:val="24"/>
        </w:rPr>
        <w:t>Smith, J. (1984) Liability for omissions in the criminal law</w:t>
      </w:r>
      <w:r>
        <w:rPr>
          <w:rFonts w:ascii="Arial" w:hAnsi="Arial" w:cs="Arial"/>
          <w:sz w:val="24"/>
          <w:szCs w:val="24"/>
        </w:rPr>
        <w:t>,</w:t>
      </w:r>
      <w:r w:rsidRPr="0051606C">
        <w:rPr>
          <w:rFonts w:ascii="Arial" w:hAnsi="Arial" w:cs="Arial"/>
          <w:sz w:val="24"/>
          <w:szCs w:val="24"/>
        </w:rPr>
        <w:t xml:space="preserve"> </w:t>
      </w:r>
      <w:r w:rsidRPr="000F5747">
        <w:rPr>
          <w:rFonts w:ascii="Arial" w:hAnsi="Arial" w:cs="Arial"/>
          <w:i/>
          <w:iCs/>
          <w:sz w:val="24"/>
          <w:szCs w:val="24"/>
        </w:rPr>
        <w:t>Legal Studies, 4(1)</w:t>
      </w:r>
      <w:r w:rsidRPr="0051606C">
        <w:rPr>
          <w:rFonts w:ascii="Arial" w:hAnsi="Arial" w:cs="Arial"/>
          <w:sz w:val="24"/>
          <w:szCs w:val="24"/>
        </w:rPr>
        <w:t xml:space="preserve">, </w:t>
      </w:r>
      <w:r w:rsidR="00E300EE">
        <w:rPr>
          <w:rFonts w:ascii="Arial" w:hAnsi="Arial" w:cs="Arial"/>
          <w:sz w:val="24"/>
          <w:szCs w:val="24"/>
        </w:rPr>
        <w:t xml:space="preserve">pp. </w:t>
      </w:r>
      <w:r w:rsidRPr="0051606C">
        <w:rPr>
          <w:rFonts w:ascii="Arial" w:hAnsi="Arial" w:cs="Arial"/>
          <w:sz w:val="24"/>
          <w:szCs w:val="24"/>
        </w:rPr>
        <w:t xml:space="preserve">88-101. </w:t>
      </w:r>
      <w:hyperlink r:id="rId17" w:history="1">
        <w:r w:rsidR="00ED0AFD" w:rsidRPr="002E4568">
          <w:rPr>
            <w:rStyle w:val="Hyperlink"/>
            <w:rFonts w:ascii="Arial" w:hAnsi="Arial" w:cs="Arial"/>
            <w:sz w:val="24"/>
            <w:szCs w:val="24"/>
          </w:rPr>
          <w:t>https://doi:10.1111/j.1748-121X.1984.tb00434.x</w:t>
        </w:r>
      </w:hyperlink>
      <w:r w:rsidR="00ED0AFD">
        <w:rPr>
          <w:rFonts w:ascii="Arial" w:hAnsi="Arial" w:cs="Arial"/>
          <w:sz w:val="24"/>
          <w:szCs w:val="24"/>
        </w:rPr>
        <w:t xml:space="preserve"> </w:t>
      </w:r>
    </w:p>
    <w:p w14:paraId="1FF8A581" w14:textId="3DCF51DF" w:rsidR="009F6683" w:rsidRDefault="009F6683" w:rsidP="009830DB">
      <w:pPr>
        <w:spacing w:line="360" w:lineRule="auto"/>
        <w:jc w:val="both"/>
        <w:rPr>
          <w:rFonts w:ascii="Arial" w:hAnsi="Arial" w:cs="Arial"/>
          <w:sz w:val="24"/>
          <w:szCs w:val="24"/>
        </w:rPr>
      </w:pPr>
      <w:r w:rsidRPr="009F6683">
        <w:rPr>
          <w:rFonts w:ascii="Arial" w:hAnsi="Arial" w:cs="Arial"/>
          <w:sz w:val="24"/>
          <w:szCs w:val="24"/>
        </w:rPr>
        <w:t xml:space="preserve">R v </w:t>
      </w:r>
      <w:proofErr w:type="spellStart"/>
      <w:r w:rsidRPr="009F6683">
        <w:rPr>
          <w:rFonts w:ascii="Arial" w:hAnsi="Arial" w:cs="Arial"/>
          <w:sz w:val="24"/>
          <w:szCs w:val="24"/>
        </w:rPr>
        <w:t>Dytham</w:t>
      </w:r>
      <w:proofErr w:type="spellEnd"/>
      <w:r w:rsidRPr="009F6683">
        <w:rPr>
          <w:rFonts w:ascii="Arial" w:hAnsi="Arial" w:cs="Arial"/>
          <w:sz w:val="24"/>
          <w:szCs w:val="24"/>
        </w:rPr>
        <w:t>, [1979] QB 722</w:t>
      </w:r>
      <w:r w:rsidR="00E300EE">
        <w:rPr>
          <w:rFonts w:ascii="Arial" w:hAnsi="Arial" w:cs="Arial"/>
          <w:sz w:val="24"/>
          <w:szCs w:val="24"/>
        </w:rPr>
        <w:t xml:space="preserve">, available at </w:t>
      </w:r>
      <w:hyperlink r:id="rId18" w:history="1">
        <w:r w:rsidR="00E300EE" w:rsidRPr="002E4568">
          <w:rPr>
            <w:rStyle w:val="Hyperlink"/>
            <w:rFonts w:ascii="Arial" w:hAnsi="Arial" w:cs="Arial"/>
            <w:sz w:val="24"/>
            <w:szCs w:val="24"/>
          </w:rPr>
          <w:t>https://www.e-lawresources.co.uk/R-v-Dytham.php</w:t>
        </w:r>
      </w:hyperlink>
      <w:r w:rsidR="00E300EE">
        <w:rPr>
          <w:rFonts w:ascii="Arial" w:hAnsi="Arial" w:cs="Arial"/>
          <w:sz w:val="24"/>
          <w:szCs w:val="24"/>
        </w:rPr>
        <w:t xml:space="preserve"> </w:t>
      </w:r>
    </w:p>
    <w:p w14:paraId="5584B539" w14:textId="6044CD41" w:rsidR="00E300EE" w:rsidRDefault="00E300EE" w:rsidP="009830DB">
      <w:pPr>
        <w:spacing w:line="360" w:lineRule="auto"/>
        <w:jc w:val="both"/>
        <w:rPr>
          <w:rFonts w:ascii="Arial" w:hAnsi="Arial" w:cs="Arial"/>
          <w:sz w:val="24"/>
          <w:szCs w:val="24"/>
        </w:rPr>
      </w:pPr>
      <w:r w:rsidRPr="00A146CD">
        <w:rPr>
          <w:rFonts w:ascii="Arial" w:hAnsi="Arial" w:cs="Arial"/>
          <w:sz w:val="24"/>
          <w:szCs w:val="24"/>
        </w:rPr>
        <w:t>R v Gibbins and Proctor [1918] 13 Cr App Rep 134</w:t>
      </w:r>
      <w:r>
        <w:rPr>
          <w:rFonts w:ascii="Arial" w:hAnsi="Arial" w:cs="Arial"/>
          <w:sz w:val="24"/>
          <w:szCs w:val="24"/>
        </w:rPr>
        <w:t xml:space="preserve">, available at </w:t>
      </w:r>
      <w:hyperlink r:id="rId19" w:history="1">
        <w:r w:rsidRPr="002E4568">
          <w:rPr>
            <w:rStyle w:val="Hyperlink"/>
            <w:rFonts w:ascii="Arial" w:hAnsi="Arial" w:cs="Arial"/>
            <w:sz w:val="24"/>
            <w:szCs w:val="24"/>
          </w:rPr>
          <w:t>https://simplestudying.com/r-v-gibbins-and-proctor-1919-13cr-app-r-134/</w:t>
        </w:r>
      </w:hyperlink>
      <w:r>
        <w:rPr>
          <w:rFonts w:ascii="Arial" w:hAnsi="Arial" w:cs="Arial"/>
          <w:sz w:val="24"/>
          <w:szCs w:val="24"/>
        </w:rPr>
        <w:t xml:space="preserve"> </w:t>
      </w:r>
    </w:p>
    <w:p w14:paraId="4A832BBA" w14:textId="0B5EA77E" w:rsidR="007F0527" w:rsidRDefault="007F0527" w:rsidP="009830DB">
      <w:pPr>
        <w:spacing w:line="360" w:lineRule="auto"/>
        <w:jc w:val="both"/>
        <w:rPr>
          <w:rFonts w:ascii="Arial" w:hAnsi="Arial" w:cs="Arial"/>
          <w:sz w:val="24"/>
          <w:szCs w:val="24"/>
        </w:rPr>
      </w:pPr>
      <w:r w:rsidRPr="007F0527">
        <w:rPr>
          <w:rFonts w:ascii="Arial" w:hAnsi="Arial" w:cs="Arial"/>
          <w:sz w:val="24"/>
          <w:szCs w:val="24"/>
        </w:rPr>
        <w:t>R v Stone &amp; Dobinson [1977] 1 QB 354</w:t>
      </w:r>
      <w:r>
        <w:rPr>
          <w:rFonts w:ascii="Arial" w:hAnsi="Arial" w:cs="Arial"/>
          <w:sz w:val="24"/>
          <w:szCs w:val="24"/>
        </w:rPr>
        <w:t xml:space="preserve">, available at </w:t>
      </w:r>
      <w:hyperlink r:id="rId20" w:history="1">
        <w:r w:rsidRPr="002E4568">
          <w:rPr>
            <w:rStyle w:val="Hyperlink"/>
            <w:rFonts w:ascii="Arial" w:hAnsi="Arial" w:cs="Arial"/>
            <w:sz w:val="24"/>
            <w:szCs w:val="24"/>
          </w:rPr>
          <w:t>https://www.e-lawresources.co.uk/R-v-Stone--and--Dobinson.php</w:t>
        </w:r>
      </w:hyperlink>
      <w:r>
        <w:rPr>
          <w:rFonts w:ascii="Arial" w:hAnsi="Arial" w:cs="Arial"/>
          <w:sz w:val="24"/>
          <w:szCs w:val="24"/>
        </w:rPr>
        <w:t xml:space="preserve"> </w:t>
      </w:r>
    </w:p>
    <w:p w14:paraId="511C1A25" w14:textId="37547313" w:rsidR="007F0527" w:rsidRDefault="007F0527" w:rsidP="009830DB">
      <w:pPr>
        <w:spacing w:line="360" w:lineRule="auto"/>
        <w:jc w:val="both"/>
        <w:rPr>
          <w:rFonts w:ascii="Arial" w:hAnsi="Arial" w:cs="Arial"/>
          <w:sz w:val="24"/>
          <w:szCs w:val="24"/>
        </w:rPr>
      </w:pPr>
      <w:r w:rsidRPr="007F0527">
        <w:rPr>
          <w:rFonts w:ascii="Arial" w:hAnsi="Arial" w:cs="Arial"/>
          <w:sz w:val="24"/>
          <w:szCs w:val="24"/>
        </w:rPr>
        <w:t xml:space="preserve">R v </w:t>
      </w:r>
      <w:proofErr w:type="spellStart"/>
      <w:r w:rsidRPr="007F0527">
        <w:rPr>
          <w:rFonts w:ascii="Arial" w:hAnsi="Arial" w:cs="Arial"/>
          <w:sz w:val="24"/>
          <w:szCs w:val="24"/>
        </w:rPr>
        <w:t>Pittwood</w:t>
      </w:r>
      <w:proofErr w:type="spellEnd"/>
      <w:r w:rsidRPr="007F0527">
        <w:rPr>
          <w:rFonts w:ascii="Arial" w:hAnsi="Arial" w:cs="Arial"/>
          <w:sz w:val="24"/>
          <w:szCs w:val="24"/>
        </w:rPr>
        <w:t xml:space="preserve"> [1902] TLR 37</w:t>
      </w:r>
      <w:r>
        <w:rPr>
          <w:rFonts w:ascii="Arial" w:hAnsi="Arial" w:cs="Arial"/>
          <w:sz w:val="24"/>
          <w:szCs w:val="24"/>
        </w:rPr>
        <w:t xml:space="preserve">, available at </w:t>
      </w:r>
      <w:hyperlink r:id="rId21" w:history="1">
        <w:r w:rsidRPr="002E4568">
          <w:rPr>
            <w:rStyle w:val="Hyperlink"/>
            <w:rFonts w:ascii="Arial" w:hAnsi="Arial" w:cs="Arial"/>
            <w:sz w:val="24"/>
            <w:szCs w:val="24"/>
          </w:rPr>
          <w:t>https://www.e-lawresources.co.uk/R-v-Pittwood.php</w:t>
        </w:r>
      </w:hyperlink>
      <w:r>
        <w:rPr>
          <w:rFonts w:ascii="Arial" w:hAnsi="Arial" w:cs="Arial"/>
          <w:sz w:val="24"/>
          <w:szCs w:val="24"/>
        </w:rPr>
        <w:t xml:space="preserve"> </w:t>
      </w:r>
    </w:p>
    <w:p w14:paraId="0DB1CFC5" w14:textId="1FC6581E" w:rsidR="007F0527" w:rsidRDefault="00C33530" w:rsidP="009830DB">
      <w:pPr>
        <w:spacing w:line="360" w:lineRule="auto"/>
        <w:jc w:val="both"/>
        <w:rPr>
          <w:rFonts w:ascii="Arial" w:hAnsi="Arial" w:cs="Arial"/>
          <w:sz w:val="24"/>
          <w:szCs w:val="24"/>
        </w:rPr>
      </w:pPr>
      <w:r w:rsidRPr="00C33530">
        <w:rPr>
          <w:rFonts w:ascii="Arial" w:hAnsi="Arial" w:cs="Arial"/>
          <w:sz w:val="24"/>
          <w:szCs w:val="24"/>
        </w:rPr>
        <w:t>R v Miller [1983] 2 AC 161</w:t>
      </w:r>
      <w:r>
        <w:rPr>
          <w:rFonts w:ascii="Arial" w:hAnsi="Arial" w:cs="Arial"/>
          <w:sz w:val="24"/>
          <w:szCs w:val="24"/>
        </w:rPr>
        <w:t xml:space="preserve">, available at </w:t>
      </w:r>
      <w:hyperlink r:id="rId22" w:history="1">
        <w:r w:rsidRPr="002E4568">
          <w:rPr>
            <w:rStyle w:val="Hyperlink"/>
            <w:rFonts w:ascii="Arial" w:hAnsi="Arial" w:cs="Arial"/>
            <w:sz w:val="24"/>
            <w:szCs w:val="24"/>
          </w:rPr>
          <w:t>https://www.e-lawresources.co.uk/R-v-Miller.php</w:t>
        </w:r>
      </w:hyperlink>
      <w:r>
        <w:rPr>
          <w:rFonts w:ascii="Arial" w:hAnsi="Arial" w:cs="Arial"/>
          <w:sz w:val="24"/>
          <w:szCs w:val="24"/>
        </w:rPr>
        <w:t xml:space="preserve"> </w:t>
      </w:r>
    </w:p>
    <w:p w14:paraId="32988CE3" w14:textId="49CA8378" w:rsidR="00ED0AFD" w:rsidRDefault="00ED0AFD" w:rsidP="009830DB">
      <w:pPr>
        <w:spacing w:line="360" w:lineRule="auto"/>
        <w:jc w:val="both"/>
        <w:rPr>
          <w:rFonts w:ascii="Arial" w:hAnsi="Arial" w:cs="Arial"/>
          <w:sz w:val="24"/>
          <w:szCs w:val="24"/>
        </w:rPr>
      </w:pPr>
      <w:r w:rsidRPr="00ED0AFD">
        <w:rPr>
          <w:rFonts w:ascii="Arial" w:hAnsi="Arial" w:cs="Arial"/>
          <w:sz w:val="24"/>
          <w:szCs w:val="24"/>
        </w:rPr>
        <w:lastRenderedPageBreak/>
        <w:t>R v Evans [2009] 2 Cr App R 10</w:t>
      </w:r>
      <w:r>
        <w:rPr>
          <w:rFonts w:ascii="Arial" w:hAnsi="Arial" w:cs="Arial"/>
          <w:sz w:val="24"/>
          <w:szCs w:val="24"/>
        </w:rPr>
        <w:t xml:space="preserve">, available at </w:t>
      </w:r>
      <w:hyperlink r:id="rId23" w:history="1">
        <w:r w:rsidRPr="002E4568">
          <w:rPr>
            <w:rStyle w:val="Hyperlink"/>
            <w:rFonts w:ascii="Arial" w:hAnsi="Arial" w:cs="Arial"/>
            <w:sz w:val="24"/>
            <w:szCs w:val="24"/>
          </w:rPr>
          <w:t>https://www.e-lawresources.co.uk/R-v-Evans.php</w:t>
        </w:r>
      </w:hyperlink>
      <w:r>
        <w:rPr>
          <w:rFonts w:ascii="Arial" w:hAnsi="Arial" w:cs="Arial"/>
          <w:sz w:val="24"/>
          <w:szCs w:val="24"/>
        </w:rPr>
        <w:t xml:space="preserve"> </w:t>
      </w: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F1BB8" w14:textId="77777777" w:rsidR="006C2F7F" w:rsidRDefault="006C2F7F" w:rsidP="00FA6250">
      <w:pPr>
        <w:spacing w:after="0" w:line="240" w:lineRule="auto"/>
      </w:pPr>
      <w:r>
        <w:separator/>
      </w:r>
    </w:p>
  </w:endnote>
  <w:endnote w:type="continuationSeparator" w:id="0">
    <w:p w14:paraId="62ED9957" w14:textId="77777777" w:rsidR="006C2F7F" w:rsidRDefault="006C2F7F"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01167" w14:textId="77777777" w:rsidR="006C2F7F" w:rsidRDefault="006C2F7F" w:rsidP="00FA6250">
      <w:pPr>
        <w:spacing w:after="0" w:line="240" w:lineRule="auto"/>
      </w:pPr>
      <w:r>
        <w:separator/>
      </w:r>
    </w:p>
  </w:footnote>
  <w:footnote w:type="continuationSeparator" w:id="0">
    <w:p w14:paraId="757C28E9" w14:textId="77777777" w:rsidR="006C2F7F" w:rsidRDefault="006C2F7F"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8C67C2"/>
    <w:multiLevelType w:val="hybridMultilevel"/>
    <w:tmpl w:val="4A5C219C"/>
    <w:lvl w:ilvl="0" w:tplc="21226AA8">
      <w:start w:val="7899"/>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16cid:durableId="872157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216AE8"/>
    <w:rsid w:val="002E70C3"/>
    <w:rsid w:val="00406958"/>
    <w:rsid w:val="0044326D"/>
    <w:rsid w:val="00565C08"/>
    <w:rsid w:val="006C2F7F"/>
    <w:rsid w:val="007F0527"/>
    <w:rsid w:val="008A2C11"/>
    <w:rsid w:val="0094273F"/>
    <w:rsid w:val="009830DB"/>
    <w:rsid w:val="009E0369"/>
    <w:rsid w:val="009F6683"/>
    <w:rsid w:val="00A146CD"/>
    <w:rsid w:val="00A20199"/>
    <w:rsid w:val="00AE4ABE"/>
    <w:rsid w:val="00C33530"/>
    <w:rsid w:val="00C70A0A"/>
    <w:rsid w:val="00E06FE6"/>
    <w:rsid w:val="00E300EE"/>
    <w:rsid w:val="00E808AC"/>
    <w:rsid w:val="00ED0AFD"/>
    <w:rsid w:val="00FA053F"/>
    <w:rsid w:val="00FA6250"/>
    <w:rsid w:val="00FD06B6"/>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8A2C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9830DB"/>
    <w:pPr>
      <w:spacing w:after="200" w:line="276" w:lineRule="auto"/>
      <w:ind w:left="720"/>
      <w:contextualSpacing/>
    </w:pPr>
    <w:rPr>
      <w:rFonts w:eastAsiaTheme="minorHAnsi"/>
      <w:lang w:eastAsia="en-US"/>
    </w:rPr>
  </w:style>
  <w:style w:type="character" w:customStyle="1" w:styleId="Heading2Char">
    <w:name w:val="Heading 2 Char"/>
    <w:basedOn w:val="DefaultParagraphFont"/>
    <w:link w:val="Heading2"/>
    <w:uiPriority w:val="9"/>
    <w:semiHidden/>
    <w:rsid w:val="008A2C11"/>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E30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89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itannica.com/topic/liability-law" TargetMode="External"/><Relationship Id="rId18" Type="http://schemas.openxmlformats.org/officeDocument/2006/relationships/hyperlink" Target="https://www.e-lawresources.co.uk/R-v-Dytham.php"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e-lawresources.co.uk/R-v-Pittwood.php" TargetMode="External"/><Relationship Id="rId7" Type="http://schemas.openxmlformats.org/officeDocument/2006/relationships/footnotes" Target="footnotes.xml"/><Relationship Id="rId12" Type="http://schemas.openxmlformats.org/officeDocument/2006/relationships/hyperlink" Target="https://www.britannica.com/topic/crime-law" TargetMode="External"/><Relationship Id="rId17" Type="http://schemas.openxmlformats.org/officeDocument/2006/relationships/hyperlink" Target="https://doi:10.1111/j.1748-121X.1984.tb00434.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lawresources.co.uk/Fagan-v-MPC.php" TargetMode="External"/><Relationship Id="rId20" Type="http://schemas.openxmlformats.org/officeDocument/2006/relationships/hyperlink" Target="https://www.e-lawresources.co.uk/R-v-Stone--and--Dobinson.ph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93/acprof:oso/9780199243495.003.0006"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cps.gov.uk/legal-guidance/road-traffic-drink-and-drug-driving" TargetMode="External"/><Relationship Id="rId23" Type="http://schemas.openxmlformats.org/officeDocument/2006/relationships/hyperlink" Target="https://www.e-lawresources.co.uk/R-v-Evans.php" TargetMode="External"/><Relationship Id="rId10" Type="http://schemas.openxmlformats.org/officeDocument/2006/relationships/image" Target="media/image2.png"/><Relationship Id="rId19" Type="http://schemas.openxmlformats.org/officeDocument/2006/relationships/hyperlink" Target="https://simplestudying.com/r-v-gibbins-and-proctor-1919-13cr-app-r-13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aw.cornell.edu/wex/actus_reus" TargetMode="External"/><Relationship Id="rId22" Type="http://schemas.openxmlformats.org/officeDocument/2006/relationships/hyperlink" Target="https://www.e-lawresources.co.uk/R-v-Mille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1544</Words>
  <Characters>8804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10328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Criminal Law – BMLW4005/BMPL4009</dc:subject>
  <dc:creator>Name   Alina-Mihaela Matei</dc:creator>
  <cp:keywords/>
  <dc:description/>
  <cp:lastModifiedBy>Alina Matei</cp:lastModifiedBy>
  <cp:revision>8</cp:revision>
  <dcterms:created xsi:type="dcterms:W3CDTF">2022-09-16T10:25:00Z</dcterms:created>
  <dcterms:modified xsi:type="dcterms:W3CDTF">2022-11-18T09:46:00Z</dcterms:modified>
</cp:coreProperties>
</file>