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B6A26B" w14:textId="77777777" w:rsidR="00751392" w:rsidRDefault="00851C68">
      <w:pPr>
        <w:spacing w:before="1200" w:after="120" w:line="360" w:lineRule="auto"/>
        <w:jc w:val="center"/>
      </w:pPr>
      <w:r>
        <w:rPr>
          <w:b/>
          <w:bCs/>
          <w:sz w:val="26"/>
          <w:szCs w:val="26"/>
        </w:rPr>
        <w:t>University of Wales Trinity Saint David</w:t>
      </w:r>
    </w:p>
    <w:p w14:paraId="4B81DBF4" w14:textId="77777777" w:rsidR="00751392" w:rsidRDefault="00851C68">
      <w:pPr>
        <w:spacing w:after="480" w:line="360" w:lineRule="auto"/>
        <w:jc w:val="center"/>
      </w:pPr>
      <w:r>
        <w:rPr>
          <w:sz w:val="24"/>
          <w:szCs w:val="24"/>
        </w:rPr>
        <w:t>BSc (Hons) Health and Social Care</w:t>
      </w:r>
    </w:p>
    <w:p w14:paraId="4FE00DDC" w14:textId="77777777" w:rsidR="00751392" w:rsidRDefault="00851C68">
      <w:pPr>
        <w:spacing w:after="120" w:line="360" w:lineRule="auto"/>
        <w:jc w:val="center"/>
      </w:pPr>
      <w:r>
        <w:rPr>
          <w:b/>
          <w:bCs/>
          <w:sz w:val="24"/>
          <w:szCs w:val="24"/>
        </w:rPr>
        <w:t>Module: Psychological Classifications and Provisions</w:t>
      </w:r>
    </w:p>
    <w:p w14:paraId="6180922D" w14:textId="77777777" w:rsidR="00751392" w:rsidRDefault="00851C68">
      <w:pPr>
        <w:spacing w:after="480" w:line="360" w:lineRule="auto"/>
        <w:jc w:val="center"/>
      </w:pPr>
      <w:r>
        <w:rPr>
          <w:sz w:val="24"/>
          <w:szCs w:val="24"/>
        </w:rPr>
        <w:t>Module code: BMHP6029</w:t>
      </w:r>
    </w:p>
    <w:p w14:paraId="1C74BFB6" w14:textId="77777777" w:rsidR="00751392" w:rsidRDefault="00851C68">
      <w:pPr>
        <w:spacing w:after="600" w:line="360" w:lineRule="auto"/>
        <w:jc w:val="center"/>
      </w:pPr>
      <w:r>
        <w:rPr>
          <w:b/>
          <w:bCs/>
          <w:sz w:val="24"/>
          <w:szCs w:val="24"/>
        </w:rPr>
        <w:t>Component 2: Written Assignment (Report)</w:t>
      </w:r>
    </w:p>
    <w:p w14:paraId="45EB6A28" w14:textId="77777777" w:rsidR="00751392" w:rsidRDefault="00851C68">
      <w:pPr>
        <w:spacing w:after="800" w:line="360" w:lineRule="auto"/>
        <w:jc w:val="center"/>
      </w:pPr>
      <w:r>
        <w:rPr>
          <w:b/>
          <w:bCs/>
          <w:sz w:val="28"/>
          <w:szCs w:val="28"/>
        </w:rPr>
        <w:t>A Critical Examination of Social Anxiety Disorder (6B04) in ICD-11: Classification, Diagnosis, Treatment and Rehabilitation</w:t>
      </w:r>
    </w:p>
    <w:p w14:paraId="73544D7B" w14:textId="02ED2B5A" w:rsidR="00751392" w:rsidRDefault="00851C68">
      <w:pPr>
        <w:spacing w:after="120" w:line="360" w:lineRule="auto"/>
        <w:jc w:val="center"/>
      </w:pPr>
      <w:r>
        <w:t xml:space="preserve">Student name: </w:t>
      </w:r>
      <w:r w:rsidR="009C3BE0">
        <w:t>Andreea Anca</w:t>
      </w:r>
    </w:p>
    <w:p w14:paraId="042D566E" w14:textId="7B44F7A0" w:rsidR="00751392" w:rsidRDefault="00851C68">
      <w:pPr>
        <w:spacing w:after="120" w:line="360" w:lineRule="auto"/>
        <w:jc w:val="center"/>
      </w:pPr>
      <w:r>
        <w:t xml:space="preserve">Student ID number: </w:t>
      </w:r>
      <w:r w:rsidR="009C3BE0">
        <w:t>2327259</w:t>
      </w:r>
    </w:p>
    <w:p w14:paraId="5A597F6B" w14:textId="77777777" w:rsidR="00751392" w:rsidRDefault="00851C68">
      <w:pPr>
        <w:spacing w:after="120" w:line="360" w:lineRule="auto"/>
        <w:jc w:val="center"/>
      </w:pPr>
      <w:r>
        <w:t>Lecturer: Bianca Sanfilippo</w:t>
      </w:r>
    </w:p>
    <w:p w14:paraId="367A1452" w14:textId="77777777" w:rsidR="00751392" w:rsidRDefault="00851C68">
      <w:pPr>
        <w:spacing w:after="120" w:line="360" w:lineRule="auto"/>
        <w:jc w:val="center"/>
      </w:pPr>
      <w:r>
        <w:t>Submission date: 14 August 2026</w:t>
      </w:r>
    </w:p>
    <w:p w14:paraId="046A6F93" w14:textId="77777777" w:rsidR="00751392" w:rsidRDefault="00851C68">
      <w:pPr>
        <w:spacing w:after="120" w:line="360" w:lineRule="auto"/>
        <w:jc w:val="center"/>
      </w:pPr>
      <w:r>
        <w:t>Word count: 2,020</w:t>
      </w:r>
    </w:p>
    <w:p w14:paraId="02470F75" w14:textId="77777777" w:rsidR="00751392" w:rsidRDefault="00851C68">
      <w:r>
        <w:br w:type="page"/>
      </w:r>
    </w:p>
    <w:p w14:paraId="7B289FB1" w14:textId="77777777" w:rsidR="00751392" w:rsidRDefault="00851C68">
      <w:pPr>
        <w:pStyle w:val="Titlu1"/>
        <w:spacing w:after="240"/>
      </w:pPr>
      <w:r>
        <w:lastRenderedPageBreak/>
        <w:t>Contents</w:t>
      </w:r>
    </w:p>
    <w:p w14:paraId="60833F3D" w14:textId="77777777" w:rsidR="00751392" w:rsidRDefault="00851C68">
      <w:pPr>
        <w:tabs>
          <w:tab w:val="right" w:leader="dot" w:pos="9026"/>
        </w:tabs>
        <w:spacing w:after="120" w:line="360" w:lineRule="auto"/>
      </w:pPr>
      <w:r>
        <w:t>1. Introduction</w:t>
      </w:r>
      <w:r>
        <w:tab/>
        <w:t>3</w:t>
      </w:r>
    </w:p>
    <w:p w14:paraId="261DF455" w14:textId="77777777" w:rsidR="00751392" w:rsidRDefault="00851C68">
      <w:pPr>
        <w:tabs>
          <w:tab w:val="right" w:leader="dot" w:pos="9026"/>
        </w:tabs>
        <w:spacing w:after="120" w:line="360" w:lineRule="auto"/>
      </w:pPr>
      <w:r>
        <w:t>2. Classification and Diagnosis in ICD-11</w:t>
      </w:r>
      <w:r>
        <w:tab/>
        <w:t>3</w:t>
      </w:r>
    </w:p>
    <w:p w14:paraId="66332D4E" w14:textId="77777777" w:rsidR="00751392" w:rsidRDefault="00851C68">
      <w:pPr>
        <w:tabs>
          <w:tab w:val="right" w:leader="dot" w:pos="9026"/>
        </w:tabs>
        <w:spacing w:after="120" w:line="360" w:lineRule="auto"/>
      </w:pPr>
      <w:r>
        <w:t>3. Treatment and Rehabilitation</w:t>
      </w:r>
      <w:r>
        <w:tab/>
        <w:t>4</w:t>
      </w:r>
    </w:p>
    <w:p w14:paraId="545DEDAA" w14:textId="77777777" w:rsidR="00751392" w:rsidRDefault="00851C68">
      <w:pPr>
        <w:tabs>
          <w:tab w:val="right" w:leader="dot" w:pos="9026"/>
        </w:tabs>
        <w:spacing w:after="120" w:line="360" w:lineRule="auto"/>
      </w:pPr>
      <w:r>
        <w:t>4. Current Debates and Emerging Issues</w:t>
      </w:r>
      <w:r>
        <w:tab/>
        <w:t>6</w:t>
      </w:r>
    </w:p>
    <w:p w14:paraId="327374EA" w14:textId="77777777" w:rsidR="00751392" w:rsidRDefault="00851C68">
      <w:pPr>
        <w:tabs>
          <w:tab w:val="right" w:leader="dot" w:pos="9026"/>
        </w:tabs>
        <w:spacing w:after="120" w:line="360" w:lineRule="auto"/>
      </w:pPr>
      <w:r>
        <w:t>5. Recommendations</w:t>
      </w:r>
      <w:r>
        <w:tab/>
        <w:t>7</w:t>
      </w:r>
    </w:p>
    <w:p w14:paraId="12590CE7" w14:textId="77777777" w:rsidR="00751392" w:rsidRDefault="00851C68">
      <w:pPr>
        <w:tabs>
          <w:tab w:val="right" w:leader="dot" w:pos="9026"/>
        </w:tabs>
        <w:spacing w:after="120" w:line="360" w:lineRule="auto"/>
      </w:pPr>
      <w:r>
        <w:t>6. Conclusion</w:t>
      </w:r>
      <w:r>
        <w:tab/>
        <w:t>7</w:t>
      </w:r>
    </w:p>
    <w:p w14:paraId="7D50AFDD" w14:textId="77777777" w:rsidR="00751392" w:rsidRDefault="00851C68">
      <w:pPr>
        <w:tabs>
          <w:tab w:val="right" w:leader="dot" w:pos="9026"/>
        </w:tabs>
        <w:spacing w:after="120" w:line="360" w:lineRule="auto"/>
      </w:pPr>
      <w:r>
        <w:t>References</w:t>
      </w:r>
      <w:r>
        <w:tab/>
        <w:t>8</w:t>
      </w:r>
    </w:p>
    <w:p w14:paraId="1B77A919" w14:textId="77777777" w:rsidR="00751392" w:rsidRDefault="00851C68">
      <w:r>
        <w:br w:type="page"/>
      </w:r>
    </w:p>
    <w:p w14:paraId="589EE8A4" w14:textId="77777777" w:rsidR="00751392" w:rsidRDefault="00851C68">
      <w:pPr>
        <w:pStyle w:val="Titlu1"/>
      </w:pPr>
      <w:r>
        <w:lastRenderedPageBreak/>
        <w:t>1. Introduction</w:t>
      </w:r>
    </w:p>
    <w:p w14:paraId="634FBD22" w14:textId="38B05CB4" w:rsidR="00751392" w:rsidRDefault="00851C68">
      <w:pPr>
        <w:spacing w:after="200" w:line="360" w:lineRule="auto"/>
        <w:jc w:val="both"/>
      </w:pPr>
      <w:r>
        <w:t>Social anxiety disorder (SAD) is characterised</w:t>
      </w:r>
      <w:r>
        <w:t xml:space="preserve"> by marked and excessive fear or anxiety that consistently occurs in one or more social situations, such as having a conversation, being observed while eating or drinking, or performing in front of others, accompanied by the concern that one will act in a way, or show anxiety symptoms, that will be negatively evaluated by others (World Health Organization (WHO), 2024). Anxiety disorders are among the most prevalent mental disorders globally and represent a substantial and growing contributor to worldwide di</w:t>
      </w:r>
      <w:r>
        <w:t>sability, yet a large proportion of affected individuals never receive treatment (Javaid et al., 2023). SAD typically emerges in adolescence and, when untreated, follows a chronic course associated with reduced educational attainment, unemployment and impaired quality of life. This report provides a critical examination of SAD</w:t>
      </w:r>
      <w:r w:rsidR="00BE2D34">
        <w:t>,</w:t>
      </w:r>
      <w:r>
        <w:t xml:space="preserve"> classified </w:t>
      </w:r>
      <w:r w:rsidR="00BE2D34">
        <w:t>under</w:t>
      </w:r>
      <w:r>
        <w:t xml:space="preserve"> code 6B04 </w:t>
      </w:r>
      <w:r w:rsidR="00BE2D34">
        <w:t>in</w:t>
      </w:r>
      <w:r>
        <w:t xml:space="preserve"> Chapter 06 of the eleventh revision of the International Classification of Diseases (ICD-11). It first analyses the disorder's classification and diagnosis, then critically evaluates treatment and rehabilitation approaches, </w:t>
      </w:r>
      <w:r w:rsidR="00EC7E2B">
        <w:t>and finally explores</w:t>
      </w:r>
      <w:r>
        <w:t xml:space="preserve"> current debates surrounding </w:t>
      </w:r>
      <w:r>
        <w:t>medicalisation, dimensional classification</w:t>
      </w:r>
      <w:r w:rsidR="00EC7E2B">
        <w:t>,</w:t>
      </w:r>
      <w:r>
        <w:t xml:space="preserve"> and neurodivergence. The report concludes with recommendations for improving classification, provision, policy and research.</w:t>
      </w:r>
    </w:p>
    <w:p w14:paraId="0517AE3A" w14:textId="77777777" w:rsidR="00751392" w:rsidRDefault="00851C68">
      <w:pPr>
        <w:pStyle w:val="Titlu1"/>
      </w:pPr>
      <w:r>
        <w:t>2. Classification and Diagnosis in ICD-11</w:t>
      </w:r>
    </w:p>
    <w:p w14:paraId="7883979F" w14:textId="77777777" w:rsidR="00751392" w:rsidRDefault="00851C68">
      <w:pPr>
        <w:spacing w:after="200" w:line="360" w:lineRule="auto"/>
        <w:jc w:val="both"/>
      </w:pPr>
      <w:r>
        <w:t xml:space="preserve">In ICD-11, SAD is situated in Chapter 06, 'Mental, behavioural or </w:t>
      </w:r>
      <w:proofErr w:type="spellStart"/>
      <w:r>
        <w:t>neurodevelopmental</w:t>
      </w:r>
      <w:proofErr w:type="spellEnd"/>
      <w:r>
        <w:t xml:space="preserve"> disorders', within the grouping 'Anxiety or fear-related disorders', alongside </w:t>
      </w:r>
      <w:proofErr w:type="spellStart"/>
      <w:r>
        <w:t>generalised</w:t>
      </w:r>
      <w:proofErr w:type="spellEnd"/>
      <w:r>
        <w:t xml:space="preserve"> anxiety disorder (6B00), panic disorder (6B01), agoraphobia (6B02) and specific phobia (6B03) (WHO, 2024). This grouping represents a substantial </w:t>
      </w:r>
      <w:proofErr w:type="spellStart"/>
      <w:r>
        <w:t>reorganisation</w:t>
      </w:r>
      <w:proofErr w:type="spellEnd"/>
      <w:r>
        <w:t xml:space="preserve"> of the previous classification. ICD-10 separated 'phobic anxiety disorders' from 'other anxiety disorders' within the class of neurotic, stress-related and somatoform disorders, and classified social anxiety occurring in childhood as a distinct disorder of childhood onset. ICD-11 abolished both divisions, </w:t>
      </w:r>
      <w:proofErr w:type="spellStart"/>
      <w:r>
        <w:t>organising</w:t>
      </w:r>
      <w:proofErr w:type="spellEnd"/>
      <w:r>
        <w:t xml:space="preserve"> the new grouping around the focus of apprehension — in SAD, the fear of negative evaluation — and adopting a lifespan approach in which the same diagnostic requirements, with developmentally appropriate presentations, apply across the life course (Kogan et al., 2016). The renaming of ICD-10's 'social phobias' as 'social anxiety disorder' is equally deliberate: it signals that the condition is broader than a circumscribed phobic response, encompassing pervasive anticipatory anxiety, avoidance and self-evalu</w:t>
      </w:r>
      <w:r>
        <w:t>ative concern.</w:t>
      </w:r>
    </w:p>
    <w:p w14:paraId="6B5CA393" w14:textId="77777777" w:rsidR="00751392" w:rsidRDefault="00851C68">
      <w:pPr>
        <w:spacing w:after="200" w:line="360" w:lineRule="auto"/>
        <w:jc w:val="both"/>
      </w:pPr>
      <w:r>
        <w:t xml:space="preserve">The diagnostic requirements, termed 'essential features', comprise marked and excessive fear or anxiety consistently arising in one or more social situations; concern about being negatively evaluated for one's behaviour or visible anxiety symptoms; consistent avoidance of the relevant situations, or endurance with intense fear; persistence for at least several months; </w:t>
      </w:r>
      <w:r>
        <w:lastRenderedPageBreak/>
        <w:t>and significant distress or significant impairment in personal, family, social, educational, occupational or other important areas of functioning (WHO, 2024). In contrast to the polythetic, count-based criteria of the American Psychiatric Association's DSM-5, ICD-11 intentionally employs flexible clinical descriptions designed to mirror how clinicians make judgements in real-world settings, a decision informed by WHO's global clinical utility agenda (Kogan et al., 2016). ICD-11 also permits '</w:t>
      </w:r>
      <w:proofErr w:type="spellStart"/>
      <w:r>
        <w:t>postcoordination</w:t>
      </w:r>
      <w:proofErr w:type="spellEnd"/>
      <w:r>
        <w:t>', whereby co-occurring panic attacks (MB23.H) may be coded as a manifestation of SAD rather than as a separate panic disorder, an innovation that improves descriptive precision (WHO, 2024). In practice, diagnosis rests on the clinical interview supported by validated measures, and National Institute for Health and Care Excellence (NICE) guidance recommends brief identification questions in primary care followed by comprehensive assessment of comorbidity, functioning and treatment preference (NICE, 2013).</w:t>
      </w:r>
    </w:p>
    <w:p w14:paraId="5BFC1F22" w14:textId="77777777" w:rsidR="00751392" w:rsidRDefault="00851C68">
      <w:pPr>
        <w:spacing w:after="200" w:line="360" w:lineRule="auto"/>
        <w:jc w:val="both"/>
      </w:pPr>
      <w:r>
        <w:t>The language of the classification merits critical attention. ICD-11 designates SAD a 'disorder' rather than a 'disease' or 'illness', a choice that asserts clinically significant dysfunction while remaining agnostic about discrete biological aetiology</w:t>
      </w:r>
      <w:r>
        <w:t xml:space="preserve">. This is arguably appropriate given that social anxiety is continuously distributed in the population; however, it places considerable weight on the impairment requirement to separate disorder from temperamental shyness or introversion. That threshold is a matter of clinical judgement rather than objective measurement, and what counts as 'impairment' is partly culturally contingent, since societies differ in the degree of sociability and self-presentation they demand. The classification therefore protects </w:t>
      </w:r>
      <w:r>
        <w:t xml:space="preserve">against </w:t>
      </w:r>
      <w:r>
        <w:t>pathologising normal variation in principle, but not automatically in practice — a tension examined further in the debates section below.</w:t>
      </w:r>
    </w:p>
    <w:p w14:paraId="7243485F" w14:textId="77777777" w:rsidR="00751392" w:rsidRDefault="00851C68">
      <w:pPr>
        <w:pStyle w:val="Titlu1"/>
      </w:pPr>
      <w:r>
        <w:t>3. Treatment and Rehabilitation</w:t>
      </w:r>
    </w:p>
    <w:p w14:paraId="1A3C495E" w14:textId="77777777" w:rsidR="00751392" w:rsidRDefault="00851C68">
      <w:pPr>
        <w:spacing w:after="200" w:line="360" w:lineRule="auto"/>
        <w:jc w:val="both"/>
      </w:pPr>
      <w:r>
        <w:t>UK guidance recommends a stepped-care approach in which the first-line intervention for adults is individual cognitive behavioural</w:t>
      </w:r>
      <w:r>
        <w:t xml:space="preserve"> therapy (CBT) specifically developed for SAD, based on the Clark and Wells (1995) model; group CBT, guided self-help and pharmacological treatment occupy subsequent steps (NICE, 2013). The Clark and Wells model proposes that SAD is maintained not by social incompetence but by negative self-focused processing: on entering feared situations, individuals shift attention inward, construct a distorted impression of how they appear to others, and deploy safety behaviours</w:t>
      </w:r>
      <w:r>
        <w:t xml:space="preserve"> (such as avoiding eye contact or mentally rehearsing sentences) that paradoxically maintain anxiety and prevent disconfirmation of feared outcomes (Clark and Wells, 1995). Cognitive therapy derived from the model targets these maintaining processes through behavioural experiments, video feedback and attention retraining.</w:t>
      </w:r>
    </w:p>
    <w:p w14:paraId="15D76182" w14:textId="77777777" w:rsidR="00751392" w:rsidRDefault="00851C68">
      <w:pPr>
        <w:spacing w:after="200" w:line="360" w:lineRule="auto"/>
        <w:jc w:val="both"/>
      </w:pPr>
      <w:r>
        <w:lastRenderedPageBreak/>
        <w:t>The evidence base for this recommendation is strong. In a network meta-analysis of 101 randomised</w:t>
      </w:r>
      <w:r>
        <w:t xml:space="preserve"> trials, Mayo-Wilson et al. (2014) found that individual CBT produced the largest effects relative to waitlist control, outperforming group CBT, exposure-based approaches, psychodynamic psychotherapy and medication. Selective serotonin reuptake inhibitors (SSRIs) such as sertraline, escitalopram and paroxetine, and the serotonin–noradrenaline reuptake inhibitor venlafaxine, demonstrate moderate efficacy and are recommended as first-line pharmacological options where psychological therapy is unavailable or d</w:t>
      </w:r>
      <w:r>
        <w:t xml:space="preserve">eclined (Bandelow et al., 2023). Nevertheless, important limitations temper these findings. Medication effects frequently dissipate on discontinuation, whereas psychological gains are more durable; a substantial minority of patients do not respond to any first-line intervention; and 'response' in trials should not be conflated with remission or full functional recovery. Trial samples also under-represent the comorbidity and social adversity typical of routine caseloads, limiting </w:t>
      </w:r>
      <w:r>
        <w:t>generalisability.</w:t>
      </w:r>
    </w:p>
    <w:p w14:paraId="02C48136" w14:textId="77777777" w:rsidR="00751392" w:rsidRDefault="00851C68">
      <w:pPr>
        <w:spacing w:after="200" w:line="360" w:lineRule="auto"/>
        <w:jc w:val="both"/>
      </w:pPr>
      <w:r>
        <w:t>Because therapist-delivered cognitive therapy is resource-intensive, digital delivery has become a central development. Internet-delivered, therapist-assisted cognitive therapy retains the active ingredients of the face-to-face protocol, and a randomised</w:t>
      </w:r>
      <w:r>
        <w:t xml:space="preserve"> controlled trial with adolescents found it efficacious relative to waitlist, with change mediated by the cognitive processes the model specifies (Leigh and Clark, 2023). Reviews of remote and internet-based CBT similarly conclude that outcomes can approach those of in-person delivery while radically extending reach (Wolitzky-Taylor and LeBeau, 2023). Critically, however, digital formats raise questions of engagement and dropout, unguided programmes</w:t>
      </w:r>
      <w:r>
        <w:t xml:space="preserve"> generally underperform therapist-supported ones, and digital exclusion risks reproducing existing inequalities of access.</w:t>
      </w:r>
    </w:p>
    <w:p w14:paraId="479DA4F2" w14:textId="77777777" w:rsidR="00751392" w:rsidRDefault="00851C68">
      <w:pPr>
        <w:spacing w:after="200" w:line="360" w:lineRule="auto"/>
        <w:jc w:val="both"/>
      </w:pPr>
      <w:r>
        <w:t>Rehabilitation receives comparatively little explicit attention within ICD-11 itself. The classification embeds functioning in the diagnosis through the impairment requirement, and WHO instruments such as the WHO Disability Assessment Schedule allow functional limitation to be profiled alongside diagnosis, but ICD-11 prescribes no rehabilitative pathway — an illustrative gap between classification and provision. In English services, rehabilitation-oriented practice is operationalised</w:t>
      </w:r>
      <w:r>
        <w:t xml:space="preserve"> through NHS Talking Therapies, which combines evidence-based psychological therapy with routine outcome monitoring and integrated employment advisers (National Collaborating Centre for Mental Health (NCCMH), 2023). This matters for SAD specifically, because the disorder erodes precisely the educational and occupational participation that recovery requires: Thew et al. (2024) found that adding employment support alongside psychological therapy significantly increased the likelihood of recovery among clients</w:t>
      </w:r>
      <w:r>
        <w:t xml:space="preserve"> at greatest risk of poor outcomes. Yet provision remains imperfect: many people with SAD wait years before seeking help, avoidance of evaluation deters </w:t>
      </w:r>
      <w:r>
        <w:lastRenderedPageBreak/>
        <w:t>engagement with services themselves, and routine-care recovery rates fall below those achieved in research trials, suggesting that assertive outreach and accessible formats are as important as therapy content.</w:t>
      </w:r>
    </w:p>
    <w:p w14:paraId="05CDB7D4" w14:textId="77777777" w:rsidR="00751392" w:rsidRDefault="00851C68">
      <w:pPr>
        <w:pStyle w:val="Titlu1"/>
      </w:pPr>
      <w:r>
        <w:t>4. Current Debates and Emerging Issues</w:t>
      </w:r>
    </w:p>
    <w:p w14:paraId="4011F750" w14:textId="407D8017" w:rsidR="00751392" w:rsidRDefault="00851C68">
      <w:pPr>
        <w:spacing w:after="200" w:line="360" w:lineRule="auto"/>
        <w:jc w:val="both"/>
      </w:pPr>
      <w:r>
        <w:t xml:space="preserve">The most enduring debate concerns medicalisation. Scott (2006) argues that the emergence of SAD as a common diagnosis reflects the medicalisation of shyness in late-modern societies that </w:t>
      </w:r>
      <w:proofErr w:type="spellStart"/>
      <w:r>
        <w:t>valorise</w:t>
      </w:r>
      <w:proofErr w:type="spellEnd"/>
      <w:r>
        <w:t xml:space="preserve"> confident self-presentation, transforming a devalued personality trait into a treatable pathology; the aggressive marketing of SSRIs for 'social phobia' in the 1990s lends weight to this critique. On this view, diagnostic expansion risks inflating prevalence estimates, diverting resources from severe mental illness and locating within individuals a problem that partly resides in social expectations. The </w:t>
      </w:r>
      <w:r w:rsidR="00941F27">
        <w:t>counterargument</w:t>
      </w:r>
      <w:r>
        <w:t xml:space="preserve"> is equally forceful: severe SAD is profoundly disabling, and withholding diagnosis denies access to effective treatment. ICD-11's impairment requirement offers a partial resolution, but because impairment is judged against culturally variable demands for sociability, the boundary between normality and disorder remains normative rather than purely clinical.</w:t>
      </w:r>
    </w:p>
    <w:p w14:paraId="0C4993DA" w14:textId="77777777" w:rsidR="00751392" w:rsidRDefault="00851C68">
      <w:pPr>
        <w:spacing w:after="200" w:line="360" w:lineRule="auto"/>
        <w:jc w:val="both"/>
      </w:pPr>
      <w:r>
        <w:t>A related debate concerns categorical versus dimensional classification. The Hierarchical Taxonomy of Psychopathology locates social anxiety on a continuously distributed internalising</w:t>
      </w:r>
      <w:r>
        <w:t xml:space="preserve"> spectrum and contends that discrete categories misrepresent the structure of psychopathology, citing extensive comorbidity between SAD, depression and other anxiety disorders (Kotov et al., 2017). ICD-11 retains categories primarily for clinical utility and international communication, which is defensible, but categorical thresholds also gatekeep</w:t>
      </w:r>
      <w:r>
        <w:t xml:space="preserve"> access to services, meaning that subthreshold social anxiety — which can still impair functioning — may attract no provision at all. A pragmatic synthesis, combining categorical diagnosis with dimensional ratings of severity and functioning, would better support stepped care.</w:t>
      </w:r>
    </w:p>
    <w:p w14:paraId="7DB9D939" w14:textId="77777777" w:rsidR="00751392" w:rsidRDefault="00851C68">
      <w:pPr>
        <w:spacing w:after="200" w:line="360" w:lineRule="auto"/>
        <w:jc w:val="both"/>
      </w:pPr>
      <w:r>
        <w:t>The most rapidly evolving debate concerns neurodivergence. Social withdrawal in autistic people may reflect sensory overload, the exhaustion of sustained social effort or a preference for solitude, rather than fear of negative evaluation, yet the surface presentation can closely resemble SAD. Recent research complicates the distinction further: camouflaging behaviours described in autism and safety behaviours</w:t>
      </w:r>
      <w:r>
        <w:t xml:space="preserve"> described in SAD overlap substantially in both autistic and non-autistic socially anxious adolescents (Lei et al., 2024), and camouflaging appears to be transdiagnostic, driven by anxiousness and negative self-perception rather than by autism per se (Pyszkowska, 2025). The clinical consequences are serious in both directions: autistic adults, particularly women, are frequently misdiagnosed with SAD before their autism is recognised, while genuine SAD in autistic people may be dismissed as 'part of </w:t>
      </w:r>
      <w:r>
        <w:lastRenderedPageBreak/>
        <w:t>autism' through diagnostic overshadowing. Treatment raises ethical as well as technical questions. Standard cognitive therapy assumes that feared negative evaluation is distorted; for autistic clients who accurately anticipate stigma, therapy that promotes exposure without addressing environment and acceptance risks teaching masking, which is itself associated with poorer mental health. Although ICD-11 permits co-diagnosis of SAD and autism spectrum disorder, critics argue that its differential guidance rem</w:t>
      </w:r>
      <w:r>
        <w:t>ains underdeveloped, and neurodiversity-affirming adaptations of CBT are only beginning to be evaluated.</w:t>
      </w:r>
    </w:p>
    <w:p w14:paraId="5DCF6767" w14:textId="77777777" w:rsidR="00751392" w:rsidRDefault="00851C68">
      <w:pPr>
        <w:spacing w:after="200" w:line="360" w:lineRule="auto"/>
        <w:jc w:val="both"/>
      </w:pPr>
      <w:r>
        <w:t>These debates carry tangible implications for practice and policy: they shape who is counted in prevalence data and therefore how services are commissioned; they demand workforce training in differentiating fear-driven avoidance from autistic social difference; and they challenge services to offer adapted pathways rather than a single protocol.</w:t>
      </w:r>
    </w:p>
    <w:p w14:paraId="78BEB275" w14:textId="77777777" w:rsidR="00751392" w:rsidRDefault="00851C68">
      <w:pPr>
        <w:pStyle w:val="Titlu1"/>
      </w:pPr>
      <w:r>
        <w:t>5. Recommendations</w:t>
      </w:r>
    </w:p>
    <w:p w14:paraId="46D11CC1" w14:textId="77777777" w:rsidR="00751392" w:rsidRDefault="00851C68">
      <w:pPr>
        <w:spacing w:after="200" w:line="360" w:lineRule="auto"/>
        <w:jc w:val="both"/>
      </w:pPr>
      <w:r>
        <w:t>Several recommendations follow from this analysis. First, WHO and national bodies should strengthen differential-diagnostic guidance distinguishing SAD from autistic social difference, and clinicians should screen for autism in presentations of apparently treatment-resistant SAD, particularly in women and late-presenting adults. Second, commissioners should expand access to individual, disorder-specific cognitive therapy — the intervention with the strongest evidence — including therapist-assisted digital f</w:t>
      </w:r>
      <w:r>
        <w:t>ormats, while monitoring remission and functioning rather than symptomatic response alone. Third, vocational and educational support should be embedded routinely within psychological therapy pathways, since restoring occupational participation is both an outcome of and a mechanism for recovery in SAD (Thew et al., 2024). Fourth, categorical diagnosis should be supplemented with dimensional ratings of severity and functioning to inform stepped care and to capture impairing subthreshold presentations. Finally</w:t>
      </w:r>
      <w:r>
        <w:t xml:space="preserve">, research priorities should include neurodiversity-affirming adaptations of cognitive therapy, strategies to shorten the long delay between onset and help-seeking, and effectiveness studies conducted in routine care. Collectively, these measures would align classification more closely with provision: an accurate diagnosis is of limited value if the pathway it opens is inaccessible, </w:t>
      </w:r>
      <w:r>
        <w:t>unadapted or arrives a decade after onset.</w:t>
      </w:r>
    </w:p>
    <w:p w14:paraId="5F48E177" w14:textId="77777777" w:rsidR="00751392" w:rsidRDefault="00851C68">
      <w:pPr>
        <w:pStyle w:val="Titlu1"/>
      </w:pPr>
      <w:r>
        <w:t>6. Conclusion</w:t>
      </w:r>
    </w:p>
    <w:p w14:paraId="09FE8BC5" w14:textId="77777777" w:rsidR="00751392" w:rsidRDefault="00851C68">
      <w:pPr>
        <w:spacing w:after="200" w:line="360" w:lineRule="auto"/>
        <w:jc w:val="both"/>
      </w:pPr>
      <w:r>
        <w:t xml:space="preserve">SAD illustrates both the achievements and the limits of contemporary psychiatric classification. ICD-11 classifies the disorder with greater coherence than its predecessor, adopting a lifespan approach, clinically useful essential features and an impairment threshold intended to separate disorder from shyness. Effective treatments exist, and individual cognitive therapy in particular can now be delivered digitally at scale. Yet critical examination </w:t>
      </w:r>
      <w:r>
        <w:lastRenderedPageBreak/>
        <w:t>reveals persistent tensions: the boundary with normal social variation remains normative; rehabilitation is implied by the classification but not provided by it; and the rise of neurodivergence-informed perspectives unsettles assumptions about what socially anxious behaviour</w:t>
      </w:r>
      <w:r>
        <w:t xml:space="preserve"> means and how it should be treated. Addressing these tensions — through refined differential guidance, dimensional supplementation, integrated vocational support and adapted therapies — would ensure that classification serves its ultimate purpose: not merely naming the condition, but improving the lives of those living with it.</w:t>
      </w:r>
    </w:p>
    <w:p w14:paraId="0544A983" w14:textId="77777777" w:rsidR="00751392" w:rsidRDefault="00851C68">
      <w:pPr>
        <w:pStyle w:val="Titlu1"/>
      </w:pPr>
      <w:r>
        <w:t>References</w:t>
      </w:r>
    </w:p>
    <w:p w14:paraId="3627A8C2" w14:textId="77777777" w:rsidR="00751392" w:rsidRDefault="00851C68">
      <w:pPr>
        <w:spacing w:after="200" w:line="360" w:lineRule="auto"/>
        <w:ind w:left="720" w:hanging="720"/>
      </w:pPr>
      <w:r>
        <w:t>Bandelow, B., Allgulander</w:t>
      </w:r>
      <w:r>
        <w:t xml:space="preserve">, C., Baldwin, D.S. et al. (2023) 'World Federation of Societies of Biological Psychiatry (WFSBP) guidelines for treatment of anxiety, obsessive-compulsive and posttraumatic stress disorders – Version 3. Part I: Anxiety disorders', </w:t>
      </w:r>
      <w:r>
        <w:rPr>
          <w:i/>
          <w:iCs/>
        </w:rPr>
        <w:t>The World Journal of Biological Psychiatry</w:t>
      </w:r>
      <w:r>
        <w:t>, 24(2), pp. 79–117.</w:t>
      </w:r>
    </w:p>
    <w:p w14:paraId="2A81EDB9" w14:textId="77777777" w:rsidR="00751392" w:rsidRDefault="00851C68">
      <w:pPr>
        <w:spacing w:after="200" w:line="360" w:lineRule="auto"/>
        <w:ind w:left="720" w:hanging="720"/>
      </w:pPr>
      <w:r>
        <w:t xml:space="preserve">Clark, D.M. and Wells, A. (1995) 'A cognitive model of social phobia', in Heimberg, R.G., Liebowitz, M.R., Hope, D.A. and Schneier, F.R. (eds.) </w:t>
      </w:r>
      <w:r>
        <w:rPr>
          <w:i/>
          <w:iCs/>
        </w:rPr>
        <w:t>Social phobia: diagnosis, assessment, and treatment</w:t>
      </w:r>
      <w:r>
        <w:t>. New York: Guilford Press, pp. 69–93.</w:t>
      </w:r>
    </w:p>
    <w:p w14:paraId="5589A47A" w14:textId="77777777" w:rsidR="00751392" w:rsidRDefault="00851C68">
      <w:pPr>
        <w:spacing w:after="200" w:line="360" w:lineRule="auto"/>
        <w:ind w:left="720" w:hanging="720"/>
      </w:pPr>
      <w:r>
        <w:t xml:space="preserve">Javaid, S.F., Hashim, I.J., Hashim, M.J., Stip, E., Samad, M.A. and Al Ahbabi, A. (2023) 'Epidemiology of anxiety disorders: global burden and sociodemographic associations', </w:t>
      </w:r>
      <w:r>
        <w:rPr>
          <w:i/>
          <w:iCs/>
        </w:rPr>
        <w:t>Middle East Current Psychiatry</w:t>
      </w:r>
      <w:r>
        <w:t>, 30, 44.</w:t>
      </w:r>
    </w:p>
    <w:p w14:paraId="1C77C718" w14:textId="77777777" w:rsidR="00751392" w:rsidRDefault="00851C68">
      <w:pPr>
        <w:spacing w:after="200" w:line="360" w:lineRule="auto"/>
        <w:ind w:left="720" w:hanging="720"/>
      </w:pPr>
      <w:r>
        <w:t xml:space="preserve">Kogan, C.S., Stein, D.J., Maj, M., First, M.B., Emmelkamp, P.M.G. and Reed, G.M. (2016) 'The classification of anxiety and fear-related disorders in the ICD-11', </w:t>
      </w:r>
      <w:r>
        <w:rPr>
          <w:i/>
          <w:iCs/>
        </w:rPr>
        <w:t>Depression and Anxiety</w:t>
      </w:r>
      <w:r>
        <w:t>, 33(12), pp. 1141–1154.</w:t>
      </w:r>
    </w:p>
    <w:p w14:paraId="3A1DB757" w14:textId="77777777" w:rsidR="00751392" w:rsidRDefault="00851C68">
      <w:pPr>
        <w:spacing w:after="200" w:line="360" w:lineRule="auto"/>
        <w:ind w:left="720" w:hanging="720"/>
      </w:pPr>
      <w:r>
        <w:t xml:space="preserve">Kotov, R., Krueger, R.F., Watson, D. et al. (2017) 'The Hierarchical Taxonomy of Psychopathology (HiTOP): a dimensional alternative to traditional </w:t>
      </w:r>
      <w:proofErr w:type="spellStart"/>
      <w:r>
        <w:t>nosologies</w:t>
      </w:r>
      <w:proofErr w:type="spellEnd"/>
      <w:r>
        <w:t xml:space="preserve">', </w:t>
      </w:r>
      <w:r>
        <w:rPr>
          <w:i/>
          <w:iCs/>
        </w:rPr>
        <w:t>Journal of Abnormal Psychology</w:t>
      </w:r>
      <w:r>
        <w:t>, 126(4), pp. 454–477.</w:t>
      </w:r>
    </w:p>
    <w:p w14:paraId="210F535B" w14:textId="77777777" w:rsidR="00751392" w:rsidRDefault="00851C68">
      <w:pPr>
        <w:spacing w:after="200" w:line="360" w:lineRule="auto"/>
        <w:ind w:left="720" w:hanging="720"/>
      </w:pPr>
      <w:r>
        <w:t xml:space="preserve">Lei, J., Leigh, E., Charman, T., Russell, A. and Hollocks, M.J. (2024) 'Understanding the relationship between social camouflaging in autism and safety behaviours in social anxiety in autistic and non-autistic adolescents', </w:t>
      </w:r>
      <w:r>
        <w:rPr>
          <w:i/>
          <w:iCs/>
        </w:rPr>
        <w:t>Journal of Child Psychology and Psychiatry</w:t>
      </w:r>
      <w:r>
        <w:t>, 65(3), pp. 285–297.</w:t>
      </w:r>
    </w:p>
    <w:p w14:paraId="63FDA039" w14:textId="77777777" w:rsidR="00751392" w:rsidRDefault="00851C68">
      <w:pPr>
        <w:spacing w:after="200" w:line="360" w:lineRule="auto"/>
        <w:ind w:left="720" w:hanging="720"/>
      </w:pPr>
      <w:r>
        <w:t xml:space="preserve">Leigh, E. and Clark, D.M. (2023) 'Internet-delivered therapist-assisted cognitive therapy for adolescent social anxiety disorder (OSCA): a randomised controlled trial addressing preliminary efficacy and mechanisms of action', </w:t>
      </w:r>
      <w:r>
        <w:rPr>
          <w:i/>
          <w:iCs/>
        </w:rPr>
        <w:t>Journal of Child Psychology and Psychiatry</w:t>
      </w:r>
      <w:r>
        <w:t>, 64(1), pp. 145–154.</w:t>
      </w:r>
    </w:p>
    <w:p w14:paraId="13F8A691" w14:textId="77777777" w:rsidR="00751392" w:rsidRDefault="00851C68">
      <w:pPr>
        <w:spacing w:after="200" w:line="360" w:lineRule="auto"/>
        <w:ind w:left="720" w:hanging="720"/>
      </w:pPr>
      <w:r>
        <w:lastRenderedPageBreak/>
        <w:t>Mayo-Wilson, E., Dias, S., Mavranezouli</w:t>
      </w:r>
      <w:r>
        <w:t xml:space="preserve">, I., Kew, K., Clark, D.M., Ades, A.E. and Pilling, S. (2014) 'Psychological and pharmacological interventions for social anxiety disorder in adults: a systematic review and network meta-analysis', </w:t>
      </w:r>
      <w:r>
        <w:rPr>
          <w:i/>
          <w:iCs/>
        </w:rPr>
        <w:t>The Lancet Psychiatry</w:t>
      </w:r>
      <w:r>
        <w:t>, 1(5), pp. 368–376.</w:t>
      </w:r>
    </w:p>
    <w:p w14:paraId="451AC5D1" w14:textId="77777777" w:rsidR="00751392" w:rsidRDefault="00851C68">
      <w:pPr>
        <w:spacing w:after="200" w:line="360" w:lineRule="auto"/>
        <w:ind w:left="720" w:hanging="720"/>
      </w:pPr>
      <w:r>
        <w:t xml:space="preserve">National Collaborating Centre for Mental Health (2023) </w:t>
      </w:r>
      <w:r>
        <w:rPr>
          <w:i/>
          <w:iCs/>
        </w:rPr>
        <w:t>The NHS Talking Therapies for anxiety and depression manual</w:t>
      </w:r>
      <w:r>
        <w:t>. Version 7. London: NCCMH.</w:t>
      </w:r>
    </w:p>
    <w:p w14:paraId="2F23C528" w14:textId="77777777" w:rsidR="00751392" w:rsidRDefault="00851C68">
      <w:pPr>
        <w:spacing w:after="200" w:line="360" w:lineRule="auto"/>
        <w:ind w:left="720" w:hanging="720"/>
      </w:pPr>
      <w:r>
        <w:t xml:space="preserve">National Institute for Health and Care Excellence (2013) </w:t>
      </w:r>
      <w:r>
        <w:rPr>
          <w:i/>
          <w:iCs/>
        </w:rPr>
        <w:t>Social anxiety disorder: recognition, assessment and treatment</w:t>
      </w:r>
      <w:r>
        <w:t>. Clinical guideline CG159. Available at: https://www.nice.org.uk/guidance/cg159 (Accessed: 28 July 2026).</w:t>
      </w:r>
    </w:p>
    <w:p w14:paraId="0A4F6E65" w14:textId="6D261D16" w:rsidR="00751392" w:rsidRDefault="00851C68">
      <w:pPr>
        <w:spacing w:after="200" w:line="360" w:lineRule="auto"/>
        <w:ind w:left="720" w:hanging="720"/>
      </w:pPr>
      <w:r>
        <w:t xml:space="preserve">Pyszkowska, A. (2025) 'It is more anxiousness than role-playing: social camouflaging </w:t>
      </w:r>
      <w:r w:rsidR="00EC7E2B">
        <w:t>conceptualisation</w:t>
      </w:r>
      <w:r>
        <w:t xml:space="preserve"> among adults on the autism spectrum compared to persons with social anxiety disorder', </w:t>
      </w:r>
      <w:r>
        <w:rPr>
          <w:i/>
          <w:iCs/>
        </w:rPr>
        <w:t>Journal of Autism and Developmental Disorders</w:t>
      </w:r>
      <w:r>
        <w:t>, 55(9), pp. 3154–3166.</w:t>
      </w:r>
    </w:p>
    <w:p w14:paraId="244ACA85" w14:textId="77777777" w:rsidR="00751392" w:rsidRDefault="00851C68">
      <w:pPr>
        <w:spacing w:after="200" w:line="360" w:lineRule="auto"/>
        <w:ind w:left="720" w:hanging="720"/>
      </w:pPr>
      <w:r>
        <w:t xml:space="preserve">Scott, S. (2006) 'The medicalisation of shyness: from social misfits to social fitness', </w:t>
      </w:r>
      <w:r>
        <w:rPr>
          <w:i/>
          <w:iCs/>
        </w:rPr>
        <w:t>Sociology of Health and Illness</w:t>
      </w:r>
      <w:r>
        <w:t>, 28(2), pp. 133–153.</w:t>
      </w:r>
    </w:p>
    <w:p w14:paraId="64482223" w14:textId="77777777" w:rsidR="00751392" w:rsidRDefault="00851C68">
      <w:pPr>
        <w:spacing w:after="200" w:line="360" w:lineRule="auto"/>
        <w:ind w:left="720" w:hanging="720"/>
      </w:pPr>
      <w:r>
        <w:t xml:space="preserve">Thew, G.R., Popa, A., Allsop, C., Crozier, E., Landsberg, J. and Sadler, S. (2024) 'The addition of employment support alongside psychological therapy enhances the chance of recovery for clients most at risk of poor clinical outcomes', </w:t>
      </w:r>
      <w:r>
        <w:rPr>
          <w:i/>
          <w:iCs/>
        </w:rPr>
        <w:t>Behavioural and Cognitive Psychotherapy</w:t>
      </w:r>
      <w:r>
        <w:t>, 52(1), pp. 93–99.</w:t>
      </w:r>
    </w:p>
    <w:p w14:paraId="3E52800B" w14:textId="77777777" w:rsidR="00751392" w:rsidRDefault="00851C68">
      <w:pPr>
        <w:spacing w:after="200" w:line="360" w:lineRule="auto"/>
        <w:ind w:left="720" w:hanging="720"/>
      </w:pPr>
      <w:r>
        <w:t xml:space="preserve">Wolitzky-Taylor, K. and LeBeau, R. (2023) 'Recent advances in the understanding and psychological treatment of social anxiety disorder', </w:t>
      </w:r>
      <w:r>
        <w:rPr>
          <w:i/>
          <w:iCs/>
        </w:rPr>
        <w:t>Faculty Reviews</w:t>
      </w:r>
      <w:r>
        <w:t>, 12, 8.</w:t>
      </w:r>
    </w:p>
    <w:p w14:paraId="7E06EBFA" w14:textId="241D4559" w:rsidR="00751392" w:rsidRDefault="00851C68">
      <w:pPr>
        <w:spacing w:after="200" w:line="360" w:lineRule="auto"/>
        <w:ind w:left="720" w:hanging="720"/>
      </w:pPr>
      <w:r>
        <w:t xml:space="preserve">World Health </w:t>
      </w:r>
      <w:r w:rsidR="00EC7E2B">
        <w:t>Organisation</w:t>
      </w:r>
      <w:r w:rsidR="000D6912">
        <w:t xml:space="preserve"> </w:t>
      </w:r>
      <w:r>
        <w:t xml:space="preserve"> (2024) </w:t>
      </w:r>
      <w:r>
        <w:rPr>
          <w:i/>
          <w:iCs/>
        </w:rPr>
        <w:t>ICD-11 for mortality and morbidity statistics (version 2024-01): 6B04 social anxiety disorder</w:t>
      </w:r>
      <w:r>
        <w:t>. Available at: https://icd.who.int/browse/2024-01/mms/en (Accessed: 28 July 2026).</w:t>
      </w:r>
    </w:p>
    <w:sectPr w:rsidR="00751392">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801F41" w14:textId="77777777" w:rsidR="000D3242" w:rsidRDefault="000D3242">
      <w:r>
        <w:separator/>
      </w:r>
    </w:p>
  </w:endnote>
  <w:endnote w:type="continuationSeparator" w:id="0">
    <w:p w14:paraId="07D19883" w14:textId="77777777" w:rsidR="000D3242" w:rsidRDefault="000D3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EC6EFC" w14:textId="77777777" w:rsidR="00751392" w:rsidRDefault="00851C68">
    <w:pPr>
      <w:jc w:val="center"/>
    </w:pPr>
    <w:r>
      <w:rPr>
        <w:sz w:val="20"/>
        <w:szCs w:val="20"/>
      </w:rPr>
      <w:fldChar w:fldCharType="begin"/>
    </w:r>
    <w:r>
      <w:rPr>
        <w:sz w:val="20"/>
        <w:szCs w:val="20"/>
      </w:rPr>
      <w:instrText>PAGE</w:instrText>
    </w:r>
    <w:r>
      <w:rPr>
        <w:sz w:val="20"/>
        <w:szCs w:val="20"/>
      </w:rPr>
      <w:fldChar w:fldCharType="separate"/>
    </w:r>
    <w:r w:rsidR="009C3BE0">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B25F50" w14:textId="77777777" w:rsidR="000D3242" w:rsidRDefault="000D3242">
      <w:r>
        <w:separator/>
      </w:r>
    </w:p>
  </w:footnote>
  <w:footnote w:type="continuationSeparator" w:id="0">
    <w:p w14:paraId="7E2C26FD" w14:textId="77777777" w:rsidR="000D3242" w:rsidRDefault="000D3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0CA4F51"/>
    <w:multiLevelType w:val="hybridMultilevel"/>
    <w:tmpl w:val="26C4B480"/>
    <w:lvl w:ilvl="0" w:tplc="49FA6654">
      <w:start w:val="1"/>
      <w:numFmt w:val="bullet"/>
      <w:lvlText w:val="●"/>
      <w:lvlJc w:val="left"/>
      <w:pPr>
        <w:ind w:left="720" w:hanging="360"/>
      </w:pPr>
    </w:lvl>
    <w:lvl w:ilvl="1" w:tplc="1A069E62">
      <w:start w:val="1"/>
      <w:numFmt w:val="bullet"/>
      <w:lvlText w:val="○"/>
      <w:lvlJc w:val="left"/>
      <w:pPr>
        <w:ind w:left="1440" w:hanging="360"/>
      </w:pPr>
    </w:lvl>
    <w:lvl w:ilvl="2" w:tplc="8138BB26">
      <w:start w:val="1"/>
      <w:numFmt w:val="bullet"/>
      <w:lvlText w:val="■"/>
      <w:lvlJc w:val="left"/>
      <w:pPr>
        <w:ind w:left="2160" w:hanging="360"/>
      </w:pPr>
    </w:lvl>
    <w:lvl w:ilvl="3" w:tplc="4210F406">
      <w:start w:val="1"/>
      <w:numFmt w:val="bullet"/>
      <w:lvlText w:val="●"/>
      <w:lvlJc w:val="left"/>
      <w:pPr>
        <w:ind w:left="2880" w:hanging="360"/>
      </w:pPr>
    </w:lvl>
    <w:lvl w:ilvl="4" w:tplc="4FA879B4">
      <w:start w:val="1"/>
      <w:numFmt w:val="bullet"/>
      <w:lvlText w:val="○"/>
      <w:lvlJc w:val="left"/>
      <w:pPr>
        <w:ind w:left="3600" w:hanging="360"/>
      </w:pPr>
    </w:lvl>
    <w:lvl w:ilvl="5" w:tplc="607A812E">
      <w:start w:val="1"/>
      <w:numFmt w:val="bullet"/>
      <w:lvlText w:val="■"/>
      <w:lvlJc w:val="left"/>
      <w:pPr>
        <w:ind w:left="4320" w:hanging="360"/>
      </w:pPr>
    </w:lvl>
    <w:lvl w:ilvl="6" w:tplc="58C4EB8E">
      <w:start w:val="1"/>
      <w:numFmt w:val="bullet"/>
      <w:lvlText w:val="●"/>
      <w:lvlJc w:val="left"/>
      <w:pPr>
        <w:ind w:left="5040" w:hanging="360"/>
      </w:pPr>
    </w:lvl>
    <w:lvl w:ilvl="7" w:tplc="3DCACC72">
      <w:start w:val="1"/>
      <w:numFmt w:val="bullet"/>
      <w:lvlText w:val="●"/>
      <w:lvlJc w:val="left"/>
      <w:pPr>
        <w:ind w:left="5760" w:hanging="360"/>
      </w:pPr>
    </w:lvl>
    <w:lvl w:ilvl="8" w:tplc="D6425716">
      <w:start w:val="1"/>
      <w:numFmt w:val="bullet"/>
      <w:lvlText w:val="●"/>
      <w:lvlJc w:val="left"/>
      <w:pPr>
        <w:ind w:left="6480" w:hanging="360"/>
      </w:pPr>
    </w:lvl>
  </w:abstractNum>
  <w:num w:numId="1" w16cid:durableId="166254478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392"/>
    <w:rsid w:val="00014305"/>
    <w:rsid w:val="000D3242"/>
    <w:rsid w:val="000D6912"/>
    <w:rsid w:val="00246F0A"/>
    <w:rsid w:val="004E32B3"/>
    <w:rsid w:val="00751392"/>
    <w:rsid w:val="007D339A"/>
    <w:rsid w:val="00851C68"/>
    <w:rsid w:val="00941F27"/>
    <w:rsid w:val="009C3BE0"/>
    <w:rsid w:val="00BE2D34"/>
    <w:rsid w:val="00CC0CD2"/>
    <w:rsid w:val="00EC7E2B"/>
    <w:rsid w:val="00EE3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F1096"/>
  <w15:docId w15:val="{259309FE-B87F-45A8-8238-55EA280B2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spacing w:before="240" w:after="200"/>
      <w:outlineLvl w:val="0"/>
    </w:pPr>
    <w:rPr>
      <w:b/>
      <w:bCs/>
      <w:color w:val="000000"/>
      <w:sz w:val="24"/>
      <w:szCs w:val="24"/>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Strong1">
    <w:name w:val="Strong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TotalTime>
  <Pages>9</Pages>
  <Words>2876</Words>
  <Characters>16682</Characters>
  <Application>Microsoft Office Word</Application>
  <DocSecurity>0</DocSecurity>
  <Lines>139</Lines>
  <Paragraphs>39</Paragraphs>
  <ScaleCrop>false</ScaleCrop>
  <Company/>
  <LinksUpToDate>false</LinksUpToDate>
  <CharactersWithSpaces>19519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Andreea Anca (2327259)</cp:lastModifiedBy>
  <cp:revision>11</cp:revision>
  <dcterms:created xsi:type="dcterms:W3CDTF">2026-07-28T11:25:00Z</dcterms:created>
  <dcterms:modified xsi:type="dcterms:W3CDTF">2026-07-28T17:39:00Z</dcterms:modified>
</cp:coreProperties>
</file>