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0C8FA" w14:textId="5FDC2282" w:rsidR="00812524" w:rsidRDefault="0051284B" w:rsidP="0051284B">
      <w:pPr>
        <w:jc w:val="left"/>
        <w:rPr>
          <w:rFonts w:ascii="Times New Roman" w:hAnsi="Times New Roman" w:cs="Times New Roman"/>
          <w:b/>
          <w:bCs/>
          <w:sz w:val="32"/>
          <w:szCs w:val="32"/>
        </w:rPr>
      </w:pPr>
      <w:r>
        <w:rPr>
          <w:noProof/>
        </w:rPr>
        <w:drawing>
          <wp:inline distT="0" distB="0" distL="0" distR="0" wp14:anchorId="570E8C8F" wp14:editId="4C4DCDC7">
            <wp:extent cx="3385185" cy="1350010"/>
            <wp:effectExtent l="0" t="0" r="5715" b="2540"/>
            <wp:docPr id="169330281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5185" cy="1350010"/>
                    </a:xfrm>
                    <a:prstGeom prst="rect">
                      <a:avLst/>
                    </a:prstGeom>
                    <a:noFill/>
                    <a:ln>
                      <a:noFill/>
                    </a:ln>
                  </pic:spPr>
                </pic:pic>
              </a:graphicData>
            </a:graphic>
          </wp:inline>
        </w:drawing>
      </w:r>
    </w:p>
    <w:p w14:paraId="0D0B2F73" w14:textId="77777777" w:rsidR="00812524" w:rsidRDefault="00812524" w:rsidP="00307458">
      <w:pPr>
        <w:jc w:val="center"/>
        <w:rPr>
          <w:rFonts w:ascii="Times New Roman" w:hAnsi="Times New Roman" w:cs="Times New Roman"/>
          <w:b/>
          <w:bCs/>
          <w:sz w:val="32"/>
          <w:szCs w:val="32"/>
        </w:rPr>
      </w:pPr>
    </w:p>
    <w:p w14:paraId="794F8DBC" w14:textId="77777777" w:rsidR="00812524" w:rsidRDefault="00812524" w:rsidP="00307458">
      <w:pPr>
        <w:jc w:val="center"/>
        <w:rPr>
          <w:rFonts w:ascii="Times New Roman" w:hAnsi="Times New Roman" w:cs="Times New Roman"/>
          <w:b/>
          <w:bCs/>
          <w:sz w:val="32"/>
          <w:szCs w:val="32"/>
        </w:rPr>
      </w:pPr>
    </w:p>
    <w:p w14:paraId="43C9D599" w14:textId="77777777" w:rsidR="00812524" w:rsidRDefault="00812524" w:rsidP="00307458">
      <w:pPr>
        <w:jc w:val="center"/>
        <w:rPr>
          <w:rFonts w:ascii="Times New Roman" w:hAnsi="Times New Roman" w:cs="Times New Roman"/>
          <w:b/>
          <w:bCs/>
          <w:sz w:val="32"/>
          <w:szCs w:val="32"/>
        </w:rPr>
      </w:pPr>
    </w:p>
    <w:p w14:paraId="31B0A65C" w14:textId="77777777" w:rsidR="0051284B" w:rsidRPr="0051284B" w:rsidRDefault="0051284B" w:rsidP="0051284B">
      <w:pPr>
        <w:jc w:val="center"/>
        <w:rPr>
          <w:rFonts w:cs="Arial"/>
          <w:b/>
          <w:bCs/>
          <w:sz w:val="28"/>
          <w:szCs w:val="28"/>
        </w:rPr>
      </w:pPr>
      <w:proofErr w:type="spellStart"/>
      <w:r w:rsidRPr="0051284B">
        <w:rPr>
          <w:rFonts w:cs="Arial"/>
          <w:b/>
          <w:bCs/>
          <w:sz w:val="28"/>
          <w:szCs w:val="28"/>
        </w:rPr>
        <w:t>Programme</w:t>
      </w:r>
      <w:proofErr w:type="spellEnd"/>
      <w:r w:rsidRPr="0051284B">
        <w:rPr>
          <w:rFonts w:cs="Arial"/>
          <w:b/>
          <w:bCs/>
          <w:sz w:val="28"/>
          <w:szCs w:val="28"/>
        </w:rPr>
        <w:t xml:space="preserve">: </w:t>
      </w:r>
      <w:r w:rsidRPr="0051284B">
        <w:rPr>
          <w:rFonts w:cs="Arial"/>
          <w:sz w:val="28"/>
          <w:szCs w:val="28"/>
        </w:rPr>
        <w:t>Master of Business Administration</w:t>
      </w:r>
    </w:p>
    <w:p w14:paraId="6DB00548" w14:textId="2E0D65A6" w:rsidR="00812524" w:rsidRPr="0051284B" w:rsidRDefault="0051284B" w:rsidP="0051284B">
      <w:pPr>
        <w:jc w:val="center"/>
        <w:rPr>
          <w:rFonts w:cs="Arial"/>
          <w:b/>
          <w:bCs/>
          <w:sz w:val="28"/>
          <w:szCs w:val="28"/>
        </w:rPr>
      </w:pPr>
      <w:r w:rsidRPr="0051284B">
        <w:rPr>
          <w:rFonts w:cs="Arial"/>
          <w:b/>
          <w:bCs/>
          <w:sz w:val="28"/>
          <w:szCs w:val="28"/>
        </w:rPr>
        <w:t xml:space="preserve">Module: </w:t>
      </w:r>
      <w:r w:rsidRPr="0051284B">
        <w:rPr>
          <w:rFonts w:cs="Arial"/>
          <w:sz w:val="28"/>
          <w:szCs w:val="28"/>
        </w:rPr>
        <w:t>Dissertation (LCMB7035)</w:t>
      </w:r>
    </w:p>
    <w:p w14:paraId="47261290" w14:textId="63760E15" w:rsidR="00307458" w:rsidRPr="0051284B" w:rsidRDefault="0051284B" w:rsidP="00307458">
      <w:pPr>
        <w:jc w:val="center"/>
        <w:rPr>
          <w:rFonts w:cs="Arial"/>
          <w:sz w:val="28"/>
          <w:szCs w:val="28"/>
        </w:rPr>
      </w:pPr>
      <w:r>
        <w:rPr>
          <w:rFonts w:cs="Arial"/>
          <w:b/>
          <w:bCs/>
          <w:sz w:val="28"/>
          <w:szCs w:val="28"/>
        </w:rPr>
        <w:t xml:space="preserve">Proposed Research: </w:t>
      </w:r>
      <w:r w:rsidRPr="0051284B">
        <w:rPr>
          <w:rFonts w:cs="Arial"/>
          <w:sz w:val="28"/>
          <w:szCs w:val="28"/>
        </w:rPr>
        <w:t>“</w:t>
      </w:r>
      <w:r w:rsidR="00307458" w:rsidRPr="0051284B">
        <w:rPr>
          <w:rFonts w:cs="Arial"/>
          <w:i/>
          <w:iCs/>
          <w:sz w:val="28"/>
          <w:szCs w:val="28"/>
        </w:rPr>
        <w:t>Transitioning from Linear to Circular Models in the Fashion and Textiles Industry: A Systematic Review of Waste Management</w:t>
      </w:r>
      <w:r w:rsidRPr="0051284B">
        <w:rPr>
          <w:rFonts w:cs="Arial"/>
          <w:sz w:val="28"/>
          <w:szCs w:val="28"/>
        </w:rPr>
        <w:t>”</w:t>
      </w:r>
    </w:p>
    <w:p w14:paraId="0553A22F" w14:textId="281449EF" w:rsidR="0051284B" w:rsidRPr="004135A0" w:rsidRDefault="0051284B" w:rsidP="0051284B">
      <w:pPr>
        <w:jc w:val="center"/>
        <w:rPr>
          <w:rFonts w:cs="Arial"/>
          <w:b/>
          <w:bCs/>
          <w:sz w:val="28"/>
          <w:szCs w:val="28"/>
        </w:rPr>
      </w:pPr>
      <w:r w:rsidRPr="004135A0">
        <w:rPr>
          <w:rFonts w:cs="Arial"/>
          <w:b/>
          <w:bCs/>
          <w:sz w:val="28"/>
          <w:szCs w:val="28"/>
        </w:rPr>
        <w:t>Student Name:</w:t>
      </w:r>
      <w:r w:rsidRPr="004135A0">
        <w:t xml:space="preserve"> </w:t>
      </w:r>
      <w:r w:rsidRPr="004135A0">
        <w:rPr>
          <w:rFonts w:cs="Arial"/>
          <w:sz w:val="28"/>
          <w:szCs w:val="28"/>
        </w:rPr>
        <w:t xml:space="preserve">Mohammad </w:t>
      </w:r>
      <w:proofErr w:type="spellStart"/>
      <w:r w:rsidRPr="004135A0">
        <w:rPr>
          <w:rFonts w:cs="Arial"/>
          <w:sz w:val="28"/>
          <w:szCs w:val="28"/>
        </w:rPr>
        <w:t>Mahmedsaeed</w:t>
      </w:r>
      <w:proofErr w:type="spellEnd"/>
      <w:r w:rsidRPr="004135A0">
        <w:rPr>
          <w:rFonts w:cs="Arial"/>
          <w:sz w:val="28"/>
          <w:szCs w:val="28"/>
        </w:rPr>
        <w:t xml:space="preserve"> Dhorat</w:t>
      </w:r>
      <w:r w:rsidRPr="004135A0">
        <w:rPr>
          <w:rFonts w:cs="Arial"/>
          <w:b/>
          <w:bCs/>
          <w:sz w:val="28"/>
          <w:szCs w:val="28"/>
        </w:rPr>
        <w:t xml:space="preserve"> </w:t>
      </w:r>
    </w:p>
    <w:p w14:paraId="5E29D2F9" w14:textId="1085EF59" w:rsidR="0051284B" w:rsidRPr="004135A0" w:rsidRDefault="0051284B" w:rsidP="0051284B">
      <w:pPr>
        <w:jc w:val="center"/>
        <w:rPr>
          <w:rFonts w:cs="Arial"/>
          <w:b/>
          <w:bCs/>
          <w:sz w:val="28"/>
          <w:szCs w:val="28"/>
        </w:rPr>
      </w:pPr>
      <w:r w:rsidRPr="0051284B">
        <w:rPr>
          <w:rFonts w:cs="Arial"/>
          <w:b/>
          <w:bCs/>
          <w:sz w:val="28"/>
          <w:szCs w:val="28"/>
        </w:rPr>
        <w:t>Student Number:</w:t>
      </w:r>
      <w:r>
        <w:rPr>
          <w:rFonts w:cs="Arial"/>
          <w:b/>
          <w:bCs/>
          <w:sz w:val="28"/>
          <w:szCs w:val="28"/>
        </w:rPr>
        <w:t xml:space="preserve"> </w:t>
      </w:r>
      <w:r w:rsidRPr="004135A0">
        <w:rPr>
          <w:rFonts w:cs="Arial"/>
          <w:sz w:val="28"/>
          <w:szCs w:val="28"/>
        </w:rPr>
        <w:t>2433622</w:t>
      </w:r>
    </w:p>
    <w:p w14:paraId="06D43624" w14:textId="6669DA45" w:rsidR="0051284B" w:rsidRPr="0051284B" w:rsidRDefault="0051284B" w:rsidP="00307458">
      <w:pPr>
        <w:jc w:val="center"/>
        <w:rPr>
          <w:rFonts w:cs="Arial"/>
          <w:b/>
          <w:bCs/>
          <w:sz w:val="28"/>
          <w:szCs w:val="28"/>
        </w:rPr>
      </w:pPr>
      <w:r w:rsidRPr="0051284B">
        <w:rPr>
          <w:rFonts w:cs="Arial"/>
          <w:b/>
          <w:bCs/>
          <w:sz w:val="28"/>
          <w:szCs w:val="28"/>
        </w:rPr>
        <w:t>Word Count:</w:t>
      </w:r>
      <w:r>
        <w:rPr>
          <w:rFonts w:cs="Arial"/>
          <w:b/>
          <w:bCs/>
          <w:sz w:val="28"/>
          <w:szCs w:val="28"/>
        </w:rPr>
        <w:t xml:space="preserve"> </w:t>
      </w:r>
      <w:r w:rsidRPr="0051284B">
        <w:rPr>
          <w:rFonts w:cs="Arial"/>
          <w:sz w:val="28"/>
          <w:szCs w:val="28"/>
        </w:rPr>
        <w:t>23</w:t>
      </w:r>
      <w:r w:rsidR="004272B2">
        <w:rPr>
          <w:rFonts w:cs="Arial"/>
          <w:sz w:val="28"/>
          <w:szCs w:val="28"/>
        </w:rPr>
        <w:t>35</w:t>
      </w:r>
    </w:p>
    <w:p w14:paraId="277E0D14" w14:textId="6CF5F2FE" w:rsidR="0051284B" w:rsidRPr="0051284B" w:rsidRDefault="0051284B" w:rsidP="00307458">
      <w:pPr>
        <w:jc w:val="center"/>
        <w:rPr>
          <w:rFonts w:cs="Arial"/>
          <w:b/>
          <w:bCs/>
          <w:sz w:val="28"/>
          <w:szCs w:val="28"/>
        </w:rPr>
      </w:pPr>
      <w:r w:rsidRPr="0051284B">
        <w:rPr>
          <w:rFonts w:cs="Arial"/>
          <w:b/>
          <w:bCs/>
          <w:sz w:val="28"/>
          <w:szCs w:val="28"/>
        </w:rPr>
        <w:t>Submission Date:</w:t>
      </w:r>
      <w:r>
        <w:rPr>
          <w:rFonts w:cs="Arial"/>
          <w:b/>
          <w:bCs/>
          <w:sz w:val="28"/>
          <w:szCs w:val="28"/>
        </w:rPr>
        <w:t xml:space="preserve"> </w:t>
      </w:r>
      <w:r w:rsidRPr="0051284B">
        <w:rPr>
          <w:rFonts w:cs="Arial"/>
          <w:sz w:val="28"/>
          <w:szCs w:val="28"/>
        </w:rPr>
        <w:t>18 February 2026</w:t>
      </w:r>
    </w:p>
    <w:p w14:paraId="6D8D126E" w14:textId="77777777" w:rsidR="00A91E93" w:rsidRDefault="00A91E93">
      <w:pPr>
        <w:spacing w:before="0" w:after="160" w:line="259" w:lineRule="auto"/>
        <w:jc w:val="left"/>
      </w:pPr>
      <w:r>
        <w:br w:type="page"/>
      </w:r>
    </w:p>
    <w:sdt>
      <w:sdtPr>
        <w:rPr>
          <w:rFonts w:eastAsiaTheme="minorEastAsia" w:cstheme="minorBidi"/>
          <w:b w:val="0"/>
          <w:bCs w:val="0"/>
          <w:color w:val="auto"/>
          <w:sz w:val="24"/>
          <w:szCs w:val="22"/>
        </w:rPr>
        <w:id w:val="366113050"/>
        <w:docPartObj>
          <w:docPartGallery w:val="Table of Contents"/>
          <w:docPartUnique/>
        </w:docPartObj>
      </w:sdtPr>
      <w:sdtEndPr>
        <w:rPr>
          <w:noProof/>
        </w:rPr>
      </w:sdtEndPr>
      <w:sdtContent>
        <w:p w14:paraId="7D0CD957" w14:textId="4F5F0256" w:rsidR="00A91E93" w:rsidRDefault="00A91E93" w:rsidP="00A91E93">
          <w:pPr>
            <w:pStyle w:val="TOCHeading"/>
            <w:numPr>
              <w:ilvl w:val="0"/>
              <w:numId w:val="0"/>
            </w:numPr>
            <w:ind w:left="432" w:hanging="432"/>
          </w:pPr>
          <w:r>
            <w:t>Table of Contents</w:t>
          </w:r>
        </w:p>
        <w:p w14:paraId="28D9826A" w14:textId="7BCE3A8A" w:rsidR="00D92828" w:rsidRDefault="00A91E93">
          <w:pPr>
            <w:pStyle w:val="TOC1"/>
            <w:tabs>
              <w:tab w:val="left" w:pos="480"/>
              <w:tab w:val="right" w:leader="dot" w:pos="9016"/>
            </w:tabs>
            <w:rPr>
              <w:rFonts w:asciiTheme="minorHAnsi" w:hAnsiTheme="minorHAnsi"/>
              <w:noProof/>
              <w:kern w:val="2"/>
              <w:szCs w:val="30"/>
              <w:lang w:bidi="bn-IN"/>
              <w14:ligatures w14:val="standardContextual"/>
            </w:rPr>
          </w:pPr>
          <w:r>
            <w:fldChar w:fldCharType="begin"/>
          </w:r>
          <w:r>
            <w:instrText xml:space="preserve"> TOC \o "1-3" \h \z \u </w:instrText>
          </w:r>
          <w:r>
            <w:fldChar w:fldCharType="separate"/>
          </w:r>
          <w:hyperlink w:anchor="_Toc222138658" w:history="1">
            <w:r w:rsidR="00D92828" w:rsidRPr="006B3D9B">
              <w:rPr>
                <w:rStyle w:val="Hyperlink"/>
                <w:noProof/>
              </w:rPr>
              <w:t>1</w:t>
            </w:r>
            <w:r w:rsidR="00D92828">
              <w:rPr>
                <w:rFonts w:asciiTheme="minorHAnsi" w:hAnsiTheme="minorHAnsi"/>
                <w:noProof/>
                <w:kern w:val="2"/>
                <w:szCs w:val="30"/>
                <w:lang w:bidi="bn-IN"/>
                <w14:ligatures w14:val="standardContextual"/>
              </w:rPr>
              <w:tab/>
            </w:r>
            <w:r w:rsidR="00D92828" w:rsidRPr="006B3D9B">
              <w:rPr>
                <w:rStyle w:val="Hyperlink"/>
                <w:noProof/>
              </w:rPr>
              <w:t>Introduction</w:t>
            </w:r>
            <w:r w:rsidR="00D92828">
              <w:rPr>
                <w:noProof/>
                <w:webHidden/>
              </w:rPr>
              <w:tab/>
            </w:r>
            <w:r w:rsidR="00D92828">
              <w:rPr>
                <w:noProof/>
                <w:webHidden/>
              </w:rPr>
              <w:fldChar w:fldCharType="begin"/>
            </w:r>
            <w:r w:rsidR="00D92828">
              <w:rPr>
                <w:noProof/>
                <w:webHidden/>
              </w:rPr>
              <w:instrText xml:space="preserve"> PAGEREF _Toc222138658 \h </w:instrText>
            </w:r>
            <w:r w:rsidR="00D92828">
              <w:rPr>
                <w:noProof/>
                <w:webHidden/>
              </w:rPr>
            </w:r>
            <w:r w:rsidR="00D92828">
              <w:rPr>
                <w:noProof/>
                <w:webHidden/>
              </w:rPr>
              <w:fldChar w:fldCharType="separate"/>
            </w:r>
            <w:r w:rsidR="00D92828">
              <w:rPr>
                <w:noProof/>
                <w:webHidden/>
              </w:rPr>
              <w:t>3</w:t>
            </w:r>
            <w:r w:rsidR="00D92828">
              <w:rPr>
                <w:noProof/>
                <w:webHidden/>
              </w:rPr>
              <w:fldChar w:fldCharType="end"/>
            </w:r>
          </w:hyperlink>
        </w:p>
        <w:p w14:paraId="3B6CD47B" w14:textId="2E949B45"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59" w:history="1">
            <w:r w:rsidRPr="006B3D9B">
              <w:rPr>
                <w:rStyle w:val="Hyperlink"/>
                <w:noProof/>
              </w:rPr>
              <w:t>1.1</w:t>
            </w:r>
            <w:r>
              <w:rPr>
                <w:rFonts w:asciiTheme="minorHAnsi" w:hAnsiTheme="minorHAnsi"/>
                <w:noProof/>
                <w:kern w:val="2"/>
                <w:szCs w:val="30"/>
                <w:lang w:bidi="bn-IN"/>
                <w14:ligatures w14:val="standardContextual"/>
              </w:rPr>
              <w:tab/>
            </w:r>
            <w:r w:rsidRPr="006B3D9B">
              <w:rPr>
                <w:rStyle w:val="Hyperlink"/>
                <w:noProof/>
              </w:rPr>
              <w:t>Research Background and Problem Statement</w:t>
            </w:r>
            <w:r>
              <w:rPr>
                <w:noProof/>
                <w:webHidden/>
              </w:rPr>
              <w:tab/>
            </w:r>
            <w:r>
              <w:rPr>
                <w:noProof/>
                <w:webHidden/>
              </w:rPr>
              <w:fldChar w:fldCharType="begin"/>
            </w:r>
            <w:r>
              <w:rPr>
                <w:noProof/>
                <w:webHidden/>
              </w:rPr>
              <w:instrText xml:space="preserve"> PAGEREF _Toc222138659 \h </w:instrText>
            </w:r>
            <w:r>
              <w:rPr>
                <w:noProof/>
                <w:webHidden/>
              </w:rPr>
            </w:r>
            <w:r>
              <w:rPr>
                <w:noProof/>
                <w:webHidden/>
              </w:rPr>
              <w:fldChar w:fldCharType="separate"/>
            </w:r>
            <w:r>
              <w:rPr>
                <w:noProof/>
                <w:webHidden/>
              </w:rPr>
              <w:t>3</w:t>
            </w:r>
            <w:r>
              <w:rPr>
                <w:noProof/>
                <w:webHidden/>
              </w:rPr>
              <w:fldChar w:fldCharType="end"/>
            </w:r>
          </w:hyperlink>
        </w:p>
        <w:p w14:paraId="59204075" w14:textId="51A7DB27"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0" w:history="1">
            <w:r w:rsidRPr="006B3D9B">
              <w:rPr>
                <w:rStyle w:val="Hyperlink"/>
                <w:noProof/>
              </w:rPr>
              <w:t>1.2</w:t>
            </w:r>
            <w:r>
              <w:rPr>
                <w:rFonts w:asciiTheme="minorHAnsi" w:hAnsiTheme="minorHAnsi"/>
                <w:noProof/>
                <w:kern w:val="2"/>
                <w:szCs w:val="30"/>
                <w:lang w:bidi="bn-IN"/>
                <w14:ligatures w14:val="standardContextual"/>
              </w:rPr>
              <w:tab/>
            </w:r>
            <w:r w:rsidRPr="006B3D9B">
              <w:rPr>
                <w:rStyle w:val="Hyperlink"/>
                <w:noProof/>
              </w:rPr>
              <w:t>Research Aim</w:t>
            </w:r>
            <w:r>
              <w:rPr>
                <w:noProof/>
                <w:webHidden/>
              </w:rPr>
              <w:tab/>
            </w:r>
            <w:r>
              <w:rPr>
                <w:noProof/>
                <w:webHidden/>
              </w:rPr>
              <w:fldChar w:fldCharType="begin"/>
            </w:r>
            <w:r>
              <w:rPr>
                <w:noProof/>
                <w:webHidden/>
              </w:rPr>
              <w:instrText xml:space="preserve"> PAGEREF _Toc222138660 \h </w:instrText>
            </w:r>
            <w:r>
              <w:rPr>
                <w:noProof/>
                <w:webHidden/>
              </w:rPr>
            </w:r>
            <w:r>
              <w:rPr>
                <w:noProof/>
                <w:webHidden/>
              </w:rPr>
              <w:fldChar w:fldCharType="separate"/>
            </w:r>
            <w:r>
              <w:rPr>
                <w:noProof/>
                <w:webHidden/>
              </w:rPr>
              <w:t>4</w:t>
            </w:r>
            <w:r>
              <w:rPr>
                <w:noProof/>
                <w:webHidden/>
              </w:rPr>
              <w:fldChar w:fldCharType="end"/>
            </w:r>
          </w:hyperlink>
        </w:p>
        <w:p w14:paraId="4555B72C" w14:textId="24ACA7B0"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1" w:history="1">
            <w:r w:rsidRPr="006B3D9B">
              <w:rPr>
                <w:rStyle w:val="Hyperlink"/>
                <w:noProof/>
              </w:rPr>
              <w:t>1.3</w:t>
            </w:r>
            <w:r>
              <w:rPr>
                <w:rFonts w:asciiTheme="minorHAnsi" w:hAnsiTheme="minorHAnsi"/>
                <w:noProof/>
                <w:kern w:val="2"/>
                <w:szCs w:val="30"/>
                <w:lang w:bidi="bn-IN"/>
                <w14:ligatures w14:val="standardContextual"/>
              </w:rPr>
              <w:tab/>
            </w:r>
            <w:r w:rsidRPr="006B3D9B">
              <w:rPr>
                <w:rStyle w:val="Hyperlink"/>
                <w:noProof/>
              </w:rPr>
              <w:t>Research Objectives</w:t>
            </w:r>
            <w:r>
              <w:rPr>
                <w:noProof/>
                <w:webHidden/>
              </w:rPr>
              <w:tab/>
            </w:r>
            <w:r>
              <w:rPr>
                <w:noProof/>
                <w:webHidden/>
              </w:rPr>
              <w:fldChar w:fldCharType="begin"/>
            </w:r>
            <w:r>
              <w:rPr>
                <w:noProof/>
                <w:webHidden/>
              </w:rPr>
              <w:instrText xml:space="preserve"> PAGEREF _Toc222138661 \h </w:instrText>
            </w:r>
            <w:r>
              <w:rPr>
                <w:noProof/>
                <w:webHidden/>
              </w:rPr>
            </w:r>
            <w:r>
              <w:rPr>
                <w:noProof/>
                <w:webHidden/>
              </w:rPr>
              <w:fldChar w:fldCharType="separate"/>
            </w:r>
            <w:r>
              <w:rPr>
                <w:noProof/>
                <w:webHidden/>
              </w:rPr>
              <w:t>4</w:t>
            </w:r>
            <w:r>
              <w:rPr>
                <w:noProof/>
                <w:webHidden/>
              </w:rPr>
              <w:fldChar w:fldCharType="end"/>
            </w:r>
          </w:hyperlink>
        </w:p>
        <w:p w14:paraId="0460F7B1" w14:textId="22174D61"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2" w:history="1">
            <w:r w:rsidRPr="006B3D9B">
              <w:rPr>
                <w:rStyle w:val="Hyperlink"/>
                <w:noProof/>
              </w:rPr>
              <w:t>1.4</w:t>
            </w:r>
            <w:r>
              <w:rPr>
                <w:rFonts w:asciiTheme="minorHAnsi" w:hAnsiTheme="minorHAnsi"/>
                <w:noProof/>
                <w:kern w:val="2"/>
                <w:szCs w:val="30"/>
                <w:lang w:bidi="bn-IN"/>
                <w14:ligatures w14:val="standardContextual"/>
              </w:rPr>
              <w:tab/>
            </w:r>
            <w:r w:rsidRPr="006B3D9B">
              <w:rPr>
                <w:rStyle w:val="Hyperlink"/>
                <w:noProof/>
              </w:rPr>
              <w:t>Research Questions</w:t>
            </w:r>
            <w:r>
              <w:rPr>
                <w:noProof/>
                <w:webHidden/>
              </w:rPr>
              <w:tab/>
            </w:r>
            <w:r>
              <w:rPr>
                <w:noProof/>
                <w:webHidden/>
              </w:rPr>
              <w:fldChar w:fldCharType="begin"/>
            </w:r>
            <w:r>
              <w:rPr>
                <w:noProof/>
                <w:webHidden/>
              </w:rPr>
              <w:instrText xml:space="preserve"> PAGEREF _Toc222138662 \h </w:instrText>
            </w:r>
            <w:r>
              <w:rPr>
                <w:noProof/>
                <w:webHidden/>
              </w:rPr>
            </w:r>
            <w:r>
              <w:rPr>
                <w:noProof/>
                <w:webHidden/>
              </w:rPr>
              <w:fldChar w:fldCharType="separate"/>
            </w:r>
            <w:r>
              <w:rPr>
                <w:noProof/>
                <w:webHidden/>
              </w:rPr>
              <w:t>4</w:t>
            </w:r>
            <w:r>
              <w:rPr>
                <w:noProof/>
                <w:webHidden/>
              </w:rPr>
              <w:fldChar w:fldCharType="end"/>
            </w:r>
          </w:hyperlink>
        </w:p>
        <w:p w14:paraId="170AF993" w14:textId="6C21C7BE"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63" w:history="1">
            <w:r w:rsidRPr="006B3D9B">
              <w:rPr>
                <w:rStyle w:val="Hyperlink"/>
                <w:noProof/>
              </w:rPr>
              <w:t>2</w:t>
            </w:r>
            <w:r>
              <w:rPr>
                <w:rFonts w:asciiTheme="minorHAnsi" w:hAnsiTheme="minorHAnsi"/>
                <w:noProof/>
                <w:kern w:val="2"/>
                <w:szCs w:val="30"/>
                <w:lang w:bidi="bn-IN"/>
                <w14:ligatures w14:val="standardContextual"/>
              </w:rPr>
              <w:tab/>
            </w:r>
            <w:r w:rsidRPr="006B3D9B">
              <w:rPr>
                <w:rStyle w:val="Hyperlink"/>
                <w:noProof/>
              </w:rPr>
              <w:t>Literature Review</w:t>
            </w:r>
            <w:r>
              <w:rPr>
                <w:noProof/>
                <w:webHidden/>
              </w:rPr>
              <w:tab/>
            </w:r>
            <w:r>
              <w:rPr>
                <w:noProof/>
                <w:webHidden/>
              </w:rPr>
              <w:fldChar w:fldCharType="begin"/>
            </w:r>
            <w:r>
              <w:rPr>
                <w:noProof/>
                <w:webHidden/>
              </w:rPr>
              <w:instrText xml:space="preserve"> PAGEREF _Toc222138663 \h </w:instrText>
            </w:r>
            <w:r>
              <w:rPr>
                <w:noProof/>
                <w:webHidden/>
              </w:rPr>
            </w:r>
            <w:r>
              <w:rPr>
                <w:noProof/>
                <w:webHidden/>
              </w:rPr>
              <w:fldChar w:fldCharType="separate"/>
            </w:r>
            <w:r>
              <w:rPr>
                <w:noProof/>
                <w:webHidden/>
              </w:rPr>
              <w:t>5</w:t>
            </w:r>
            <w:r>
              <w:rPr>
                <w:noProof/>
                <w:webHidden/>
              </w:rPr>
              <w:fldChar w:fldCharType="end"/>
            </w:r>
          </w:hyperlink>
        </w:p>
        <w:p w14:paraId="1B153FB1" w14:textId="6DF1D4D1"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4" w:history="1">
            <w:r w:rsidRPr="006B3D9B">
              <w:rPr>
                <w:rStyle w:val="Hyperlink"/>
                <w:noProof/>
              </w:rPr>
              <w:t>2.1</w:t>
            </w:r>
            <w:r>
              <w:rPr>
                <w:rFonts w:asciiTheme="minorHAnsi" w:hAnsiTheme="minorHAnsi"/>
                <w:noProof/>
                <w:kern w:val="2"/>
                <w:szCs w:val="30"/>
                <w:lang w:bidi="bn-IN"/>
                <w14:ligatures w14:val="standardContextual"/>
              </w:rPr>
              <w:tab/>
            </w:r>
            <w:r w:rsidRPr="006B3D9B">
              <w:rPr>
                <w:rStyle w:val="Hyperlink"/>
                <w:noProof/>
              </w:rPr>
              <w:t>Theoretical Framework: Circular Economy Framework</w:t>
            </w:r>
            <w:r>
              <w:rPr>
                <w:noProof/>
                <w:webHidden/>
              </w:rPr>
              <w:tab/>
            </w:r>
            <w:r>
              <w:rPr>
                <w:noProof/>
                <w:webHidden/>
              </w:rPr>
              <w:fldChar w:fldCharType="begin"/>
            </w:r>
            <w:r>
              <w:rPr>
                <w:noProof/>
                <w:webHidden/>
              </w:rPr>
              <w:instrText xml:space="preserve"> PAGEREF _Toc222138664 \h </w:instrText>
            </w:r>
            <w:r>
              <w:rPr>
                <w:noProof/>
                <w:webHidden/>
              </w:rPr>
            </w:r>
            <w:r>
              <w:rPr>
                <w:noProof/>
                <w:webHidden/>
              </w:rPr>
              <w:fldChar w:fldCharType="separate"/>
            </w:r>
            <w:r>
              <w:rPr>
                <w:noProof/>
                <w:webHidden/>
              </w:rPr>
              <w:t>5</w:t>
            </w:r>
            <w:r>
              <w:rPr>
                <w:noProof/>
                <w:webHidden/>
              </w:rPr>
              <w:fldChar w:fldCharType="end"/>
            </w:r>
          </w:hyperlink>
        </w:p>
        <w:p w14:paraId="19392120" w14:textId="17421BBC"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5" w:history="1">
            <w:r w:rsidRPr="006B3D9B">
              <w:rPr>
                <w:rStyle w:val="Hyperlink"/>
                <w:noProof/>
              </w:rPr>
              <w:t>2.2</w:t>
            </w:r>
            <w:r>
              <w:rPr>
                <w:rFonts w:asciiTheme="minorHAnsi" w:hAnsiTheme="minorHAnsi"/>
                <w:noProof/>
                <w:kern w:val="2"/>
                <w:szCs w:val="30"/>
                <w:lang w:bidi="bn-IN"/>
                <w14:ligatures w14:val="standardContextual"/>
              </w:rPr>
              <w:tab/>
            </w:r>
            <w:r w:rsidRPr="006B3D9B">
              <w:rPr>
                <w:rStyle w:val="Hyperlink"/>
                <w:noProof/>
              </w:rPr>
              <w:t>Key Findings from Existing Empirical Research</w:t>
            </w:r>
            <w:r>
              <w:rPr>
                <w:noProof/>
                <w:webHidden/>
              </w:rPr>
              <w:tab/>
            </w:r>
            <w:r>
              <w:rPr>
                <w:noProof/>
                <w:webHidden/>
              </w:rPr>
              <w:fldChar w:fldCharType="begin"/>
            </w:r>
            <w:r>
              <w:rPr>
                <w:noProof/>
                <w:webHidden/>
              </w:rPr>
              <w:instrText xml:space="preserve"> PAGEREF _Toc222138665 \h </w:instrText>
            </w:r>
            <w:r>
              <w:rPr>
                <w:noProof/>
                <w:webHidden/>
              </w:rPr>
            </w:r>
            <w:r>
              <w:rPr>
                <w:noProof/>
                <w:webHidden/>
              </w:rPr>
              <w:fldChar w:fldCharType="separate"/>
            </w:r>
            <w:r>
              <w:rPr>
                <w:noProof/>
                <w:webHidden/>
              </w:rPr>
              <w:t>5</w:t>
            </w:r>
            <w:r>
              <w:rPr>
                <w:noProof/>
                <w:webHidden/>
              </w:rPr>
              <w:fldChar w:fldCharType="end"/>
            </w:r>
          </w:hyperlink>
        </w:p>
        <w:p w14:paraId="3FB88877" w14:textId="41B41F6D" w:rsidR="00D92828" w:rsidRDefault="00D92828">
          <w:pPr>
            <w:pStyle w:val="TOC2"/>
            <w:tabs>
              <w:tab w:val="left" w:pos="960"/>
              <w:tab w:val="right" w:leader="dot" w:pos="9016"/>
            </w:tabs>
            <w:rPr>
              <w:rFonts w:asciiTheme="minorHAnsi" w:hAnsiTheme="minorHAnsi"/>
              <w:noProof/>
              <w:kern w:val="2"/>
              <w:szCs w:val="30"/>
              <w:lang w:bidi="bn-IN"/>
              <w14:ligatures w14:val="standardContextual"/>
            </w:rPr>
          </w:pPr>
          <w:hyperlink w:anchor="_Toc222138666" w:history="1">
            <w:r w:rsidRPr="006B3D9B">
              <w:rPr>
                <w:rStyle w:val="Hyperlink"/>
                <w:noProof/>
              </w:rPr>
              <w:t>2.3</w:t>
            </w:r>
            <w:r>
              <w:rPr>
                <w:rFonts w:asciiTheme="minorHAnsi" w:hAnsiTheme="minorHAnsi"/>
                <w:noProof/>
                <w:kern w:val="2"/>
                <w:szCs w:val="30"/>
                <w:lang w:bidi="bn-IN"/>
                <w14:ligatures w14:val="standardContextual"/>
              </w:rPr>
              <w:tab/>
            </w:r>
            <w:r w:rsidRPr="006B3D9B">
              <w:rPr>
                <w:rStyle w:val="Hyperlink"/>
                <w:noProof/>
              </w:rPr>
              <w:t>Research Gap</w:t>
            </w:r>
            <w:r>
              <w:rPr>
                <w:noProof/>
                <w:webHidden/>
              </w:rPr>
              <w:tab/>
            </w:r>
            <w:r>
              <w:rPr>
                <w:noProof/>
                <w:webHidden/>
              </w:rPr>
              <w:fldChar w:fldCharType="begin"/>
            </w:r>
            <w:r>
              <w:rPr>
                <w:noProof/>
                <w:webHidden/>
              </w:rPr>
              <w:instrText xml:space="preserve"> PAGEREF _Toc222138666 \h </w:instrText>
            </w:r>
            <w:r>
              <w:rPr>
                <w:noProof/>
                <w:webHidden/>
              </w:rPr>
            </w:r>
            <w:r>
              <w:rPr>
                <w:noProof/>
                <w:webHidden/>
              </w:rPr>
              <w:fldChar w:fldCharType="separate"/>
            </w:r>
            <w:r>
              <w:rPr>
                <w:noProof/>
                <w:webHidden/>
              </w:rPr>
              <w:t>6</w:t>
            </w:r>
            <w:r>
              <w:rPr>
                <w:noProof/>
                <w:webHidden/>
              </w:rPr>
              <w:fldChar w:fldCharType="end"/>
            </w:r>
          </w:hyperlink>
        </w:p>
        <w:p w14:paraId="25580DC8" w14:textId="7D543518"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67" w:history="1">
            <w:r w:rsidRPr="006B3D9B">
              <w:rPr>
                <w:rStyle w:val="Hyperlink"/>
                <w:noProof/>
              </w:rPr>
              <w:t>3</w:t>
            </w:r>
            <w:r>
              <w:rPr>
                <w:rFonts w:asciiTheme="minorHAnsi" w:hAnsiTheme="minorHAnsi"/>
                <w:noProof/>
                <w:kern w:val="2"/>
                <w:szCs w:val="30"/>
                <w:lang w:bidi="bn-IN"/>
                <w14:ligatures w14:val="standardContextual"/>
              </w:rPr>
              <w:tab/>
            </w:r>
            <w:r w:rsidRPr="006B3D9B">
              <w:rPr>
                <w:rStyle w:val="Hyperlink"/>
                <w:noProof/>
              </w:rPr>
              <w:t>Research Methodology</w:t>
            </w:r>
            <w:r>
              <w:rPr>
                <w:noProof/>
                <w:webHidden/>
              </w:rPr>
              <w:tab/>
            </w:r>
            <w:r>
              <w:rPr>
                <w:noProof/>
                <w:webHidden/>
              </w:rPr>
              <w:fldChar w:fldCharType="begin"/>
            </w:r>
            <w:r>
              <w:rPr>
                <w:noProof/>
                <w:webHidden/>
              </w:rPr>
              <w:instrText xml:space="preserve"> PAGEREF _Toc222138667 \h </w:instrText>
            </w:r>
            <w:r>
              <w:rPr>
                <w:noProof/>
                <w:webHidden/>
              </w:rPr>
            </w:r>
            <w:r>
              <w:rPr>
                <w:noProof/>
                <w:webHidden/>
              </w:rPr>
              <w:fldChar w:fldCharType="separate"/>
            </w:r>
            <w:r>
              <w:rPr>
                <w:noProof/>
                <w:webHidden/>
              </w:rPr>
              <w:t>7</w:t>
            </w:r>
            <w:r>
              <w:rPr>
                <w:noProof/>
                <w:webHidden/>
              </w:rPr>
              <w:fldChar w:fldCharType="end"/>
            </w:r>
          </w:hyperlink>
        </w:p>
        <w:p w14:paraId="3E156F3F" w14:textId="05D1EFCB"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68" w:history="1">
            <w:r w:rsidRPr="006B3D9B">
              <w:rPr>
                <w:rStyle w:val="Hyperlink"/>
                <w:noProof/>
              </w:rPr>
              <w:t>4</w:t>
            </w:r>
            <w:r>
              <w:rPr>
                <w:rFonts w:asciiTheme="minorHAnsi" w:hAnsiTheme="minorHAnsi"/>
                <w:noProof/>
                <w:kern w:val="2"/>
                <w:szCs w:val="30"/>
                <w:lang w:bidi="bn-IN"/>
                <w14:ligatures w14:val="standardContextual"/>
              </w:rPr>
              <w:tab/>
            </w:r>
            <w:r w:rsidRPr="006B3D9B">
              <w:rPr>
                <w:rStyle w:val="Hyperlink"/>
                <w:noProof/>
              </w:rPr>
              <w:t>Feasibility and Scope of the Study</w:t>
            </w:r>
            <w:r>
              <w:rPr>
                <w:noProof/>
                <w:webHidden/>
              </w:rPr>
              <w:tab/>
            </w:r>
            <w:r>
              <w:rPr>
                <w:noProof/>
                <w:webHidden/>
              </w:rPr>
              <w:fldChar w:fldCharType="begin"/>
            </w:r>
            <w:r>
              <w:rPr>
                <w:noProof/>
                <w:webHidden/>
              </w:rPr>
              <w:instrText xml:space="preserve"> PAGEREF _Toc222138668 \h </w:instrText>
            </w:r>
            <w:r>
              <w:rPr>
                <w:noProof/>
                <w:webHidden/>
              </w:rPr>
            </w:r>
            <w:r>
              <w:rPr>
                <w:noProof/>
                <w:webHidden/>
              </w:rPr>
              <w:fldChar w:fldCharType="separate"/>
            </w:r>
            <w:r>
              <w:rPr>
                <w:noProof/>
                <w:webHidden/>
              </w:rPr>
              <w:t>8</w:t>
            </w:r>
            <w:r>
              <w:rPr>
                <w:noProof/>
                <w:webHidden/>
              </w:rPr>
              <w:fldChar w:fldCharType="end"/>
            </w:r>
          </w:hyperlink>
        </w:p>
        <w:p w14:paraId="5759A990" w14:textId="4087678B"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69" w:history="1">
            <w:r w:rsidRPr="006B3D9B">
              <w:rPr>
                <w:rStyle w:val="Hyperlink"/>
                <w:noProof/>
              </w:rPr>
              <w:t>5</w:t>
            </w:r>
            <w:r>
              <w:rPr>
                <w:rFonts w:asciiTheme="minorHAnsi" w:hAnsiTheme="minorHAnsi"/>
                <w:noProof/>
                <w:kern w:val="2"/>
                <w:szCs w:val="30"/>
                <w:lang w:bidi="bn-IN"/>
                <w14:ligatures w14:val="standardContextual"/>
              </w:rPr>
              <w:tab/>
            </w:r>
            <w:r w:rsidRPr="006B3D9B">
              <w:rPr>
                <w:rStyle w:val="Hyperlink"/>
                <w:noProof/>
              </w:rPr>
              <w:t>Expected Contributions of the Study</w:t>
            </w:r>
            <w:r>
              <w:rPr>
                <w:noProof/>
                <w:webHidden/>
              </w:rPr>
              <w:tab/>
            </w:r>
            <w:r>
              <w:rPr>
                <w:noProof/>
                <w:webHidden/>
              </w:rPr>
              <w:fldChar w:fldCharType="begin"/>
            </w:r>
            <w:r>
              <w:rPr>
                <w:noProof/>
                <w:webHidden/>
              </w:rPr>
              <w:instrText xml:space="preserve"> PAGEREF _Toc222138669 \h </w:instrText>
            </w:r>
            <w:r>
              <w:rPr>
                <w:noProof/>
                <w:webHidden/>
              </w:rPr>
            </w:r>
            <w:r>
              <w:rPr>
                <w:noProof/>
                <w:webHidden/>
              </w:rPr>
              <w:fldChar w:fldCharType="separate"/>
            </w:r>
            <w:r>
              <w:rPr>
                <w:noProof/>
                <w:webHidden/>
              </w:rPr>
              <w:t>8</w:t>
            </w:r>
            <w:r>
              <w:rPr>
                <w:noProof/>
                <w:webHidden/>
              </w:rPr>
              <w:fldChar w:fldCharType="end"/>
            </w:r>
          </w:hyperlink>
        </w:p>
        <w:p w14:paraId="25CAE5D0" w14:textId="7042ACE3"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70" w:history="1">
            <w:r w:rsidRPr="006B3D9B">
              <w:rPr>
                <w:rStyle w:val="Hyperlink"/>
                <w:noProof/>
              </w:rPr>
              <w:t>6</w:t>
            </w:r>
            <w:r>
              <w:rPr>
                <w:rFonts w:asciiTheme="minorHAnsi" w:hAnsiTheme="minorHAnsi"/>
                <w:noProof/>
                <w:kern w:val="2"/>
                <w:szCs w:val="30"/>
                <w:lang w:bidi="bn-IN"/>
                <w14:ligatures w14:val="standardContextual"/>
              </w:rPr>
              <w:tab/>
            </w:r>
            <w:r w:rsidRPr="006B3D9B">
              <w:rPr>
                <w:rStyle w:val="Hyperlink"/>
                <w:noProof/>
              </w:rPr>
              <w:t>Proposed Timeline</w:t>
            </w:r>
            <w:r>
              <w:rPr>
                <w:noProof/>
                <w:webHidden/>
              </w:rPr>
              <w:tab/>
            </w:r>
            <w:r>
              <w:rPr>
                <w:noProof/>
                <w:webHidden/>
              </w:rPr>
              <w:fldChar w:fldCharType="begin"/>
            </w:r>
            <w:r>
              <w:rPr>
                <w:noProof/>
                <w:webHidden/>
              </w:rPr>
              <w:instrText xml:space="preserve"> PAGEREF _Toc222138670 \h </w:instrText>
            </w:r>
            <w:r>
              <w:rPr>
                <w:noProof/>
                <w:webHidden/>
              </w:rPr>
            </w:r>
            <w:r>
              <w:rPr>
                <w:noProof/>
                <w:webHidden/>
              </w:rPr>
              <w:fldChar w:fldCharType="separate"/>
            </w:r>
            <w:r>
              <w:rPr>
                <w:noProof/>
                <w:webHidden/>
              </w:rPr>
              <w:t>9</w:t>
            </w:r>
            <w:r>
              <w:rPr>
                <w:noProof/>
                <w:webHidden/>
              </w:rPr>
              <w:fldChar w:fldCharType="end"/>
            </w:r>
          </w:hyperlink>
        </w:p>
        <w:p w14:paraId="73DF10A3" w14:textId="240BB5C5"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71" w:history="1">
            <w:r w:rsidRPr="006B3D9B">
              <w:rPr>
                <w:rStyle w:val="Hyperlink"/>
                <w:noProof/>
              </w:rPr>
              <w:t>7</w:t>
            </w:r>
            <w:r>
              <w:rPr>
                <w:rFonts w:asciiTheme="minorHAnsi" w:hAnsiTheme="minorHAnsi"/>
                <w:noProof/>
                <w:kern w:val="2"/>
                <w:szCs w:val="30"/>
                <w:lang w:bidi="bn-IN"/>
                <w14:ligatures w14:val="standardContextual"/>
              </w:rPr>
              <w:tab/>
            </w:r>
            <w:r w:rsidRPr="006B3D9B">
              <w:rPr>
                <w:rStyle w:val="Hyperlink"/>
                <w:noProof/>
              </w:rPr>
              <w:t>Conclusion</w:t>
            </w:r>
            <w:r>
              <w:rPr>
                <w:noProof/>
                <w:webHidden/>
              </w:rPr>
              <w:tab/>
            </w:r>
            <w:r>
              <w:rPr>
                <w:noProof/>
                <w:webHidden/>
              </w:rPr>
              <w:fldChar w:fldCharType="begin"/>
            </w:r>
            <w:r>
              <w:rPr>
                <w:noProof/>
                <w:webHidden/>
              </w:rPr>
              <w:instrText xml:space="preserve"> PAGEREF _Toc222138671 \h </w:instrText>
            </w:r>
            <w:r>
              <w:rPr>
                <w:noProof/>
                <w:webHidden/>
              </w:rPr>
            </w:r>
            <w:r>
              <w:rPr>
                <w:noProof/>
                <w:webHidden/>
              </w:rPr>
              <w:fldChar w:fldCharType="separate"/>
            </w:r>
            <w:r>
              <w:rPr>
                <w:noProof/>
                <w:webHidden/>
              </w:rPr>
              <w:t>10</w:t>
            </w:r>
            <w:r>
              <w:rPr>
                <w:noProof/>
                <w:webHidden/>
              </w:rPr>
              <w:fldChar w:fldCharType="end"/>
            </w:r>
          </w:hyperlink>
        </w:p>
        <w:p w14:paraId="4F8E2045" w14:textId="3B4B628E" w:rsidR="00D92828" w:rsidRDefault="00D92828">
          <w:pPr>
            <w:pStyle w:val="TOC1"/>
            <w:tabs>
              <w:tab w:val="left" w:pos="480"/>
              <w:tab w:val="right" w:leader="dot" w:pos="9016"/>
            </w:tabs>
            <w:rPr>
              <w:rFonts w:asciiTheme="minorHAnsi" w:hAnsiTheme="minorHAnsi"/>
              <w:noProof/>
              <w:kern w:val="2"/>
              <w:szCs w:val="30"/>
              <w:lang w:bidi="bn-IN"/>
              <w14:ligatures w14:val="standardContextual"/>
            </w:rPr>
          </w:pPr>
          <w:hyperlink w:anchor="_Toc222138672" w:history="1">
            <w:r w:rsidRPr="006B3D9B">
              <w:rPr>
                <w:rStyle w:val="Hyperlink"/>
                <w:noProof/>
              </w:rPr>
              <w:t>8</w:t>
            </w:r>
            <w:r>
              <w:rPr>
                <w:rFonts w:asciiTheme="minorHAnsi" w:hAnsiTheme="minorHAnsi"/>
                <w:noProof/>
                <w:kern w:val="2"/>
                <w:szCs w:val="30"/>
                <w:lang w:bidi="bn-IN"/>
                <w14:ligatures w14:val="standardContextual"/>
              </w:rPr>
              <w:tab/>
            </w:r>
            <w:r w:rsidRPr="006B3D9B">
              <w:rPr>
                <w:rStyle w:val="Hyperlink"/>
                <w:noProof/>
              </w:rPr>
              <w:t>References</w:t>
            </w:r>
            <w:r>
              <w:rPr>
                <w:noProof/>
                <w:webHidden/>
              </w:rPr>
              <w:tab/>
            </w:r>
            <w:r>
              <w:rPr>
                <w:noProof/>
                <w:webHidden/>
              </w:rPr>
              <w:fldChar w:fldCharType="begin"/>
            </w:r>
            <w:r>
              <w:rPr>
                <w:noProof/>
                <w:webHidden/>
              </w:rPr>
              <w:instrText xml:space="preserve"> PAGEREF _Toc222138672 \h </w:instrText>
            </w:r>
            <w:r>
              <w:rPr>
                <w:noProof/>
                <w:webHidden/>
              </w:rPr>
            </w:r>
            <w:r>
              <w:rPr>
                <w:noProof/>
                <w:webHidden/>
              </w:rPr>
              <w:fldChar w:fldCharType="separate"/>
            </w:r>
            <w:r>
              <w:rPr>
                <w:noProof/>
                <w:webHidden/>
              </w:rPr>
              <w:t>11</w:t>
            </w:r>
            <w:r>
              <w:rPr>
                <w:noProof/>
                <w:webHidden/>
              </w:rPr>
              <w:fldChar w:fldCharType="end"/>
            </w:r>
          </w:hyperlink>
        </w:p>
        <w:p w14:paraId="70FADF68" w14:textId="1A78D601" w:rsidR="00A91E93" w:rsidRDefault="00A91E93">
          <w:r>
            <w:rPr>
              <w:b/>
              <w:bCs/>
              <w:noProof/>
            </w:rPr>
            <w:fldChar w:fldCharType="end"/>
          </w:r>
        </w:p>
      </w:sdtContent>
    </w:sdt>
    <w:p w14:paraId="11B5DC13" w14:textId="540561FD" w:rsidR="00A91E93" w:rsidRDefault="00A91E93">
      <w:pPr>
        <w:spacing w:before="0" w:after="160" w:line="259" w:lineRule="auto"/>
        <w:jc w:val="left"/>
        <w:rPr>
          <w:rFonts w:eastAsiaTheme="majorEastAsia" w:cstheme="majorBidi"/>
          <w:b/>
          <w:bCs/>
          <w:smallCaps/>
          <w:color w:val="000000" w:themeColor="text1"/>
          <w:sz w:val="32"/>
          <w:szCs w:val="36"/>
        </w:rPr>
      </w:pPr>
      <w:r>
        <w:br w:type="page"/>
      </w:r>
    </w:p>
    <w:p w14:paraId="682C9CA6" w14:textId="77777777" w:rsidR="009D5DB6" w:rsidRPr="009D5DB6" w:rsidRDefault="00307458" w:rsidP="00B57CC5">
      <w:pPr>
        <w:pStyle w:val="Heading1"/>
        <w:rPr>
          <w:rFonts w:ascii="Times New Roman" w:hAnsi="Times New Roman" w:cs="Times New Roman"/>
          <w:szCs w:val="28"/>
        </w:rPr>
      </w:pPr>
      <w:r>
        <w:lastRenderedPageBreak/>
        <w:t xml:space="preserve"> </w:t>
      </w:r>
      <w:bookmarkStart w:id="0" w:name="_Toc222138658"/>
      <w:r w:rsidRPr="00307458">
        <w:t>Introduction</w:t>
      </w:r>
      <w:bookmarkEnd w:id="0"/>
    </w:p>
    <w:p w14:paraId="3D52DFC8" w14:textId="77777777" w:rsidR="009D5DB6" w:rsidRPr="009D5DB6" w:rsidRDefault="009D5DB6" w:rsidP="00B57CC5">
      <w:pPr>
        <w:pStyle w:val="Heading2"/>
        <w:rPr>
          <w:rFonts w:ascii="Times New Roman" w:hAnsi="Times New Roman" w:cs="Times New Roman"/>
        </w:rPr>
      </w:pPr>
      <w:bookmarkStart w:id="1" w:name="_Toc222138659"/>
      <w:r>
        <w:t>Research Background and Problem Statement</w:t>
      </w:r>
      <w:bookmarkEnd w:id="1"/>
    </w:p>
    <w:p w14:paraId="1779C606" w14:textId="6F77C033" w:rsidR="001E5B0B" w:rsidRDefault="001E5B0B" w:rsidP="001E5B0B">
      <w:r>
        <w:t xml:space="preserve">Fashion and textile industry is commonly known as one of the most resource consuming and destructive global industries. The production of garments has never been so high in a year, creating a lot of water consumption, greenhouse gases, and microplastic pollution, and creating enormous amounts of textile waste throughout the lifecycle (Gazzola </w:t>
      </w:r>
      <w:r w:rsidR="00D92828" w:rsidRPr="00D92828">
        <w:rPr>
          <w:i/>
          <w:iCs/>
        </w:rPr>
        <w:t>et al</w:t>
      </w:r>
      <w:r>
        <w:t xml:space="preserve">., 2020). A large percentage of this waste is generated at the post-consumption level, but the collection, reuse, and recycling rates are critically low, and most discarded textiles are carried to the landfill or incinerator, which worsens carbon emissions and material waste (Gupta </w:t>
      </w:r>
      <w:r w:rsidR="00D92828" w:rsidRPr="00D92828">
        <w:rPr>
          <w:i/>
          <w:iCs/>
        </w:rPr>
        <w:t>et al</w:t>
      </w:r>
      <w:r>
        <w:t xml:space="preserve">., 2022; </w:t>
      </w:r>
      <w:proofErr w:type="spellStart"/>
      <w:r>
        <w:t>Shamsuzzaman</w:t>
      </w:r>
      <w:proofErr w:type="spellEnd"/>
      <w:r>
        <w:t xml:space="preserve"> </w:t>
      </w:r>
      <w:r w:rsidR="00D92828" w:rsidRPr="00D92828">
        <w:rPr>
          <w:i/>
          <w:iCs/>
        </w:rPr>
        <w:t>et al</w:t>
      </w:r>
      <w:r>
        <w:t xml:space="preserve">., 2023). These trends represent the prevalence of a linear economic framework that was marked by the take–make-Dispose </w:t>
      </w:r>
      <w:proofErr w:type="spellStart"/>
      <w:r>
        <w:t>practises</w:t>
      </w:r>
      <w:proofErr w:type="spellEnd"/>
      <w:r>
        <w:t>.</w:t>
      </w:r>
    </w:p>
    <w:p w14:paraId="315E6C04" w14:textId="53AD8621" w:rsidR="004272B2" w:rsidRDefault="004272B2" w:rsidP="004272B2">
      <w:pPr>
        <w:jc w:val="center"/>
      </w:pPr>
      <w:r>
        <w:rPr>
          <w:noProof/>
        </w:rPr>
        <w:drawing>
          <wp:inline distT="0" distB="0" distL="0" distR="0" wp14:anchorId="6431B582" wp14:editId="1C288928">
            <wp:extent cx="5043648" cy="3166110"/>
            <wp:effectExtent l="0" t="0" r="5080" b="0"/>
            <wp:docPr id="124972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46957" cy="3168187"/>
                    </a:xfrm>
                    <a:prstGeom prst="rect">
                      <a:avLst/>
                    </a:prstGeom>
                    <a:noFill/>
                    <a:ln>
                      <a:noFill/>
                    </a:ln>
                  </pic:spPr>
                </pic:pic>
              </a:graphicData>
            </a:graphic>
          </wp:inline>
        </w:drawing>
      </w:r>
    </w:p>
    <w:p w14:paraId="5CF510DF" w14:textId="39C4DE8A" w:rsidR="004272B2" w:rsidRDefault="004272B2" w:rsidP="004272B2">
      <w:pPr>
        <w:jc w:val="center"/>
      </w:pPr>
      <w:r>
        <w:t xml:space="preserve">Figure 1: </w:t>
      </w:r>
      <w:r w:rsidRPr="004272B2">
        <w:t xml:space="preserve">Categories of </w:t>
      </w:r>
      <w:r>
        <w:t>T</w:t>
      </w:r>
      <w:r w:rsidRPr="004272B2">
        <w:t xml:space="preserve">extile </w:t>
      </w:r>
      <w:r>
        <w:t>W</w:t>
      </w:r>
      <w:r w:rsidRPr="004272B2">
        <w:t>aste</w:t>
      </w:r>
      <w:r w:rsidRPr="004272B2">
        <w:t xml:space="preserve"> </w:t>
      </w:r>
      <w:r>
        <w:t>(</w:t>
      </w:r>
      <w:proofErr w:type="spellStart"/>
      <w:r w:rsidRPr="004272B2">
        <w:t>Shamsuzzaman</w:t>
      </w:r>
      <w:proofErr w:type="spellEnd"/>
      <w:r>
        <w:t xml:space="preserve"> </w:t>
      </w:r>
      <w:r w:rsidRPr="004272B2">
        <w:rPr>
          <w:i/>
          <w:iCs/>
        </w:rPr>
        <w:t>et al.</w:t>
      </w:r>
      <w:r w:rsidRPr="004272B2">
        <w:rPr>
          <w:i/>
          <w:iCs/>
        </w:rPr>
        <w:t>,</w:t>
      </w:r>
      <w:r>
        <w:t xml:space="preserve"> </w:t>
      </w:r>
      <w:r w:rsidRPr="004272B2">
        <w:t>2025)</w:t>
      </w:r>
    </w:p>
    <w:p w14:paraId="35AE82DC" w14:textId="1CCBCFAF" w:rsidR="001E5B0B" w:rsidRDefault="001E5B0B" w:rsidP="001E5B0B">
      <w:r>
        <w:t xml:space="preserve">The fashion industry has started to implement sustainability measures to address the growing environmental pressure, such as recycling processes, reuse policies, zero-waste design, and greater transparency in the supply chain (Kim </w:t>
      </w:r>
      <w:r w:rsidR="00D92828" w:rsidRPr="00D92828">
        <w:rPr>
          <w:i/>
          <w:iCs/>
        </w:rPr>
        <w:t>et al</w:t>
      </w:r>
      <w:r>
        <w:t xml:space="preserve">., 2021; Li </w:t>
      </w:r>
      <w:r w:rsidR="00D92828" w:rsidRPr="00D92828">
        <w:rPr>
          <w:i/>
          <w:iCs/>
        </w:rPr>
        <w:t>et al</w:t>
      </w:r>
      <w:r>
        <w:t xml:space="preserve">., 2021). The concept of the circular economy has been advocated as a way of reinventing the idea of waste as a resource, where the materials can be used back into the production system via reverse logistics and longer lifespan of products (Islam </w:t>
      </w:r>
      <w:r w:rsidR="00D92828" w:rsidRPr="00D92828">
        <w:rPr>
          <w:i/>
          <w:iCs/>
        </w:rPr>
        <w:lastRenderedPageBreak/>
        <w:t>et al</w:t>
      </w:r>
      <w:r>
        <w:t xml:space="preserve">., 2025). Nevertheless, the adoption of circular waste management is uneven and disjointed throughout the value chain, and in many cases is limited by regulatory, technological, and infrastructural barriers (Hugo </w:t>
      </w:r>
      <w:r w:rsidR="00D92828" w:rsidRPr="00D92828">
        <w:rPr>
          <w:i/>
          <w:iCs/>
        </w:rPr>
        <w:t>et al</w:t>
      </w:r>
      <w:r>
        <w:t>., 2021).</w:t>
      </w:r>
    </w:p>
    <w:p w14:paraId="02DF11FC" w14:textId="42324C0F" w:rsidR="001E5B0B" w:rsidRDefault="001E5B0B" w:rsidP="001E5B0B">
      <w:r>
        <w:t xml:space="preserve">In addition, other new sectors, including technical textile, composite materials, and smart clothing offer further challenges to circularity because of their complex material structures and a lack of end-of-life solutions (Pakdel </w:t>
      </w:r>
      <w:r w:rsidR="00D92828" w:rsidRPr="00D92828">
        <w:rPr>
          <w:i/>
          <w:iCs/>
        </w:rPr>
        <w:t>et al</w:t>
      </w:r>
      <w:r>
        <w:t xml:space="preserve">., 2021; Younes, 2023). Current circular economy studies are mostly centred on the traditional recycling of fabrics, and little attention is paid to sophisticated materials and functional fabrics, although their role in the market is increasingly important </w:t>
      </w:r>
      <w:r w:rsidR="00374946" w:rsidRPr="00374946">
        <w:t>(</w:t>
      </w:r>
      <w:proofErr w:type="spellStart"/>
      <w:r w:rsidR="00374946" w:rsidRPr="00374946">
        <w:t>Shamsuzzaman</w:t>
      </w:r>
      <w:proofErr w:type="spellEnd"/>
      <w:r w:rsidR="00374946" w:rsidRPr="00374946">
        <w:t xml:space="preserve"> </w:t>
      </w:r>
      <w:r w:rsidR="00D92828" w:rsidRPr="00D92828">
        <w:rPr>
          <w:i/>
          <w:iCs/>
        </w:rPr>
        <w:t>et al</w:t>
      </w:r>
      <w:r w:rsidR="00374946" w:rsidRPr="00374946">
        <w:rPr>
          <w:i/>
          <w:iCs/>
        </w:rPr>
        <w:t>.</w:t>
      </w:r>
      <w:r w:rsidR="00374946" w:rsidRPr="00374946">
        <w:t>, 2025)</w:t>
      </w:r>
      <w:r>
        <w:t xml:space="preserve">. As a result, consolidated knowledge of the role of waste management </w:t>
      </w:r>
      <w:proofErr w:type="spellStart"/>
      <w:r>
        <w:t>practises</w:t>
      </w:r>
      <w:proofErr w:type="spellEnd"/>
      <w:r>
        <w:t xml:space="preserve"> to facilitate the transition of linear to circular models in different branches of the fashion and textiles industry is lacking.</w:t>
      </w:r>
    </w:p>
    <w:p w14:paraId="3719FF03" w14:textId="42C19EC7" w:rsidR="00307458" w:rsidRPr="009D5DB6" w:rsidRDefault="001E5B0B" w:rsidP="001E5B0B">
      <w:r>
        <w:t xml:space="preserve">This gap explains the necessity of systematic review embracing a critical synthesis of existing literature on waste management in a circular economy context. Such a review can provide an improvement in the development of theoretical knowledge and inform more effective circular strategies in the fashion and textiles sector by identifying the prevailing </w:t>
      </w:r>
      <w:proofErr w:type="spellStart"/>
      <w:r>
        <w:t>practises</w:t>
      </w:r>
      <w:proofErr w:type="spellEnd"/>
      <w:r>
        <w:t>, challenges, and research gaps.</w:t>
      </w:r>
    </w:p>
    <w:p w14:paraId="0006E863" w14:textId="77777777" w:rsidR="00307458" w:rsidRDefault="00307458" w:rsidP="00307458">
      <w:pPr>
        <w:pStyle w:val="Heading2"/>
      </w:pPr>
      <w:bookmarkStart w:id="2" w:name="_Toc222138660"/>
      <w:r w:rsidRPr="00307458">
        <w:t>Research Aim</w:t>
      </w:r>
      <w:bookmarkEnd w:id="2"/>
    </w:p>
    <w:p w14:paraId="0D2FE63F" w14:textId="28CED635" w:rsidR="001E5B0B" w:rsidRPr="00307458" w:rsidRDefault="00307458" w:rsidP="00307458">
      <w:pPr>
        <w:rPr>
          <w:lang w:bidi="bn-IN"/>
        </w:rPr>
      </w:pPr>
      <w:r w:rsidRPr="00307458">
        <w:rPr>
          <w:lang w:bidi="bn-IN"/>
        </w:rPr>
        <w:t>T</w:t>
      </w:r>
      <w:r>
        <w:rPr>
          <w:lang w:bidi="bn-IN"/>
        </w:rPr>
        <w:t>his study aims t</w:t>
      </w:r>
      <w:r w:rsidRPr="00307458">
        <w:rPr>
          <w:lang w:bidi="bn-IN"/>
        </w:rPr>
        <w:t xml:space="preserve">o examine </w:t>
      </w:r>
      <w:r w:rsidR="001E5B0B" w:rsidRPr="001E5B0B">
        <w:rPr>
          <w:lang w:bidi="bn-IN"/>
        </w:rPr>
        <w:t xml:space="preserve">the manner in which the fashion and textiles sector is shifting towards linear to circular models via waste management </w:t>
      </w:r>
      <w:proofErr w:type="spellStart"/>
      <w:r w:rsidR="001E5B0B" w:rsidRPr="001E5B0B">
        <w:rPr>
          <w:lang w:bidi="bn-IN"/>
        </w:rPr>
        <w:t>practises</w:t>
      </w:r>
      <w:proofErr w:type="spellEnd"/>
      <w:r w:rsidR="001E5B0B" w:rsidRPr="001E5B0B">
        <w:rPr>
          <w:lang w:bidi="bn-IN"/>
        </w:rPr>
        <w:t xml:space="preserve"> with a specific focus on the motivations, opportunities, challenges, and barriers that affect the ability to apply circular economy principles to the value chain.</w:t>
      </w:r>
    </w:p>
    <w:p w14:paraId="5CC64D67" w14:textId="77777777" w:rsidR="00307458" w:rsidRDefault="00307458" w:rsidP="00307458">
      <w:pPr>
        <w:pStyle w:val="Heading2"/>
      </w:pPr>
      <w:bookmarkStart w:id="3" w:name="_Toc222138661"/>
      <w:r w:rsidRPr="00307458">
        <w:t>Research Objectives</w:t>
      </w:r>
      <w:bookmarkEnd w:id="3"/>
    </w:p>
    <w:p w14:paraId="35C33A0F" w14:textId="49E01964" w:rsidR="00307458" w:rsidRPr="00307458" w:rsidRDefault="00307458" w:rsidP="00307458">
      <w:pPr>
        <w:pStyle w:val="ListParagraph"/>
        <w:numPr>
          <w:ilvl w:val="0"/>
          <w:numId w:val="14"/>
        </w:numPr>
        <w:rPr>
          <w:lang w:bidi="bn-IN"/>
        </w:rPr>
      </w:pPr>
      <w:r w:rsidRPr="00307458">
        <w:rPr>
          <w:lang w:bidi="bn-IN"/>
        </w:rPr>
        <w:t>To identify the key contextual factors, including drivers, opportunities, and barriers, influencing the adoption of circular economy–based waste management practices in the fashion and textiles industry.</w:t>
      </w:r>
    </w:p>
    <w:p w14:paraId="1D97290B" w14:textId="0C3730BC" w:rsidR="00307458" w:rsidRPr="00307458" w:rsidRDefault="00307458" w:rsidP="00307458">
      <w:pPr>
        <w:pStyle w:val="ListParagraph"/>
        <w:numPr>
          <w:ilvl w:val="0"/>
          <w:numId w:val="14"/>
        </w:numPr>
        <w:rPr>
          <w:lang w:bidi="bn-IN"/>
        </w:rPr>
      </w:pPr>
      <w:r w:rsidRPr="00307458">
        <w:rPr>
          <w:lang w:bidi="bn-IN"/>
        </w:rPr>
        <w:t>To examine the principal challenges associated with waste management and the implementation of circular economy principles within fashion manufacturing.</w:t>
      </w:r>
    </w:p>
    <w:p w14:paraId="1FE84CE5" w14:textId="1B06E68E" w:rsidR="00307458" w:rsidRPr="00307458" w:rsidRDefault="00307458" w:rsidP="00307458">
      <w:pPr>
        <w:pStyle w:val="ListParagraph"/>
        <w:numPr>
          <w:ilvl w:val="0"/>
          <w:numId w:val="14"/>
        </w:numPr>
        <w:rPr>
          <w:lang w:bidi="bn-IN"/>
        </w:rPr>
      </w:pPr>
      <w:r w:rsidRPr="00307458">
        <w:rPr>
          <w:lang w:bidi="bn-IN"/>
        </w:rPr>
        <w:t>To analyse how waste management practices support the transition from linear to circular models across the fashion and textiles value chain.</w:t>
      </w:r>
    </w:p>
    <w:p w14:paraId="1E649946" w14:textId="0837B924" w:rsidR="00307458" w:rsidRPr="00307458" w:rsidRDefault="00307458" w:rsidP="00307458">
      <w:pPr>
        <w:pStyle w:val="Heading2"/>
      </w:pPr>
      <w:bookmarkStart w:id="4" w:name="_Toc222138662"/>
      <w:r w:rsidRPr="00307458">
        <w:lastRenderedPageBreak/>
        <w:t>Research Questions</w:t>
      </w:r>
      <w:bookmarkEnd w:id="4"/>
    </w:p>
    <w:p w14:paraId="0307D688" w14:textId="77777777" w:rsidR="00307458" w:rsidRPr="00960723" w:rsidRDefault="00307458" w:rsidP="00307458">
      <w:pPr>
        <w:pStyle w:val="ListParagraph"/>
        <w:numPr>
          <w:ilvl w:val="0"/>
          <w:numId w:val="16"/>
        </w:numPr>
      </w:pPr>
      <w:r w:rsidRPr="00960723">
        <w:t>What contextual factors, including barriers, opportunities, and drivers, influence the adoption of circular economy–based fashion waste practices?</w:t>
      </w:r>
    </w:p>
    <w:p w14:paraId="5EBDDDAC" w14:textId="77777777" w:rsidR="00307458" w:rsidRDefault="00307458" w:rsidP="00307458">
      <w:pPr>
        <w:pStyle w:val="ListParagraph"/>
        <w:numPr>
          <w:ilvl w:val="0"/>
          <w:numId w:val="16"/>
        </w:numPr>
      </w:pPr>
      <w:r w:rsidRPr="00960723">
        <w:t>What are the key challenges associated with waste management and the implementation of circular economy principles in fashion manufacturing?</w:t>
      </w:r>
    </w:p>
    <w:p w14:paraId="7CE2C5F0" w14:textId="3709EA61" w:rsidR="00307458" w:rsidRPr="004272B2" w:rsidRDefault="00307458" w:rsidP="004272B2">
      <w:pPr>
        <w:pStyle w:val="ListParagraph"/>
        <w:numPr>
          <w:ilvl w:val="0"/>
          <w:numId w:val="16"/>
        </w:numPr>
        <w:rPr>
          <w:rFonts w:eastAsia="Times New Roman"/>
          <w:szCs w:val="24"/>
          <w:lang w:bidi="bn-IN"/>
        </w:rPr>
      </w:pPr>
      <w:r w:rsidRPr="00307458">
        <w:rPr>
          <w:rFonts w:eastAsia="Times New Roman"/>
          <w:szCs w:val="24"/>
          <w:lang w:bidi="bn-IN"/>
        </w:rPr>
        <w:t>How is the fashion and textiles industry transitioning from linear to circular models through waste management practices across the value chain?</w:t>
      </w:r>
    </w:p>
    <w:p w14:paraId="1458D1BF" w14:textId="77777777" w:rsidR="00307458" w:rsidRDefault="00307458" w:rsidP="00307458">
      <w:pPr>
        <w:pStyle w:val="Heading1"/>
      </w:pPr>
      <w:bookmarkStart w:id="5" w:name="_Toc222138663"/>
      <w:r w:rsidRPr="00307458">
        <w:t>Literature Review</w:t>
      </w:r>
      <w:bookmarkEnd w:id="5"/>
    </w:p>
    <w:p w14:paraId="58129DE9" w14:textId="77777777" w:rsidR="00223920" w:rsidRPr="00223920" w:rsidRDefault="00223920" w:rsidP="00223920">
      <w:pPr>
        <w:pStyle w:val="Heading2"/>
      </w:pPr>
      <w:bookmarkStart w:id="6" w:name="_Toc222138664"/>
      <w:r w:rsidRPr="00223920">
        <w:t>Theoretical Framework: Circular Economy Framework</w:t>
      </w:r>
      <w:bookmarkEnd w:id="6"/>
    </w:p>
    <w:p w14:paraId="1EFF7F37" w14:textId="7B2BDD57" w:rsidR="000A5F40" w:rsidRPr="000A5F40" w:rsidRDefault="001E5B0B" w:rsidP="000A5F40">
      <w:r w:rsidRPr="001E5B0B">
        <w:t xml:space="preserve">The circular economy (CE) framework serves as the main theoretical framework of the given study and as an alternative to the conventional linear take–make–Dispose model by focusing on efficiency of resources, </w:t>
      </w:r>
      <w:proofErr w:type="spellStart"/>
      <w:r w:rsidRPr="001E5B0B">
        <w:t>minimisation</w:t>
      </w:r>
      <w:proofErr w:type="spellEnd"/>
      <w:r w:rsidRPr="001E5B0B">
        <w:t xml:space="preserve"> of waste, and retention of value throughout the product life cycles </w:t>
      </w:r>
      <w:r w:rsidR="00374946" w:rsidRPr="00374946">
        <w:t>(Abu-Bakar and Charnley, 2024)</w:t>
      </w:r>
      <w:r w:rsidRPr="001E5B0B">
        <w:t xml:space="preserve">. In the fashion/textile sector, CE supports design towards durability, reuse, repair, recycling and reverse logistics, thus re-defining waste as a resource instead of final destination </w:t>
      </w:r>
      <w:r w:rsidR="00374946" w:rsidRPr="00374946">
        <w:t>(</w:t>
      </w:r>
      <w:proofErr w:type="spellStart"/>
      <w:r w:rsidR="00374946" w:rsidRPr="00374946">
        <w:t>Burini</w:t>
      </w:r>
      <w:proofErr w:type="spellEnd"/>
      <w:r w:rsidR="00374946" w:rsidRPr="00374946">
        <w:t xml:space="preserve"> </w:t>
      </w:r>
      <w:r w:rsidR="00D92828" w:rsidRPr="00D92828">
        <w:rPr>
          <w:i/>
          <w:iCs/>
        </w:rPr>
        <w:t>et al</w:t>
      </w:r>
      <w:r w:rsidR="00374946" w:rsidRPr="00374946">
        <w:rPr>
          <w:i/>
          <w:iCs/>
        </w:rPr>
        <w:t>.</w:t>
      </w:r>
      <w:r w:rsidR="00374946" w:rsidRPr="00374946">
        <w:t>, 2025)</w:t>
      </w:r>
      <w:r w:rsidRPr="001E5B0B">
        <w:t xml:space="preserve">. This model is especially applicable considering that the sector has high throughput of materials, short product life, and high wastes. CE approach is rather consistent with the United Nations Sustainable Development Goals, especially SDG 12 (Responsible Consumption and Production) through better waste management and resource efficiency, SDG 13 (Climate Action) by lowering the emissions, and SDG 8 (Decent Work and Economic Growth) by enhancing recycling and remanufacturing sectors (United Nations, </w:t>
      </w:r>
      <w:r w:rsidR="00D92828">
        <w:t>2025</w:t>
      </w:r>
      <w:r w:rsidRPr="001E5B0B">
        <w:t xml:space="preserve">). The implementation of the CE framework makes it possible to conduct systematic assessment of the contribution of waste management </w:t>
      </w:r>
      <w:proofErr w:type="spellStart"/>
      <w:r w:rsidRPr="001E5B0B">
        <w:t>practises</w:t>
      </w:r>
      <w:proofErr w:type="spellEnd"/>
      <w:r w:rsidRPr="001E5B0B">
        <w:t xml:space="preserve"> to the shift towards more sustainable fashion systems.</w:t>
      </w:r>
    </w:p>
    <w:p w14:paraId="2F9357F1" w14:textId="7EDBFD14" w:rsidR="000A5F40" w:rsidRPr="000A5F40" w:rsidRDefault="000A5F40" w:rsidP="000A5F40">
      <w:pPr>
        <w:pStyle w:val="Heading2"/>
      </w:pPr>
      <w:bookmarkStart w:id="7" w:name="_Toc222138665"/>
      <w:r w:rsidRPr="000A5F40">
        <w:t>Key Findings from Existing Empirical Research</w:t>
      </w:r>
      <w:bookmarkEnd w:id="7"/>
    </w:p>
    <w:p w14:paraId="555752B8" w14:textId="5B61691C" w:rsidR="001E5B0B" w:rsidRDefault="001E5B0B" w:rsidP="001E5B0B">
      <w:r>
        <w:t xml:space="preserve">Empirical studies always describe fashion and textiles as working in a linear system, with quick production cycles and short life of the garment resulting in a large amount of waste and a significant environmental footprint (Gazzola </w:t>
      </w:r>
      <w:r w:rsidR="00D92828" w:rsidRPr="00D92828">
        <w:rPr>
          <w:i/>
          <w:iCs/>
        </w:rPr>
        <w:t>et al</w:t>
      </w:r>
      <w:r>
        <w:t xml:space="preserve">., 2020). It has been shown that the proportion of post-consumption stages is a significant portion of discarded textiles, but there is still a lack of development on the collection and recovery paths, and most disposal methods are based on landfill or burning rather than on reuse </w:t>
      </w:r>
      <w:r>
        <w:lastRenderedPageBreak/>
        <w:t xml:space="preserve">and recycling (Gupta </w:t>
      </w:r>
      <w:r w:rsidR="00D92828" w:rsidRPr="00D92828">
        <w:rPr>
          <w:i/>
          <w:iCs/>
        </w:rPr>
        <w:t>et al</w:t>
      </w:r>
      <w:r>
        <w:t xml:space="preserve">., 2022). Respectively, research notes the increasing focus on circular economy (CE) policies aimed at increasing the lifetimes of products, decreasing the use of virgin resources, and rebranding waste as a valuable resource via redesign, reuse, and recycling (Semba </w:t>
      </w:r>
      <w:r w:rsidR="00D92828" w:rsidRPr="00D92828">
        <w:rPr>
          <w:i/>
          <w:iCs/>
        </w:rPr>
        <w:t>et al</w:t>
      </w:r>
      <w:r>
        <w:t>., 2020).</w:t>
      </w:r>
    </w:p>
    <w:p w14:paraId="120D3EC7" w14:textId="76B51CB8" w:rsidR="001E5B0B" w:rsidRDefault="001E5B0B" w:rsidP="001E5B0B">
      <w:r>
        <w:t xml:space="preserve">At the design and production level, it has been shown that the concept of circularity is actively pursued in upcycling, zero-waste design, and life cycle assessment (LCA) applications that define the areas of improvement and focus more on preventing waste instead of end-of-pipe solutions (Semba </w:t>
      </w:r>
      <w:r w:rsidR="00D92828" w:rsidRPr="00D92828">
        <w:rPr>
          <w:i/>
          <w:iCs/>
        </w:rPr>
        <w:t>et al</w:t>
      </w:r>
      <w:r>
        <w:t xml:space="preserve">., 2020). In manufacturing-based case studies, especially those related to denim, the energy consumption, emissions, and chemical control are found to be primary sources of environmental effects, and that poor treatment </w:t>
      </w:r>
      <w:proofErr w:type="spellStart"/>
      <w:r>
        <w:t>practises</w:t>
      </w:r>
      <w:proofErr w:type="spellEnd"/>
      <w:r>
        <w:t xml:space="preserve"> may exacerbate the environmental pollution effects (</w:t>
      </w:r>
      <w:proofErr w:type="spellStart"/>
      <w:r>
        <w:t>Shamsuzzaman</w:t>
      </w:r>
      <w:proofErr w:type="spellEnd"/>
      <w:r>
        <w:t xml:space="preserve"> </w:t>
      </w:r>
      <w:r w:rsidR="00D92828" w:rsidRPr="00D92828">
        <w:rPr>
          <w:i/>
          <w:iCs/>
        </w:rPr>
        <w:t>et al</w:t>
      </w:r>
      <w:r>
        <w:t xml:space="preserve">., 2021; </w:t>
      </w:r>
      <w:proofErr w:type="spellStart"/>
      <w:r>
        <w:t>Shamsuzzaman</w:t>
      </w:r>
      <w:proofErr w:type="spellEnd"/>
      <w:r>
        <w:t xml:space="preserve"> </w:t>
      </w:r>
      <w:r w:rsidR="00D92828" w:rsidRPr="00D92828">
        <w:rPr>
          <w:i/>
          <w:iCs/>
        </w:rPr>
        <w:t>et al</w:t>
      </w:r>
      <w:r>
        <w:t xml:space="preserve">., 2023). Circular transition, together with production reforms, is based on the supply chain research that it requires reverse logistics and coordination between factories, recyclers, brands, and regulators, yet the implementation is limited by poorly developed technical capacity and underdeveloped recycling infrastructure (Li </w:t>
      </w:r>
      <w:r w:rsidR="00D92828" w:rsidRPr="00D92828">
        <w:rPr>
          <w:i/>
          <w:iCs/>
        </w:rPr>
        <w:t>et al</w:t>
      </w:r>
      <w:r>
        <w:t xml:space="preserve">., 2021; Takacs </w:t>
      </w:r>
      <w:r w:rsidR="00D92828" w:rsidRPr="00D92828">
        <w:rPr>
          <w:i/>
          <w:iCs/>
        </w:rPr>
        <w:t>et al</w:t>
      </w:r>
      <w:r>
        <w:t xml:space="preserve">., 2022). New technological enablers have also been explored, such as traceability and system coordination with blockchain, but are not widely adopted when policy support and governance is lacking (Wang </w:t>
      </w:r>
      <w:r w:rsidR="00D92828" w:rsidRPr="00D92828">
        <w:rPr>
          <w:i/>
          <w:iCs/>
        </w:rPr>
        <w:t>et al</w:t>
      </w:r>
      <w:r>
        <w:t>., 2020).</w:t>
      </w:r>
    </w:p>
    <w:p w14:paraId="4957B092" w14:textId="28459CC7" w:rsidR="000A5F40" w:rsidRDefault="001E5B0B" w:rsidP="001E5B0B">
      <w:r>
        <w:t xml:space="preserve">Circular waste management outcomes are recurrently described as entailing consumer behaviour and market conditions. Attitudes, awareness, and socio-economic factors are also correlated with disposal patterns, which implies that circular interventions cannot be effective without demand-side interventions and the availability of reuse and recycling systems (Gu </w:t>
      </w:r>
      <w:r w:rsidR="00D92828" w:rsidRPr="00D92828">
        <w:rPr>
          <w:i/>
          <w:iCs/>
        </w:rPr>
        <w:t>et al</w:t>
      </w:r>
      <w:r>
        <w:t xml:space="preserve">., 2021; Paco </w:t>
      </w:r>
      <w:r w:rsidR="00D92828" w:rsidRPr="00D92828">
        <w:rPr>
          <w:i/>
          <w:iCs/>
        </w:rPr>
        <w:t>et al</w:t>
      </w:r>
      <w:r>
        <w:t xml:space="preserve">., 2021). Lastly, an emerging body of literature indicates that there are more challenging material categories, such as composites and technical textiles, in which end-of-life management is more difficult and the most efficient recycling paths are less clear (Krauklis </w:t>
      </w:r>
      <w:r w:rsidR="00D92828" w:rsidRPr="00D92828">
        <w:rPr>
          <w:i/>
          <w:iCs/>
        </w:rPr>
        <w:t>et al</w:t>
      </w:r>
      <w:r>
        <w:t xml:space="preserve">., 2021; </w:t>
      </w:r>
      <w:proofErr w:type="spellStart"/>
      <w:r>
        <w:t>Wondmagegnehu</w:t>
      </w:r>
      <w:proofErr w:type="spellEnd"/>
      <w:r>
        <w:t xml:space="preserve"> </w:t>
      </w:r>
      <w:r w:rsidR="00D92828" w:rsidRPr="00D92828">
        <w:rPr>
          <w:i/>
          <w:iCs/>
        </w:rPr>
        <w:t>et al</w:t>
      </w:r>
      <w:r>
        <w:t xml:space="preserve">., 2021). The empirical literature, in general, indicates that although the circle </w:t>
      </w:r>
      <w:proofErr w:type="spellStart"/>
      <w:r>
        <w:t>practise</w:t>
      </w:r>
      <w:proofErr w:type="spellEnd"/>
      <w:r>
        <w:t xml:space="preserve"> is growing, it is not evenly distributed across the value chain and is limited by governance, technology, infrastructure, and </w:t>
      </w:r>
      <w:proofErr w:type="spellStart"/>
      <w:r>
        <w:t>behavioural</w:t>
      </w:r>
      <w:proofErr w:type="spellEnd"/>
      <w:r>
        <w:t xml:space="preserve"> aspects.</w:t>
      </w:r>
    </w:p>
    <w:p w14:paraId="15EF4511" w14:textId="6242317F" w:rsidR="000A5F40" w:rsidRDefault="000A5F40" w:rsidP="000A5F40">
      <w:pPr>
        <w:pStyle w:val="Heading2"/>
      </w:pPr>
      <w:bookmarkStart w:id="8" w:name="_Toc222138666"/>
      <w:r>
        <w:lastRenderedPageBreak/>
        <w:t>Research Gap</w:t>
      </w:r>
      <w:bookmarkEnd w:id="8"/>
    </w:p>
    <w:p w14:paraId="30853EFD" w14:textId="77777777" w:rsidR="004272B2" w:rsidRDefault="00D92828" w:rsidP="00D92828">
      <w:pPr>
        <w:rPr>
          <w:lang w:bidi="bn-IN"/>
        </w:rPr>
      </w:pPr>
      <w:r w:rsidRPr="00D92828">
        <w:rPr>
          <w:lang w:bidi="bn-IN"/>
        </w:rPr>
        <w:t>In spite of the increased academic interest in the application of the concept of the circular economy to the fashion and textile sector, there are still notable gaps in the field that warrant a dedicated systematic review.</w:t>
      </w:r>
    </w:p>
    <w:p w14:paraId="6BCE1859" w14:textId="400C4810" w:rsidR="004272B2" w:rsidRPr="004272B2" w:rsidRDefault="004272B2" w:rsidP="004272B2">
      <w:pPr>
        <w:rPr>
          <w:lang w:bidi="bn-IN"/>
        </w:rPr>
      </w:pPr>
      <w:r w:rsidRPr="004272B2">
        <w:rPr>
          <w:lang w:bidi="bn-IN"/>
        </w:rPr>
        <w:drawing>
          <wp:inline distT="0" distB="0" distL="0" distR="0" wp14:anchorId="37204399" wp14:editId="05E77963">
            <wp:extent cx="5731510" cy="2520950"/>
            <wp:effectExtent l="0" t="0" r="2540" b="0"/>
            <wp:docPr id="2093589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34020"/>
                    <a:stretch>
                      <a:fillRect/>
                    </a:stretch>
                  </pic:blipFill>
                  <pic:spPr bwMode="auto">
                    <a:xfrm>
                      <a:off x="0" y="0"/>
                      <a:ext cx="5731510" cy="2520950"/>
                    </a:xfrm>
                    <a:prstGeom prst="rect">
                      <a:avLst/>
                    </a:prstGeom>
                    <a:noFill/>
                    <a:ln>
                      <a:noFill/>
                    </a:ln>
                    <a:extLst>
                      <a:ext uri="{53640926-AAD7-44D8-BBD7-CCE9431645EC}">
                        <a14:shadowObscured xmlns:a14="http://schemas.microsoft.com/office/drawing/2010/main"/>
                      </a:ext>
                    </a:extLst>
                  </pic:spPr>
                </pic:pic>
              </a:graphicData>
            </a:graphic>
          </wp:inline>
        </w:drawing>
      </w:r>
    </w:p>
    <w:p w14:paraId="3E29C559" w14:textId="3FDE3F3A" w:rsidR="004272B2" w:rsidRDefault="004272B2" w:rsidP="004272B2">
      <w:pPr>
        <w:jc w:val="center"/>
        <w:rPr>
          <w:lang w:bidi="bn-IN"/>
        </w:rPr>
      </w:pPr>
      <w:r>
        <w:rPr>
          <w:lang w:bidi="bn-IN"/>
        </w:rPr>
        <w:t>Figure 2: Research Gap and Need for the Systematic Review (Author)</w:t>
      </w:r>
    </w:p>
    <w:p w14:paraId="7B92275A" w14:textId="02CE4495" w:rsidR="000A5F40" w:rsidRPr="00D92828" w:rsidRDefault="00D92828" w:rsidP="00D92828">
      <w:pPr>
        <w:rPr>
          <w:lang w:bidi="bn-IN"/>
        </w:rPr>
      </w:pPr>
      <w:r w:rsidRPr="00D92828">
        <w:rPr>
          <w:lang w:bidi="bn-IN"/>
        </w:rPr>
        <w:t xml:space="preserve">The current literature is more likely to study circular practices separately and provides little integration of the contextual variables that determine adoption, including regulatory conditions, </w:t>
      </w:r>
      <w:proofErr w:type="spellStart"/>
      <w:r w:rsidRPr="00D92828">
        <w:rPr>
          <w:lang w:bidi="bn-IN"/>
        </w:rPr>
        <w:t>organisational</w:t>
      </w:r>
      <w:proofErr w:type="spellEnd"/>
      <w:r w:rsidRPr="00D92828">
        <w:rPr>
          <w:lang w:bidi="bn-IN"/>
        </w:rPr>
        <w:t xml:space="preserve"> resources, market motivations, and socio-economic drivers (Abu-Bakar and Charnley, 2024). Although studies have identified barriers and opportunities related to reverse supply chains and post-consumer waste </w:t>
      </w:r>
      <w:proofErr w:type="spellStart"/>
      <w:r w:rsidRPr="00D92828">
        <w:rPr>
          <w:lang w:bidi="bn-IN"/>
        </w:rPr>
        <w:t>utilisation</w:t>
      </w:r>
      <w:proofErr w:type="spellEnd"/>
      <w:r w:rsidRPr="00D92828">
        <w:rPr>
          <w:lang w:bidi="bn-IN"/>
        </w:rPr>
        <w:t>, the findings are scattered across specific stages of the value chain or limited geographical contexts (</w:t>
      </w:r>
      <w:proofErr w:type="spellStart"/>
      <w:r w:rsidRPr="00D92828">
        <w:rPr>
          <w:lang w:bidi="bn-IN"/>
        </w:rPr>
        <w:t>Burini</w:t>
      </w:r>
      <w:proofErr w:type="spellEnd"/>
      <w:r w:rsidRPr="00D92828">
        <w:rPr>
          <w:lang w:bidi="bn-IN"/>
        </w:rPr>
        <w:t xml:space="preserve"> </w:t>
      </w:r>
      <w:r w:rsidRPr="00D92828">
        <w:rPr>
          <w:i/>
          <w:iCs/>
          <w:lang w:bidi="bn-IN"/>
        </w:rPr>
        <w:t>et al</w:t>
      </w:r>
      <w:r w:rsidRPr="00D92828">
        <w:rPr>
          <w:lang w:bidi="bn-IN"/>
        </w:rPr>
        <w:t xml:space="preserve">., 2025; Islam </w:t>
      </w:r>
      <w:r w:rsidRPr="00D92828">
        <w:rPr>
          <w:i/>
          <w:iCs/>
          <w:lang w:bidi="bn-IN"/>
        </w:rPr>
        <w:t>et al</w:t>
      </w:r>
      <w:r w:rsidRPr="00D92828">
        <w:rPr>
          <w:lang w:bidi="bn-IN"/>
        </w:rPr>
        <w:t xml:space="preserve">., 2025). In addition, waste management challenges, such as technological limitations, policy misalignment, and the uneven application of circular principles in manufacturing, are addressed inconsistently and without comparative synthesis (Manivannan </w:t>
      </w:r>
      <w:r w:rsidRPr="00D92828">
        <w:rPr>
          <w:i/>
          <w:iCs/>
          <w:lang w:bidi="bn-IN"/>
        </w:rPr>
        <w:t>et al</w:t>
      </w:r>
      <w:r w:rsidRPr="00D92828">
        <w:rPr>
          <w:lang w:bidi="bn-IN"/>
        </w:rPr>
        <w:t>., 2025). Despite recent reviews covering fashion waste management in general, they fail to systematically chart the industry’s transition from linear to circular models across the entire value chain (</w:t>
      </w:r>
      <w:proofErr w:type="spellStart"/>
      <w:r w:rsidRPr="00D92828">
        <w:rPr>
          <w:lang w:bidi="bn-IN"/>
        </w:rPr>
        <w:t>Shamsuzzaman</w:t>
      </w:r>
      <w:proofErr w:type="spellEnd"/>
      <w:r w:rsidRPr="00D92828">
        <w:rPr>
          <w:lang w:bidi="bn-IN"/>
        </w:rPr>
        <w:t xml:space="preserve"> </w:t>
      </w:r>
      <w:r w:rsidRPr="00D92828">
        <w:rPr>
          <w:i/>
          <w:iCs/>
          <w:lang w:bidi="bn-IN"/>
        </w:rPr>
        <w:t>et al</w:t>
      </w:r>
      <w:r w:rsidRPr="00D92828">
        <w:rPr>
          <w:lang w:bidi="bn-IN"/>
        </w:rPr>
        <w:t>., 2025). A systematic review is therefore required to consolidate evidence, identify cross-cutting patterns, and clarify effective pathways for circular fashion waste practices.</w:t>
      </w:r>
    </w:p>
    <w:p w14:paraId="0FDBAF56" w14:textId="77777777" w:rsidR="00307458" w:rsidRDefault="00307458" w:rsidP="00307458">
      <w:pPr>
        <w:pStyle w:val="Heading1"/>
      </w:pPr>
      <w:bookmarkStart w:id="9" w:name="_Toc222138667"/>
      <w:r w:rsidRPr="00307458">
        <w:lastRenderedPageBreak/>
        <w:t>Research Methodology</w:t>
      </w:r>
      <w:bookmarkEnd w:id="9"/>
    </w:p>
    <w:p w14:paraId="05FAE006" w14:textId="65571021" w:rsidR="001E5B0B" w:rsidRDefault="001E5B0B" w:rsidP="001E5B0B">
      <w:r>
        <w:t xml:space="preserve">This study is based on a qualitative research design of systematic review to </w:t>
      </w:r>
      <w:proofErr w:type="spellStart"/>
      <w:r>
        <w:t>synthesise</w:t>
      </w:r>
      <w:proofErr w:type="spellEnd"/>
      <w:r>
        <w:t xml:space="preserve"> existing empirical evidence on waste management </w:t>
      </w:r>
      <w:proofErr w:type="spellStart"/>
      <w:r>
        <w:t>practises</w:t>
      </w:r>
      <w:proofErr w:type="spellEnd"/>
      <w:r>
        <w:t xml:space="preserve"> that facilitate the shift between linear and circular models in the fashion and textile sector. Systematic reviews offer a high-quality and transparent approach to </w:t>
      </w:r>
      <w:proofErr w:type="spellStart"/>
      <w:r>
        <w:t>synthesising</w:t>
      </w:r>
      <w:proofErr w:type="spellEnd"/>
      <w:r>
        <w:t xml:space="preserve"> the fragmented evidence, allowing an </w:t>
      </w:r>
      <w:proofErr w:type="spellStart"/>
      <w:r>
        <w:t>organised</w:t>
      </w:r>
      <w:proofErr w:type="spellEnd"/>
      <w:r>
        <w:t xml:space="preserve"> comparison of the studies and enhancing the plausibility of conclusions (Gough, Oliver and Thomas, 2017). This method is especially appropriate because of the multidisciplinary and dynamic nature of circular economy studies.</w:t>
      </w:r>
    </w:p>
    <w:p w14:paraId="0470FE61" w14:textId="77777777" w:rsidR="001E5B0B" w:rsidRDefault="001E5B0B" w:rsidP="001E5B0B">
      <w:r>
        <w:t>The sources of data involve Scopus and Google Scholar as they were chosen because of their wide range of peer-reviewed literature regarding sustainability, fashion, and waste management. It will use a structured search strategy with preset keywords and Boolean operators, e.g., the terms circular economy and fashion and waste management, to conduct systematic searching according to recommendations (</w:t>
      </w:r>
      <w:proofErr w:type="spellStart"/>
      <w:r>
        <w:t>Gusenbauer</w:t>
      </w:r>
      <w:proofErr w:type="spellEnd"/>
      <w:r>
        <w:t xml:space="preserve"> and </w:t>
      </w:r>
      <w:proofErr w:type="spellStart"/>
      <w:r>
        <w:t>Gauster</w:t>
      </w:r>
      <w:proofErr w:type="spellEnd"/>
      <w:r>
        <w:t>, 2024).</w:t>
      </w:r>
    </w:p>
    <w:p w14:paraId="7DDB8B8D" w14:textId="77777777" w:rsidR="001E5B0B" w:rsidRDefault="001E5B0B" w:rsidP="001E5B0B">
      <w:r>
        <w:t xml:space="preserve">The inclusion criteria include empirical studies that have been published in the English language in the period between 2016 and 2025 and that specifically discuss waste management, the concept of the circular economy, or the concept of the circular </w:t>
      </w:r>
      <w:proofErr w:type="spellStart"/>
      <w:r>
        <w:t>practises</w:t>
      </w:r>
      <w:proofErr w:type="spellEnd"/>
      <w:r>
        <w:t xml:space="preserve"> in the fashion and textile industry. To guarantee analytical consistency and methodological </w:t>
      </w:r>
      <w:proofErr w:type="spellStart"/>
      <w:r>
        <w:t>rigour</w:t>
      </w:r>
      <w:proofErr w:type="spellEnd"/>
      <w:r>
        <w:t>, the exclusion criteria eliminate non-empirical articles, such as review articles, conceptual papers, editorials, and opinion pieces.</w:t>
      </w:r>
    </w:p>
    <w:p w14:paraId="6A85A8E4" w14:textId="58A79B38" w:rsidR="001E5B0B" w:rsidRDefault="001E5B0B" w:rsidP="001E5B0B">
      <w:r>
        <w:t xml:space="preserve">Selection of studies will be based on the PRISMA 2020 principles; it will include sequential steps of identification, screening, and inclusion (Page </w:t>
      </w:r>
      <w:r w:rsidR="00D92828" w:rsidRPr="00D92828">
        <w:rPr>
          <w:i/>
          <w:iCs/>
        </w:rPr>
        <w:t>et al</w:t>
      </w:r>
      <w:r>
        <w:t>., 2021). Primary selection will be done on the basis of titles and abstracts, after which full-text evaluation will be done to verify relevancy and eligibility.</w:t>
      </w:r>
    </w:p>
    <w:p w14:paraId="24AD18A8" w14:textId="177FD051" w:rsidR="001E5B0B" w:rsidRDefault="001E5B0B" w:rsidP="001E5B0B">
      <w:r>
        <w:t>Data extraction will entail the process of tabulating authors, year of publication, research methodology, and key findings, which is in line with the best-</w:t>
      </w:r>
      <w:proofErr w:type="spellStart"/>
      <w:r>
        <w:t>practise</w:t>
      </w:r>
      <w:proofErr w:type="spellEnd"/>
      <w:r>
        <w:t xml:space="preserve"> extraction protocols (Afifi, Stryhn and Sánchez, 2023). Findings will be synthesized thematically with the aid of narrative synthesis and quality appraisal based on the CASP checklist to evaluate the methodological strength (Shaheen </w:t>
      </w:r>
      <w:r w:rsidR="00D92828" w:rsidRPr="00D92828">
        <w:rPr>
          <w:i/>
          <w:iCs/>
        </w:rPr>
        <w:t>et al</w:t>
      </w:r>
      <w:r>
        <w:t>., 2023).</w:t>
      </w:r>
    </w:p>
    <w:p w14:paraId="729873B0" w14:textId="1F97B91A" w:rsidR="00223920" w:rsidRPr="004B4314" w:rsidRDefault="001E5B0B" w:rsidP="001E5B0B">
      <w:r>
        <w:t xml:space="preserve">Ethical aspects are not very significant because the study will be based on secondary data only. However, the ethical principles regarding transparency, proper reporting, </w:t>
      </w:r>
      <w:r>
        <w:lastRenderedPageBreak/>
        <w:t>and proper citation will be followed to the letter, according to the rules of institutional and publishing ethics (Suri, 2020; UWTSD, 2022).</w:t>
      </w:r>
    </w:p>
    <w:p w14:paraId="57EA05C9" w14:textId="77777777" w:rsidR="00307458" w:rsidRDefault="00307458" w:rsidP="00307458">
      <w:pPr>
        <w:pStyle w:val="Heading1"/>
      </w:pPr>
      <w:bookmarkStart w:id="10" w:name="_Toc222138668"/>
      <w:r w:rsidRPr="00307458">
        <w:t>Feasibility and Scope of the Study</w:t>
      </w:r>
      <w:bookmarkEnd w:id="10"/>
    </w:p>
    <w:p w14:paraId="680712BF" w14:textId="17E4227C" w:rsidR="004B4314" w:rsidRPr="004B4314" w:rsidRDefault="001E5B0B" w:rsidP="004B4314">
      <w:pPr>
        <w:rPr>
          <w:lang w:bidi="bn-IN"/>
        </w:rPr>
      </w:pPr>
      <w:r w:rsidRPr="001E5B0B">
        <w:rPr>
          <w:lang w:bidi="bn-IN"/>
        </w:rPr>
        <w:t xml:space="preserve">This </w:t>
      </w:r>
      <w:r>
        <w:rPr>
          <w:lang w:bidi="bn-IN"/>
        </w:rPr>
        <w:t>study</w:t>
      </w:r>
      <w:r w:rsidRPr="001E5B0B">
        <w:rPr>
          <w:lang w:bidi="bn-IN"/>
        </w:rPr>
        <w:t xml:space="preserve"> is scoped to </w:t>
      </w:r>
      <w:proofErr w:type="spellStart"/>
      <w:r w:rsidRPr="001E5B0B">
        <w:rPr>
          <w:lang w:bidi="bn-IN"/>
        </w:rPr>
        <w:t>synthesise</w:t>
      </w:r>
      <w:proofErr w:type="spellEnd"/>
      <w:r w:rsidRPr="001E5B0B">
        <w:rPr>
          <w:lang w:bidi="bn-IN"/>
        </w:rPr>
        <w:t xml:space="preserve"> empirical data on waste management processes that </w:t>
      </w:r>
      <w:proofErr w:type="spellStart"/>
      <w:r w:rsidRPr="001E5B0B">
        <w:rPr>
          <w:lang w:bidi="bn-IN"/>
        </w:rPr>
        <w:t>favour</w:t>
      </w:r>
      <w:proofErr w:type="spellEnd"/>
      <w:r w:rsidRPr="001E5B0B">
        <w:rPr>
          <w:lang w:bidi="bn-IN"/>
        </w:rPr>
        <w:t xml:space="preserve"> the shift of linear to circular models throughout the fashion and textiles value chain, including design, manufacturing, consumption, and end-of-life phases. The scope of the available empirical studies that cover recycling technologies, supply chains, policy tools, and consumer behaviour reveals an adequately developed body of knowledge that can be used to facilitate systematic synthesis (Semba </w:t>
      </w:r>
      <w:r w:rsidR="00D92828" w:rsidRPr="00D92828">
        <w:rPr>
          <w:i/>
          <w:iCs/>
          <w:lang w:bidi="bn-IN"/>
        </w:rPr>
        <w:t>et al</w:t>
      </w:r>
      <w:r w:rsidRPr="001E5B0B">
        <w:rPr>
          <w:lang w:bidi="bn-IN"/>
        </w:rPr>
        <w:t xml:space="preserve">., 2020; </w:t>
      </w:r>
      <w:proofErr w:type="spellStart"/>
      <w:r w:rsidRPr="001E5B0B">
        <w:rPr>
          <w:lang w:bidi="bn-IN"/>
        </w:rPr>
        <w:t>Kazancoglu</w:t>
      </w:r>
      <w:proofErr w:type="spellEnd"/>
      <w:r w:rsidRPr="001E5B0B">
        <w:rPr>
          <w:lang w:bidi="bn-IN"/>
        </w:rPr>
        <w:t xml:space="preserve"> </w:t>
      </w:r>
      <w:r w:rsidR="00D92828" w:rsidRPr="00D92828">
        <w:rPr>
          <w:i/>
          <w:iCs/>
          <w:lang w:bidi="bn-IN"/>
        </w:rPr>
        <w:t>et al</w:t>
      </w:r>
      <w:r w:rsidRPr="001E5B0B">
        <w:rPr>
          <w:lang w:bidi="bn-IN"/>
        </w:rPr>
        <w:t xml:space="preserve">., 2020). The feasibility is ensured in </w:t>
      </w:r>
      <w:proofErr w:type="spellStart"/>
      <w:r w:rsidRPr="001E5B0B">
        <w:rPr>
          <w:lang w:bidi="bn-IN"/>
        </w:rPr>
        <w:t>practise</w:t>
      </w:r>
      <w:proofErr w:type="spellEnd"/>
      <w:r w:rsidRPr="001E5B0B">
        <w:rPr>
          <w:lang w:bidi="bn-IN"/>
        </w:rPr>
        <w:t xml:space="preserve"> because the peer-reviewed studies are published in the period between 2016 and 2025, and only secondary data is used, which excludes time and access limitations of primary data collection. The systematic review method also allows effective and clear analysis within the project timeframe and a high level of methodological </w:t>
      </w:r>
      <w:proofErr w:type="spellStart"/>
      <w:r w:rsidRPr="001E5B0B">
        <w:rPr>
          <w:lang w:bidi="bn-IN"/>
        </w:rPr>
        <w:t>rigour</w:t>
      </w:r>
      <w:proofErr w:type="spellEnd"/>
      <w:r w:rsidRPr="001E5B0B">
        <w:rPr>
          <w:lang w:bidi="bn-IN"/>
        </w:rPr>
        <w:t xml:space="preserve"> and adherence to ethics (Takacs </w:t>
      </w:r>
      <w:r w:rsidR="00D92828" w:rsidRPr="00D92828">
        <w:rPr>
          <w:i/>
          <w:iCs/>
          <w:lang w:bidi="bn-IN"/>
        </w:rPr>
        <w:t>et al</w:t>
      </w:r>
      <w:r w:rsidRPr="001E5B0B">
        <w:rPr>
          <w:lang w:bidi="bn-IN"/>
        </w:rPr>
        <w:t xml:space="preserve">., 2022; </w:t>
      </w:r>
      <w:proofErr w:type="spellStart"/>
      <w:r w:rsidRPr="001E5B0B">
        <w:rPr>
          <w:lang w:bidi="bn-IN"/>
        </w:rPr>
        <w:t>Shamsuzzaman</w:t>
      </w:r>
      <w:proofErr w:type="spellEnd"/>
      <w:r w:rsidRPr="001E5B0B">
        <w:rPr>
          <w:lang w:bidi="bn-IN"/>
        </w:rPr>
        <w:t xml:space="preserve"> </w:t>
      </w:r>
      <w:r w:rsidR="00D92828" w:rsidRPr="00D92828">
        <w:rPr>
          <w:i/>
          <w:iCs/>
          <w:lang w:bidi="bn-IN"/>
        </w:rPr>
        <w:t>et al</w:t>
      </w:r>
      <w:r w:rsidRPr="001E5B0B">
        <w:rPr>
          <w:lang w:bidi="bn-IN"/>
        </w:rPr>
        <w:t>., 2023).</w:t>
      </w:r>
    </w:p>
    <w:p w14:paraId="5BCC7B20" w14:textId="77777777" w:rsidR="00307458" w:rsidRPr="00307458" w:rsidRDefault="00307458" w:rsidP="00307458">
      <w:pPr>
        <w:pStyle w:val="Heading1"/>
      </w:pPr>
      <w:bookmarkStart w:id="11" w:name="_Toc222138669"/>
      <w:r w:rsidRPr="00307458">
        <w:t>Expected Contributions of the Study</w:t>
      </w:r>
      <w:bookmarkEnd w:id="11"/>
    </w:p>
    <w:p w14:paraId="63BCA1F2" w14:textId="3A37F1A3" w:rsidR="00307458" w:rsidRPr="004B4314" w:rsidRDefault="001E5B0B" w:rsidP="004B4314">
      <w:pPr>
        <w:rPr>
          <w:lang w:bidi="bn-IN"/>
        </w:rPr>
      </w:pPr>
      <w:r w:rsidRPr="001E5B0B">
        <w:rPr>
          <w:lang w:bidi="bn-IN"/>
        </w:rPr>
        <w:t xml:space="preserve">It is anticipated that this research can contribute to the academic field significantly by </w:t>
      </w:r>
      <w:proofErr w:type="spellStart"/>
      <w:r w:rsidRPr="001E5B0B">
        <w:rPr>
          <w:lang w:bidi="bn-IN"/>
        </w:rPr>
        <w:t>synthesising</w:t>
      </w:r>
      <w:proofErr w:type="spellEnd"/>
      <w:r w:rsidRPr="001E5B0B">
        <w:rPr>
          <w:lang w:bidi="bn-IN"/>
        </w:rPr>
        <w:t xml:space="preserve"> dispersed empirical data on waste management in the context of a circular economy in the fashion and textile sector, thus explaining how contextual drivers, obstacles, and operational difficulties influence the shift to a linear to a model that is more circular. The synthesis of results at various levels of the value chain will contribute to the theoretical knowledge on the implementation of the circular economy in multifaceted material-intensive industries. Practically and policy wise, the results would be expected to guide industry stakeholders, policymakers and sustainability practitioners by defining effective waste management </w:t>
      </w:r>
      <w:proofErr w:type="spellStart"/>
      <w:r w:rsidRPr="001E5B0B">
        <w:rPr>
          <w:lang w:bidi="bn-IN"/>
        </w:rPr>
        <w:t>practises</w:t>
      </w:r>
      <w:proofErr w:type="spellEnd"/>
      <w:r w:rsidRPr="001E5B0B">
        <w:rPr>
          <w:lang w:bidi="bn-IN"/>
        </w:rPr>
        <w:t>, important capability gaps and governance mechanisms needed to facilitate circular transition. The research can also contribute to the evidence-based development of policies by identifying the areas where regulatory policies, technological investment, and collaboration between stakeholders can increase the outcomes of the circle.</w:t>
      </w:r>
    </w:p>
    <w:p w14:paraId="788001AF" w14:textId="4C3B9D5A" w:rsidR="00307458" w:rsidRDefault="00307458" w:rsidP="00307458">
      <w:pPr>
        <w:pStyle w:val="Heading1"/>
      </w:pPr>
      <w:bookmarkStart w:id="12" w:name="_Toc222138670"/>
      <w:r w:rsidRPr="00307458">
        <w:lastRenderedPageBreak/>
        <w:t>Proposed Timeline</w:t>
      </w:r>
      <w:bookmarkEnd w:id="12"/>
    </w:p>
    <w:p w14:paraId="42AAF4E7" w14:textId="3717BA1C" w:rsidR="004B4314" w:rsidRDefault="00EB4A90" w:rsidP="004B4314">
      <w:r w:rsidRPr="00EB4A90">
        <w:t>The table below outlines the key research activities and the estimated time required to complete each stage of the dissertation process.</w:t>
      </w:r>
    </w:p>
    <w:tbl>
      <w:tblPr>
        <w:tblStyle w:val="TableGridLight"/>
        <w:tblW w:w="9016" w:type="dxa"/>
        <w:tblLook w:val="04A0" w:firstRow="1" w:lastRow="0" w:firstColumn="1" w:lastColumn="0" w:noHBand="0" w:noVBand="1"/>
      </w:tblPr>
      <w:tblGrid>
        <w:gridCol w:w="3328"/>
        <w:gridCol w:w="948"/>
        <w:gridCol w:w="948"/>
        <w:gridCol w:w="1071"/>
        <w:gridCol w:w="900"/>
        <w:gridCol w:w="990"/>
        <w:gridCol w:w="831"/>
      </w:tblGrid>
      <w:tr w:rsidR="00EB4A90" w:rsidRPr="004B4314" w14:paraId="3B23D63F" w14:textId="77777777" w:rsidTr="00EB4A90">
        <w:trPr>
          <w:trHeight w:val="288"/>
        </w:trPr>
        <w:tc>
          <w:tcPr>
            <w:tcW w:w="3328" w:type="dxa"/>
            <w:vMerge w:val="restart"/>
            <w:tcBorders>
              <w:top w:val="single" w:sz="4" w:space="0" w:color="auto"/>
              <w:left w:val="single" w:sz="4" w:space="0" w:color="auto"/>
              <w:bottom w:val="single" w:sz="4" w:space="0" w:color="auto"/>
              <w:right w:val="single" w:sz="4" w:space="0" w:color="auto"/>
            </w:tcBorders>
            <w:noWrap/>
            <w:vAlign w:val="center"/>
          </w:tcPr>
          <w:p w14:paraId="0D7FD836" w14:textId="33318DE1" w:rsidR="00EB4A90" w:rsidRPr="00EB4A90" w:rsidRDefault="00EB4A90" w:rsidP="00EB4A90">
            <w:pPr>
              <w:spacing w:line="276" w:lineRule="auto"/>
              <w:jc w:val="center"/>
              <w:rPr>
                <w:rFonts w:eastAsia="Times New Roman" w:cs="Arial"/>
                <w:color w:val="000000"/>
                <w:szCs w:val="24"/>
                <w:lang w:bidi="bn-IN"/>
              </w:rPr>
            </w:pPr>
            <w:r w:rsidRPr="00EB4A90">
              <w:rPr>
                <w:rFonts w:eastAsia="Times New Roman" w:cs="Arial"/>
                <w:color w:val="000000"/>
                <w:szCs w:val="24"/>
                <w:lang w:bidi="bn-IN"/>
              </w:rPr>
              <w:t>Activities</w:t>
            </w:r>
          </w:p>
        </w:tc>
        <w:tc>
          <w:tcPr>
            <w:tcW w:w="5688" w:type="dxa"/>
            <w:gridSpan w:val="6"/>
            <w:tcBorders>
              <w:top w:val="single" w:sz="4" w:space="0" w:color="auto"/>
              <w:left w:val="single" w:sz="4" w:space="0" w:color="auto"/>
              <w:right w:val="single" w:sz="4" w:space="0" w:color="auto"/>
            </w:tcBorders>
            <w:vAlign w:val="center"/>
          </w:tcPr>
          <w:p w14:paraId="14FCA3C7" w14:textId="47EF580B" w:rsidR="00EB4A90" w:rsidRPr="00EB4A90" w:rsidRDefault="00EB4A90" w:rsidP="00EB4A90">
            <w:pPr>
              <w:spacing w:line="276" w:lineRule="auto"/>
              <w:jc w:val="center"/>
              <w:rPr>
                <w:rFonts w:eastAsia="Times New Roman" w:cs="Arial"/>
                <w:color w:val="000000"/>
                <w:sz w:val="18"/>
                <w:szCs w:val="18"/>
                <w:lang w:bidi="bn-IN"/>
              </w:rPr>
            </w:pPr>
            <w:r>
              <w:rPr>
                <w:rFonts w:eastAsia="Times New Roman" w:cs="Arial"/>
                <w:color w:val="000000"/>
                <w:sz w:val="18"/>
                <w:szCs w:val="18"/>
                <w:lang w:bidi="bn-IN"/>
              </w:rPr>
              <w:t>Timeline (2026)</w:t>
            </w:r>
          </w:p>
        </w:tc>
      </w:tr>
      <w:tr w:rsidR="00EB4A90" w:rsidRPr="004B4314" w14:paraId="2B3EE0D7" w14:textId="29F892BB" w:rsidTr="00EB4A90">
        <w:trPr>
          <w:trHeight w:val="288"/>
        </w:trPr>
        <w:tc>
          <w:tcPr>
            <w:tcW w:w="3328" w:type="dxa"/>
            <w:vMerge/>
            <w:tcBorders>
              <w:left w:val="single" w:sz="4" w:space="0" w:color="auto"/>
              <w:bottom w:val="single" w:sz="4" w:space="0" w:color="auto"/>
              <w:right w:val="single" w:sz="4" w:space="0" w:color="auto"/>
            </w:tcBorders>
            <w:noWrap/>
            <w:hideMark/>
          </w:tcPr>
          <w:p w14:paraId="775FA4B6" w14:textId="2D6267B6" w:rsidR="00EB4A90" w:rsidRPr="004B4314" w:rsidRDefault="00EB4A90" w:rsidP="004B4314">
            <w:pPr>
              <w:spacing w:line="276" w:lineRule="auto"/>
              <w:jc w:val="center"/>
              <w:rPr>
                <w:rFonts w:eastAsia="Times New Roman" w:cs="Arial"/>
                <w:b/>
                <w:bCs/>
                <w:color w:val="000000"/>
                <w:szCs w:val="24"/>
                <w:lang w:bidi="bn-IN"/>
              </w:rPr>
            </w:pPr>
          </w:p>
        </w:tc>
        <w:tc>
          <w:tcPr>
            <w:tcW w:w="948" w:type="dxa"/>
            <w:tcBorders>
              <w:left w:val="single" w:sz="4" w:space="0" w:color="auto"/>
              <w:bottom w:val="single" w:sz="4" w:space="0" w:color="auto"/>
            </w:tcBorders>
            <w:vAlign w:val="center"/>
          </w:tcPr>
          <w:p w14:paraId="40E566AA" w14:textId="1F225E02"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18 Feb</w:t>
            </w:r>
          </w:p>
        </w:tc>
        <w:tc>
          <w:tcPr>
            <w:tcW w:w="948" w:type="dxa"/>
            <w:tcBorders>
              <w:bottom w:val="single" w:sz="4" w:space="0" w:color="auto"/>
            </w:tcBorders>
            <w:vAlign w:val="center"/>
          </w:tcPr>
          <w:p w14:paraId="65E0FBD5" w14:textId="294FD71B"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6 March</w:t>
            </w:r>
          </w:p>
        </w:tc>
        <w:tc>
          <w:tcPr>
            <w:tcW w:w="1071" w:type="dxa"/>
            <w:tcBorders>
              <w:bottom w:val="single" w:sz="4" w:space="0" w:color="auto"/>
            </w:tcBorders>
            <w:vAlign w:val="center"/>
          </w:tcPr>
          <w:p w14:paraId="26AF1426" w14:textId="6CE8B009"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18 March</w:t>
            </w:r>
          </w:p>
        </w:tc>
        <w:tc>
          <w:tcPr>
            <w:tcW w:w="900" w:type="dxa"/>
            <w:tcBorders>
              <w:bottom w:val="single" w:sz="4" w:space="0" w:color="auto"/>
            </w:tcBorders>
            <w:vAlign w:val="center"/>
          </w:tcPr>
          <w:p w14:paraId="7B5E3D4C" w14:textId="2B532E1E"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6 April</w:t>
            </w:r>
          </w:p>
        </w:tc>
        <w:tc>
          <w:tcPr>
            <w:tcW w:w="990" w:type="dxa"/>
            <w:tcBorders>
              <w:bottom w:val="single" w:sz="4" w:space="0" w:color="auto"/>
            </w:tcBorders>
            <w:vAlign w:val="center"/>
          </w:tcPr>
          <w:p w14:paraId="4D01A9EC" w14:textId="5643CA01"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18 April</w:t>
            </w:r>
          </w:p>
        </w:tc>
        <w:tc>
          <w:tcPr>
            <w:tcW w:w="831" w:type="dxa"/>
            <w:tcBorders>
              <w:bottom w:val="single" w:sz="4" w:space="0" w:color="auto"/>
              <w:right w:val="single" w:sz="4" w:space="0" w:color="auto"/>
            </w:tcBorders>
            <w:vAlign w:val="center"/>
          </w:tcPr>
          <w:p w14:paraId="4021CA4E" w14:textId="61B7ADCF" w:rsidR="00EB4A90" w:rsidRPr="00EB4A90" w:rsidRDefault="00EB4A90" w:rsidP="00EB4A90">
            <w:pPr>
              <w:spacing w:line="276" w:lineRule="auto"/>
              <w:jc w:val="center"/>
              <w:rPr>
                <w:rFonts w:eastAsia="Times New Roman" w:cs="Arial"/>
                <w:color w:val="000000"/>
                <w:sz w:val="18"/>
                <w:szCs w:val="18"/>
                <w:lang w:bidi="bn-IN"/>
              </w:rPr>
            </w:pPr>
            <w:r w:rsidRPr="00EB4A90">
              <w:rPr>
                <w:rFonts w:eastAsia="Times New Roman" w:cs="Arial"/>
                <w:color w:val="000000"/>
                <w:sz w:val="18"/>
                <w:szCs w:val="18"/>
                <w:lang w:bidi="bn-IN"/>
              </w:rPr>
              <w:t>6 May</w:t>
            </w:r>
          </w:p>
        </w:tc>
      </w:tr>
      <w:tr w:rsidR="00EB4A90" w:rsidRPr="004B4314" w14:paraId="287E3D7D" w14:textId="6B5AD8EB" w:rsidTr="00EB4A90">
        <w:trPr>
          <w:trHeight w:val="288"/>
        </w:trPr>
        <w:tc>
          <w:tcPr>
            <w:tcW w:w="3328" w:type="dxa"/>
            <w:tcBorders>
              <w:top w:val="single" w:sz="4" w:space="0" w:color="auto"/>
              <w:left w:val="single" w:sz="4" w:space="0" w:color="auto"/>
              <w:right w:val="single" w:sz="4" w:space="0" w:color="auto"/>
            </w:tcBorders>
            <w:noWrap/>
            <w:hideMark/>
          </w:tcPr>
          <w:p w14:paraId="2644625C"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Research Proposal Development and Submission</w:t>
            </w:r>
          </w:p>
        </w:tc>
        <w:tc>
          <w:tcPr>
            <w:tcW w:w="948" w:type="dxa"/>
            <w:vMerge w:val="restart"/>
            <w:tcBorders>
              <w:top w:val="single" w:sz="4" w:space="0" w:color="auto"/>
              <w:left w:val="single" w:sz="4" w:space="0" w:color="auto"/>
              <w:right w:val="nil"/>
            </w:tcBorders>
            <w:shd w:val="clear" w:color="auto" w:fill="00B0F0"/>
          </w:tcPr>
          <w:p w14:paraId="15342095"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single" w:sz="4" w:space="0" w:color="auto"/>
              <w:left w:val="nil"/>
              <w:bottom w:val="nil"/>
              <w:right w:val="nil"/>
            </w:tcBorders>
          </w:tcPr>
          <w:p w14:paraId="7CFDA954"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single" w:sz="4" w:space="0" w:color="auto"/>
              <w:left w:val="nil"/>
              <w:bottom w:val="nil"/>
              <w:right w:val="nil"/>
            </w:tcBorders>
          </w:tcPr>
          <w:p w14:paraId="3CC1F581"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single" w:sz="4" w:space="0" w:color="auto"/>
              <w:left w:val="nil"/>
              <w:bottom w:val="nil"/>
              <w:right w:val="nil"/>
            </w:tcBorders>
          </w:tcPr>
          <w:p w14:paraId="040EA155"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single" w:sz="4" w:space="0" w:color="auto"/>
              <w:left w:val="nil"/>
              <w:bottom w:val="nil"/>
              <w:right w:val="nil"/>
            </w:tcBorders>
          </w:tcPr>
          <w:p w14:paraId="6CE04E2E"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single" w:sz="4" w:space="0" w:color="auto"/>
              <w:left w:val="nil"/>
              <w:bottom w:val="nil"/>
              <w:right w:val="single" w:sz="4" w:space="0" w:color="auto"/>
            </w:tcBorders>
          </w:tcPr>
          <w:p w14:paraId="17408D42"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22FD5B27" w14:textId="2277E762" w:rsidTr="00EB4A90">
        <w:trPr>
          <w:trHeight w:val="288"/>
        </w:trPr>
        <w:tc>
          <w:tcPr>
            <w:tcW w:w="3328" w:type="dxa"/>
            <w:tcBorders>
              <w:left w:val="single" w:sz="4" w:space="0" w:color="auto"/>
              <w:right w:val="single" w:sz="4" w:space="0" w:color="auto"/>
            </w:tcBorders>
            <w:noWrap/>
            <w:hideMark/>
          </w:tcPr>
          <w:p w14:paraId="0E09A4A1"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Ethics Application Preparation and Submission</w:t>
            </w:r>
          </w:p>
        </w:tc>
        <w:tc>
          <w:tcPr>
            <w:tcW w:w="948" w:type="dxa"/>
            <w:vMerge/>
            <w:tcBorders>
              <w:left w:val="single" w:sz="4" w:space="0" w:color="auto"/>
              <w:bottom w:val="nil"/>
              <w:right w:val="nil"/>
            </w:tcBorders>
            <w:shd w:val="clear" w:color="auto" w:fill="00B0F0"/>
          </w:tcPr>
          <w:p w14:paraId="2B74B6FB"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406741EE"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6DD9BDEE"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545778FB"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2CCF9683"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6CF45C3D"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1FCCCD82" w14:textId="75836E7E" w:rsidTr="00EB4A90">
        <w:trPr>
          <w:trHeight w:val="288"/>
        </w:trPr>
        <w:tc>
          <w:tcPr>
            <w:tcW w:w="3328" w:type="dxa"/>
            <w:tcBorders>
              <w:left w:val="single" w:sz="4" w:space="0" w:color="auto"/>
              <w:right w:val="single" w:sz="4" w:space="0" w:color="auto"/>
            </w:tcBorders>
            <w:noWrap/>
            <w:hideMark/>
          </w:tcPr>
          <w:p w14:paraId="6C9EB684" w14:textId="77777777" w:rsidR="00EB4A90" w:rsidRPr="00EB4A90" w:rsidRDefault="00EB4A90" w:rsidP="004B4314">
            <w:pPr>
              <w:spacing w:line="276" w:lineRule="auto"/>
              <w:jc w:val="left"/>
              <w:rPr>
                <w:rFonts w:eastAsia="Times New Roman" w:cs="Arial"/>
                <w:color w:val="000000"/>
                <w:sz w:val="22"/>
                <w:lang w:bidi="bn-IN"/>
              </w:rPr>
            </w:pPr>
            <w:proofErr w:type="spellStart"/>
            <w:r w:rsidRPr="00EB4A90">
              <w:rPr>
                <w:rFonts w:eastAsia="Times New Roman" w:cs="Arial"/>
                <w:color w:val="000000"/>
                <w:sz w:val="22"/>
                <w:lang w:bidi="bn-IN"/>
              </w:rPr>
              <w:t>Finalisation</w:t>
            </w:r>
            <w:proofErr w:type="spellEnd"/>
            <w:r w:rsidRPr="00EB4A90">
              <w:rPr>
                <w:rFonts w:eastAsia="Times New Roman" w:cs="Arial"/>
                <w:color w:val="000000"/>
                <w:sz w:val="22"/>
                <w:lang w:bidi="bn-IN"/>
              </w:rPr>
              <w:t xml:space="preserve"> of research scope and methodology</w:t>
            </w:r>
          </w:p>
        </w:tc>
        <w:tc>
          <w:tcPr>
            <w:tcW w:w="948" w:type="dxa"/>
            <w:tcBorders>
              <w:top w:val="nil"/>
              <w:left w:val="single" w:sz="4" w:space="0" w:color="auto"/>
              <w:bottom w:val="nil"/>
              <w:right w:val="nil"/>
            </w:tcBorders>
          </w:tcPr>
          <w:p w14:paraId="0CFC99A2"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shd w:val="clear" w:color="auto" w:fill="00B0F0"/>
          </w:tcPr>
          <w:p w14:paraId="78DB4A1A"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37E1FA44"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503DB4BC"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2176D330"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4E32CBFD"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5B0073FE" w14:textId="0DC87843" w:rsidTr="00EB4A90">
        <w:trPr>
          <w:trHeight w:val="288"/>
        </w:trPr>
        <w:tc>
          <w:tcPr>
            <w:tcW w:w="3328" w:type="dxa"/>
            <w:tcBorders>
              <w:left w:val="single" w:sz="4" w:space="0" w:color="auto"/>
              <w:right w:val="single" w:sz="4" w:space="0" w:color="auto"/>
            </w:tcBorders>
            <w:noWrap/>
            <w:hideMark/>
          </w:tcPr>
          <w:p w14:paraId="0EF4A8E8"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Systematic literature search</w:t>
            </w:r>
          </w:p>
        </w:tc>
        <w:tc>
          <w:tcPr>
            <w:tcW w:w="948" w:type="dxa"/>
            <w:tcBorders>
              <w:top w:val="nil"/>
              <w:left w:val="single" w:sz="4" w:space="0" w:color="auto"/>
              <w:bottom w:val="nil"/>
              <w:right w:val="nil"/>
            </w:tcBorders>
          </w:tcPr>
          <w:p w14:paraId="48D0F380"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shd w:val="clear" w:color="auto" w:fill="00B0F0"/>
          </w:tcPr>
          <w:p w14:paraId="6F27BEE1"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17C54BA6"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6DC2C963"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5692F0CB"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5EBA6387"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221A255D" w14:textId="2F890CEF" w:rsidTr="00EB4A90">
        <w:trPr>
          <w:trHeight w:val="288"/>
        </w:trPr>
        <w:tc>
          <w:tcPr>
            <w:tcW w:w="3328" w:type="dxa"/>
            <w:tcBorders>
              <w:left w:val="single" w:sz="4" w:space="0" w:color="auto"/>
              <w:right w:val="single" w:sz="4" w:space="0" w:color="auto"/>
            </w:tcBorders>
            <w:noWrap/>
            <w:hideMark/>
          </w:tcPr>
          <w:p w14:paraId="3B6EBB74"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Screening of studies (title and abstract review)</w:t>
            </w:r>
          </w:p>
        </w:tc>
        <w:tc>
          <w:tcPr>
            <w:tcW w:w="948" w:type="dxa"/>
            <w:tcBorders>
              <w:top w:val="nil"/>
              <w:left w:val="single" w:sz="4" w:space="0" w:color="auto"/>
              <w:bottom w:val="nil"/>
              <w:right w:val="nil"/>
            </w:tcBorders>
          </w:tcPr>
          <w:p w14:paraId="7470C21E"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4649E0DA"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shd w:val="clear" w:color="auto" w:fill="00B0F0"/>
          </w:tcPr>
          <w:p w14:paraId="53CA4A3D"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08E9F6B7"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6CDB33D0"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37C1ECF7"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17BF9527" w14:textId="25AC85CA" w:rsidTr="00EB4A90">
        <w:trPr>
          <w:trHeight w:val="288"/>
        </w:trPr>
        <w:tc>
          <w:tcPr>
            <w:tcW w:w="3328" w:type="dxa"/>
            <w:tcBorders>
              <w:left w:val="single" w:sz="4" w:space="0" w:color="auto"/>
              <w:right w:val="single" w:sz="4" w:space="0" w:color="auto"/>
            </w:tcBorders>
            <w:noWrap/>
            <w:hideMark/>
          </w:tcPr>
          <w:p w14:paraId="60181A8E"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Full-text assessment and study selection</w:t>
            </w:r>
          </w:p>
        </w:tc>
        <w:tc>
          <w:tcPr>
            <w:tcW w:w="948" w:type="dxa"/>
            <w:tcBorders>
              <w:top w:val="nil"/>
              <w:left w:val="single" w:sz="4" w:space="0" w:color="auto"/>
              <w:bottom w:val="nil"/>
              <w:right w:val="nil"/>
            </w:tcBorders>
          </w:tcPr>
          <w:p w14:paraId="7267336E"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1690FDA0"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vMerge w:val="restart"/>
            <w:tcBorders>
              <w:top w:val="nil"/>
              <w:left w:val="nil"/>
              <w:right w:val="nil"/>
            </w:tcBorders>
            <w:shd w:val="clear" w:color="auto" w:fill="00B0F0"/>
          </w:tcPr>
          <w:p w14:paraId="11B50953"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31169888"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61F81F58"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669569DA"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72BD49F0" w14:textId="0D0AB760" w:rsidTr="00EB4A90">
        <w:trPr>
          <w:trHeight w:val="288"/>
        </w:trPr>
        <w:tc>
          <w:tcPr>
            <w:tcW w:w="3328" w:type="dxa"/>
            <w:tcBorders>
              <w:left w:val="single" w:sz="4" w:space="0" w:color="auto"/>
              <w:right w:val="single" w:sz="4" w:space="0" w:color="auto"/>
            </w:tcBorders>
            <w:noWrap/>
            <w:hideMark/>
          </w:tcPr>
          <w:p w14:paraId="2BC9AB4C"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Data extraction and tabulation</w:t>
            </w:r>
          </w:p>
        </w:tc>
        <w:tc>
          <w:tcPr>
            <w:tcW w:w="948" w:type="dxa"/>
            <w:tcBorders>
              <w:top w:val="nil"/>
              <w:left w:val="single" w:sz="4" w:space="0" w:color="auto"/>
              <w:bottom w:val="nil"/>
              <w:right w:val="nil"/>
            </w:tcBorders>
          </w:tcPr>
          <w:p w14:paraId="66F047CB"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70FAAA23"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vMerge/>
            <w:tcBorders>
              <w:left w:val="nil"/>
              <w:bottom w:val="nil"/>
              <w:right w:val="nil"/>
            </w:tcBorders>
            <w:shd w:val="clear" w:color="auto" w:fill="00B0F0"/>
          </w:tcPr>
          <w:p w14:paraId="76F95ADC"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040B7EA5"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11649C6E"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6F2995EB"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0C9FDF40" w14:textId="2969537B" w:rsidTr="00EB4A90">
        <w:trPr>
          <w:trHeight w:val="288"/>
        </w:trPr>
        <w:tc>
          <w:tcPr>
            <w:tcW w:w="3328" w:type="dxa"/>
            <w:tcBorders>
              <w:left w:val="single" w:sz="4" w:space="0" w:color="auto"/>
              <w:right w:val="single" w:sz="4" w:space="0" w:color="auto"/>
            </w:tcBorders>
            <w:noWrap/>
            <w:hideMark/>
          </w:tcPr>
          <w:p w14:paraId="62CA7964"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Quality appraisal of selected studies</w:t>
            </w:r>
          </w:p>
        </w:tc>
        <w:tc>
          <w:tcPr>
            <w:tcW w:w="948" w:type="dxa"/>
            <w:tcBorders>
              <w:top w:val="nil"/>
              <w:left w:val="single" w:sz="4" w:space="0" w:color="auto"/>
              <w:bottom w:val="nil"/>
              <w:right w:val="nil"/>
            </w:tcBorders>
          </w:tcPr>
          <w:p w14:paraId="17069257"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3F5634B4"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74C2DFE3"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vMerge w:val="restart"/>
            <w:tcBorders>
              <w:top w:val="nil"/>
              <w:left w:val="nil"/>
              <w:right w:val="nil"/>
            </w:tcBorders>
            <w:shd w:val="clear" w:color="auto" w:fill="00B0F0"/>
          </w:tcPr>
          <w:p w14:paraId="2E0CA2C8"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1B805903"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48B459F1"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1615AB56" w14:textId="49EB5E99" w:rsidTr="00EB4A90">
        <w:trPr>
          <w:trHeight w:val="288"/>
        </w:trPr>
        <w:tc>
          <w:tcPr>
            <w:tcW w:w="3328" w:type="dxa"/>
            <w:tcBorders>
              <w:left w:val="single" w:sz="4" w:space="0" w:color="auto"/>
              <w:right w:val="single" w:sz="4" w:space="0" w:color="auto"/>
            </w:tcBorders>
            <w:noWrap/>
            <w:hideMark/>
          </w:tcPr>
          <w:p w14:paraId="6C445FA2"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Data analysis and narrative synthesis</w:t>
            </w:r>
          </w:p>
        </w:tc>
        <w:tc>
          <w:tcPr>
            <w:tcW w:w="948" w:type="dxa"/>
            <w:tcBorders>
              <w:top w:val="nil"/>
              <w:left w:val="single" w:sz="4" w:space="0" w:color="auto"/>
              <w:bottom w:val="nil"/>
              <w:right w:val="nil"/>
            </w:tcBorders>
          </w:tcPr>
          <w:p w14:paraId="20678DF1"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0C70C9EE"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6029B774"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vMerge/>
            <w:tcBorders>
              <w:left w:val="nil"/>
              <w:right w:val="nil"/>
            </w:tcBorders>
            <w:shd w:val="clear" w:color="auto" w:fill="00B0F0"/>
          </w:tcPr>
          <w:p w14:paraId="2C0C5095"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22F41C41"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6598EA92"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2CCBD091" w14:textId="366BDED2" w:rsidTr="00EB4A90">
        <w:trPr>
          <w:trHeight w:val="288"/>
        </w:trPr>
        <w:tc>
          <w:tcPr>
            <w:tcW w:w="3328" w:type="dxa"/>
            <w:tcBorders>
              <w:left w:val="single" w:sz="4" w:space="0" w:color="auto"/>
              <w:right w:val="single" w:sz="4" w:space="0" w:color="auto"/>
            </w:tcBorders>
            <w:noWrap/>
            <w:hideMark/>
          </w:tcPr>
          <w:p w14:paraId="585AC1DB"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Drafting of dissertation chapters</w:t>
            </w:r>
          </w:p>
        </w:tc>
        <w:tc>
          <w:tcPr>
            <w:tcW w:w="948" w:type="dxa"/>
            <w:tcBorders>
              <w:top w:val="nil"/>
              <w:left w:val="single" w:sz="4" w:space="0" w:color="auto"/>
              <w:bottom w:val="nil"/>
              <w:right w:val="nil"/>
            </w:tcBorders>
          </w:tcPr>
          <w:p w14:paraId="55FC54C3"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287DCEA1"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49F37406"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vMerge/>
            <w:tcBorders>
              <w:left w:val="nil"/>
              <w:bottom w:val="nil"/>
              <w:right w:val="nil"/>
            </w:tcBorders>
            <w:shd w:val="clear" w:color="auto" w:fill="00B0F0"/>
          </w:tcPr>
          <w:p w14:paraId="07ECF81D"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shd w:val="clear" w:color="auto" w:fill="00B0F0"/>
          </w:tcPr>
          <w:p w14:paraId="5994BC03"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634FFAD3"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6ADD490A" w14:textId="0E565702" w:rsidTr="00EB4A90">
        <w:trPr>
          <w:trHeight w:val="288"/>
        </w:trPr>
        <w:tc>
          <w:tcPr>
            <w:tcW w:w="3328" w:type="dxa"/>
            <w:tcBorders>
              <w:left w:val="single" w:sz="4" w:space="0" w:color="auto"/>
              <w:right w:val="single" w:sz="4" w:space="0" w:color="auto"/>
            </w:tcBorders>
            <w:noWrap/>
            <w:hideMark/>
          </w:tcPr>
          <w:p w14:paraId="220D14A2"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Review and revision based on supervisor feedback</w:t>
            </w:r>
          </w:p>
        </w:tc>
        <w:tc>
          <w:tcPr>
            <w:tcW w:w="948" w:type="dxa"/>
            <w:tcBorders>
              <w:top w:val="nil"/>
              <w:left w:val="single" w:sz="4" w:space="0" w:color="auto"/>
              <w:bottom w:val="nil"/>
              <w:right w:val="nil"/>
            </w:tcBorders>
          </w:tcPr>
          <w:p w14:paraId="30A229DE"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512527D6"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546D0D6F"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2A16B0D1"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shd w:val="clear" w:color="auto" w:fill="00B0F0"/>
          </w:tcPr>
          <w:p w14:paraId="527601E6"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tcPr>
          <w:p w14:paraId="21549FDA"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528FA744" w14:textId="4685238B" w:rsidTr="00EB4A90">
        <w:trPr>
          <w:trHeight w:val="288"/>
        </w:trPr>
        <w:tc>
          <w:tcPr>
            <w:tcW w:w="3328" w:type="dxa"/>
            <w:tcBorders>
              <w:left w:val="single" w:sz="4" w:space="0" w:color="auto"/>
              <w:right w:val="single" w:sz="4" w:space="0" w:color="auto"/>
            </w:tcBorders>
            <w:noWrap/>
            <w:hideMark/>
          </w:tcPr>
          <w:p w14:paraId="4647FBB2"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Final editing and formatting</w:t>
            </w:r>
          </w:p>
        </w:tc>
        <w:tc>
          <w:tcPr>
            <w:tcW w:w="948" w:type="dxa"/>
            <w:tcBorders>
              <w:top w:val="nil"/>
              <w:left w:val="single" w:sz="4" w:space="0" w:color="auto"/>
              <w:bottom w:val="nil"/>
              <w:right w:val="nil"/>
            </w:tcBorders>
          </w:tcPr>
          <w:p w14:paraId="50B5320C"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nil"/>
              <w:right w:val="nil"/>
            </w:tcBorders>
          </w:tcPr>
          <w:p w14:paraId="623BE493"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nil"/>
              <w:right w:val="nil"/>
            </w:tcBorders>
          </w:tcPr>
          <w:p w14:paraId="5474DD69"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nil"/>
              <w:right w:val="nil"/>
            </w:tcBorders>
          </w:tcPr>
          <w:p w14:paraId="242A01F2"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nil"/>
              <w:right w:val="nil"/>
            </w:tcBorders>
          </w:tcPr>
          <w:p w14:paraId="1CCD54D7"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nil"/>
              <w:right w:val="single" w:sz="4" w:space="0" w:color="auto"/>
            </w:tcBorders>
            <w:shd w:val="clear" w:color="auto" w:fill="00B0F0"/>
          </w:tcPr>
          <w:p w14:paraId="7CB171EB" w14:textId="77777777" w:rsidR="00EB4A90" w:rsidRPr="004B4314" w:rsidRDefault="00EB4A90" w:rsidP="004B4314">
            <w:pPr>
              <w:spacing w:line="276" w:lineRule="auto"/>
              <w:jc w:val="left"/>
              <w:rPr>
                <w:rFonts w:eastAsia="Times New Roman" w:cs="Arial"/>
                <w:color w:val="000000"/>
                <w:szCs w:val="24"/>
                <w:lang w:bidi="bn-IN"/>
              </w:rPr>
            </w:pPr>
          </w:p>
        </w:tc>
      </w:tr>
      <w:tr w:rsidR="00EB4A90" w:rsidRPr="004B4314" w14:paraId="59A6B4EF" w14:textId="3E6C5030" w:rsidTr="00EB4A90">
        <w:trPr>
          <w:trHeight w:val="288"/>
        </w:trPr>
        <w:tc>
          <w:tcPr>
            <w:tcW w:w="3328" w:type="dxa"/>
            <w:tcBorders>
              <w:left w:val="single" w:sz="4" w:space="0" w:color="auto"/>
              <w:bottom w:val="single" w:sz="4" w:space="0" w:color="auto"/>
              <w:right w:val="single" w:sz="4" w:space="0" w:color="auto"/>
            </w:tcBorders>
            <w:noWrap/>
            <w:hideMark/>
          </w:tcPr>
          <w:p w14:paraId="6C10C01B" w14:textId="77777777" w:rsidR="00EB4A90" w:rsidRPr="00EB4A90" w:rsidRDefault="00EB4A90" w:rsidP="004B4314">
            <w:pPr>
              <w:spacing w:line="276" w:lineRule="auto"/>
              <w:jc w:val="left"/>
              <w:rPr>
                <w:rFonts w:eastAsia="Times New Roman" w:cs="Arial"/>
                <w:color w:val="000000"/>
                <w:sz w:val="22"/>
                <w:lang w:bidi="bn-IN"/>
              </w:rPr>
            </w:pPr>
            <w:r w:rsidRPr="00EB4A90">
              <w:rPr>
                <w:rFonts w:eastAsia="Times New Roman" w:cs="Arial"/>
                <w:color w:val="000000"/>
                <w:sz w:val="22"/>
                <w:lang w:bidi="bn-IN"/>
              </w:rPr>
              <w:t>Dissertation submission</w:t>
            </w:r>
          </w:p>
        </w:tc>
        <w:tc>
          <w:tcPr>
            <w:tcW w:w="948" w:type="dxa"/>
            <w:tcBorders>
              <w:top w:val="nil"/>
              <w:left w:val="single" w:sz="4" w:space="0" w:color="auto"/>
              <w:bottom w:val="single" w:sz="4" w:space="0" w:color="auto"/>
              <w:right w:val="nil"/>
            </w:tcBorders>
          </w:tcPr>
          <w:p w14:paraId="119D1F25" w14:textId="77777777" w:rsidR="00EB4A90" w:rsidRPr="004B4314" w:rsidRDefault="00EB4A90" w:rsidP="004B4314">
            <w:pPr>
              <w:spacing w:line="276" w:lineRule="auto"/>
              <w:jc w:val="left"/>
              <w:rPr>
                <w:rFonts w:eastAsia="Times New Roman" w:cs="Arial"/>
                <w:color w:val="000000"/>
                <w:szCs w:val="24"/>
                <w:lang w:bidi="bn-IN"/>
              </w:rPr>
            </w:pPr>
          </w:p>
        </w:tc>
        <w:tc>
          <w:tcPr>
            <w:tcW w:w="948" w:type="dxa"/>
            <w:tcBorders>
              <w:top w:val="nil"/>
              <w:left w:val="nil"/>
              <w:bottom w:val="single" w:sz="4" w:space="0" w:color="auto"/>
              <w:right w:val="nil"/>
            </w:tcBorders>
          </w:tcPr>
          <w:p w14:paraId="1C25334C" w14:textId="77777777" w:rsidR="00EB4A90" w:rsidRPr="004B4314" w:rsidRDefault="00EB4A90" w:rsidP="004B4314">
            <w:pPr>
              <w:spacing w:line="276" w:lineRule="auto"/>
              <w:jc w:val="left"/>
              <w:rPr>
                <w:rFonts w:eastAsia="Times New Roman" w:cs="Arial"/>
                <w:color w:val="000000"/>
                <w:szCs w:val="24"/>
                <w:lang w:bidi="bn-IN"/>
              </w:rPr>
            </w:pPr>
          </w:p>
        </w:tc>
        <w:tc>
          <w:tcPr>
            <w:tcW w:w="1071" w:type="dxa"/>
            <w:tcBorders>
              <w:top w:val="nil"/>
              <w:left w:val="nil"/>
              <w:bottom w:val="single" w:sz="4" w:space="0" w:color="auto"/>
              <w:right w:val="nil"/>
            </w:tcBorders>
          </w:tcPr>
          <w:p w14:paraId="2FD915F9" w14:textId="77777777" w:rsidR="00EB4A90" w:rsidRPr="004B4314" w:rsidRDefault="00EB4A90" w:rsidP="004B4314">
            <w:pPr>
              <w:spacing w:line="276" w:lineRule="auto"/>
              <w:jc w:val="left"/>
              <w:rPr>
                <w:rFonts w:eastAsia="Times New Roman" w:cs="Arial"/>
                <w:color w:val="000000"/>
                <w:szCs w:val="24"/>
                <w:lang w:bidi="bn-IN"/>
              </w:rPr>
            </w:pPr>
          </w:p>
        </w:tc>
        <w:tc>
          <w:tcPr>
            <w:tcW w:w="900" w:type="dxa"/>
            <w:tcBorders>
              <w:top w:val="nil"/>
              <w:left w:val="nil"/>
              <w:bottom w:val="single" w:sz="4" w:space="0" w:color="auto"/>
              <w:right w:val="nil"/>
            </w:tcBorders>
          </w:tcPr>
          <w:p w14:paraId="6B57E32F" w14:textId="77777777" w:rsidR="00EB4A90" w:rsidRPr="004B4314" w:rsidRDefault="00EB4A90" w:rsidP="004B4314">
            <w:pPr>
              <w:spacing w:line="276" w:lineRule="auto"/>
              <w:jc w:val="left"/>
              <w:rPr>
                <w:rFonts w:eastAsia="Times New Roman" w:cs="Arial"/>
                <w:color w:val="000000"/>
                <w:szCs w:val="24"/>
                <w:lang w:bidi="bn-IN"/>
              </w:rPr>
            </w:pPr>
          </w:p>
        </w:tc>
        <w:tc>
          <w:tcPr>
            <w:tcW w:w="990" w:type="dxa"/>
            <w:tcBorders>
              <w:top w:val="nil"/>
              <w:left w:val="nil"/>
              <w:bottom w:val="single" w:sz="4" w:space="0" w:color="auto"/>
              <w:right w:val="nil"/>
            </w:tcBorders>
          </w:tcPr>
          <w:p w14:paraId="09882B27" w14:textId="77777777" w:rsidR="00EB4A90" w:rsidRPr="004B4314" w:rsidRDefault="00EB4A90" w:rsidP="004B4314">
            <w:pPr>
              <w:spacing w:line="276" w:lineRule="auto"/>
              <w:jc w:val="left"/>
              <w:rPr>
                <w:rFonts w:eastAsia="Times New Roman" w:cs="Arial"/>
                <w:color w:val="000000"/>
                <w:szCs w:val="24"/>
                <w:lang w:bidi="bn-IN"/>
              </w:rPr>
            </w:pPr>
          </w:p>
        </w:tc>
        <w:tc>
          <w:tcPr>
            <w:tcW w:w="831" w:type="dxa"/>
            <w:tcBorders>
              <w:top w:val="nil"/>
              <w:left w:val="nil"/>
              <w:bottom w:val="single" w:sz="4" w:space="0" w:color="auto"/>
              <w:right w:val="single" w:sz="4" w:space="0" w:color="auto"/>
            </w:tcBorders>
            <w:shd w:val="clear" w:color="auto" w:fill="00B0F0"/>
          </w:tcPr>
          <w:p w14:paraId="5C4D192D" w14:textId="77777777" w:rsidR="00EB4A90" w:rsidRPr="004B4314" w:rsidRDefault="00EB4A90" w:rsidP="004B4314">
            <w:pPr>
              <w:spacing w:line="276" w:lineRule="auto"/>
              <w:jc w:val="left"/>
              <w:rPr>
                <w:rFonts w:eastAsia="Times New Roman" w:cs="Arial"/>
                <w:color w:val="000000"/>
                <w:szCs w:val="24"/>
                <w:lang w:bidi="bn-IN"/>
              </w:rPr>
            </w:pPr>
          </w:p>
        </w:tc>
      </w:tr>
    </w:tbl>
    <w:p w14:paraId="5CACF5E8" w14:textId="77777777" w:rsidR="004272B2" w:rsidRDefault="004272B2" w:rsidP="004272B2">
      <w:bookmarkStart w:id="13" w:name="_Toc222138671"/>
    </w:p>
    <w:p w14:paraId="4CD5760E" w14:textId="77777777" w:rsidR="004272B2" w:rsidRDefault="004272B2">
      <w:pPr>
        <w:spacing w:before="0" w:after="160" w:line="259" w:lineRule="auto"/>
        <w:jc w:val="left"/>
        <w:rPr>
          <w:rFonts w:eastAsiaTheme="majorEastAsia" w:cstheme="majorBidi"/>
          <w:b/>
          <w:bCs/>
          <w:color w:val="0070C0"/>
          <w:sz w:val="28"/>
          <w:szCs w:val="36"/>
        </w:rPr>
      </w:pPr>
      <w:r>
        <w:br w:type="page"/>
      </w:r>
    </w:p>
    <w:p w14:paraId="77D1DF53" w14:textId="7262A15E" w:rsidR="00EB4A90" w:rsidRPr="00EB4A90" w:rsidRDefault="00EB4A90" w:rsidP="004135A0">
      <w:pPr>
        <w:pStyle w:val="Heading1"/>
        <w:rPr>
          <w:color w:val="000000" w:themeColor="text1"/>
          <w:sz w:val="32"/>
        </w:rPr>
      </w:pPr>
      <w:r>
        <w:lastRenderedPageBreak/>
        <w:t>Conclusion</w:t>
      </w:r>
      <w:bookmarkEnd w:id="13"/>
    </w:p>
    <w:p w14:paraId="0C04FAC9" w14:textId="0531506C" w:rsidR="00EB4A90" w:rsidRDefault="00D92828" w:rsidP="00EB4A90">
      <w:r>
        <w:t>This</w:t>
      </w:r>
      <w:r w:rsidR="001E5B0B" w:rsidRPr="001E5B0B">
        <w:t xml:space="preserve"> </w:t>
      </w:r>
      <w:r>
        <w:t>research proposal offers</w:t>
      </w:r>
      <w:r w:rsidR="001E5B0B" w:rsidRPr="001E5B0B">
        <w:t xml:space="preserve"> the rationale, objectives, and methodology of analysing the shift in linear to circular models in the fashion and textiles sector with specific emphasis on waste management. The proposal has revealed persistent issues, fragmented implementation and large gaps in knowledge along the value chain by placing the study within the framework of the circular economy and critically examining available empirical literature. The suggested qualitative systematic review is a sound and ethically responsible method of </w:t>
      </w:r>
      <w:proofErr w:type="spellStart"/>
      <w:r w:rsidR="001E5B0B" w:rsidRPr="001E5B0B">
        <w:t>synthesising</w:t>
      </w:r>
      <w:proofErr w:type="spellEnd"/>
      <w:r w:rsidR="001E5B0B" w:rsidRPr="001E5B0B">
        <w:t xml:space="preserve"> scattered evidence, allowing to get a better picture of contextual drivers, barriers, and operational constraints that form circular transition. On the whole, the research is placed to add significant theoretical knowledge and practical recommendations to facilitate more efficient and comprehensive circular waste management policies in the fashion and textile industry.</w:t>
      </w:r>
    </w:p>
    <w:p w14:paraId="69D8D3A2" w14:textId="4A59D528" w:rsidR="00307458" w:rsidRPr="00EB4A90" w:rsidRDefault="00EB4A90" w:rsidP="00EB4A90">
      <w:pPr>
        <w:spacing w:before="0" w:after="160" w:line="259" w:lineRule="auto"/>
        <w:jc w:val="left"/>
      </w:pPr>
      <w:r>
        <w:br w:type="page"/>
      </w:r>
    </w:p>
    <w:p w14:paraId="79E4B0DD" w14:textId="7AC7B815" w:rsidR="00D92828" w:rsidRPr="00D92828" w:rsidRDefault="00307458" w:rsidP="00D92828">
      <w:pPr>
        <w:pStyle w:val="Heading1"/>
      </w:pPr>
      <w:bookmarkStart w:id="14" w:name="_Toc222138672"/>
      <w:r w:rsidRPr="00307458">
        <w:lastRenderedPageBreak/>
        <w:t>References</w:t>
      </w:r>
      <w:bookmarkEnd w:id="14"/>
    </w:p>
    <w:p w14:paraId="5562124F" w14:textId="77777777" w:rsidR="00D92828" w:rsidRDefault="00D92828" w:rsidP="00D92828">
      <w:pPr>
        <w:spacing w:before="0"/>
        <w:jc w:val="left"/>
      </w:pPr>
      <w:r w:rsidRPr="00D92828">
        <w:t xml:space="preserve">Abu-Bakar, H. and Charnley, F. (2024) ‘Developing a Strategic Methodology for Circular Economy </w:t>
      </w:r>
      <w:proofErr w:type="spellStart"/>
      <w:r w:rsidRPr="00D92828">
        <w:t>Roadmapping</w:t>
      </w:r>
      <w:proofErr w:type="spellEnd"/>
      <w:r w:rsidRPr="00D92828">
        <w:t xml:space="preserve">: A Theoretical Framework’, </w:t>
      </w:r>
      <w:r w:rsidRPr="00D92828">
        <w:rPr>
          <w:i/>
          <w:iCs/>
        </w:rPr>
        <w:t>Sustainability</w:t>
      </w:r>
      <w:r w:rsidRPr="00D92828">
        <w:t xml:space="preserve">, 16(15), pp. 6682–6682. Available at: </w:t>
      </w:r>
      <w:hyperlink r:id="rId11" w:history="1">
        <w:r w:rsidRPr="00D92828">
          <w:rPr>
            <w:rStyle w:val="Hyperlink"/>
          </w:rPr>
          <w:t>https://doi.org/10.3390/su16156682</w:t>
        </w:r>
      </w:hyperlink>
      <w:r w:rsidRPr="00D92828">
        <w:t>.</w:t>
      </w:r>
    </w:p>
    <w:p w14:paraId="2E653CA3" w14:textId="77777777" w:rsidR="00D92828"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Afifi, M., Stryhn, H. and Sánchez, J. (2023) ‘Data extraction and comparison for complex systematic reviews: a step-by-step guideline and an implementation example using open-source software’, </w:t>
      </w:r>
      <w:r w:rsidRPr="00EB4A90">
        <w:rPr>
          <w:rFonts w:eastAsia="Times New Roman" w:cs="Arial"/>
          <w:i/>
          <w:iCs/>
          <w:szCs w:val="24"/>
          <w:lang w:bidi="bn-IN"/>
        </w:rPr>
        <w:t>Systematic Reviews</w:t>
      </w:r>
      <w:r w:rsidRPr="00EB4A90">
        <w:rPr>
          <w:rFonts w:eastAsia="Times New Roman" w:cs="Arial"/>
          <w:szCs w:val="24"/>
          <w:lang w:bidi="bn-IN"/>
        </w:rPr>
        <w:t xml:space="preserve">, 12(1). Available at: </w:t>
      </w:r>
      <w:hyperlink r:id="rId12" w:history="1">
        <w:r w:rsidRPr="00094D79">
          <w:rPr>
            <w:rStyle w:val="Hyperlink"/>
            <w:rFonts w:eastAsia="Times New Roman" w:cs="Arial"/>
            <w:szCs w:val="24"/>
            <w:lang w:bidi="bn-IN"/>
          </w:rPr>
          <w:t>https://doi.org/10.1186/s13643-023-02322-1</w:t>
        </w:r>
      </w:hyperlink>
      <w:r w:rsidRPr="00EB4A90">
        <w:rPr>
          <w:rFonts w:eastAsia="Times New Roman" w:cs="Arial"/>
          <w:szCs w:val="24"/>
          <w:lang w:bidi="bn-IN"/>
        </w:rPr>
        <w:t>.</w:t>
      </w:r>
    </w:p>
    <w:p w14:paraId="7CD40E2E" w14:textId="2B0176D7" w:rsidR="00D92828" w:rsidRDefault="00D92828" w:rsidP="00D92828">
      <w:pPr>
        <w:spacing w:before="0"/>
        <w:jc w:val="left"/>
      </w:pPr>
      <w:proofErr w:type="spellStart"/>
      <w:r w:rsidRPr="00D92828">
        <w:t>Burini</w:t>
      </w:r>
      <w:proofErr w:type="spellEnd"/>
      <w:r w:rsidRPr="00D92828">
        <w:t xml:space="preserve">, G. </w:t>
      </w:r>
      <w:r w:rsidRPr="00D92828">
        <w:rPr>
          <w:i/>
          <w:iCs/>
        </w:rPr>
        <w:t>et al</w:t>
      </w:r>
      <w:r w:rsidRPr="00D92828">
        <w:rPr>
          <w:i/>
          <w:iCs/>
        </w:rPr>
        <w:t>.</w:t>
      </w:r>
      <w:r w:rsidRPr="00D92828">
        <w:t xml:space="preserve"> (2025) ‘Reverse supply chain configurations in the fashion and textile industry’, </w:t>
      </w:r>
      <w:r w:rsidRPr="00D92828">
        <w:rPr>
          <w:i/>
          <w:iCs/>
        </w:rPr>
        <w:t>Sustainable Production and Consumption</w:t>
      </w:r>
      <w:r w:rsidRPr="00D92828">
        <w:t xml:space="preserve">, 56(1), pp. 504–518. Available at: </w:t>
      </w:r>
      <w:hyperlink r:id="rId13" w:history="1">
        <w:r w:rsidRPr="00D92828">
          <w:rPr>
            <w:rStyle w:val="Hyperlink"/>
          </w:rPr>
          <w:t>https://doi.org/10.1016/j.spc.2025.04.016</w:t>
        </w:r>
      </w:hyperlink>
      <w:r w:rsidRPr="00D92828">
        <w:t>.</w:t>
      </w:r>
    </w:p>
    <w:p w14:paraId="6E30FA29" w14:textId="77777777" w:rsidR="00D92828" w:rsidRPr="00D350A6"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Gazzola, P., </w:t>
      </w:r>
      <w:proofErr w:type="spellStart"/>
      <w:r w:rsidRPr="00D350A6">
        <w:rPr>
          <w:rFonts w:eastAsia="Times New Roman" w:cs="Arial"/>
          <w:szCs w:val="24"/>
          <w:lang w:bidi="bn-IN"/>
        </w:rPr>
        <w:t>Pavione</w:t>
      </w:r>
      <w:proofErr w:type="spellEnd"/>
      <w:r w:rsidRPr="00D350A6">
        <w:rPr>
          <w:rFonts w:eastAsia="Times New Roman" w:cs="Arial"/>
          <w:szCs w:val="24"/>
          <w:lang w:bidi="bn-IN"/>
        </w:rPr>
        <w:t xml:space="preserve">, E., Pezzetti, R. and </w:t>
      </w:r>
      <w:proofErr w:type="spellStart"/>
      <w:r w:rsidRPr="00D350A6">
        <w:rPr>
          <w:rFonts w:eastAsia="Times New Roman" w:cs="Arial"/>
          <w:szCs w:val="24"/>
          <w:lang w:bidi="bn-IN"/>
        </w:rPr>
        <w:t>Grechi</w:t>
      </w:r>
      <w:proofErr w:type="spellEnd"/>
      <w:r w:rsidRPr="00D350A6">
        <w:rPr>
          <w:rFonts w:eastAsia="Times New Roman" w:cs="Arial"/>
          <w:szCs w:val="24"/>
          <w:lang w:bidi="bn-IN"/>
        </w:rPr>
        <w:t xml:space="preserve">, D. (2020) ‘Trends in the fashion industry: the perception of sustainability and circular economy’, </w:t>
      </w:r>
      <w:r w:rsidRPr="00D350A6">
        <w:rPr>
          <w:rFonts w:eastAsia="Times New Roman" w:cs="Arial"/>
          <w:i/>
          <w:iCs/>
          <w:szCs w:val="24"/>
          <w:lang w:bidi="bn-IN"/>
        </w:rPr>
        <w:t>Sustainability</w:t>
      </w:r>
      <w:r w:rsidRPr="00D350A6">
        <w:rPr>
          <w:rFonts w:eastAsia="Times New Roman" w:cs="Arial"/>
          <w:szCs w:val="24"/>
          <w:lang w:bidi="bn-IN"/>
        </w:rPr>
        <w:t xml:space="preserve">, 12, Article 2809. </w:t>
      </w:r>
      <w:hyperlink r:id="rId14" w:tgtFrame="_new" w:history="1">
        <w:r w:rsidRPr="00D350A6">
          <w:rPr>
            <w:rStyle w:val="Hyperlink"/>
            <w:rFonts w:eastAsia="Times New Roman" w:cs="Arial"/>
            <w:szCs w:val="24"/>
            <w:lang w:bidi="bn-IN"/>
          </w:rPr>
          <w:t>https://doi.org/10.3390/su12072809</w:t>
        </w:r>
      </w:hyperlink>
    </w:p>
    <w:p w14:paraId="67F9F60C" w14:textId="77777777" w:rsidR="00D92828" w:rsidRPr="00EB4A90"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Gough, D.A., Oliver, S. and Thomas, J. (2017) </w:t>
      </w:r>
      <w:r w:rsidRPr="00EB4A90">
        <w:rPr>
          <w:rFonts w:eastAsia="Times New Roman" w:cs="Arial"/>
          <w:i/>
          <w:iCs/>
          <w:szCs w:val="24"/>
          <w:lang w:bidi="bn-IN"/>
        </w:rPr>
        <w:t>An introduction to systematic reviews</w:t>
      </w:r>
      <w:r w:rsidRPr="00EB4A90">
        <w:rPr>
          <w:rFonts w:eastAsia="Times New Roman" w:cs="Arial"/>
          <w:szCs w:val="24"/>
          <w:lang w:bidi="bn-IN"/>
        </w:rPr>
        <w:t>. Sage.</w:t>
      </w:r>
    </w:p>
    <w:p w14:paraId="7B610DA3"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Gu, B., Tang, X., Liu, L., Li, Y., Fujiwara, T., Sun, H., Gu, A., Yao, Y., Duan, R., Song, J. and Jia, R. (2021) ‘The recyclable waste recycling potential towards zero waste cities’, </w:t>
      </w:r>
      <w:r w:rsidRPr="00D350A6">
        <w:rPr>
          <w:rFonts w:eastAsia="Times New Roman" w:cs="Arial"/>
          <w:i/>
          <w:iCs/>
          <w:szCs w:val="24"/>
          <w:lang w:bidi="bn-IN"/>
        </w:rPr>
        <w:t>Journal of Cleaner Production</w:t>
      </w:r>
      <w:r w:rsidRPr="00D350A6">
        <w:rPr>
          <w:rFonts w:eastAsia="Times New Roman" w:cs="Arial"/>
          <w:szCs w:val="24"/>
          <w:lang w:bidi="bn-IN"/>
        </w:rPr>
        <w:t xml:space="preserve">, 295, Article 126358. </w:t>
      </w:r>
      <w:hyperlink r:id="rId15" w:history="1">
        <w:r w:rsidRPr="00094D79">
          <w:rPr>
            <w:rStyle w:val="Hyperlink"/>
            <w:rFonts w:eastAsia="Times New Roman" w:cs="Arial"/>
            <w:szCs w:val="24"/>
            <w:lang w:bidi="bn-IN"/>
          </w:rPr>
          <w:t>https://doi.org/10.1016/j.jclepro.2021.126358</w:t>
        </w:r>
      </w:hyperlink>
    </w:p>
    <w:p w14:paraId="555519E7" w14:textId="77777777" w:rsidR="00D92828" w:rsidRDefault="00D92828" w:rsidP="001E5B0B">
      <w:pPr>
        <w:spacing w:before="0"/>
        <w:jc w:val="left"/>
        <w:rPr>
          <w:rFonts w:eastAsia="Times New Roman" w:cs="Arial"/>
          <w:szCs w:val="24"/>
          <w:lang w:bidi="bn-IN"/>
        </w:rPr>
      </w:pPr>
      <w:r w:rsidRPr="001E5B0B">
        <w:rPr>
          <w:rFonts w:eastAsia="Times New Roman" w:cs="Arial"/>
          <w:szCs w:val="24"/>
          <w:lang w:bidi="bn-IN"/>
        </w:rPr>
        <w:t xml:space="preserve">Gupta, R., Kushwaha, A., Dave, D. and Mahanta, D.N. (2022) ‘Waste management in fashion and textile industry: recent advances and trends, life-cycle assessment, and circular economy’, in </w:t>
      </w:r>
      <w:r w:rsidRPr="001E5B0B">
        <w:rPr>
          <w:rFonts w:eastAsia="Times New Roman" w:cs="Arial"/>
          <w:i/>
          <w:iCs/>
          <w:szCs w:val="24"/>
          <w:lang w:bidi="bn-IN"/>
        </w:rPr>
        <w:t>Emerging trends to approaching zero waste</w:t>
      </w:r>
      <w:r w:rsidRPr="001E5B0B">
        <w:rPr>
          <w:rFonts w:eastAsia="Times New Roman" w:cs="Arial"/>
          <w:szCs w:val="24"/>
          <w:lang w:bidi="bn-IN"/>
        </w:rPr>
        <w:t xml:space="preserve">. Elsevier, pp. 215–242. </w:t>
      </w:r>
      <w:hyperlink r:id="rId16" w:history="1">
        <w:r w:rsidRPr="00094D79">
          <w:rPr>
            <w:rStyle w:val="Hyperlink"/>
            <w:rFonts w:eastAsia="Times New Roman" w:cs="Arial"/>
            <w:szCs w:val="24"/>
            <w:lang w:bidi="bn-IN"/>
          </w:rPr>
          <w:t>https://doi.org/10.1016/B978-0-323-85403-0.00004-9</w:t>
        </w:r>
      </w:hyperlink>
    </w:p>
    <w:p w14:paraId="3CCF9E24" w14:textId="77777777" w:rsidR="00D92828"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Gusenbauer, M. and </w:t>
      </w:r>
      <w:proofErr w:type="spellStart"/>
      <w:r w:rsidRPr="00EB4A90">
        <w:rPr>
          <w:rFonts w:eastAsia="Times New Roman" w:cs="Arial"/>
          <w:szCs w:val="24"/>
          <w:lang w:bidi="bn-IN"/>
        </w:rPr>
        <w:t>Gauster</w:t>
      </w:r>
      <w:proofErr w:type="spellEnd"/>
      <w:r w:rsidRPr="00EB4A90">
        <w:rPr>
          <w:rFonts w:eastAsia="Times New Roman" w:cs="Arial"/>
          <w:szCs w:val="24"/>
          <w:lang w:bidi="bn-IN"/>
        </w:rPr>
        <w:t xml:space="preserve">, S.P. (2024) ‘How to Search for Literature in Systematic Reviews and meta-analyses: a Comprehensive step-by-step Guide’, </w:t>
      </w:r>
      <w:r w:rsidRPr="00EB4A90">
        <w:rPr>
          <w:rFonts w:eastAsia="Times New Roman" w:cs="Arial"/>
          <w:i/>
          <w:iCs/>
          <w:szCs w:val="24"/>
          <w:lang w:bidi="bn-IN"/>
        </w:rPr>
        <w:t>Technological Forecasting and Social Change</w:t>
      </w:r>
      <w:r w:rsidRPr="00EB4A90">
        <w:rPr>
          <w:rFonts w:eastAsia="Times New Roman" w:cs="Arial"/>
          <w:szCs w:val="24"/>
          <w:lang w:bidi="bn-IN"/>
        </w:rPr>
        <w:t xml:space="preserve">, 212, p. 123833. Available at: </w:t>
      </w:r>
      <w:hyperlink r:id="rId17" w:history="1">
        <w:r w:rsidRPr="00094D79">
          <w:rPr>
            <w:rStyle w:val="Hyperlink"/>
            <w:rFonts w:eastAsia="Times New Roman" w:cs="Arial"/>
            <w:szCs w:val="24"/>
            <w:lang w:bidi="bn-IN"/>
          </w:rPr>
          <w:t>https://doi.org/10.1016/j.techfore.2024.123833</w:t>
        </w:r>
      </w:hyperlink>
      <w:r w:rsidRPr="00EB4A90">
        <w:rPr>
          <w:rFonts w:eastAsia="Times New Roman" w:cs="Arial"/>
          <w:szCs w:val="24"/>
          <w:lang w:bidi="bn-IN"/>
        </w:rPr>
        <w:t>.</w:t>
      </w:r>
    </w:p>
    <w:p w14:paraId="03F2A226" w14:textId="77777777" w:rsidR="00D92828" w:rsidRDefault="00D92828" w:rsidP="001E5B0B">
      <w:pPr>
        <w:spacing w:before="0"/>
        <w:jc w:val="left"/>
        <w:rPr>
          <w:rFonts w:eastAsia="Times New Roman" w:cs="Arial"/>
          <w:szCs w:val="24"/>
          <w:lang w:bidi="bn-IN"/>
        </w:rPr>
      </w:pPr>
      <w:r w:rsidRPr="001E5B0B">
        <w:rPr>
          <w:rFonts w:eastAsia="Times New Roman" w:cs="Arial"/>
          <w:szCs w:val="24"/>
          <w:lang w:bidi="bn-IN"/>
        </w:rPr>
        <w:t xml:space="preserve">Hugo, A., de </w:t>
      </w:r>
      <w:proofErr w:type="spellStart"/>
      <w:r w:rsidRPr="001E5B0B">
        <w:rPr>
          <w:rFonts w:eastAsia="Times New Roman" w:cs="Arial"/>
          <w:szCs w:val="24"/>
          <w:lang w:bidi="bn-IN"/>
        </w:rPr>
        <w:t>Nadae</w:t>
      </w:r>
      <w:proofErr w:type="spellEnd"/>
      <w:r w:rsidRPr="001E5B0B">
        <w:rPr>
          <w:rFonts w:eastAsia="Times New Roman" w:cs="Arial"/>
          <w:szCs w:val="24"/>
          <w:lang w:bidi="bn-IN"/>
        </w:rPr>
        <w:t xml:space="preserve">, J. and da Silva Lima, R. (2021) ‘Can fashion be circular? A literature review on circular economy barriers, drivers, and practices in the fashion </w:t>
      </w:r>
      <w:r w:rsidRPr="001E5B0B">
        <w:rPr>
          <w:rFonts w:eastAsia="Times New Roman" w:cs="Arial"/>
          <w:szCs w:val="24"/>
          <w:lang w:bidi="bn-IN"/>
        </w:rPr>
        <w:lastRenderedPageBreak/>
        <w:t xml:space="preserve">industry’s productive chain’, </w:t>
      </w:r>
      <w:r w:rsidRPr="001E5B0B">
        <w:rPr>
          <w:rFonts w:eastAsia="Times New Roman" w:cs="Arial"/>
          <w:i/>
          <w:iCs/>
          <w:szCs w:val="24"/>
          <w:lang w:bidi="bn-IN"/>
        </w:rPr>
        <w:t>Sustainability</w:t>
      </w:r>
      <w:r w:rsidRPr="001E5B0B">
        <w:rPr>
          <w:rFonts w:eastAsia="Times New Roman" w:cs="Arial"/>
          <w:szCs w:val="24"/>
          <w:lang w:bidi="bn-IN"/>
        </w:rPr>
        <w:t xml:space="preserve">, 13(21), Article 12246. </w:t>
      </w:r>
      <w:hyperlink r:id="rId18" w:history="1">
        <w:r w:rsidRPr="00094D79">
          <w:rPr>
            <w:rStyle w:val="Hyperlink"/>
            <w:rFonts w:eastAsia="Times New Roman" w:cs="Arial"/>
            <w:szCs w:val="24"/>
            <w:lang w:bidi="bn-IN"/>
          </w:rPr>
          <w:t>https://doi.org/10.3390/su132112246</w:t>
        </w:r>
      </w:hyperlink>
      <w:r>
        <w:rPr>
          <w:rFonts w:eastAsia="Times New Roman" w:cs="Arial"/>
          <w:szCs w:val="24"/>
          <w:lang w:bidi="bn-IN"/>
        </w:rPr>
        <w:t>.</w:t>
      </w:r>
    </w:p>
    <w:p w14:paraId="0E4341D5" w14:textId="77777777" w:rsidR="00D92828" w:rsidRPr="001E5B0B" w:rsidRDefault="00D92828" w:rsidP="001E5B0B">
      <w:pPr>
        <w:spacing w:before="0"/>
        <w:jc w:val="left"/>
        <w:rPr>
          <w:rFonts w:eastAsia="Times New Roman" w:cs="Arial"/>
          <w:szCs w:val="24"/>
          <w:lang w:bidi="bn-IN"/>
        </w:rPr>
      </w:pPr>
      <w:r w:rsidRPr="001E5B0B">
        <w:rPr>
          <w:rFonts w:eastAsia="Times New Roman" w:cs="Arial"/>
          <w:szCs w:val="24"/>
          <w:lang w:bidi="bn-IN"/>
        </w:rPr>
        <w:t xml:space="preserve">Islam, M., </w:t>
      </w:r>
      <w:proofErr w:type="spellStart"/>
      <w:r w:rsidRPr="001E5B0B">
        <w:rPr>
          <w:rFonts w:eastAsia="Times New Roman" w:cs="Arial"/>
          <w:szCs w:val="24"/>
          <w:lang w:bidi="bn-IN"/>
        </w:rPr>
        <w:t>Shamsuzzaman</w:t>
      </w:r>
      <w:proofErr w:type="spellEnd"/>
      <w:r w:rsidRPr="001E5B0B">
        <w:rPr>
          <w:rFonts w:eastAsia="Times New Roman" w:cs="Arial"/>
          <w:szCs w:val="24"/>
          <w:lang w:bidi="bn-IN"/>
        </w:rPr>
        <w:t xml:space="preserve">, M., Hasan, H.M.R.U. and Atik, M.A.R. (2025) ‘Environmental sustainability of fashion product made from post-consumer waste: impact across the life cycle’, </w:t>
      </w:r>
      <w:r w:rsidRPr="001E5B0B">
        <w:rPr>
          <w:rFonts w:eastAsia="Times New Roman" w:cs="Arial"/>
          <w:i/>
          <w:iCs/>
          <w:szCs w:val="24"/>
          <w:lang w:bidi="bn-IN"/>
        </w:rPr>
        <w:t>Sustainability</w:t>
      </w:r>
      <w:r w:rsidRPr="001E5B0B">
        <w:rPr>
          <w:rFonts w:eastAsia="Times New Roman" w:cs="Arial"/>
          <w:szCs w:val="24"/>
          <w:lang w:bidi="bn-IN"/>
        </w:rPr>
        <w:t xml:space="preserve">, 17(5), Article 1917. </w:t>
      </w:r>
      <w:hyperlink r:id="rId19" w:tgtFrame="_new" w:history="1">
        <w:r w:rsidRPr="001E5B0B">
          <w:rPr>
            <w:rStyle w:val="Hyperlink"/>
            <w:rFonts w:eastAsia="Times New Roman" w:cs="Arial"/>
            <w:szCs w:val="24"/>
            <w:lang w:bidi="bn-IN"/>
          </w:rPr>
          <w:t>https://doi.org/10.3390/su17051917</w:t>
        </w:r>
      </w:hyperlink>
    </w:p>
    <w:p w14:paraId="45413A6E" w14:textId="77777777" w:rsidR="00D92828" w:rsidRDefault="00D92828" w:rsidP="00D350A6">
      <w:pPr>
        <w:spacing w:before="0"/>
        <w:jc w:val="left"/>
        <w:rPr>
          <w:rFonts w:eastAsia="Times New Roman" w:cs="Arial"/>
          <w:szCs w:val="24"/>
          <w:lang w:bidi="bn-IN"/>
        </w:rPr>
      </w:pPr>
      <w:proofErr w:type="spellStart"/>
      <w:r w:rsidRPr="00D350A6">
        <w:rPr>
          <w:rFonts w:eastAsia="Times New Roman" w:cs="Arial"/>
          <w:szCs w:val="24"/>
          <w:lang w:bidi="bn-IN"/>
        </w:rPr>
        <w:t>Kazancoglu</w:t>
      </w:r>
      <w:proofErr w:type="spellEnd"/>
      <w:r w:rsidRPr="00D350A6">
        <w:rPr>
          <w:rFonts w:eastAsia="Times New Roman" w:cs="Arial"/>
          <w:szCs w:val="24"/>
          <w:lang w:bidi="bn-IN"/>
        </w:rPr>
        <w:t xml:space="preserve">, I., </w:t>
      </w:r>
      <w:proofErr w:type="spellStart"/>
      <w:r w:rsidRPr="00D350A6">
        <w:rPr>
          <w:rFonts w:eastAsia="Times New Roman" w:cs="Arial"/>
          <w:szCs w:val="24"/>
          <w:lang w:bidi="bn-IN"/>
        </w:rPr>
        <w:t>Kazancoglu</w:t>
      </w:r>
      <w:proofErr w:type="spellEnd"/>
      <w:r w:rsidRPr="00D350A6">
        <w:rPr>
          <w:rFonts w:eastAsia="Times New Roman" w:cs="Arial"/>
          <w:szCs w:val="24"/>
          <w:lang w:bidi="bn-IN"/>
        </w:rPr>
        <w:t xml:space="preserve">, Y., </w:t>
      </w:r>
      <w:proofErr w:type="spellStart"/>
      <w:r w:rsidRPr="00D350A6">
        <w:rPr>
          <w:rFonts w:eastAsia="Times New Roman" w:cs="Arial"/>
          <w:szCs w:val="24"/>
          <w:lang w:bidi="bn-IN"/>
        </w:rPr>
        <w:t>Yarimoglu</w:t>
      </w:r>
      <w:proofErr w:type="spellEnd"/>
      <w:r w:rsidRPr="00D350A6">
        <w:rPr>
          <w:rFonts w:eastAsia="Times New Roman" w:cs="Arial"/>
          <w:szCs w:val="24"/>
          <w:lang w:bidi="bn-IN"/>
        </w:rPr>
        <w:t xml:space="preserve">, E. and Kahraman, A. (2020) ‘A conceptual framework for barriers of circular supply chains for sustainability in the textile industry’, </w:t>
      </w:r>
      <w:r w:rsidRPr="00D350A6">
        <w:rPr>
          <w:rFonts w:eastAsia="Times New Roman" w:cs="Arial"/>
          <w:i/>
          <w:iCs/>
          <w:szCs w:val="24"/>
          <w:lang w:bidi="bn-IN"/>
        </w:rPr>
        <w:t>Sustainable Development</w:t>
      </w:r>
      <w:r w:rsidRPr="00D350A6">
        <w:rPr>
          <w:rFonts w:eastAsia="Times New Roman" w:cs="Arial"/>
          <w:szCs w:val="24"/>
          <w:lang w:bidi="bn-IN"/>
        </w:rPr>
        <w:t xml:space="preserve">, 28(5), pp. 1477–1492. </w:t>
      </w:r>
      <w:hyperlink r:id="rId20" w:history="1">
        <w:r w:rsidRPr="00094D79">
          <w:rPr>
            <w:rStyle w:val="Hyperlink"/>
            <w:rFonts w:eastAsia="Times New Roman" w:cs="Arial"/>
            <w:szCs w:val="24"/>
            <w:lang w:bidi="bn-IN"/>
          </w:rPr>
          <w:t>https://doi.org/10.1002/sd.2109</w:t>
        </w:r>
      </w:hyperlink>
      <w:r>
        <w:rPr>
          <w:rFonts w:eastAsia="Times New Roman" w:cs="Arial"/>
          <w:szCs w:val="24"/>
          <w:lang w:bidi="bn-IN"/>
        </w:rPr>
        <w:t>.</w:t>
      </w:r>
    </w:p>
    <w:p w14:paraId="726B74AF" w14:textId="77777777" w:rsidR="00D92828" w:rsidRPr="00D350A6"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Kim, I., Jung, H.J. and Lee, Y. (2021) ‘Consumers’ value and risk perceptions of circular fashion’, </w:t>
      </w:r>
      <w:r w:rsidRPr="00D350A6">
        <w:rPr>
          <w:rFonts w:eastAsia="Times New Roman" w:cs="Arial"/>
          <w:i/>
          <w:iCs/>
          <w:szCs w:val="24"/>
          <w:lang w:bidi="bn-IN"/>
        </w:rPr>
        <w:t>Sustainability</w:t>
      </w:r>
      <w:r w:rsidRPr="00D350A6">
        <w:rPr>
          <w:rFonts w:eastAsia="Times New Roman" w:cs="Arial"/>
          <w:szCs w:val="24"/>
          <w:lang w:bidi="bn-IN"/>
        </w:rPr>
        <w:t xml:space="preserve">, 13, Article 1208. </w:t>
      </w:r>
      <w:hyperlink r:id="rId21" w:tgtFrame="_new" w:history="1">
        <w:r w:rsidRPr="00D350A6">
          <w:rPr>
            <w:rStyle w:val="Hyperlink"/>
            <w:rFonts w:eastAsia="Times New Roman" w:cs="Arial"/>
            <w:szCs w:val="24"/>
            <w:lang w:bidi="bn-IN"/>
          </w:rPr>
          <w:t>https://doi.org/10.3390/su13031208</w:t>
        </w:r>
      </w:hyperlink>
    </w:p>
    <w:p w14:paraId="1F685EE7"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Krauklis, A.E., Karl, C.W., Gagani, A.I. and Jørgensen, J.K. (2021) ‘Composite material recycling technology’, </w:t>
      </w:r>
      <w:r w:rsidRPr="00D350A6">
        <w:rPr>
          <w:rFonts w:eastAsia="Times New Roman" w:cs="Arial"/>
          <w:i/>
          <w:iCs/>
          <w:szCs w:val="24"/>
          <w:lang w:bidi="bn-IN"/>
        </w:rPr>
        <w:t>Journal of Composites Science</w:t>
      </w:r>
      <w:r w:rsidRPr="00D350A6">
        <w:rPr>
          <w:rFonts w:eastAsia="Times New Roman" w:cs="Arial"/>
          <w:szCs w:val="24"/>
          <w:lang w:bidi="bn-IN"/>
        </w:rPr>
        <w:t xml:space="preserve">, 5, Article 28. </w:t>
      </w:r>
      <w:hyperlink r:id="rId22" w:history="1">
        <w:r w:rsidRPr="00094D79">
          <w:rPr>
            <w:rStyle w:val="Hyperlink"/>
            <w:rFonts w:eastAsia="Times New Roman" w:cs="Arial"/>
            <w:szCs w:val="24"/>
            <w:lang w:bidi="bn-IN"/>
          </w:rPr>
          <w:t>https://doi.org/10.3390/jcs5010028</w:t>
        </w:r>
      </w:hyperlink>
      <w:r>
        <w:rPr>
          <w:rFonts w:eastAsia="Times New Roman" w:cs="Arial"/>
          <w:szCs w:val="24"/>
          <w:lang w:bidi="bn-IN"/>
        </w:rPr>
        <w:t>.</w:t>
      </w:r>
    </w:p>
    <w:p w14:paraId="020D8B2E"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Li, X., Wang, L. and Ding, X. (2021) ‘Textile supply chain waste management in China’, </w:t>
      </w:r>
      <w:r w:rsidRPr="00D350A6">
        <w:rPr>
          <w:rFonts w:eastAsia="Times New Roman" w:cs="Arial"/>
          <w:i/>
          <w:iCs/>
          <w:szCs w:val="24"/>
          <w:lang w:bidi="bn-IN"/>
        </w:rPr>
        <w:t>Journal of Cleaner Production</w:t>
      </w:r>
      <w:r w:rsidRPr="00D350A6">
        <w:rPr>
          <w:rFonts w:eastAsia="Times New Roman" w:cs="Arial"/>
          <w:szCs w:val="24"/>
          <w:lang w:bidi="bn-IN"/>
        </w:rPr>
        <w:t xml:space="preserve">, 289, Article 125147. </w:t>
      </w:r>
      <w:hyperlink r:id="rId23" w:history="1">
        <w:r w:rsidRPr="00094D79">
          <w:rPr>
            <w:rStyle w:val="Hyperlink"/>
            <w:rFonts w:eastAsia="Times New Roman" w:cs="Arial"/>
            <w:szCs w:val="24"/>
            <w:lang w:bidi="bn-IN"/>
          </w:rPr>
          <w:t>https://doi.org/10.1016/j.jclepro.2020.125147</w:t>
        </w:r>
      </w:hyperlink>
      <w:r>
        <w:rPr>
          <w:rFonts w:eastAsia="Times New Roman" w:cs="Arial"/>
          <w:szCs w:val="24"/>
          <w:lang w:bidi="bn-IN"/>
        </w:rPr>
        <w:t>.</w:t>
      </w:r>
    </w:p>
    <w:p w14:paraId="5CA10D38" w14:textId="0A82A94F" w:rsidR="00D92828" w:rsidRDefault="00D92828" w:rsidP="004135A0">
      <w:pPr>
        <w:spacing w:before="0"/>
        <w:jc w:val="left"/>
        <w:rPr>
          <w:rFonts w:eastAsia="Times New Roman" w:cs="Arial"/>
          <w:szCs w:val="24"/>
          <w:lang w:bidi="bn-IN"/>
        </w:rPr>
      </w:pPr>
      <w:r w:rsidRPr="004135A0">
        <w:rPr>
          <w:rFonts w:eastAsia="Times New Roman" w:cs="Arial"/>
          <w:szCs w:val="24"/>
          <w:lang w:bidi="bn-IN"/>
        </w:rPr>
        <w:t xml:space="preserve">Manivannan, A. </w:t>
      </w:r>
      <w:r w:rsidRPr="00D92828">
        <w:rPr>
          <w:rFonts w:eastAsia="Times New Roman" w:cs="Arial"/>
          <w:i/>
          <w:iCs/>
          <w:szCs w:val="24"/>
          <w:lang w:bidi="bn-IN"/>
        </w:rPr>
        <w:t>et al</w:t>
      </w:r>
      <w:r w:rsidRPr="004135A0">
        <w:rPr>
          <w:rFonts w:eastAsia="Times New Roman" w:cs="Arial"/>
          <w:i/>
          <w:iCs/>
          <w:szCs w:val="24"/>
          <w:lang w:bidi="bn-IN"/>
        </w:rPr>
        <w:t>.</w:t>
      </w:r>
      <w:r w:rsidRPr="004135A0">
        <w:rPr>
          <w:rFonts w:eastAsia="Times New Roman" w:cs="Arial"/>
          <w:szCs w:val="24"/>
          <w:lang w:bidi="bn-IN"/>
        </w:rPr>
        <w:t xml:space="preserve"> (2025) ‘Evaluating textile waste management policies: Lifecycle gaps and opportunities for improvement’, </w:t>
      </w:r>
      <w:r w:rsidRPr="004135A0">
        <w:rPr>
          <w:rFonts w:eastAsia="Times New Roman" w:cs="Arial"/>
          <w:i/>
          <w:iCs/>
          <w:szCs w:val="24"/>
          <w:lang w:bidi="bn-IN"/>
        </w:rPr>
        <w:t>Waste Management &amp; Research</w:t>
      </w:r>
      <w:r>
        <w:rPr>
          <w:rFonts w:eastAsia="Times New Roman" w:cs="Arial"/>
          <w:i/>
          <w:iCs/>
          <w:szCs w:val="24"/>
          <w:lang w:bidi="bn-IN"/>
        </w:rPr>
        <w:t xml:space="preserve">: </w:t>
      </w:r>
      <w:r w:rsidRPr="004135A0">
        <w:rPr>
          <w:rFonts w:eastAsia="Times New Roman" w:cs="Arial"/>
          <w:i/>
          <w:iCs/>
          <w:szCs w:val="24"/>
          <w:lang w:bidi="bn-IN"/>
        </w:rPr>
        <w:t>The Journal for a Sustainable Circular Economy</w:t>
      </w:r>
      <w:r w:rsidRPr="004135A0">
        <w:rPr>
          <w:rFonts w:eastAsia="Times New Roman" w:cs="Arial"/>
          <w:szCs w:val="24"/>
          <w:lang w:bidi="bn-IN"/>
        </w:rPr>
        <w:t xml:space="preserve">, pp. 734242X251393613–734242X251393613. Available at: </w:t>
      </w:r>
      <w:hyperlink r:id="rId24" w:history="1">
        <w:r w:rsidRPr="004135A0">
          <w:rPr>
            <w:rStyle w:val="Hyperlink"/>
            <w:rFonts w:eastAsia="Times New Roman" w:cs="Arial"/>
            <w:szCs w:val="24"/>
            <w:lang w:bidi="bn-IN"/>
          </w:rPr>
          <w:t>https://doi.or</w:t>
        </w:r>
        <w:r w:rsidRPr="004135A0">
          <w:rPr>
            <w:rStyle w:val="Hyperlink"/>
            <w:rFonts w:eastAsia="Times New Roman" w:cs="Arial"/>
            <w:szCs w:val="24"/>
            <w:lang w:bidi="bn-IN"/>
          </w:rPr>
          <w:t>g</w:t>
        </w:r>
        <w:r w:rsidRPr="004135A0">
          <w:rPr>
            <w:rStyle w:val="Hyperlink"/>
            <w:rFonts w:eastAsia="Times New Roman" w:cs="Arial"/>
            <w:szCs w:val="24"/>
            <w:lang w:bidi="bn-IN"/>
          </w:rPr>
          <w:t>/10.1177/0734242x251393613</w:t>
        </w:r>
      </w:hyperlink>
      <w:r w:rsidRPr="004135A0">
        <w:rPr>
          <w:rFonts w:eastAsia="Times New Roman" w:cs="Arial"/>
          <w:szCs w:val="24"/>
          <w:lang w:bidi="bn-IN"/>
        </w:rPr>
        <w:t>.</w:t>
      </w:r>
    </w:p>
    <w:p w14:paraId="29850F50"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Paco, A., Leal Filho, W., Ávila, L.V. and Dennis, K. (2021) ‘Fostering sustainable consumer behavior regarding clothing’, </w:t>
      </w:r>
      <w:r w:rsidRPr="00D350A6">
        <w:rPr>
          <w:rFonts w:eastAsia="Times New Roman" w:cs="Arial"/>
          <w:i/>
          <w:iCs/>
          <w:szCs w:val="24"/>
          <w:lang w:bidi="bn-IN"/>
        </w:rPr>
        <w:t>Textile Research Journal</w:t>
      </w:r>
      <w:r w:rsidRPr="00D350A6">
        <w:rPr>
          <w:rFonts w:eastAsia="Times New Roman" w:cs="Arial"/>
          <w:szCs w:val="24"/>
          <w:lang w:bidi="bn-IN"/>
        </w:rPr>
        <w:t xml:space="preserve">, 91(3–4), pp. 373–384. </w:t>
      </w:r>
      <w:hyperlink r:id="rId25" w:history="1">
        <w:r w:rsidRPr="00094D79">
          <w:rPr>
            <w:rStyle w:val="Hyperlink"/>
            <w:rFonts w:eastAsia="Times New Roman" w:cs="Arial"/>
            <w:szCs w:val="24"/>
            <w:lang w:bidi="bn-IN"/>
          </w:rPr>
          <w:t>https://doi.org/10.1177/004051752094</w:t>
        </w:r>
      </w:hyperlink>
      <w:r>
        <w:rPr>
          <w:rFonts w:eastAsia="Times New Roman" w:cs="Arial"/>
          <w:szCs w:val="24"/>
          <w:lang w:bidi="bn-IN"/>
        </w:rPr>
        <w:t>.</w:t>
      </w:r>
    </w:p>
    <w:p w14:paraId="70A9451A" w14:textId="66CC97E5" w:rsidR="00D92828" w:rsidRDefault="00D92828" w:rsidP="00EB4A90">
      <w:pPr>
        <w:spacing w:before="0"/>
        <w:jc w:val="left"/>
        <w:rPr>
          <w:rFonts w:eastAsia="Times New Roman" w:cs="Arial"/>
          <w:szCs w:val="24"/>
          <w:lang w:bidi="bn-IN"/>
        </w:rPr>
      </w:pPr>
      <w:r w:rsidRPr="00D92828">
        <w:rPr>
          <w:rFonts w:eastAsia="Times New Roman" w:cs="Arial"/>
          <w:szCs w:val="24"/>
          <w:lang w:val="nl-NL" w:bidi="bn-IN"/>
        </w:rPr>
        <w:t xml:space="preserve">Page, M.J. </w:t>
      </w:r>
      <w:r w:rsidRPr="00D92828">
        <w:rPr>
          <w:rFonts w:eastAsia="Times New Roman" w:cs="Arial"/>
          <w:i/>
          <w:iCs/>
          <w:szCs w:val="24"/>
          <w:lang w:val="nl-NL" w:bidi="bn-IN"/>
        </w:rPr>
        <w:t>et al.</w:t>
      </w:r>
      <w:r w:rsidRPr="00D92828">
        <w:rPr>
          <w:rFonts w:eastAsia="Times New Roman" w:cs="Arial"/>
          <w:szCs w:val="24"/>
          <w:lang w:val="nl-NL" w:bidi="bn-IN"/>
        </w:rPr>
        <w:t xml:space="preserve"> </w:t>
      </w:r>
      <w:r w:rsidRPr="00EB4A90">
        <w:rPr>
          <w:rFonts w:eastAsia="Times New Roman" w:cs="Arial"/>
          <w:szCs w:val="24"/>
          <w:lang w:bidi="bn-IN"/>
        </w:rPr>
        <w:t xml:space="preserve">(2021) ‘The PRISMA 2020 statement: an Updated Guideline for Reporting Systematic Reviews’, </w:t>
      </w:r>
      <w:r w:rsidRPr="00EB4A90">
        <w:rPr>
          <w:rFonts w:eastAsia="Times New Roman" w:cs="Arial"/>
          <w:i/>
          <w:iCs/>
          <w:szCs w:val="24"/>
          <w:lang w:bidi="bn-IN"/>
        </w:rPr>
        <w:t>Systematic Reviews</w:t>
      </w:r>
      <w:r w:rsidRPr="00EB4A90">
        <w:rPr>
          <w:rFonts w:eastAsia="Times New Roman" w:cs="Arial"/>
          <w:szCs w:val="24"/>
          <w:lang w:bidi="bn-IN"/>
        </w:rPr>
        <w:t xml:space="preserve">, 10(1). Available at: </w:t>
      </w:r>
      <w:hyperlink r:id="rId26" w:history="1">
        <w:r w:rsidRPr="00094D79">
          <w:rPr>
            <w:rStyle w:val="Hyperlink"/>
            <w:rFonts w:eastAsia="Times New Roman" w:cs="Arial"/>
            <w:szCs w:val="24"/>
            <w:lang w:bidi="bn-IN"/>
          </w:rPr>
          <w:t>https://doi.org/10.1186/s13643-021-01626-4</w:t>
        </w:r>
      </w:hyperlink>
      <w:r w:rsidRPr="00EB4A90">
        <w:rPr>
          <w:rFonts w:eastAsia="Times New Roman" w:cs="Arial"/>
          <w:szCs w:val="24"/>
          <w:lang w:bidi="bn-IN"/>
        </w:rPr>
        <w:t>.</w:t>
      </w:r>
    </w:p>
    <w:p w14:paraId="28CCFCDE" w14:textId="77777777" w:rsidR="00D92828" w:rsidRPr="001E5B0B" w:rsidRDefault="00D92828" w:rsidP="001E5B0B">
      <w:pPr>
        <w:spacing w:before="0"/>
        <w:jc w:val="left"/>
        <w:rPr>
          <w:rFonts w:eastAsia="Times New Roman" w:cs="Arial"/>
          <w:szCs w:val="24"/>
          <w:lang w:bidi="bn-IN"/>
        </w:rPr>
      </w:pPr>
      <w:r w:rsidRPr="001E5B0B">
        <w:rPr>
          <w:rFonts w:eastAsia="Times New Roman" w:cs="Arial"/>
          <w:szCs w:val="24"/>
          <w:lang w:bidi="bn-IN"/>
        </w:rPr>
        <w:t xml:space="preserve">Pakdel, E., Kashi, S., Varley, R. and Wang, X. (2021) ‘Recent progress in recycling carbon </w:t>
      </w:r>
      <w:proofErr w:type="spellStart"/>
      <w:r w:rsidRPr="001E5B0B">
        <w:rPr>
          <w:rFonts w:eastAsia="Times New Roman" w:cs="Arial"/>
          <w:szCs w:val="24"/>
          <w:lang w:bidi="bn-IN"/>
        </w:rPr>
        <w:t>fibre</w:t>
      </w:r>
      <w:proofErr w:type="spellEnd"/>
      <w:r w:rsidRPr="001E5B0B">
        <w:rPr>
          <w:rFonts w:eastAsia="Times New Roman" w:cs="Arial"/>
          <w:szCs w:val="24"/>
          <w:lang w:bidi="bn-IN"/>
        </w:rPr>
        <w:t xml:space="preserve"> reinforced composites and dry carbon </w:t>
      </w:r>
      <w:proofErr w:type="spellStart"/>
      <w:r w:rsidRPr="001E5B0B">
        <w:rPr>
          <w:rFonts w:eastAsia="Times New Roman" w:cs="Arial"/>
          <w:szCs w:val="24"/>
          <w:lang w:bidi="bn-IN"/>
        </w:rPr>
        <w:t>fibre</w:t>
      </w:r>
      <w:proofErr w:type="spellEnd"/>
      <w:r w:rsidRPr="001E5B0B">
        <w:rPr>
          <w:rFonts w:eastAsia="Times New Roman" w:cs="Arial"/>
          <w:szCs w:val="24"/>
          <w:lang w:bidi="bn-IN"/>
        </w:rPr>
        <w:t xml:space="preserve"> wastes’, </w:t>
      </w:r>
      <w:r w:rsidRPr="001E5B0B">
        <w:rPr>
          <w:rFonts w:eastAsia="Times New Roman" w:cs="Arial"/>
          <w:i/>
          <w:iCs/>
          <w:szCs w:val="24"/>
          <w:lang w:bidi="bn-IN"/>
        </w:rPr>
        <w:t xml:space="preserve">Resources, </w:t>
      </w:r>
      <w:r w:rsidRPr="001E5B0B">
        <w:rPr>
          <w:rFonts w:eastAsia="Times New Roman" w:cs="Arial"/>
          <w:i/>
          <w:iCs/>
          <w:szCs w:val="24"/>
          <w:lang w:bidi="bn-IN"/>
        </w:rPr>
        <w:lastRenderedPageBreak/>
        <w:t>Conservation and Recycling</w:t>
      </w:r>
      <w:r w:rsidRPr="001E5B0B">
        <w:rPr>
          <w:rFonts w:eastAsia="Times New Roman" w:cs="Arial"/>
          <w:szCs w:val="24"/>
          <w:lang w:bidi="bn-IN"/>
        </w:rPr>
        <w:t xml:space="preserve">, 166, Article 105340. </w:t>
      </w:r>
      <w:hyperlink r:id="rId27" w:tgtFrame="_new" w:history="1">
        <w:r w:rsidRPr="001E5B0B">
          <w:rPr>
            <w:rStyle w:val="Hyperlink"/>
            <w:rFonts w:eastAsia="Times New Roman" w:cs="Arial"/>
            <w:szCs w:val="24"/>
            <w:lang w:bidi="bn-IN"/>
          </w:rPr>
          <w:t>https://doi.org/10.1016/j.resconrec.2020.105340</w:t>
        </w:r>
      </w:hyperlink>
    </w:p>
    <w:p w14:paraId="5B0DA564"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Semba, T., Sakai, Y., Ishikawa, M. and Inaba, A. (2020) ‘Greenhouse gas emission reductions by reusing and recycling used clothing in Japan’, </w:t>
      </w:r>
      <w:r w:rsidRPr="00D350A6">
        <w:rPr>
          <w:rFonts w:eastAsia="Times New Roman" w:cs="Arial"/>
          <w:i/>
          <w:iCs/>
          <w:szCs w:val="24"/>
          <w:lang w:bidi="bn-IN"/>
        </w:rPr>
        <w:t>Sustainability</w:t>
      </w:r>
      <w:r w:rsidRPr="00D350A6">
        <w:rPr>
          <w:rFonts w:eastAsia="Times New Roman" w:cs="Arial"/>
          <w:szCs w:val="24"/>
          <w:lang w:bidi="bn-IN"/>
        </w:rPr>
        <w:t xml:space="preserve">, 12(19), Article 8214. </w:t>
      </w:r>
      <w:hyperlink r:id="rId28" w:history="1">
        <w:r w:rsidRPr="00094D79">
          <w:rPr>
            <w:rStyle w:val="Hyperlink"/>
            <w:rFonts w:eastAsia="Times New Roman" w:cs="Arial"/>
            <w:szCs w:val="24"/>
            <w:lang w:bidi="bn-IN"/>
          </w:rPr>
          <w:t>https://doi.org/10.3390/su12198214</w:t>
        </w:r>
      </w:hyperlink>
      <w:r>
        <w:rPr>
          <w:rFonts w:eastAsia="Times New Roman" w:cs="Arial"/>
          <w:szCs w:val="24"/>
          <w:lang w:bidi="bn-IN"/>
        </w:rPr>
        <w:t>.</w:t>
      </w:r>
    </w:p>
    <w:p w14:paraId="358ED7E1" w14:textId="6B0000EA" w:rsidR="00D92828"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Shaheen, N. </w:t>
      </w:r>
      <w:r w:rsidRPr="00D92828">
        <w:rPr>
          <w:rFonts w:eastAsia="Times New Roman" w:cs="Arial"/>
          <w:i/>
          <w:iCs/>
          <w:szCs w:val="24"/>
          <w:lang w:bidi="bn-IN"/>
        </w:rPr>
        <w:t>et al</w:t>
      </w:r>
      <w:r w:rsidRPr="00EB4A90">
        <w:rPr>
          <w:rFonts w:eastAsia="Times New Roman" w:cs="Arial"/>
          <w:i/>
          <w:iCs/>
          <w:szCs w:val="24"/>
          <w:lang w:bidi="bn-IN"/>
        </w:rPr>
        <w:t>.</w:t>
      </w:r>
      <w:r w:rsidRPr="00EB4A90">
        <w:rPr>
          <w:rFonts w:eastAsia="Times New Roman" w:cs="Arial"/>
          <w:szCs w:val="24"/>
          <w:lang w:bidi="bn-IN"/>
        </w:rPr>
        <w:t xml:space="preserve"> (2023) ‘Appraising Systematic reviews: a Comprehensive Guide to Ensuring Validity and Reliability’, </w:t>
      </w:r>
      <w:r w:rsidRPr="00EB4A90">
        <w:rPr>
          <w:rFonts w:eastAsia="Times New Roman" w:cs="Arial"/>
          <w:i/>
          <w:iCs/>
          <w:szCs w:val="24"/>
          <w:lang w:bidi="bn-IN"/>
        </w:rPr>
        <w:t>Frontiers in Research Metrics and Analytics</w:t>
      </w:r>
      <w:r w:rsidRPr="00EB4A90">
        <w:rPr>
          <w:rFonts w:eastAsia="Times New Roman" w:cs="Arial"/>
          <w:szCs w:val="24"/>
          <w:lang w:bidi="bn-IN"/>
        </w:rPr>
        <w:t xml:space="preserve">, 8(8). Available at: </w:t>
      </w:r>
      <w:hyperlink r:id="rId29" w:history="1">
        <w:r w:rsidRPr="00094D79">
          <w:rPr>
            <w:rStyle w:val="Hyperlink"/>
            <w:rFonts w:eastAsia="Times New Roman" w:cs="Arial"/>
            <w:szCs w:val="24"/>
            <w:lang w:bidi="bn-IN"/>
          </w:rPr>
          <w:t>https://doi.org/10.3389/frma.2023.1268045</w:t>
        </w:r>
      </w:hyperlink>
      <w:r w:rsidRPr="00EB4A90">
        <w:rPr>
          <w:rFonts w:eastAsia="Times New Roman" w:cs="Arial"/>
          <w:szCs w:val="24"/>
          <w:lang w:bidi="bn-IN"/>
        </w:rPr>
        <w:t>.</w:t>
      </w:r>
    </w:p>
    <w:p w14:paraId="43FC9174" w14:textId="1F8FE7B2" w:rsidR="00D92828" w:rsidRDefault="00D92828" w:rsidP="001E5B0B">
      <w:pPr>
        <w:spacing w:before="0"/>
        <w:jc w:val="left"/>
      </w:pPr>
      <w:proofErr w:type="spellStart"/>
      <w:r w:rsidRPr="00D92828">
        <w:t>Shamsuzzaman</w:t>
      </w:r>
      <w:proofErr w:type="spellEnd"/>
      <w:r w:rsidRPr="00D92828">
        <w:t xml:space="preserve">, M. </w:t>
      </w:r>
      <w:r w:rsidRPr="00D92828">
        <w:rPr>
          <w:i/>
          <w:iCs/>
        </w:rPr>
        <w:t>et al</w:t>
      </w:r>
      <w:r w:rsidRPr="00D92828">
        <w:rPr>
          <w:i/>
          <w:iCs/>
        </w:rPr>
        <w:t>.</w:t>
      </w:r>
      <w:r w:rsidRPr="00D92828">
        <w:t xml:space="preserve"> (2025) ‘Fashion and Textile Waste Management in the Circular Economy: A Systematic Review’, </w:t>
      </w:r>
      <w:r w:rsidRPr="00D92828">
        <w:rPr>
          <w:i/>
          <w:iCs/>
        </w:rPr>
        <w:t>Cleaner Waste Systems</w:t>
      </w:r>
      <w:r w:rsidRPr="00D92828">
        <w:t xml:space="preserve">, 11(1), pp. 1–19. Available at: </w:t>
      </w:r>
      <w:hyperlink r:id="rId30" w:history="1">
        <w:r w:rsidRPr="00D92828">
          <w:rPr>
            <w:rStyle w:val="Hyperlink"/>
          </w:rPr>
          <w:t>https://doi.org/10.1016/j.clwas.2025.100268</w:t>
        </w:r>
      </w:hyperlink>
      <w:r w:rsidRPr="00D92828">
        <w:t>.</w:t>
      </w:r>
    </w:p>
    <w:p w14:paraId="797B94A7" w14:textId="77777777" w:rsidR="00D92828" w:rsidRDefault="00D92828" w:rsidP="00D350A6">
      <w:pPr>
        <w:spacing w:before="0"/>
        <w:jc w:val="left"/>
        <w:rPr>
          <w:rFonts w:eastAsia="Times New Roman" w:cs="Arial"/>
          <w:szCs w:val="24"/>
          <w:lang w:bidi="bn-IN"/>
        </w:rPr>
      </w:pPr>
      <w:proofErr w:type="spellStart"/>
      <w:r w:rsidRPr="00D350A6">
        <w:rPr>
          <w:rFonts w:eastAsia="Times New Roman" w:cs="Arial"/>
          <w:szCs w:val="24"/>
          <w:lang w:bidi="bn-IN"/>
        </w:rPr>
        <w:t>Shamsuzzaman</w:t>
      </w:r>
      <w:proofErr w:type="spellEnd"/>
      <w:r w:rsidRPr="00D350A6">
        <w:rPr>
          <w:rFonts w:eastAsia="Times New Roman" w:cs="Arial"/>
          <w:szCs w:val="24"/>
          <w:lang w:bidi="bn-IN"/>
        </w:rPr>
        <w:t xml:space="preserve">, M., Kashem, M.A., Sayem, A.S.M., Khan, A.M., Shamsuddin, S.M. and Islam, M.M. (2021) ‘Quantifying environmental sustainability of denim garments washing factories’, </w:t>
      </w:r>
      <w:r w:rsidRPr="00D350A6">
        <w:rPr>
          <w:rFonts w:eastAsia="Times New Roman" w:cs="Arial"/>
          <w:i/>
          <w:iCs/>
          <w:szCs w:val="24"/>
          <w:lang w:bidi="bn-IN"/>
        </w:rPr>
        <w:t>Journal of Cleaner Production</w:t>
      </w:r>
      <w:r w:rsidRPr="00D350A6">
        <w:rPr>
          <w:rFonts w:eastAsia="Times New Roman" w:cs="Arial"/>
          <w:szCs w:val="24"/>
          <w:lang w:bidi="bn-IN"/>
        </w:rPr>
        <w:t xml:space="preserve">, 290, Article 125740. </w:t>
      </w:r>
      <w:hyperlink r:id="rId31" w:history="1">
        <w:r w:rsidRPr="00094D79">
          <w:rPr>
            <w:rStyle w:val="Hyperlink"/>
            <w:rFonts w:eastAsia="Times New Roman" w:cs="Arial"/>
            <w:szCs w:val="24"/>
            <w:lang w:bidi="bn-IN"/>
          </w:rPr>
          <w:t>https://doi.org/10.1016/j.jclepro.2020.125740</w:t>
        </w:r>
      </w:hyperlink>
      <w:r>
        <w:rPr>
          <w:rFonts w:eastAsia="Times New Roman" w:cs="Arial"/>
          <w:szCs w:val="24"/>
          <w:lang w:bidi="bn-IN"/>
        </w:rPr>
        <w:t>.</w:t>
      </w:r>
    </w:p>
    <w:p w14:paraId="1502D118" w14:textId="77777777" w:rsidR="00D92828"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Suri, H. (2020) ‘Ethical Considerations of Conducting Systematic Reviews in Educational Research’, </w:t>
      </w:r>
      <w:r w:rsidRPr="00EB4A90">
        <w:rPr>
          <w:rFonts w:eastAsia="Times New Roman" w:cs="Arial"/>
          <w:i/>
          <w:iCs/>
          <w:szCs w:val="24"/>
          <w:lang w:bidi="bn-IN"/>
        </w:rPr>
        <w:t>Systematic Reviews in Educational Research</w:t>
      </w:r>
      <w:r w:rsidRPr="00EB4A90">
        <w:rPr>
          <w:rFonts w:eastAsia="Times New Roman" w:cs="Arial"/>
          <w:szCs w:val="24"/>
          <w:lang w:bidi="bn-IN"/>
        </w:rPr>
        <w:t xml:space="preserve">, 1(1), pp. 41–54. Available at: </w:t>
      </w:r>
      <w:hyperlink r:id="rId32" w:history="1">
        <w:r w:rsidRPr="00094D79">
          <w:rPr>
            <w:rStyle w:val="Hyperlink"/>
            <w:rFonts w:eastAsia="Times New Roman" w:cs="Arial"/>
            <w:szCs w:val="24"/>
            <w:lang w:bidi="bn-IN"/>
          </w:rPr>
          <w:t>https://doi.org/10.1007/978-3-658-27602-7_3</w:t>
        </w:r>
      </w:hyperlink>
      <w:r w:rsidRPr="00EB4A90">
        <w:rPr>
          <w:rFonts w:eastAsia="Times New Roman" w:cs="Arial"/>
          <w:szCs w:val="24"/>
          <w:lang w:bidi="bn-IN"/>
        </w:rPr>
        <w:t>.</w:t>
      </w:r>
    </w:p>
    <w:p w14:paraId="281C341A" w14:textId="77777777" w:rsidR="00D92828" w:rsidRDefault="00D92828" w:rsidP="001E5B0B">
      <w:pPr>
        <w:spacing w:before="0"/>
        <w:jc w:val="left"/>
        <w:rPr>
          <w:rFonts w:eastAsia="Times New Roman" w:cs="Arial"/>
          <w:szCs w:val="24"/>
          <w:lang w:bidi="bn-IN"/>
        </w:rPr>
      </w:pPr>
      <w:r w:rsidRPr="00D350A6">
        <w:rPr>
          <w:rFonts w:eastAsia="Times New Roman" w:cs="Arial"/>
          <w:szCs w:val="24"/>
          <w:lang w:bidi="bn-IN"/>
        </w:rPr>
        <w:t xml:space="preserve">Takacs, F., Brunner, D. and Frankenberger, K. (2022) ‘Barriers to a circular economy in small- and medium-sized enterprises’, </w:t>
      </w:r>
      <w:r w:rsidRPr="00D350A6">
        <w:rPr>
          <w:rFonts w:eastAsia="Times New Roman" w:cs="Arial"/>
          <w:i/>
          <w:iCs/>
          <w:szCs w:val="24"/>
          <w:lang w:bidi="bn-IN"/>
        </w:rPr>
        <w:t>Journal of Cleaner Production</w:t>
      </w:r>
      <w:r w:rsidRPr="00D350A6">
        <w:rPr>
          <w:rFonts w:eastAsia="Times New Roman" w:cs="Arial"/>
          <w:szCs w:val="24"/>
          <w:lang w:bidi="bn-IN"/>
        </w:rPr>
        <w:t xml:space="preserve">, 362, Article 132227. </w:t>
      </w:r>
      <w:hyperlink r:id="rId33" w:history="1">
        <w:r w:rsidRPr="00094D79">
          <w:rPr>
            <w:rStyle w:val="Hyperlink"/>
            <w:rFonts w:eastAsia="Times New Roman" w:cs="Arial"/>
            <w:szCs w:val="24"/>
            <w:lang w:bidi="bn-IN"/>
          </w:rPr>
          <w:t>https://doi.org/10.1016/j.jclepro.2022.132227</w:t>
        </w:r>
      </w:hyperlink>
      <w:r>
        <w:rPr>
          <w:rFonts w:eastAsia="Times New Roman" w:cs="Arial"/>
          <w:szCs w:val="24"/>
          <w:lang w:bidi="bn-IN"/>
        </w:rPr>
        <w:t>.</w:t>
      </w:r>
    </w:p>
    <w:p w14:paraId="5D078DA1" w14:textId="77777777" w:rsidR="00D92828" w:rsidRDefault="00D92828" w:rsidP="001E5B0B">
      <w:pPr>
        <w:spacing w:before="0"/>
        <w:jc w:val="left"/>
        <w:rPr>
          <w:rFonts w:eastAsia="Times New Roman" w:cs="Arial"/>
          <w:szCs w:val="24"/>
          <w:lang w:bidi="bn-IN"/>
        </w:rPr>
      </w:pPr>
      <w:r w:rsidRPr="004135A0">
        <w:rPr>
          <w:rFonts w:eastAsia="Times New Roman" w:cs="Arial"/>
          <w:szCs w:val="24"/>
          <w:lang w:bidi="bn-IN"/>
        </w:rPr>
        <w:t xml:space="preserve">Tang, D. (2023) ‘State of the Art in Textile Waste Management: A Review’, </w:t>
      </w:r>
      <w:r w:rsidRPr="004135A0">
        <w:rPr>
          <w:rFonts w:eastAsia="Times New Roman" w:cs="Arial"/>
          <w:i/>
          <w:iCs/>
          <w:szCs w:val="24"/>
          <w:lang w:bidi="bn-IN"/>
        </w:rPr>
        <w:t>Textiles</w:t>
      </w:r>
      <w:r w:rsidRPr="004135A0">
        <w:rPr>
          <w:rFonts w:eastAsia="Times New Roman" w:cs="Arial"/>
          <w:szCs w:val="24"/>
          <w:lang w:bidi="bn-IN"/>
        </w:rPr>
        <w:t xml:space="preserve">, 3(4), pp. 454–467. Available at: </w:t>
      </w:r>
      <w:hyperlink r:id="rId34" w:history="1">
        <w:r w:rsidRPr="004135A0">
          <w:rPr>
            <w:rStyle w:val="Hyperlink"/>
            <w:rFonts w:eastAsia="Times New Roman" w:cs="Arial"/>
            <w:szCs w:val="24"/>
            <w:lang w:bidi="bn-IN"/>
          </w:rPr>
          <w:t>https://doi.org/10.3390/textiles3040027</w:t>
        </w:r>
      </w:hyperlink>
      <w:r w:rsidRPr="004135A0">
        <w:rPr>
          <w:rFonts w:eastAsia="Times New Roman" w:cs="Arial"/>
          <w:szCs w:val="24"/>
          <w:lang w:bidi="bn-IN"/>
        </w:rPr>
        <w:t>.</w:t>
      </w:r>
    </w:p>
    <w:p w14:paraId="05D13E92" w14:textId="4A62EC6B" w:rsidR="00D92828" w:rsidRPr="00D92828" w:rsidRDefault="00D92828" w:rsidP="001E5B0B">
      <w:pPr>
        <w:spacing w:before="0"/>
        <w:jc w:val="left"/>
      </w:pPr>
      <w:r w:rsidRPr="001E5B0B">
        <w:rPr>
          <w:rFonts w:eastAsia="Times New Roman" w:cs="Arial"/>
          <w:szCs w:val="24"/>
          <w:lang w:bidi="bn-IN"/>
        </w:rPr>
        <w:t>United Nations (</w:t>
      </w:r>
      <w:r>
        <w:rPr>
          <w:rFonts w:eastAsia="Times New Roman" w:cs="Arial"/>
          <w:szCs w:val="24"/>
          <w:lang w:bidi="bn-IN"/>
        </w:rPr>
        <w:t>2025</w:t>
      </w:r>
      <w:r w:rsidRPr="001E5B0B">
        <w:rPr>
          <w:rFonts w:eastAsia="Times New Roman" w:cs="Arial"/>
          <w:szCs w:val="24"/>
          <w:lang w:bidi="bn-IN"/>
        </w:rPr>
        <w:t xml:space="preserve">) </w:t>
      </w:r>
      <w:r w:rsidRPr="001E5B0B">
        <w:rPr>
          <w:rFonts w:eastAsia="Times New Roman" w:cs="Arial"/>
          <w:i/>
          <w:iCs/>
          <w:szCs w:val="24"/>
          <w:lang w:bidi="bn-IN"/>
        </w:rPr>
        <w:t>The 17 goals: Sustainable Development Goals</w:t>
      </w:r>
      <w:r w:rsidRPr="001E5B0B">
        <w:rPr>
          <w:rFonts w:eastAsia="Times New Roman" w:cs="Arial"/>
          <w:szCs w:val="24"/>
          <w:lang w:bidi="bn-IN"/>
        </w:rPr>
        <w:t xml:space="preserve">. Available at: </w:t>
      </w:r>
      <w:hyperlink r:id="rId35" w:history="1">
        <w:r w:rsidRPr="00DA663D">
          <w:rPr>
            <w:rStyle w:val="Hyperlink"/>
          </w:rPr>
          <w:t>https://sdgs.un.org/goals</w:t>
        </w:r>
      </w:hyperlink>
      <w:r>
        <w:t xml:space="preserve"> </w:t>
      </w:r>
      <w:r w:rsidRPr="001E5B0B">
        <w:rPr>
          <w:rFonts w:eastAsia="Times New Roman" w:cs="Arial"/>
          <w:szCs w:val="24"/>
          <w:lang w:bidi="bn-IN"/>
        </w:rPr>
        <w:t xml:space="preserve">(Accessed: </w:t>
      </w:r>
      <w:r>
        <w:rPr>
          <w:rFonts w:eastAsia="Times New Roman" w:cs="Arial"/>
          <w:szCs w:val="24"/>
          <w:lang w:bidi="bn-IN"/>
        </w:rPr>
        <w:t>28 January 2026</w:t>
      </w:r>
      <w:r w:rsidRPr="001E5B0B">
        <w:rPr>
          <w:rFonts w:eastAsia="Times New Roman" w:cs="Arial"/>
          <w:szCs w:val="24"/>
          <w:lang w:bidi="bn-IN"/>
        </w:rPr>
        <w:t>).</w:t>
      </w:r>
    </w:p>
    <w:p w14:paraId="475A1BCA" w14:textId="77777777" w:rsidR="00D92828" w:rsidRDefault="00D92828" w:rsidP="00EB4A90">
      <w:pPr>
        <w:spacing w:before="0"/>
        <w:jc w:val="left"/>
        <w:rPr>
          <w:rFonts w:eastAsia="Times New Roman" w:cs="Arial"/>
          <w:szCs w:val="24"/>
          <w:lang w:bidi="bn-IN"/>
        </w:rPr>
      </w:pPr>
      <w:r w:rsidRPr="00EB4A90">
        <w:rPr>
          <w:rFonts w:eastAsia="Times New Roman" w:cs="Arial"/>
          <w:szCs w:val="24"/>
          <w:lang w:bidi="bn-IN"/>
        </w:rPr>
        <w:t xml:space="preserve">UWTSD (2022) </w:t>
      </w:r>
      <w:r w:rsidRPr="00EB4A90">
        <w:rPr>
          <w:rFonts w:eastAsia="Times New Roman" w:cs="Arial"/>
          <w:i/>
          <w:iCs/>
          <w:szCs w:val="24"/>
          <w:lang w:bidi="bn-IN"/>
        </w:rPr>
        <w:t>Research Integrity and Ethics</w:t>
      </w:r>
      <w:r w:rsidRPr="00EB4A90">
        <w:rPr>
          <w:rFonts w:eastAsia="Times New Roman" w:cs="Arial"/>
          <w:szCs w:val="24"/>
          <w:lang w:bidi="bn-IN"/>
        </w:rPr>
        <w:t xml:space="preserve">, </w:t>
      </w:r>
      <w:r w:rsidRPr="00EB4A90">
        <w:rPr>
          <w:rFonts w:eastAsia="Times New Roman" w:cs="Arial"/>
          <w:i/>
          <w:iCs/>
          <w:szCs w:val="24"/>
          <w:lang w:bidi="bn-IN"/>
        </w:rPr>
        <w:t>The University of Wales Trinity Saint David</w:t>
      </w:r>
      <w:r w:rsidRPr="00EB4A90">
        <w:rPr>
          <w:rFonts w:eastAsia="Times New Roman" w:cs="Arial"/>
          <w:szCs w:val="24"/>
          <w:lang w:bidi="bn-IN"/>
        </w:rPr>
        <w:t xml:space="preserve">. Available at: </w:t>
      </w:r>
      <w:hyperlink r:id="rId36" w:history="1">
        <w:r w:rsidRPr="00094D79">
          <w:rPr>
            <w:rStyle w:val="Hyperlink"/>
            <w:rFonts w:eastAsia="Times New Roman" w:cs="Arial"/>
            <w:szCs w:val="24"/>
            <w:lang w:bidi="bn-IN"/>
          </w:rPr>
          <w:t>https://www.uwtsd.ac.uk/research/research-integrity-and-ethics</w:t>
        </w:r>
      </w:hyperlink>
      <w:r w:rsidRPr="00EB4A90">
        <w:rPr>
          <w:rFonts w:eastAsia="Times New Roman" w:cs="Arial"/>
          <w:szCs w:val="24"/>
          <w:lang w:bidi="bn-IN"/>
        </w:rPr>
        <w:t>.</w:t>
      </w:r>
    </w:p>
    <w:p w14:paraId="66E8E96D" w14:textId="77777777" w:rsidR="00D92828" w:rsidRDefault="00D92828" w:rsidP="00D350A6">
      <w:pPr>
        <w:spacing w:before="0"/>
        <w:jc w:val="left"/>
        <w:rPr>
          <w:rFonts w:eastAsia="Times New Roman" w:cs="Arial"/>
          <w:szCs w:val="24"/>
          <w:lang w:bidi="bn-IN"/>
        </w:rPr>
      </w:pPr>
      <w:r w:rsidRPr="00D350A6">
        <w:rPr>
          <w:rFonts w:eastAsia="Times New Roman" w:cs="Arial"/>
          <w:szCs w:val="24"/>
          <w:lang w:bidi="bn-IN"/>
        </w:rPr>
        <w:t xml:space="preserve">Wang, B., Luo, W., Zhang, A., Tian, Z. and Li, Z. (2020) ‘Blockchain-enabled circular supply chain management’, </w:t>
      </w:r>
      <w:r w:rsidRPr="00D350A6">
        <w:rPr>
          <w:rFonts w:eastAsia="Times New Roman" w:cs="Arial"/>
          <w:i/>
          <w:iCs/>
          <w:szCs w:val="24"/>
          <w:lang w:bidi="bn-IN"/>
        </w:rPr>
        <w:t>Computers in Industry</w:t>
      </w:r>
      <w:r w:rsidRPr="00D350A6">
        <w:rPr>
          <w:rFonts w:eastAsia="Times New Roman" w:cs="Arial"/>
          <w:szCs w:val="24"/>
          <w:lang w:bidi="bn-IN"/>
        </w:rPr>
        <w:t xml:space="preserve">, 123, Article 103324. </w:t>
      </w:r>
      <w:hyperlink r:id="rId37" w:history="1">
        <w:r w:rsidRPr="00094D79">
          <w:rPr>
            <w:rStyle w:val="Hyperlink"/>
            <w:rFonts w:eastAsia="Times New Roman" w:cs="Arial"/>
            <w:szCs w:val="24"/>
            <w:lang w:bidi="bn-IN"/>
          </w:rPr>
          <w:t>https://doi.org/10.1016/j.compind.2020.103324</w:t>
        </w:r>
      </w:hyperlink>
      <w:r>
        <w:rPr>
          <w:rFonts w:eastAsia="Times New Roman" w:cs="Arial"/>
          <w:szCs w:val="24"/>
          <w:lang w:bidi="bn-IN"/>
        </w:rPr>
        <w:t>.</w:t>
      </w:r>
    </w:p>
    <w:p w14:paraId="104FDAA9" w14:textId="77777777" w:rsidR="00D92828" w:rsidRDefault="00D92828" w:rsidP="00EB4A90">
      <w:pPr>
        <w:spacing w:before="0"/>
        <w:jc w:val="left"/>
        <w:rPr>
          <w:rFonts w:eastAsia="Times New Roman" w:cs="Arial"/>
          <w:szCs w:val="24"/>
          <w:lang w:bidi="bn-IN"/>
        </w:rPr>
      </w:pPr>
      <w:proofErr w:type="spellStart"/>
      <w:r w:rsidRPr="00D350A6">
        <w:rPr>
          <w:rFonts w:eastAsia="Times New Roman" w:cs="Arial"/>
          <w:szCs w:val="24"/>
          <w:lang w:bidi="bn-IN"/>
        </w:rPr>
        <w:lastRenderedPageBreak/>
        <w:t>Wondmagegnehu</w:t>
      </w:r>
      <w:proofErr w:type="spellEnd"/>
      <w:r w:rsidRPr="00D350A6">
        <w:rPr>
          <w:rFonts w:eastAsia="Times New Roman" w:cs="Arial"/>
          <w:szCs w:val="24"/>
          <w:lang w:bidi="bn-IN"/>
        </w:rPr>
        <w:t xml:space="preserve">, B.T., Paramasivam, V. and Senthil, K.S. (2021) ‘Mechanical properties of textile waste/glass fiber hybrid composite material’, </w:t>
      </w:r>
      <w:r w:rsidRPr="00D350A6">
        <w:rPr>
          <w:rFonts w:eastAsia="Times New Roman" w:cs="Arial"/>
          <w:i/>
          <w:iCs/>
          <w:szCs w:val="24"/>
          <w:lang w:bidi="bn-IN"/>
        </w:rPr>
        <w:t>Materials Today: Proceedings</w:t>
      </w:r>
      <w:r w:rsidRPr="00D350A6">
        <w:rPr>
          <w:rFonts w:eastAsia="Times New Roman" w:cs="Arial"/>
          <w:szCs w:val="24"/>
          <w:lang w:bidi="bn-IN"/>
        </w:rPr>
        <w:t xml:space="preserve">, 46(17), pp. 7297–7303. </w:t>
      </w:r>
      <w:hyperlink r:id="rId38" w:history="1">
        <w:r w:rsidRPr="00094D79">
          <w:rPr>
            <w:rStyle w:val="Hyperlink"/>
            <w:rFonts w:eastAsia="Times New Roman" w:cs="Arial"/>
            <w:szCs w:val="24"/>
            <w:lang w:bidi="bn-IN"/>
          </w:rPr>
          <w:t>https://doi.org/10.1016/j.matpr.2020.12.984</w:t>
        </w:r>
      </w:hyperlink>
    </w:p>
    <w:p w14:paraId="31BF3EE7" w14:textId="0696EBA3" w:rsidR="00D92828" w:rsidRDefault="00D92828" w:rsidP="00D92828">
      <w:pPr>
        <w:spacing w:before="0"/>
        <w:jc w:val="left"/>
      </w:pPr>
      <w:r w:rsidRPr="001E5B0B">
        <w:rPr>
          <w:rFonts w:eastAsia="Times New Roman" w:cs="Arial"/>
          <w:szCs w:val="24"/>
          <w:lang w:bidi="bn-IN"/>
        </w:rPr>
        <w:t xml:space="preserve">Younes, B. (2023) ‘Smart e-textiles: a review of their aspects and applications’, </w:t>
      </w:r>
      <w:r w:rsidRPr="001E5B0B">
        <w:rPr>
          <w:rFonts w:eastAsia="Times New Roman" w:cs="Arial"/>
          <w:i/>
          <w:iCs/>
          <w:szCs w:val="24"/>
          <w:lang w:bidi="bn-IN"/>
        </w:rPr>
        <w:t>Journal of Industrial Textiles</w:t>
      </w:r>
      <w:r w:rsidRPr="001E5B0B">
        <w:rPr>
          <w:rFonts w:eastAsia="Times New Roman" w:cs="Arial"/>
          <w:szCs w:val="24"/>
          <w:lang w:bidi="bn-IN"/>
        </w:rPr>
        <w:t xml:space="preserve">, 53. </w:t>
      </w:r>
      <w:hyperlink r:id="rId39" w:tgtFrame="_new" w:history="1">
        <w:r w:rsidRPr="001E5B0B">
          <w:rPr>
            <w:rStyle w:val="Hyperlink"/>
            <w:rFonts w:eastAsia="Times New Roman" w:cs="Arial"/>
            <w:szCs w:val="24"/>
            <w:lang w:bidi="bn-IN"/>
          </w:rPr>
          <w:t>https://doi.org/10.1177/15280837231215493</w:t>
        </w:r>
      </w:hyperlink>
    </w:p>
    <w:p w14:paraId="345473F2" w14:textId="77777777" w:rsidR="004135A0" w:rsidRPr="001E5B0B" w:rsidRDefault="004135A0" w:rsidP="001E5B0B">
      <w:pPr>
        <w:spacing w:before="0"/>
        <w:jc w:val="left"/>
        <w:rPr>
          <w:rFonts w:eastAsia="Times New Roman" w:cs="Arial"/>
          <w:szCs w:val="24"/>
          <w:lang w:bidi="bn-IN"/>
        </w:rPr>
      </w:pPr>
    </w:p>
    <w:sectPr w:rsidR="004135A0" w:rsidRPr="001E5B0B" w:rsidSect="00A91E93">
      <w:footerReference w:type="default" r:id="rId40"/>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464B5" w14:textId="77777777" w:rsidR="002A6E24" w:rsidRDefault="002A6E24" w:rsidP="00A91E93">
      <w:pPr>
        <w:spacing w:before="0" w:after="0" w:line="240" w:lineRule="auto"/>
      </w:pPr>
      <w:r>
        <w:separator/>
      </w:r>
    </w:p>
  </w:endnote>
  <w:endnote w:type="continuationSeparator" w:id="0">
    <w:p w14:paraId="44903DF9" w14:textId="77777777" w:rsidR="002A6E24" w:rsidRDefault="002A6E24" w:rsidP="00A91E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1019437"/>
      <w:docPartObj>
        <w:docPartGallery w:val="Page Numbers (Bottom of Page)"/>
        <w:docPartUnique/>
      </w:docPartObj>
    </w:sdtPr>
    <w:sdtEndPr>
      <w:rPr>
        <w:noProof/>
      </w:rPr>
    </w:sdtEndPr>
    <w:sdtContent>
      <w:p w14:paraId="29C83401" w14:textId="6254EBFF" w:rsidR="00A91E93" w:rsidRDefault="00A91E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F42C6" w14:textId="77777777" w:rsidR="00A91E93" w:rsidRDefault="00A91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56FB8" w14:textId="77777777" w:rsidR="002A6E24" w:rsidRDefault="002A6E24" w:rsidP="00A91E93">
      <w:pPr>
        <w:spacing w:before="0" w:after="0" w:line="240" w:lineRule="auto"/>
      </w:pPr>
      <w:r>
        <w:separator/>
      </w:r>
    </w:p>
  </w:footnote>
  <w:footnote w:type="continuationSeparator" w:id="0">
    <w:p w14:paraId="05511F65" w14:textId="77777777" w:rsidR="002A6E24" w:rsidRDefault="002A6E24" w:rsidP="00A91E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7310C"/>
    <w:multiLevelType w:val="hybridMultilevel"/>
    <w:tmpl w:val="D1F2B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632396"/>
    <w:multiLevelType w:val="multilevel"/>
    <w:tmpl w:val="C51EB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91A26"/>
    <w:multiLevelType w:val="multilevel"/>
    <w:tmpl w:val="B3D481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F529D7"/>
    <w:multiLevelType w:val="multilevel"/>
    <w:tmpl w:val="A992E8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2775B"/>
    <w:multiLevelType w:val="multilevel"/>
    <w:tmpl w:val="496E7F4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3570687"/>
    <w:multiLevelType w:val="multilevel"/>
    <w:tmpl w:val="52DE9B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40B13"/>
    <w:multiLevelType w:val="multilevel"/>
    <w:tmpl w:val="F24A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9732D5"/>
    <w:multiLevelType w:val="multilevel"/>
    <w:tmpl w:val="BA8C1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0F5DB7"/>
    <w:multiLevelType w:val="multilevel"/>
    <w:tmpl w:val="1A7C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227389"/>
    <w:multiLevelType w:val="multilevel"/>
    <w:tmpl w:val="38F2E74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696DD5"/>
    <w:multiLevelType w:val="multilevel"/>
    <w:tmpl w:val="A4C6BC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DD1657"/>
    <w:multiLevelType w:val="multilevel"/>
    <w:tmpl w:val="6B7AB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336DEA"/>
    <w:multiLevelType w:val="multilevel"/>
    <w:tmpl w:val="158880C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950CE5"/>
    <w:multiLevelType w:val="multilevel"/>
    <w:tmpl w:val="D598A4F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EF6765"/>
    <w:multiLevelType w:val="multilevel"/>
    <w:tmpl w:val="A3A0994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662556"/>
    <w:multiLevelType w:val="multilevel"/>
    <w:tmpl w:val="3B38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2315C6"/>
    <w:multiLevelType w:val="hybridMultilevel"/>
    <w:tmpl w:val="F538F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0D337F0"/>
    <w:multiLevelType w:val="multilevel"/>
    <w:tmpl w:val="6D0CBC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61752B"/>
    <w:multiLevelType w:val="multilevel"/>
    <w:tmpl w:val="6E565D3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210FAD"/>
    <w:multiLevelType w:val="multilevel"/>
    <w:tmpl w:val="4080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2571379">
    <w:abstractNumId w:val="4"/>
  </w:num>
  <w:num w:numId="2" w16cid:durableId="704401457">
    <w:abstractNumId w:val="4"/>
  </w:num>
  <w:num w:numId="3" w16cid:durableId="718241292">
    <w:abstractNumId w:val="4"/>
  </w:num>
  <w:num w:numId="4" w16cid:durableId="1347097317">
    <w:abstractNumId w:val="4"/>
  </w:num>
  <w:num w:numId="5" w16cid:durableId="1446004039">
    <w:abstractNumId w:val="4"/>
  </w:num>
  <w:num w:numId="6" w16cid:durableId="921376111">
    <w:abstractNumId w:val="4"/>
  </w:num>
  <w:num w:numId="7" w16cid:durableId="1855339651">
    <w:abstractNumId w:val="4"/>
  </w:num>
  <w:num w:numId="8" w16cid:durableId="350424765">
    <w:abstractNumId w:val="4"/>
  </w:num>
  <w:num w:numId="9" w16cid:durableId="405346509">
    <w:abstractNumId w:val="4"/>
  </w:num>
  <w:num w:numId="10" w16cid:durableId="1464544865">
    <w:abstractNumId w:val="4"/>
  </w:num>
  <w:num w:numId="11" w16cid:durableId="95947642">
    <w:abstractNumId w:val="0"/>
  </w:num>
  <w:num w:numId="12" w16cid:durableId="1983344397">
    <w:abstractNumId w:val="7"/>
  </w:num>
  <w:num w:numId="13" w16cid:durableId="1803884658">
    <w:abstractNumId w:val="2"/>
  </w:num>
  <w:num w:numId="14" w16cid:durableId="986083889">
    <w:abstractNumId w:val="19"/>
  </w:num>
  <w:num w:numId="15" w16cid:durableId="83766752">
    <w:abstractNumId w:val="5"/>
  </w:num>
  <w:num w:numId="16" w16cid:durableId="469638954">
    <w:abstractNumId w:val="6"/>
  </w:num>
  <w:num w:numId="17" w16cid:durableId="1071081999">
    <w:abstractNumId w:val="10"/>
  </w:num>
  <w:num w:numId="18" w16cid:durableId="979649755">
    <w:abstractNumId w:val="3"/>
  </w:num>
  <w:num w:numId="19" w16cid:durableId="1995639150">
    <w:abstractNumId w:val="15"/>
  </w:num>
  <w:num w:numId="20" w16cid:durableId="2041513802">
    <w:abstractNumId w:val="17"/>
  </w:num>
  <w:num w:numId="21" w16cid:durableId="1511673610">
    <w:abstractNumId w:val="11"/>
  </w:num>
  <w:num w:numId="22" w16cid:durableId="1333526923">
    <w:abstractNumId w:val="18"/>
  </w:num>
  <w:num w:numId="23" w16cid:durableId="2069567018">
    <w:abstractNumId w:val="12"/>
  </w:num>
  <w:num w:numId="24" w16cid:durableId="2112815449">
    <w:abstractNumId w:val="1"/>
  </w:num>
  <w:num w:numId="25" w16cid:durableId="389766988">
    <w:abstractNumId w:val="14"/>
  </w:num>
  <w:num w:numId="26" w16cid:durableId="1077674205">
    <w:abstractNumId w:val="8"/>
  </w:num>
  <w:num w:numId="27" w16cid:durableId="141703597">
    <w:abstractNumId w:val="9"/>
  </w:num>
  <w:num w:numId="28" w16cid:durableId="274946973">
    <w:abstractNumId w:val="13"/>
  </w:num>
  <w:num w:numId="29" w16cid:durableId="11898352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E93"/>
    <w:rsid w:val="000A5F40"/>
    <w:rsid w:val="001E5B0B"/>
    <w:rsid w:val="00223920"/>
    <w:rsid w:val="002274E5"/>
    <w:rsid w:val="002A6E24"/>
    <w:rsid w:val="003056B8"/>
    <w:rsid w:val="00307458"/>
    <w:rsid w:val="00374946"/>
    <w:rsid w:val="004135A0"/>
    <w:rsid w:val="004272B2"/>
    <w:rsid w:val="004B4314"/>
    <w:rsid w:val="0051284B"/>
    <w:rsid w:val="006563AC"/>
    <w:rsid w:val="00691B9C"/>
    <w:rsid w:val="00747B7B"/>
    <w:rsid w:val="00812524"/>
    <w:rsid w:val="00835498"/>
    <w:rsid w:val="00910599"/>
    <w:rsid w:val="0092008A"/>
    <w:rsid w:val="009B40F6"/>
    <w:rsid w:val="009D5DB6"/>
    <w:rsid w:val="00A035A2"/>
    <w:rsid w:val="00A91E93"/>
    <w:rsid w:val="00AF14E1"/>
    <w:rsid w:val="00B57CC5"/>
    <w:rsid w:val="00BB0970"/>
    <w:rsid w:val="00CF3AA6"/>
    <w:rsid w:val="00D350A6"/>
    <w:rsid w:val="00D92828"/>
    <w:rsid w:val="00E15BB8"/>
    <w:rsid w:val="00EB4A90"/>
    <w:rsid w:val="00F46771"/>
    <w:rsid w:val="00F54FED"/>
    <w:rsid w:val="00FF48F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4084"/>
  <w15:chartTrackingRefBased/>
  <w15:docId w15:val="{2CD48921-6D60-4471-B7DE-B320D71CB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E93"/>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307458"/>
    <w:pPr>
      <w:keepNext/>
      <w:keepLines/>
      <w:numPr>
        <w:numId w:val="10"/>
      </w:numPr>
      <w:pBdr>
        <w:bottom w:val="single" w:sz="4" w:space="1" w:color="595959" w:themeColor="text1" w:themeTint="A6"/>
      </w:pBdr>
      <w:jc w:val="left"/>
      <w:outlineLvl w:val="0"/>
    </w:pPr>
    <w:rPr>
      <w:rFonts w:eastAsiaTheme="majorEastAsia" w:cstheme="majorBidi"/>
      <w:b/>
      <w:bCs/>
      <w:color w:val="0070C0"/>
      <w:sz w:val="28"/>
      <w:szCs w:val="36"/>
    </w:rPr>
  </w:style>
  <w:style w:type="paragraph" w:styleId="Heading2">
    <w:name w:val="heading 2"/>
    <w:basedOn w:val="Normal"/>
    <w:next w:val="Normal"/>
    <w:link w:val="Heading2Char"/>
    <w:uiPriority w:val="9"/>
    <w:unhideWhenUsed/>
    <w:qFormat/>
    <w:rsid w:val="00307458"/>
    <w:pPr>
      <w:keepNext/>
      <w:keepLines/>
      <w:numPr>
        <w:ilvl w:val="1"/>
        <w:numId w:val="10"/>
      </w:numPr>
      <w:spacing w:before="0" w:after="0"/>
      <w:outlineLvl w:val="1"/>
    </w:pPr>
    <w:rPr>
      <w:rFonts w:eastAsiaTheme="majorEastAsia" w:cstheme="majorBidi"/>
      <w:b/>
      <w:bCs/>
      <w:color w:val="0070C0"/>
      <w:sz w:val="26"/>
      <w:szCs w:val="28"/>
    </w:rPr>
  </w:style>
  <w:style w:type="paragraph" w:styleId="Heading3">
    <w:name w:val="heading 3"/>
    <w:basedOn w:val="Normal"/>
    <w:next w:val="Normal"/>
    <w:link w:val="Heading3Char"/>
    <w:uiPriority w:val="9"/>
    <w:unhideWhenUsed/>
    <w:qFormat/>
    <w:rsid w:val="00A91E93"/>
    <w:pPr>
      <w:keepNext/>
      <w:keepLines/>
      <w:numPr>
        <w:ilvl w:val="2"/>
        <w:numId w:val="10"/>
      </w:numPr>
      <w:outlineLvl w:val="2"/>
    </w:pPr>
    <w:rPr>
      <w:rFonts w:eastAsiaTheme="majorEastAsia" w:cstheme="majorBidi"/>
      <w:b/>
      <w:bCs/>
      <w:color w:val="000000" w:themeColor="text1"/>
      <w:sz w:val="26"/>
    </w:rPr>
  </w:style>
  <w:style w:type="paragraph" w:styleId="Heading4">
    <w:name w:val="heading 4"/>
    <w:basedOn w:val="Normal"/>
    <w:next w:val="Normal"/>
    <w:link w:val="Heading4Char"/>
    <w:uiPriority w:val="9"/>
    <w:semiHidden/>
    <w:unhideWhenUsed/>
    <w:qFormat/>
    <w:rsid w:val="00A91E93"/>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A91E93"/>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91E93"/>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91E93"/>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91E93"/>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91E93"/>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458"/>
    <w:rPr>
      <w:rFonts w:ascii="Arial" w:eastAsiaTheme="majorEastAsia" w:hAnsi="Arial" w:cstheme="majorBidi"/>
      <w:b/>
      <w:bCs/>
      <w:color w:val="0070C0"/>
      <w:sz w:val="28"/>
      <w:szCs w:val="36"/>
    </w:rPr>
  </w:style>
  <w:style w:type="character" w:customStyle="1" w:styleId="Heading2Char">
    <w:name w:val="Heading 2 Char"/>
    <w:basedOn w:val="DefaultParagraphFont"/>
    <w:link w:val="Heading2"/>
    <w:uiPriority w:val="9"/>
    <w:rsid w:val="00307458"/>
    <w:rPr>
      <w:rFonts w:ascii="Arial" w:eastAsiaTheme="majorEastAsia" w:hAnsi="Arial" w:cstheme="majorBidi"/>
      <w:b/>
      <w:bCs/>
      <w:color w:val="0070C0"/>
      <w:sz w:val="26"/>
      <w:szCs w:val="28"/>
    </w:rPr>
  </w:style>
  <w:style w:type="character" w:customStyle="1" w:styleId="Heading3Char">
    <w:name w:val="Heading 3 Char"/>
    <w:basedOn w:val="DefaultParagraphFont"/>
    <w:link w:val="Heading3"/>
    <w:uiPriority w:val="9"/>
    <w:rsid w:val="00A91E93"/>
    <w:rPr>
      <w:rFonts w:ascii="Arial" w:eastAsiaTheme="majorEastAsia" w:hAnsi="Arial" w:cstheme="majorBidi"/>
      <w:b/>
      <w:bCs/>
      <w:color w:val="000000" w:themeColor="text1"/>
      <w:sz w:val="26"/>
    </w:rPr>
  </w:style>
  <w:style w:type="character" w:customStyle="1" w:styleId="Heading4Char">
    <w:name w:val="Heading 4 Char"/>
    <w:basedOn w:val="DefaultParagraphFont"/>
    <w:link w:val="Heading4"/>
    <w:uiPriority w:val="9"/>
    <w:semiHidden/>
    <w:rsid w:val="00A91E9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A91E9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91E9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91E9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91E9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91E93"/>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91E9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91E93"/>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91E93"/>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91E93"/>
    <w:rPr>
      <w:color w:val="5A5A5A" w:themeColor="text1" w:themeTint="A5"/>
      <w:spacing w:val="10"/>
    </w:rPr>
  </w:style>
  <w:style w:type="paragraph" w:styleId="Quote">
    <w:name w:val="Quote"/>
    <w:basedOn w:val="Normal"/>
    <w:next w:val="Normal"/>
    <w:link w:val="QuoteChar"/>
    <w:uiPriority w:val="29"/>
    <w:qFormat/>
    <w:rsid w:val="00A91E93"/>
    <w:pPr>
      <w:spacing w:before="160"/>
      <w:ind w:left="720" w:right="720"/>
    </w:pPr>
    <w:rPr>
      <w:i/>
      <w:iCs/>
      <w:color w:val="000000" w:themeColor="text1"/>
    </w:rPr>
  </w:style>
  <w:style w:type="character" w:customStyle="1" w:styleId="QuoteChar">
    <w:name w:val="Quote Char"/>
    <w:basedOn w:val="DefaultParagraphFont"/>
    <w:link w:val="Quote"/>
    <w:uiPriority w:val="29"/>
    <w:rsid w:val="00A91E93"/>
    <w:rPr>
      <w:i/>
      <w:iCs/>
      <w:color w:val="000000" w:themeColor="text1"/>
    </w:rPr>
  </w:style>
  <w:style w:type="paragraph" w:styleId="ListParagraph">
    <w:name w:val="List Paragraph"/>
    <w:basedOn w:val="Normal"/>
    <w:uiPriority w:val="34"/>
    <w:qFormat/>
    <w:rsid w:val="00A91E93"/>
    <w:pPr>
      <w:ind w:left="720"/>
      <w:contextualSpacing/>
    </w:pPr>
  </w:style>
  <w:style w:type="character" w:styleId="IntenseEmphasis">
    <w:name w:val="Intense Emphasis"/>
    <w:basedOn w:val="DefaultParagraphFont"/>
    <w:uiPriority w:val="21"/>
    <w:qFormat/>
    <w:rsid w:val="00A91E93"/>
    <w:rPr>
      <w:b/>
      <w:bCs/>
      <w:i/>
      <w:iCs/>
      <w:caps/>
    </w:rPr>
  </w:style>
  <w:style w:type="paragraph" w:styleId="IntenseQuote">
    <w:name w:val="Intense Quote"/>
    <w:basedOn w:val="Normal"/>
    <w:next w:val="Normal"/>
    <w:link w:val="IntenseQuoteChar"/>
    <w:uiPriority w:val="30"/>
    <w:qFormat/>
    <w:rsid w:val="00A91E9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91E93"/>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91E93"/>
    <w:rPr>
      <w:b/>
      <w:bCs/>
      <w:smallCaps/>
      <w:u w:val="single"/>
    </w:rPr>
  </w:style>
  <w:style w:type="paragraph" w:styleId="Caption">
    <w:name w:val="caption"/>
    <w:basedOn w:val="Normal"/>
    <w:next w:val="Normal"/>
    <w:uiPriority w:val="35"/>
    <w:semiHidden/>
    <w:unhideWhenUsed/>
    <w:qFormat/>
    <w:rsid w:val="00A91E93"/>
    <w:pPr>
      <w:spacing w:after="200" w:line="240" w:lineRule="auto"/>
    </w:pPr>
    <w:rPr>
      <w:i/>
      <w:iCs/>
      <w:color w:val="44546A" w:themeColor="text2"/>
      <w:sz w:val="18"/>
      <w:szCs w:val="18"/>
    </w:rPr>
  </w:style>
  <w:style w:type="character" w:styleId="Strong">
    <w:name w:val="Strong"/>
    <w:basedOn w:val="DefaultParagraphFont"/>
    <w:uiPriority w:val="22"/>
    <w:qFormat/>
    <w:rsid w:val="00A91E93"/>
    <w:rPr>
      <w:b/>
      <w:bCs/>
      <w:color w:val="000000" w:themeColor="text1"/>
    </w:rPr>
  </w:style>
  <w:style w:type="character" w:styleId="Emphasis">
    <w:name w:val="Emphasis"/>
    <w:basedOn w:val="DefaultParagraphFont"/>
    <w:uiPriority w:val="20"/>
    <w:qFormat/>
    <w:rsid w:val="00A91E93"/>
    <w:rPr>
      <w:i/>
      <w:iCs/>
      <w:color w:val="auto"/>
    </w:rPr>
  </w:style>
  <w:style w:type="paragraph" w:styleId="NoSpacing">
    <w:name w:val="No Spacing"/>
    <w:uiPriority w:val="1"/>
    <w:qFormat/>
    <w:rsid w:val="00A91E93"/>
    <w:pPr>
      <w:spacing w:after="0" w:line="240" w:lineRule="auto"/>
    </w:pPr>
  </w:style>
  <w:style w:type="character" w:styleId="SubtleEmphasis">
    <w:name w:val="Subtle Emphasis"/>
    <w:basedOn w:val="DefaultParagraphFont"/>
    <w:uiPriority w:val="19"/>
    <w:qFormat/>
    <w:rsid w:val="00A91E93"/>
    <w:rPr>
      <w:i/>
      <w:iCs/>
      <w:color w:val="404040" w:themeColor="text1" w:themeTint="BF"/>
    </w:rPr>
  </w:style>
  <w:style w:type="character" w:styleId="SubtleReference">
    <w:name w:val="Subtle Reference"/>
    <w:basedOn w:val="DefaultParagraphFont"/>
    <w:uiPriority w:val="31"/>
    <w:qFormat/>
    <w:rsid w:val="00A91E93"/>
    <w:rPr>
      <w:smallCaps/>
      <w:color w:val="404040" w:themeColor="text1" w:themeTint="BF"/>
      <w:u w:val="single" w:color="7F7F7F" w:themeColor="text1" w:themeTint="80"/>
    </w:rPr>
  </w:style>
  <w:style w:type="character" w:styleId="BookTitle">
    <w:name w:val="Book Title"/>
    <w:basedOn w:val="DefaultParagraphFont"/>
    <w:uiPriority w:val="33"/>
    <w:qFormat/>
    <w:rsid w:val="00A91E93"/>
    <w:rPr>
      <w:b w:val="0"/>
      <w:bCs w:val="0"/>
      <w:smallCaps/>
      <w:spacing w:val="5"/>
    </w:rPr>
  </w:style>
  <w:style w:type="paragraph" w:styleId="TOCHeading">
    <w:name w:val="TOC Heading"/>
    <w:basedOn w:val="Heading1"/>
    <w:next w:val="Normal"/>
    <w:uiPriority w:val="39"/>
    <w:unhideWhenUsed/>
    <w:qFormat/>
    <w:rsid w:val="00A91E93"/>
    <w:pPr>
      <w:outlineLvl w:val="9"/>
    </w:pPr>
  </w:style>
  <w:style w:type="paragraph" w:styleId="Header">
    <w:name w:val="header"/>
    <w:basedOn w:val="Normal"/>
    <w:link w:val="HeaderChar"/>
    <w:uiPriority w:val="99"/>
    <w:unhideWhenUsed/>
    <w:rsid w:val="00A91E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91E93"/>
    <w:rPr>
      <w:rFonts w:ascii="Arial" w:hAnsi="Arial"/>
      <w:sz w:val="24"/>
    </w:rPr>
  </w:style>
  <w:style w:type="paragraph" w:styleId="Footer">
    <w:name w:val="footer"/>
    <w:basedOn w:val="Normal"/>
    <w:link w:val="FooterChar"/>
    <w:uiPriority w:val="99"/>
    <w:unhideWhenUsed/>
    <w:rsid w:val="00A91E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91E93"/>
    <w:rPr>
      <w:rFonts w:ascii="Arial" w:hAnsi="Arial"/>
      <w:sz w:val="24"/>
    </w:rPr>
  </w:style>
  <w:style w:type="paragraph" w:styleId="TOC1">
    <w:name w:val="toc 1"/>
    <w:basedOn w:val="Normal"/>
    <w:next w:val="Normal"/>
    <w:autoRedefine/>
    <w:uiPriority w:val="39"/>
    <w:unhideWhenUsed/>
    <w:rsid w:val="00A91E93"/>
    <w:pPr>
      <w:spacing w:after="100"/>
    </w:pPr>
  </w:style>
  <w:style w:type="paragraph" w:styleId="TOC2">
    <w:name w:val="toc 2"/>
    <w:basedOn w:val="Normal"/>
    <w:next w:val="Normal"/>
    <w:autoRedefine/>
    <w:uiPriority w:val="39"/>
    <w:unhideWhenUsed/>
    <w:rsid w:val="00A91E93"/>
    <w:pPr>
      <w:spacing w:after="100"/>
      <w:ind w:left="240"/>
    </w:pPr>
  </w:style>
  <w:style w:type="paragraph" w:styleId="TOC3">
    <w:name w:val="toc 3"/>
    <w:basedOn w:val="Normal"/>
    <w:next w:val="Normal"/>
    <w:autoRedefine/>
    <w:uiPriority w:val="39"/>
    <w:unhideWhenUsed/>
    <w:rsid w:val="00A91E93"/>
    <w:pPr>
      <w:spacing w:after="100"/>
      <w:ind w:left="480"/>
    </w:pPr>
  </w:style>
  <w:style w:type="character" w:styleId="Hyperlink">
    <w:name w:val="Hyperlink"/>
    <w:basedOn w:val="DefaultParagraphFont"/>
    <w:uiPriority w:val="99"/>
    <w:unhideWhenUsed/>
    <w:rsid w:val="00A91E93"/>
    <w:rPr>
      <w:color w:val="0563C1" w:themeColor="hyperlink"/>
      <w:u w:val="single"/>
    </w:rPr>
  </w:style>
  <w:style w:type="paragraph" w:styleId="NormalWeb">
    <w:name w:val="Normal (Web)"/>
    <w:basedOn w:val="Normal"/>
    <w:uiPriority w:val="99"/>
    <w:semiHidden/>
    <w:unhideWhenUsed/>
    <w:rsid w:val="00307458"/>
    <w:rPr>
      <w:rFonts w:ascii="Times New Roman" w:hAnsi="Times New Roman" w:cs="Times New Roman"/>
      <w:szCs w:val="24"/>
    </w:rPr>
  </w:style>
  <w:style w:type="table" w:styleId="TableGridLight">
    <w:name w:val="Grid Table Light"/>
    <w:basedOn w:val="TableNormal"/>
    <w:uiPriority w:val="40"/>
    <w:rsid w:val="004B431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350A6"/>
    <w:rPr>
      <w:color w:val="605E5C"/>
      <w:shd w:val="clear" w:color="auto" w:fill="E1DFDD"/>
    </w:rPr>
  </w:style>
  <w:style w:type="character" w:styleId="FollowedHyperlink">
    <w:name w:val="FollowedHyperlink"/>
    <w:basedOn w:val="DefaultParagraphFont"/>
    <w:uiPriority w:val="99"/>
    <w:semiHidden/>
    <w:unhideWhenUsed/>
    <w:rsid w:val="00D928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pc.2025.04.016" TargetMode="External"/><Relationship Id="rId18" Type="http://schemas.openxmlformats.org/officeDocument/2006/relationships/hyperlink" Target="https://doi.org/10.3390/su132112246" TargetMode="External"/><Relationship Id="rId26" Type="http://schemas.openxmlformats.org/officeDocument/2006/relationships/hyperlink" Target="https://doi.org/10.1186/s13643-021-01626-4" TargetMode="External"/><Relationship Id="rId39" Type="http://schemas.openxmlformats.org/officeDocument/2006/relationships/hyperlink" Target="https://doi.org/10.1177/15280837231215493" TargetMode="External"/><Relationship Id="rId21" Type="http://schemas.openxmlformats.org/officeDocument/2006/relationships/hyperlink" Target="https://doi.org/10.3390/su13031208" TargetMode="External"/><Relationship Id="rId34" Type="http://schemas.openxmlformats.org/officeDocument/2006/relationships/hyperlink" Target="https://doi.org/10.3390/textiles3040027"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B978-0-323-85403-0.00004-9" TargetMode="External"/><Relationship Id="rId20" Type="http://schemas.openxmlformats.org/officeDocument/2006/relationships/hyperlink" Target="https://doi.org/10.1002/sd.2109" TargetMode="External"/><Relationship Id="rId29" Type="http://schemas.openxmlformats.org/officeDocument/2006/relationships/hyperlink" Target="https://doi.org/10.3389/frma.2023.1268045"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6156682" TargetMode="External"/><Relationship Id="rId24" Type="http://schemas.openxmlformats.org/officeDocument/2006/relationships/hyperlink" Target="https://doi.org/10.1177/0734242x251393613" TargetMode="External"/><Relationship Id="rId32" Type="http://schemas.openxmlformats.org/officeDocument/2006/relationships/hyperlink" Target="https://doi.org/10.1007/978-3-658-27602-7_3" TargetMode="External"/><Relationship Id="rId37" Type="http://schemas.openxmlformats.org/officeDocument/2006/relationships/hyperlink" Target="https://doi.org/10.1016/j.compind.2020.103324"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jclepro.2021.126358" TargetMode="External"/><Relationship Id="rId23" Type="http://schemas.openxmlformats.org/officeDocument/2006/relationships/hyperlink" Target="https://doi.org/10.1016/j.jclepro.2020.125147" TargetMode="External"/><Relationship Id="rId28" Type="http://schemas.openxmlformats.org/officeDocument/2006/relationships/hyperlink" Target="https://doi.org/10.3390/su12198214" TargetMode="External"/><Relationship Id="rId36" Type="http://schemas.openxmlformats.org/officeDocument/2006/relationships/hyperlink" Target="https://www.uwtsd.ac.uk/research/research-integrity-and-ethics" TargetMode="External"/><Relationship Id="rId10" Type="http://schemas.openxmlformats.org/officeDocument/2006/relationships/image" Target="media/image3.png"/><Relationship Id="rId19" Type="http://schemas.openxmlformats.org/officeDocument/2006/relationships/hyperlink" Target="https://doi.org/10.3390/su17051917" TargetMode="External"/><Relationship Id="rId31" Type="http://schemas.openxmlformats.org/officeDocument/2006/relationships/hyperlink" Target="https://doi.org/10.1016/j.jclepro.2020.12574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su12072809" TargetMode="External"/><Relationship Id="rId22" Type="http://schemas.openxmlformats.org/officeDocument/2006/relationships/hyperlink" Target="https://doi.org/10.3390/jcs5010028" TargetMode="External"/><Relationship Id="rId27" Type="http://schemas.openxmlformats.org/officeDocument/2006/relationships/hyperlink" Target="https://doi.org/10.1016/j.resconrec.2020.105340" TargetMode="External"/><Relationship Id="rId30" Type="http://schemas.openxmlformats.org/officeDocument/2006/relationships/hyperlink" Target="https://doi.org/10.1016/j.clwas.2025.100268" TargetMode="External"/><Relationship Id="rId35" Type="http://schemas.openxmlformats.org/officeDocument/2006/relationships/hyperlink" Target="https://sdgs.un.org/goal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86/s13643-023-02322-1" TargetMode="External"/><Relationship Id="rId17" Type="http://schemas.openxmlformats.org/officeDocument/2006/relationships/hyperlink" Target="https://doi.org/10.1016/j.techfore.2024.123833" TargetMode="External"/><Relationship Id="rId25" Type="http://schemas.openxmlformats.org/officeDocument/2006/relationships/hyperlink" Target="https://doi.org/10.1177/004051752094" TargetMode="External"/><Relationship Id="rId33" Type="http://schemas.openxmlformats.org/officeDocument/2006/relationships/hyperlink" Target="https://doi.org/10.1016/j.jclepro.2022.132227" TargetMode="External"/><Relationship Id="rId38" Type="http://schemas.openxmlformats.org/officeDocument/2006/relationships/hyperlink" Target="https://doi.org/10.1016/j.matpr.2020.12.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D894A-DA04-45A9-8A08-45661D6C5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15</Pages>
  <Words>3954</Words>
  <Characters>22538</Characters>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2026-01-27T22:36:00Z</dcterms:created>
  <dcterms:modified xsi:type="dcterms:W3CDTF">2026-02-16T07:00:00Z</dcterms:modified>
</cp:coreProperties>
</file>