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4DF9BB4" w14:textId="71AFCDED" w:rsidR="00746A75" w:rsidRPr="00F92FF5" w:rsidRDefault="00225DAC" w:rsidP="00225DAC">
      <w:pPr>
        <w:spacing w:before="120" w:after="120" w:line="480" w:lineRule="auto"/>
        <w:jc w:val="center"/>
        <w:rPr>
          <w:rFonts w:ascii="Arial" w:eastAsia="Arial" w:hAnsi="Arial" w:cs="Arial"/>
          <w:kern w:val="0"/>
          <w:lang w:val="en-GB"/>
          <w14:ligatures w14:val="none"/>
        </w:rPr>
      </w:pPr>
      <w:r>
        <w:fldChar w:fldCharType="begin"/>
      </w:r>
      <w:r>
        <w:instrText xml:space="preserve"> INCLUDEPICTURE "https://tukuz.com/wp-content/uploads/2021/06/university-of-wales-trinity-saint-david-logo-vector.png" \* MERGEFORMATINET </w:instrText>
      </w:r>
      <w:r>
        <w:fldChar w:fldCharType="separate"/>
      </w:r>
      <w:r>
        <w:rPr>
          <w:noProof/>
        </w:rPr>
        <w:drawing>
          <wp:inline distT="0" distB="0" distL="0" distR="0" wp14:anchorId="24C37388" wp14:editId="196AF50C">
            <wp:extent cx="2999840" cy="1666541"/>
            <wp:effectExtent l="0" t="0" r="0" b="0"/>
            <wp:docPr id="616596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34591" cy="1685846"/>
                    </a:xfrm>
                    <a:prstGeom prst="rect">
                      <a:avLst/>
                    </a:prstGeom>
                    <a:noFill/>
                    <a:ln>
                      <a:noFill/>
                    </a:ln>
                  </pic:spPr>
                </pic:pic>
              </a:graphicData>
            </a:graphic>
          </wp:inline>
        </w:drawing>
      </w:r>
      <w:r>
        <w:fldChar w:fldCharType="end"/>
      </w:r>
    </w:p>
    <w:p w14:paraId="67A59BD2" w14:textId="77777777" w:rsidR="005C3659" w:rsidRPr="00225DAC" w:rsidRDefault="005C3659" w:rsidP="0037056D">
      <w:pPr>
        <w:spacing w:before="120" w:after="120" w:line="480" w:lineRule="auto"/>
        <w:jc w:val="center"/>
        <w:rPr>
          <w:rFonts w:ascii="Arial" w:hAnsi="Arial" w:cs="Arial"/>
          <w:b/>
          <w:bCs/>
          <w:sz w:val="28"/>
          <w:szCs w:val="28"/>
          <w:lang w:val="en-GB"/>
        </w:rPr>
      </w:pPr>
      <w:r w:rsidRPr="00225DAC">
        <w:rPr>
          <w:rFonts w:ascii="Arial" w:hAnsi="Arial" w:cs="Arial"/>
          <w:b/>
          <w:bCs/>
          <w:sz w:val="28"/>
          <w:szCs w:val="28"/>
          <w:lang w:val="en-GB"/>
        </w:rPr>
        <w:t>MSc Public Health and Social Care in Practice</w:t>
      </w:r>
    </w:p>
    <w:p w14:paraId="5757AD6A" w14:textId="77777777" w:rsidR="005C3659" w:rsidRPr="00225DAC" w:rsidRDefault="005C3659" w:rsidP="0037056D">
      <w:pPr>
        <w:spacing w:before="120" w:after="120" w:line="480" w:lineRule="auto"/>
        <w:jc w:val="center"/>
        <w:rPr>
          <w:rFonts w:ascii="Arial" w:hAnsi="Arial" w:cs="Arial"/>
          <w:b/>
          <w:bCs/>
          <w:sz w:val="28"/>
          <w:szCs w:val="28"/>
          <w:lang w:val="en-GB"/>
        </w:rPr>
      </w:pPr>
      <w:r w:rsidRPr="00225DAC">
        <w:rPr>
          <w:rFonts w:ascii="Arial" w:hAnsi="Arial" w:cs="Arial"/>
          <w:b/>
          <w:bCs/>
          <w:sz w:val="28"/>
          <w:szCs w:val="28"/>
          <w:lang w:val="en-GB"/>
        </w:rPr>
        <w:t>LCHS7002 Health Care System Organisation and Leadership</w:t>
      </w:r>
    </w:p>
    <w:p w14:paraId="1D5242DB" w14:textId="77777777" w:rsidR="005C3659" w:rsidRPr="00225DAC" w:rsidRDefault="005C3659" w:rsidP="0037056D">
      <w:pPr>
        <w:spacing w:before="120" w:after="120" w:line="480" w:lineRule="auto"/>
        <w:jc w:val="center"/>
        <w:rPr>
          <w:rFonts w:ascii="Arial" w:hAnsi="Arial" w:cs="Arial"/>
          <w:b/>
          <w:bCs/>
          <w:sz w:val="24"/>
          <w:szCs w:val="24"/>
          <w:lang w:val="en-GB"/>
        </w:rPr>
      </w:pPr>
    </w:p>
    <w:p w14:paraId="77DB8A7F" w14:textId="77777777" w:rsidR="005C3659" w:rsidRPr="00225DAC" w:rsidRDefault="005C3659" w:rsidP="0037056D">
      <w:pPr>
        <w:spacing w:before="120" w:after="120" w:line="480" w:lineRule="auto"/>
        <w:jc w:val="center"/>
        <w:rPr>
          <w:rFonts w:ascii="Arial" w:hAnsi="Arial" w:cs="Arial"/>
          <w:b/>
          <w:bCs/>
          <w:sz w:val="24"/>
          <w:szCs w:val="24"/>
          <w:lang w:val="en-GB"/>
        </w:rPr>
      </w:pPr>
      <w:r w:rsidRPr="00225DAC">
        <w:rPr>
          <w:rFonts w:ascii="Arial" w:hAnsi="Arial" w:cs="Arial"/>
          <w:b/>
          <w:bCs/>
          <w:sz w:val="24"/>
          <w:szCs w:val="24"/>
          <w:lang w:val="en-GB"/>
        </w:rPr>
        <w:t>Case Study Analysis Report</w:t>
      </w:r>
    </w:p>
    <w:p w14:paraId="3C5D1A28" w14:textId="78DD03FF" w:rsidR="005C3659" w:rsidRPr="00225DAC" w:rsidRDefault="005C3659" w:rsidP="0037056D">
      <w:pPr>
        <w:spacing w:before="120" w:after="120" w:line="480" w:lineRule="auto"/>
        <w:jc w:val="center"/>
        <w:rPr>
          <w:rFonts w:ascii="Arial" w:hAnsi="Arial" w:cs="Arial"/>
          <w:b/>
          <w:bCs/>
          <w:sz w:val="24"/>
          <w:szCs w:val="24"/>
          <w:lang w:val="en-GB"/>
        </w:rPr>
      </w:pPr>
      <w:r w:rsidRPr="00225DAC">
        <w:rPr>
          <w:rFonts w:ascii="Arial" w:hAnsi="Arial" w:cs="Arial"/>
          <w:b/>
          <w:bCs/>
          <w:sz w:val="24"/>
          <w:szCs w:val="24"/>
          <w:lang w:val="en-GB"/>
        </w:rPr>
        <w:t>Case Study 2: Patient X</w:t>
      </w:r>
    </w:p>
    <w:p w14:paraId="5AC13949" w14:textId="77777777" w:rsidR="005C3659" w:rsidRPr="00225DAC" w:rsidRDefault="005C3659" w:rsidP="0037056D">
      <w:pPr>
        <w:spacing w:before="120" w:after="120" w:line="480" w:lineRule="auto"/>
        <w:jc w:val="center"/>
        <w:rPr>
          <w:rFonts w:ascii="Arial" w:hAnsi="Arial" w:cs="Arial"/>
          <w:b/>
          <w:bCs/>
          <w:sz w:val="24"/>
          <w:szCs w:val="24"/>
          <w:lang w:val="en-GB"/>
        </w:rPr>
      </w:pPr>
    </w:p>
    <w:p w14:paraId="41BF8DAC" w14:textId="77777777" w:rsidR="005C3659" w:rsidRPr="00225DAC" w:rsidRDefault="005C3659" w:rsidP="0037056D">
      <w:pPr>
        <w:spacing w:before="120" w:after="120" w:line="480" w:lineRule="auto"/>
        <w:jc w:val="center"/>
        <w:rPr>
          <w:rFonts w:ascii="Arial" w:hAnsi="Arial" w:cs="Arial"/>
          <w:b/>
          <w:bCs/>
          <w:sz w:val="24"/>
          <w:szCs w:val="24"/>
          <w:lang w:val="en-GB"/>
        </w:rPr>
      </w:pPr>
    </w:p>
    <w:p w14:paraId="6E9932E6" w14:textId="77777777" w:rsidR="00225DAC" w:rsidRPr="00225DAC" w:rsidRDefault="00225DAC" w:rsidP="00225DAC">
      <w:pPr>
        <w:spacing w:before="120" w:after="120"/>
        <w:jc w:val="center"/>
        <w:rPr>
          <w:rFonts w:ascii="Arial" w:eastAsia="Times New Roman" w:hAnsi="Arial"/>
          <w:b/>
          <w:bCs/>
          <w:sz w:val="24"/>
          <w:szCs w:val="24"/>
          <w:lang w:val="en-GB"/>
        </w:rPr>
      </w:pPr>
    </w:p>
    <w:p w14:paraId="06429E64" w14:textId="77777777" w:rsidR="00225DAC" w:rsidRPr="00225DAC" w:rsidRDefault="00225DAC" w:rsidP="00225DAC">
      <w:pPr>
        <w:spacing w:before="120" w:after="120"/>
        <w:jc w:val="center"/>
        <w:rPr>
          <w:rFonts w:ascii="Arial" w:eastAsia="Times New Roman" w:hAnsi="Arial"/>
          <w:b/>
          <w:bCs/>
          <w:sz w:val="24"/>
          <w:szCs w:val="24"/>
        </w:rPr>
      </w:pPr>
      <w:r w:rsidRPr="00225DAC">
        <w:rPr>
          <w:rFonts w:ascii="Arial" w:eastAsia="Times New Roman" w:hAnsi="Arial"/>
          <w:b/>
          <w:bCs/>
          <w:sz w:val="24"/>
          <w:szCs w:val="24"/>
          <w:lang w:val="en-GB"/>
        </w:rPr>
        <w:t xml:space="preserve">Student Name: Manan </w:t>
      </w:r>
      <w:proofErr w:type="spellStart"/>
      <w:r w:rsidRPr="00225DAC">
        <w:rPr>
          <w:rFonts w:ascii="Arial" w:eastAsia="Times New Roman" w:hAnsi="Arial"/>
          <w:b/>
          <w:bCs/>
          <w:sz w:val="24"/>
          <w:szCs w:val="24"/>
          <w:lang w:val="en-GB"/>
        </w:rPr>
        <w:t>Pradyumanbhai</w:t>
      </w:r>
      <w:proofErr w:type="spellEnd"/>
      <w:r w:rsidRPr="00225DAC">
        <w:rPr>
          <w:rFonts w:ascii="Arial" w:eastAsia="Times New Roman" w:hAnsi="Arial"/>
          <w:b/>
          <w:bCs/>
          <w:sz w:val="24"/>
          <w:szCs w:val="24"/>
          <w:lang w:val="en-GB"/>
        </w:rPr>
        <w:t xml:space="preserve"> Soni</w:t>
      </w:r>
    </w:p>
    <w:p w14:paraId="792E6F1F" w14:textId="44C306F8" w:rsidR="005C3659" w:rsidRPr="00225DAC" w:rsidRDefault="00225DAC" w:rsidP="00225DAC">
      <w:pPr>
        <w:spacing w:before="120" w:after="120" w:line="480" w:lineRule="auto"/>
        <w:jc w:val="center"/>
        <w:rPr>
          <w:rFonts w:ascii="Arial" w:hAnsi="Arial" w:cs="Arial"/>
          <w:b/>
          <w:bCs/>
          <w:sz w:val="24"/>
          <w:szCs w:val="24"/>
          <w:lang w:val="en-GB"/>
        </w:rPr>
      </w:pPr>
      <w:r w:rsidRPr="00225DAC">
        <w:rPr>
          <w:rFonts w:ascii="Arial" w:eastAsia="Times New Roman" w:hAnsi="Arial"/>
          <w:b/>
          <w:bCs/>
          <w:sz w:val="24"/>
          <w:szCs w:val="24"/>
          <w:lang w:val="en-GB"/>
        </w:rPr>
        <w:t>Student ID: 2538344</w:t>
      </w:r>
    </w:p>
    <w:p w14:paraId="6250DC75" w14:textId="77777777" w:rsidR="005C3659" w:rsidRPr="00225DAC" w:rsidRDefault="005C3659" w:rsidP="0037056D">
      <w:pPr>
        <w:spacing w:before="120" w:after="120" w:line="480" w:lineRule="auto"/>
        <w:jc w:val="center"/>
        <w:rPr>
          <w:rFonts w:ascii="Arial" w:hAnsi="Arial" w:cs="Arial"/>
          <w:b/>
          <w:bCs/>
          <w:sz w:val="24"/>
          <w:szCs w:val="24"/>
          <w:lang w:val="en-GB"/>
        </w:rPr>
      </w:pPr>
    </w:p>
    <w:p w14:paraId="0569FC5D" w14:textId="53265F33" w:rsidR="005C3659" w:rsidRPr="00225DAC" w:rsidRDefault="005C3659" w:rsidP="0037056D">
      <w:pPr>
        <w:spacing w:before="120" w:after="120" w:line="480" w:lineRule="auto"/>
        <w:jc w:val="center"/>
        <w:rPr>
          <w:rFonts w:ascii="Arial" w:hAnsi="Arial" w:cs="Arial"/>
          <w:b/>
          <w:bCs/>
          <w:sz w:val="24"/>
          <w:szCs w:val="24"/>
          <w:lang w:val="en-GB"/>
        </w:rPr>
      </w:pPr>
    </w:p>
    <w:p w14:paraId="021F1A8C" w14:textId="77777777" w:rsidR="005C3659" w:rsidRPr="00225DAC" w:rsidRDefault="005C3659" w:rsidP="0037056D">
      <w:pPr>
        <w:spacing w:before="120" w:after="120" w:line="480" w:lineRule="auto"/>
        <w:jc w:val="center"/>
        <w:rPr>
          <w:rFonts w:ascii="Arial" w:hAnsi="Arial" w:cs="Arial"/>
          <w:b/>
          <w:bCs/>
          <w:sz w:val="24"/>
          <w:szCs w:val="24"/>
          <w:lang w:val="en-GB"/>
        </w:rPr>
      </w:pPr>
    </w:p>
    <w:p w14:paraId="15641B05" w14:textId="42368832" w:rsidR="00746A75" w:rsidRPr="00F92FF5" w:rsidRDefault="005C3659" w:rsidP="0037056D">
      <w:pPr>
        <w:spacing w:before="120" w:after="120" w:line="480" w:lineRule="auto"/>
        <w:jc w:val="center"/>
        <w:rPr>
          <w:rFonts w:ascii="Arial" w:eastAsia="Arial" w:hAnsi="Arial" w:cs="Arial"/>
          <w:b/>
          <w:bCs/>
          <w:kern w:val="0"/>
          <w:sz w:val="24"/>
          <w:szCs w:val="24"/>
          <w:lang w:val="en-GB"/>
          <w14:ligatures w14:val="none"/>
        </w:rPr>
      </w:pPr>
      <w:r w:rsidRPr="00225DAC">
        <w:rPr>
          <w:rFonts w:ascii="Arial" w:hAnsi="Arial" w:cs="Arial"/>
          <w:b/>
          <w:bCs/>
          <w:sz w:val="24"/>
          <w:szCs w:val="24"/>
          <w:lang w:val="en-GB"/>
        </w:rPr>
        <w:t xml:space="preserve">Word Count: </w:t>
      </w:r>
      <w:r w:rsidR="00F92FF5" w:rsidRPr="00225DAC">
        <w:rPr>
          <w:rFonts w:ascii="Arial" w:hAnsi="Arial" w:cs="Arial"/>
          <w:b/>
          <w:bCs/>
          <w:sz w:val="24"/>
          <w:szCs w:val="24"/>
          <w:lang w:val="en-GB"/>
        </w:rPr>
        <w:t>5001</w:t>
      </w:r>
      <w:r w:rsidR="00746A75" w:rsidRPr="00F92FF5">
        <w:rPr>
          <w:rFonts w:ascii="Arial" w:eastAsia="Arial" w:hAnsi="Arial" w:cs="Arial"/>
          <w:kern w:val="0"/>
          <w:lang w:val="en-GB"/>
          <w14:ligatures w14:val="none"/>
        </w:rPr>
        <w:br w:type="page"/>
      </w:r>
    </w:p>
    <w:sdt>
      <w:sdtPr>
        <w:rPr>
          <w:rFonts w:ascii="Calibri" w:eastAsia="Times New Roman" w:hAnsi="Calibri" w:cs="Times New Roman"/>
          <w:b/>
          <w:bCs/>
          <w:kern w:val="0"/>
          <w:sz w:val="32"/>
          <w:szCs w:val="32"/>
          <w:lang w:val="en-GB"/>
          <w14:ligatures w14:val="none"/>
        </w:rPr>
        <w:id w:val="-27179403"/>
        <w:docPartObj>
          <w:docPartGallery w:val="Table of Contents"/>
          <w:docPartUnique/>
        </w:docPartObj>
      </w:sdtPr>
      <w:sdtEndPr>
        <w:rPr>
          <w:rFonts w:ascii="Arial" w:eastAsia="Arial" w:hAnsi="Arial" w:cs="Arial"/>
          <w:noProof/>
          <w:sz w:val="22"/>
          <w:szCs w:val="22"/>
        </w:rPr>
      </w:sdtEndPr>
      <w:sdtContent>
        <w:p w14:paraId="3C6D5C85" w14:textId="77777777" w:rsidR="00746A75" w:rsidRPr="0067113D" w:rsidRDefault="00746A75" w:rsidP="0067113D">
          <w:pPr>
            <w:keepNext/>
            <w:keepLines/>
            <w:spacing w:after="0" w:line="240" w:lineRule="auto"/>
            <w:jc w:val="center"/>
            <w:rPr>
              <w:rFonts w:ascii="Arial" w:eastAsia="Times New Roman" w:hAnsi="Arial" w:cs="Arial"/>
              <w:b/>
              <w:bCs/>
              <w:kern w:val="0"/>
              <w:lang w:val="en-GB"/>
              <w14:ligatures w14:val="none"/>
            </w:rPr>
          </w:pPr>
          <w:r w:rsidRPr="0067113D">
            <w:rPr>
              <w:rFonts w:ascii="Arial" w:eastAsia="Times New Roman" w:hAnsi="Arial" w:cs="Arial"/>
              <w:b/>
              <w:bCs/>
              <w:kern w:val="0"/>
              <w:lang w:val="en-GB"/>
              <w14:ligatures w14:val="none"/>
            </w:rPr>
            <w:t>Table of Contents</w:t>
          </w:r>
        </w:p>
        <w:p w14:paraId="2386019E" w14:textId="13520E08" w:rsidR="0067113D" w:rsidRPr="0067113D" w:rsidRDefault="00746A75" w:rsidP="0067113D">
          <w:pPr>
            <w:pStyle w:val="TOC1"/>
            <w:tabs>
              <w:tab w:val="right" w:leader="dot" w:pos="9019"/>
            </w:tabs>
            <w:spacing w:after="0" w:line="240" w:lineRule="auto"/>
            <w:rPr>
              <w:rFonts w:ascii="Arial" w:eastAsiaTheme="minorEastAsia" w:hAnsi="Arial" w:cs="Arial"/>
              <w:noProof/>
              <w:kern w:val="0"/>
              <w:lang w:val="en-US"/>
              <w14:ligatures w14:val="none"/>
            </w:rPr>
          </w:pPr>
          <w:r w:rsidRPr="0067113D">
            <w:rPr>
              <w:rFonts w:ascii="Arial" w:eastAsia="Arial" w:hAnsi="Arial" w:cs="Arial"/>
              <w:kern w:val="0"/>
              <w:lang w:val="en-GB"/>
              <w14:ligatures w14:val="none"/>
            </w:rPr>
            <w:fldChar w:fldCharType="begin"/>
          </w:r>
          <w:r w:rsidRPr="0067113D">
            <w:rPr>
              <w:rFonts w:ascii="Arial" w:eastAsia="Arial" w:hAnsi="Arial" w:cs="Arial"/>
              <w:kern w:val="0"/>
              <w:lang w:val="en-GB"/>
              <w14:ligatures w14:val="none"/>
            </w:rPr>
            <w:instrText xml:space="preserve"> TOC \o "1-3" \h \z \u </w:instrText>
          </w:r>
          <w:r w:rsidRPr="0067113D">
            <w:rPr>
              <w:rFonts w:ascii="Arial" w:eastAsia="Arial" w:hAnsi="Arial" w:cs="Arial"/>
              <w:kern w:val="0"/>
              <w:lang w:val="en-GB"/>
              <w14:ligatures w14:val="none"/>
            </w:rPr>
            <w:fldChar w:fldCharType="separate"/>
          </w:r>
          <w:hyperlink w:anchor="_Toc237020186" w:history="1">
            <w:r w:rsidR="0067113D" w:rsidRPr="0067113D">
              <w:rPr>
                <w:rStyle w:val="Hyperlink"/>
                <w:rFonts w:ascii="Arial" w:hAnsi="Arial" w:cs="Arial"/>
                <w:noProof/>
                <w:lang w:val="en-GB"/>
              </w:rPr>
              <w:t>1. Introduction</w:t>
            </w:r>
            <w:r w:rsidR="0067113D" w:rsidRPr="0067113D">
              <w:rPr>
                <w:rFonts w:ascii="Arial" w:hAnsi="Arial" w:cs="Arial"/>
                <w:noProof/>
                <w:webHidden/>
              </w:rPr>
              <w:tab/>
            </w:r>
            <w:r w:rsidR="0067113D" w:rsidRPr="0067113D">
              <w:rPr>
                <w:rFonts w:ascii="Arial" w:hAnsi="Arial" w:cs="Arial"/>
                <w:noProof/>
                <w:webHidden/>
              </w:rPr>
              <w:fldChar w:fldCharType="begin"/>
            </w:r>
            <w:r w:rsidR="0067113D" w:rsidRPr="0067113D">
              <w:rPr>
                <w:rFonts w:ascii="Arial" w:hAnsi="Arial" w:cs="Arial"/>
                <w:noProof/>
                <w:webHidden/>
              </w:rPr>
              <w:instrText xml:space="preserve"> PAGEREF _Toc237020186 \h </w:instrText>
            </w:r>
            <w:r w:rsidR="0067113D" w:rsidRPr="0067113D">
              <w:rPr>
                <w:rFonts w:ascii="Arial" w:hAnsi="Arial" w:cs="Arial"/>
                <w:noProof/>
                <w:webHidden/>
              </w:rPr>
            </w:r>
            <w:r w:rsidR="0067113D" w:rsidRPr="0067113D">
              <w:rPr>
                <w:rFonts w:ascii="Arial" w:hAnsi="Arial" w:cs="Arial"/>
                <w:noProof/>
                <w:webHidden/>
              </w:rPr>
              <w:fldChar w:fldCharType="separate"/>
            </w:r>
            <w:r w:rsidR="0067113D">
              <w:rPr>
                <w:rFonts w:ascii="Arial" w:hAnsi="Arial" w:cs="Arial"/>
                <w:noProof/>
                <w:webHidden/>
              </w:rPr>
              <w:t>1</w:t>
            </w:r>
            <w:r w:rsidR="0067113D" w:rsidRPr="0067113D">
              <w:rPr>
                <w:rFonts w:ascii="Arial" w:hAnsi="Arial" w:cs="Arial"/>
                <w:noProof/>
                <w:webHidden/>
              </w:rPr>
              <w:fldChar w:fldCharType="end"/>
            </w:r>
          </w:hyperlink>
        </w:p>
        <w:p w14:paraId="66F8D6E6" w14:textId="306E1484" w:rsidR="0067113D" w:rsidRPr="0067113D" w:rsidRDefault="0067113D" w:rsidP="0067113D">
          <w:pPr>
            <w:pStyle w:val="TOC2"/>
            <w:tabs>
              <w:tab w:val="right" w:leader="dot" w:pos="9019"/>
            </w:tabs>
            <w:spacing w:after="0" w:line="240" w:lineRule="auto"/>
            <w:rPr>
              <w:rFonts w:ascii="Arial" w:eastAsiaTheme="minorEastAsia" w:hAnsi="Arial" w:cs="Arial"/>
              <w:noProof/>
              <w:kern w:val="0"/>
              <w:lang w:val="en-US"/>
              <w14:ligatures w14:val="none"/>
            </w:rPr>
          </w:pPr>
          <w:hyperlink w:anchor="_Toc237020187" w:history="1">
            <w:r w:rsidRPr="0067113D">
              <w:rPr>
                <w:rStyle w:val="Hyperlink"/>
                <w:rFonts w:ascii="Arial" w:hAnsi="Arial" w:cs="Arial"/>
                <w:noProof/>
                <w:lang w:val="en-GB"/>
              </w:rPr>
              <w:t>1.1 Background of Patient X Case</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_Toc237020187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w:t>
            </w:r>
            <w:r w:rsidRPr="0067113D">
              <w:rPr>
                <w:rFonts w:ascii="Arial" w:hAnsi="Arial" w:cs="Arial"/>
                <w:noProof/>
                <w:webHidden/>
              </w:rPr>
              <w:fldChar w:fldCharType="end"/>
            </w:r>
          </w:hyperlink>
        </w:p>
        <w:p w14:paraId="735920D9" w14:textId="05232E2A" w:rsidR="0067113D" w:rsidRPr="0067113D" w:rsidRDefault="0067113D" w:rsidP="0067113D">
          <w:pPr>
            <w:pStyle w:val="TOC2"/>
            <w:tabs>
              <w:tab w:val="right" w:leader="dot" w:pos="9019"/>
            </w:tabs>
            <w:spacing w:after="0" w:line="240" w:lineRule="auto"/>
            <w:rPr>
              <w:rFonts w:ascii="Arial" w:eastAsiaTheme="minorEastAsia" w:hAnsi="Arial" w:cs="Arial"/>
              <w:noProof/>
              <w:kern w:val="0"/>
              <w:lang w:val="en-US"/>
              <w14:ligatures w14:val="none"/>
            </w:rPr>
          </w:pPr>
          <w:hyperlink w:anchor="_Toc237020188" w:history="1">
            <w:r w:rsidRPr="0067113D">
              <w:rPr>
                <w:rStyle w:val="Hyperlink"/>
                <w:rFonts w:ascii="Arial" w:hAnsi="Arial" w:cs="Arial"/>
                <w:noProof/>
                <w:lang w:val="en-GB"/>
              </w:rPr>
              <w:t>1.2 Purpose of the Report</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_Toc237020188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w:t>
            </w:r>
            <w:r w:rsidRPr="0067113D">
              <w:rPr>
                <w:rFonts w:ascii="Arial" w:hAnsi="Arial" w:cs="Arial"/>
                <w:noProof/>
                <w:webHidden/>
              </w:rPr>
              <w:fldChar w:fldCharType="end"/>
            </w:r>
          </w:hyperlink>
        </w:p>
        <w:p w14:paraId="3D4E293B" w14:textId="150AF0F9" w:rsidR="0067113D" w:rsidRPr="0067113D" w:rsidRDefault="0067113D" w:rsidP="0067113D">
          <w:pPr>
            <w:pStyle w:val="TOC2"/>
            <w:tabs>
              <w:tab w:val="right" w:leader="dot" w:pos="9019"/>
            </w:tabs>
            <w:spacing w:after="0" w:line="240" w:lineRule="auto"/>
            <w:rPr>
              <w:rFonts w:ascii="Arial" w:eastAsiaTheme="minorEastAsia" w:hAnsi="Arial" w:cs="Arial"/>
              <w:noProof/>
              <w:kern w:val="0"/>
              <w:lang w:val="en-US"/>
              <w14:ligatures w14:val="none"/>
            </w:rPr>
          </w:pPr>
          <w:hyperlink w:anchor="_Toc237020189" w:history="1">
            <w:r w:rsidRPr="0067113D">
              <w:rPr>
                <w:rStyle w:val="Hyperlink"/>
                <w:rFonts w:ascii="Arial" w:hAnsi="Arial" w:cs="Arial"/>
                <w:noProof/>
                <w:lang w:val="en-GB"/>
              </w:rPr>
              <w:t>1.3 Systems Thinking in Healthcare</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_Toc237020189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w:t>
            </w:r>
            <w:r w:rsidRPr="0067113D">
              <w:rPr>
                <w:rFonts w:ascii="Arial" w:hAnsi="Arial" w:cs="Arial"/>
                <w:noProof/>
                <w:webHidden/>
              </w:rPr>
              <w:fldChar w:fldCharType="end"/>
            </w:r>
          </w:hyperlink>
        </w:p>
        <w:p w14:paraId="7A9094C5" w14:textId="14294BC1" w:rsidR="0067113D" w:rsidRPr="0067113D" w:rsidRDefault="0067113D" w:rsidP="0067113D">
          <w:pPr>
            <w:pStyle w:val="TOC2"/>
            <w:tabs>
              <w:tab w:val="right" w:leader="dot" w:pos="9019"/>
            </w:tabs>
            <w:spacing w:after="0" w:line="240" w:lineRule="auto"/>
            <w:rPr>
              <w:rFonts w:ascii="Arial" w:eastAsiaTheme="minorEastAsia" w:hAnsi="Arial" w:cs="Arial"/>
              <w:noProof/>
              <w:kern w:val="0"/>
              <w:lang w:val="en-US"/>
              <w14:ligatures w14:val="none"/>
            </w:rPr>
          </w:pPr>
          <w:hyperlink w:anchor="_Toc237020190" w:history="1">
            <w:r w:rsidRPr="0067113D">
              <w:rPr>
                <w:rStyle w:val="Hyperlink"/>
                <w:rFonts w:ascii="Arial" w:hAnsi="Arial" w:cs="Arial"/>
                <w:noProof/>
                <w:lang w:val="en-GB"/>
              </w:rPr>
              <w:t>1.4 Centralisation and Decentralisation</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_Toc237020190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w:t>
            </w:r>
            <w:r w:rsidRPr="0067113D">
              <w:rPr>
                <w:rFonts w:ascii="Arial" w:hAnsi="Arial" w:cs="Arial"/>
                <w:noProof/>
                <w:webHidden/>
              </w:rPr>
              <w:fldChar w:fldCharType="end"/>
            </w:r>
          </w:hyperlink>
        </w:p>
        <w:p w14:paraId="17A84FB1" w14:textId="6E4505E7" w:rsidR="0067113D" w:rsidRPr="0067113D" w:rsidRDefault="0067113D" w:rsidP="0067113D">
          <w:pPr>
            <w:pStyle w:val="TOC2"/>
            <w:tabs>
              <w:tab w:val="right" w:leader="dot" w:pos="9019"/>
            </w:tabs>
            <w:spacing w:after="0" w:line="240" w:lineRule="auto"/>
            <w:rPr>
              <w:rFonts w:ascii="Arial" w:eastAsiaTheme="minorEastAsia" w:hAnsi="Arial" w:cs="Arial"/>
              <w:noProof/>
              <w:kern w:val="0"/>
              <w:lang w:val="en-US"/>
              <w14:ligatures w14:val="none"/>
            </w:rPr>
          </w:pPr>
          <w:hyperlink w:anchor="_Toc237020191" w:history="1">
            <w:r w:rsidRPr="0067113D">
              <w:rPr>
                <w:rStyle w:val="Hyperlink"/>
                <w:rFonts w:ascii="Arial" w:hAnsi="Arial" w:cs="Arial"/>
                <w:noProof/>
                <w:lang w:val="en-GB"/>
              </w:rPr>
              <w:t>1.5 Leadership and Patient Safety</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_Toc237020191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2</w:t>
            </w:r>
            <w:r w:rsidRPr="0067113D">
              <w:rPr>
                <w:rFonts w:ascii="Arial" w:hAnsi="Arial" w:cs="Arial"/>
                <w:noProof/>
                <w:webHidden/>
              </w:rPr>
              <w:fldChar w:fldCharType="end"/>
            </w:r>
          </w:hyperlink>
        </w:p>
        <w:p w14:paraId="2F05F22C" w14:textId="4DF0A9D2" w:rsidR="0067113D" w:rsidRPr="0067113D" w:rsidRDefault="0067113D" w:rsidP="0067113D">
          <w:pPr>
            <w:pStyle w:val="TOC1"/>
            <w:tabs>
              <w:tab w:val="right" w:leader="dot" w:pos="9019"/>
            </w:tabs>
            <w:spacing w:after="0" w:line="240" w:lineRule="auto"/>
            <w:rPr>
              <w:rFonts w:ascii="Arial" w:eastAsiaTheme="minorEastAsia" w:hAnsi="Arial" w:cs="Arial"/>
              <w:noProof/>
              <w:kern w:val="0"/>
              <w:lang w:val="en-US"/>
              <w14:ligatures w14:val="none"/>
            </w:rPr>
          </w:pPr>
          <w:hyperlink w:anchor="_Toc237020192" w:history="1">
            <w:r w:rsidRPr="0067113D">
              <w:rPr>
                <w:rStyle w:val="Hyperlink"/>
                <w:rFonts w:ascii="Arial" w:hAnsi="Arial" w:cs="Arial"/>
                <w:noProof/>
                <w:lang w:val="en-GB"/>
              </w:rPr>
              <w:t>2. Main Analysis</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_Toc237020192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2</w:t>
            </w:r>
            <w:r w:rsidRPr="0067113D">
              <w:rPr>
                <w:rFonts w:ascii="Arial" w:hAnsi="Arial" w:cs="Arial"/>
                <w:noProof/>
                <w:webHidden/>
              </w:rPr>
              <w:fldChar w:fldCharType="end"/>
            </w:r>
          </w:hyperlink>
        </w:p>
        <w:p w14:paraId="122856A8" w14:textId="077DF738" w:rsidR="0067113D" w:rsidRPr="0067113D" w:rsidRDefault="0067113D" w:rsidP="0067113D">
          <w:pPr>
            <w:pStyle w:val="TOC2"/>
            <w:tabs>
              <w:tab w:val="right" w:leader="dot" w:pos="9019"/>
            </w:tabs>
            <w:spacing w:after="0" w:line="240" w:lineRule="auto"/>
            <w:rPr>
              <w:rFonts w:ascii="Arial" w:eastAsiaTheme="minorEastAsia" w:hAnsi="Arial" w:cs="Arial"/>
              <w:noProof/>
              <w:kern w:val="0"/>
              <w:lang w:val="en-US"/>
              <w14:ligatures w14:val="none"/>
            </w:rPr>
          </w:pPr>
          <w:hyperlink w:anchor="_Toc237020193" w:history="1">
            <w:r w:rsidRPr="0067113D">
              <w:rPr>
                <w:rStyle w:val="Hyperlink"/>
                <w:rFonts w:ascii="Arial" w:hAnsi="Arial" w:cs="Arial"/>
                <w:noProof/>
                <w:lang w:val="en-GB"/>
              </w:rPr>
              <w:t>2.1 Identifying the Problem through Systems Thinking</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_Toc237020193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2</w:t>
            </w:r>
            <w:r w:rsidRPr="0067113D">
              <w:rPr>
                <w:rFonts w:ascii="Arial" w:hAnsi="Arial" w:cs="Arial"/>
                <w:noProof/>
                <w:webHidden/>
              </w:rPr>
              <w:fldChar w:fldCharType="end"/>
            </w:r>
          </w:hyperlink>
        </w:p>
        <w:p w14:paraId="30912840" w14:textId="3ECC2517"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194" w:history="1">
            <w:r w:rsidRPr="0067113D">
              <w:rPr>
                <w:rStyle w:val="Hyperlink"/>
                <w:rFonts w:ascii="Arial" w:hAnsi="Arial" w:cs="Arial"/>
                <w:noProof/>
                <w:lang w:val="en-GB"/>
              </w:rPr>
              <w:t>2.1.1 Overview of the Incident</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_Toc237020194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2</w:t>
            </w:r>
            <w:r w:rsidRPr="0067113D">
              <w:rPr>
                <w:rFonts w:ascii="Arial" w:hAnsi="Arial" w:cs="Arial"/>
                <w:noProof/>
                <w:webHidden/>
              </w:rPr>
              <w:fldChar w:fldCharType="end"/>
            </w:r>
          </w:hyperlink>
        </w:p>
        <w:p w14:paraId="4BC1E216" w14:textId="79C87104"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195" w:history="1">
            <w:r w:rsidRPr="0067113D">
              <w:rPr>
                <w:rStyle w:val="Hyperlink"/>
                <w:rFonts w:ascii="Arial" w:hAnsi="Arial" w:cs="Arial"/>
                <w:noProof/>
                <w:lang w:val="en-GB"/>
              </w:rPr>
              <w:t>2.1.2 Medication Safety Statistics</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_Toc237020195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3</w:t>
            </w:r>
            <w:r w:rsidRPr="0067113D">
              <w:rPr>
                <w:rFonts w:ascii="Arial" w:hAnsi="Arial" w:cs="Arial"/>
                <w:noProof/>
                <w:webHidden/>
              </w:rPr>
              <w:fldChar w:fldCharType="end"/>
            </w:r>
          </w:hyperlink>
        </w:p>
        <w:p w14:paraId="680B40BA" w14:textId="5D0A67CF"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196" w:history="1">
            <w:r w:rsidRPr="0067113D">
              <w:rPr>
                <w:rStyle w:val="Hyperlink"/>
                <w:rFonts w:ascii="Arial" w:hAnsi="Arial" w:cs="Arial"/>
                <w:noProof/>
                <w:lang w:val="en-GB"/>
              </w:rPr>
              <w:t>2.1.3 Human Factors</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_Toc237020196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3</w:t>
            </w:r>
            <w:r w:rsidRPr="0067113D">
              <w:rPr>
                <w:rFonts w:ascii="Arial" w:hAnsi="Arial" w:cs="Arial"/>
                <w:noProof/>
                <w:webHidden/>
              </w:rPr>
              <w:fldChar w:fldCharType="end"/>
            </w:r>
          </w:hyperlink>
        </w:p>
        <w:p w14:paraId="12BF1E80" w14:textId="123CC893"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197" w:history="1">
            <w:r w:rsidRPr="0067113D">
              <w:rPr>
                <w:rStyle w:val="Hyperlink"/>
                <w:rFonts w:ascii="Arial" w:hAnsi="Arial" w:cs="Arial"/>
                <w:noProof/>
                <w:lang w:val="en-GB"/>
              </w:rPr>
              <w:t>2.1.4 System Weaknesses</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_Toc237020197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4</w:t>
            </w:r>
            <w:r w:rsidRPr="0067113D">
              <w:rPr>
                <w:rFonts w:ascii="Arial" w:hAnsi="Arial" w:cs="Arial"/>
                <w:noProof/>
                <w:webHidden/>
              </w:rPr>
              <w:fldChar w:fldCharType="end"/>
            </w:r>
          </w:hyperlink>
        </w:p>
        <w:p w14:paraId="4901E2CD" w14:textId="08365E80"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198" w:history="1">
            <w:r w:rsidRPr="0067113D">
              <w:rPr>
                <w:rStyle w:val="Hyperlink"/>
                <w:rFonts w:ascii="Arial" w:hAnsi="Arial" w:cs="Arial"/>
                <w:noProof/>
                <w:lang w:val="en-GB"/>
              </w:rPr>
              <w:t>2.1.5 Rich Picture</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_Toc237020198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5</w:t>
            </w:r>
            <w:r w:rsidRPr="0067113D">
              <w:rPr>
                <w:rFonts w:ascii="Arial" w:hAnsi="Arial" w:cs="Arial"/>
                <w:noProof/>
                <w:webHidden/>
              </w:rPr>
              <w:fldChar w:fldCharType="end"/>
            </w:r>
          </w:hyperlink>
        </w:p>
        <w:p w14:paraId="6866A531" w14:textId="68B8D9B3" w:rsidR="0067113D" w:rsidRPr="0067113D" w:rsidRDefault="0067113D" w:rsidP="0067113D">
          <w:pPr>
            <w:pStyle w:val="TOC2"/>
            <w:tabs>
              <w:tab w:val="right" w:leader="dot" w:pos="9019"/>
            </w:tabs>
            <w:spacing w:after="0" w:line="240" w:lineRule="auto"/>
            <w:rPr>
              <w:rFonts w:ascii="Arial" w:eastAsiaTheme="minorEastAsia" w:hAnsi="Arial" w:cs="Arial"/>
              <w:noProof/>
              <w:kern w:val="0"/>
              <w:lang w:val="en-US"/>
              <w14:ligatures w14:val="none"/>
            </w:rPr>
          </w:pPr>
          <w:hyperlink w:anchor="_Toc237020199" w:history="1">
            <w:r w:rsidRPr="0067113D">
              <w:rPr>
                <w:rStyle w:val="Hyperlink"/>
                <w:rFonts w:ascii="Arial" w:hAnsi="Arial" w:cs="Arial"/>
                <w:noProof/>
                <w:lang w:val="en-GB"/>
              </w:rPr>
              <w:t>2.2 Centralisation versus Decentralisation</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_Toc237020199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6</w:t>
            </w:r>
            <w:r w:rsidRPr="0067113D">
              <w:rPr>
                <w:rFonts w:ascii="Arial" w:hAnsi="Arial" w:cs="Arial"/>
                <w:noProof/>
                <w:webHidden/>
              </w:rPr>
              <w:fldChar w:fldCharType="end"/>
            </w:r>
          </w:hyperlink>
        </w:p>
        <w:p w14:paraId="44DC3705" w14:textId="754BA9BF"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00" w:history="1">
            <w:r w:rsidRPr="0067113D">
              <w:rPr>
                <w:rStyle w:val="Hyperlink"/>
                <w:rFonts w:ascii="Arial" w:hAnsi="Arial" w:cs="Arial"/>
                <w:noProof/>
                <w:lang w:val="en-GB"/>
              </w:rPr>
              <w:t>2.2.1 Organisational Structure</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_Toc237020200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6</w:t>
            </w:r>
            <w:r w:rsidRPr="0067113D">
              <w:rPr>
                <w:rFonts w:ascii="Arial" w:hAnsi="Arial" w:cs="Arial"/>
                <w:noProof/>
                <w:webHidden/>
              </w:rPr>
              <w:fldChar w:fldCharType="end"/>
            </w:r>
          </w:hyperlink>
        </w:p>
        <w:p w14:paraId="4F379C13" w14:textId="32426404"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01" w:history="1">
            <w:r w:rsidRPr="0067113D">
              <w:rPr>
                <w:rStyle w:val="Hyperlink"/>
                <w:rFonts w:ascii="Arial" w:hAnsi="Arial" w:cs="Arial"/>
                <w:noProof/>
                <w:lang w:val="en-GB"/>
              </w:rPr>
              <w:t>2.2.2 Clinical Decision-making</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_Toc237020201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7</w:t>
            </w:r>
            <w:r w:rsidRPr="0067113D">
              <w:rPr>
                <w:rFonts w:ascii="Arial" w:hAnsi="Arial" w:cs="Arial"/>
                <w:noProof/>
                <w:webHidden/>
              </w:rPr>
              <w:fldChar w:fldCharType="end"/>
            </w:r>
          </w:hyperlink>
        </w:p>
        <w:p w14:paraId="236B55E7" w14:textId="0423D85F"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02" w:history="1">
            <w:r w:rsidRPr="0067113D">
              <w:rPr>
                <w:rStyle w:val="Hyperlink"/>
                <w:rFonts w:ascii="Arial" w:hAnsi="Arial" w:cs="Arial"/>
                <w:noProof/>
                <w:lang w:val="en-GB"/>
              </w:rPr>
              <w:t>2.2.3 Multidisciplinary Team Communication</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_Toc237020202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7</w:t>
            </w:r>
            <w:r w:rsidRPr="0067113D">
              <w:rPr>
                <w:rFonts w:ascii="Arial" w:hAnsi="Arial" w:cs="Arial"/>
                <w:noProof/>
                <w:webHidden/>
              </w:rPr>
              <w:fldChar w:fldCharType="end"/>
            </w:r>
          </w:hyperlink>
        </w:p>
        <w:p w14:paraId="67CB3FF4" w14:textId="50577A7F"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03" w:history="1">
            <w:r w:rsidRPr="0067113D">
              <w:rPr>
                <w:rStyle w:val="Hyperlink"/>
                <w:rFonts w:ascii="Arial" w:hAnsi="Arial" w:cs="Arial"/>
                <w:noProof/>
                <w:lang w:val="en-GB"/>
              </w:rPr>
              <w:t>2.2.4 Impact on Patient Safety</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_Toc237020203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8</w:t>
            </w:r>
            <w:r w:rsidRPr="0067113D">
              <w:rPr>
                <w:rFonts w:ascii="Arial" w:hAnsi="Arial" w:cs="Arial"/>
                <w:noProof/>
                <w:webHidden/>
              </w:rPr>
              <w:fldChar w:fldCharType="end"/>
            </w:r>
          </w:hyperlink>
        </w:p>
        <w:p w14:paraId="7B6166F4" w14:textId="63FBAC50"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04" w:history="1">
            <w:r w:rsidRPr="0067113D">
              <w:rPr>
                <w:rStyle w:val="Hyperlink"/>
                <w:rFonts w:ascii="Arial" w:hAnsi="Arial" w:cs="Arial"/>
                <w:noProof/>
                <w:lang w:val="en-GB"/>
              </w:rPr>
              <w:t>2.2.5 Critical Analysis</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_Toc237020204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8</w:t>
            </w:r>
            <w:r w:rsidRPr="0067113D">
              <w:rPr>
                <w:rFonts w:ascii="Arial" w:hAnsi="Arial" w:cs="Arial"/>
                <w:noProof/>
                <w:webHidden/>
              </w:rPr>
              <w:fldChar w:fldCharType="end"/>
            </w:r>
          </w:hyperlink>
        </w:p>
        <w:p w14:paraId="62B78D62" w14:textId="49FBC6A3" w:rsidR="0067113D" w:rsidRPr="0067113D" w:rsidRDefault="0067113D" w:rsidP="0067113D">
          <w:pPr>
            <w:pStyle w:val="TOC2"/>
            <w:tabs>
              <w:tab w:val="right" w:leader="dot" w:pos="9019"/>
            </w:tabs>
            <w:spacing w:after="0" w:line="240" w:lineRule="auto"/>
            <w:rPr>
              <w:rFonts w:ascii="Arial" w:eastAsiaTheme="minorEastAsia" w:hAnsi="Arial" w:cs="Arial"/>
              <w:noProof/>
              <w:kern w:val="0"/>
              <w:lang w:val="en-US"/>
              <w14:ligatures w14:val="none"/>
            </w:rPr>
          </w:pPr>
          <w:hyperlink w:anchor="_Toc237020205" w:history="1">
            <w:r w:rsidRPr="0067113D">
              <w:rPr>
                <w:rStyle w:val="Hyperlink"/>
                <w:rFonts w:ascii="Arial" w:hAnsi="Arial" w:cs="Arial"/>
                <w:noProof/>
                <w:lang w:val="en-GB"/>
              </w:rPr>
              <w:t>2.3 Leadership Theory Application</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_Toc237020205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9</w:t>
            </w:r>
            <w:r w:rsidRPr="0067113D">
              <w:rPr>
                <w:rFonts w:ascii="Arial" w:hAnsi="Arial" w:cs="Arial"/>
                <w:noProof/>
                <w:webHidden/>
              </w:rPr>
              <w:fldChar w:fldCharType="end"/>
            </w:r>
          </w:hyperlink>
        </w:p>
        <w:p w14:paraId="36B7D46D" w14:textId="3011C201"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06" w:history="1">
            <w:r w:rsidRPr="0067113D">
              <w:rPr>
                <w:rStyle w:val="Hyperlink"/>
                <w:rFonts w:ascii="Arial" w:hAnsi="Arial" w:cs="Arial"/>
                <w:noProof/>
                <w:lang w:val="en-GB"/>
              </w:rPr>
              <w:t>2.3.1 Distributed Leadership</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_Toc237020206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9</w:t>
            </w:r>
            <w:r w:rsidRPr="0067113D">
              <w:rPr>
                <w:rFonts w:ascii="Arial" w:hAnsi="Arial" w:cs="Arial"/>
                <w:noProof/>
                <w:webHidden/>
              </w:rPr>
              <w:fldChar w:fldCharType="end"/>
            </w:r>
          </w:hyperlink>
        </w:p>
        <w:p w14:paraId="455D1BAF" w14:textId="71E551FF"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07" w:history="1">
            <w:r w:rsidRPr="0067113D">
              <w:rPr>
                <w:rStyle w:val="Hyperlink"/>
                <w:rFonts w:ascii="Arial" w:hAnsi="Arial" w:cs="Arial"/>
                <w:noProof/>
                <w:lang w:val="en-GB"/>
              </w:rPr>
              <w:t>2.3.2 Systems Leadership</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_Toc237020207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10</w:t>
            </w:r>
            <w:r w:rsidRPr="0067113D">
              <w:rPr>
                <w:rFonts w:ascii="Arial" w:hAnsi="Arial" w:cs="Arial"/>
                <w:noProof/>
                <w:webHidden/>
              </w:rPr>
              <w:fldChar w:fldCharType="end"/>
            </w:r>
          </w:hyperlink>
        </w:p>
        <w:p w14:paraId="1FFBEA5C" w14:textId="3C526722"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08" w:history="1">
            <w:r w:rsidRPr="0067113D">
              <w:rPr>
                <w:rStyle w:val="Hyperlink"/>
                <w:rFonts w:ascii="Arial" w:hAnsi="Arial" w:cs="Arial"/>
                <w:noProof/>
                <w:lang w:val="en-GB"/>
              </w:rPr>
              <w:t>2.3.3 Transformational Leadership</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_Toc237020208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10</w:t>
            </w:r>
            <w:r w:rsidRPr="0067113D">
              <w:rPr>
                <w:rFonts w:ascii="Arial" w:hAnsi="Arial" w:cs="Arial"/>
                <w:noProof/>
                <w:webHidden/>
              </w:rPr>
              <w:fldChar w:fldCharType="end"/>
            </w:r>
          </w:hyperlink>
        </w:p>
        <w:p w14:paraId="1E5A8079" w14:textId="261214AC"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09" w:history="1">
            <w:r w:rsidRPr="0067113D">
              <w:rPr>
                <w:rStyle w:val="Hyperlink"/>
                <w:rFonts w:ascii="Arial" w:hAnsi="Arial" w:cs="Arial"/>
                <w:noProof/>
                <w:lang w:val="en-GB"/>
              </w:rPr>
              <w:t>2.3.4 Human Factors and Leadership</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_Toc237020209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11</w:t>
            </w:r>
            <w:r w:rsidRPr="0067113D">
              <w:rPr>
                <w:rFonts w:ascii="Arial" w:hAnsi="Arial" w:cs="Arial"/>
                <w:noProof/>
                <w:webHidden/>
              </w:rPr>
              <w:fldChar w:fldCharType="end"/>
            </w:r>
          </w:hyperlink>
        </w:p>
        <w:p w14:paraId="10FF6C84" w14:textId="5BC6021C"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10" w:history="1">
            <w:r w:rsidRPr="0067113D">
              <w:rPr>
                <w:rStyle w:val="Hyperlink"/>
                <w:rFonts w:ascii="Arial" w:hAnsi="Arial" w:cs="Arial"/>
                <w:noProof/>
                <w:lang w:val="en-GB"/>
              </w:rPr>
              <w:t>2.3.5 Evaluation of Leadership Approaches</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_Toc237020210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11</w:t>
            </w:r>
            <w:r w:rsidRPr="0067113D">
              <w:rPr>
                <w:rFonts w:ascii="Arial" w:hAnsi="Arial" w:cs="Arial"/>
                <w:noProof/>
                <w:webHidden/>
              </w:rPr>
              <w:fldChar w:fldCharType="end"/>
            </w:r>
          </w:hyperlink>
        </w:p>
        <w:p w14:paraId="31F2AD2A" w14:textId="3514C5F6" w:rsidR="0067113D" w:rsidRPr="0067113D" w:rsidRDefault="0067113D" w:rsidP="0067113D">
          <w:pPr>
            <w:pStyle w:val="TOC2"/>
            <w:tabs>
              <w:tab w:val="right" w:leader="dot" w:pos="9019"/>
            </w:tabs>
            <w:spacing w:after="0" w:line="240" w:lineRule="auto"/>
            <w:rPr>
              <w:rFonts w:ascii="Arial" w:eastAsiaTheme="minorEastAsia" w:hAnsi="Arial" w:cs="Arial"/>
              <w:noProof/>
              <w:kern w:val="0"/>
              <w:lang w:val="en-US"/>
              <w14:ligatures w14:val="none"/>
            </w:rPr>
          </w:pPr>
          <w:hyperlink w:anchor="_Toc237020211" w:history="1">
            <w:r w:rsidRPr="0067113D">
              <w:rPr>
                <w:rStyle w:val="Hyperlink"/>
                <w:rFonts w:ascii="Arial" w:hAnsi="Arial" w:cs="Arial"/>
                <w:noProof/>
                <w:lang w:val="en-GB"/>
              </w:rPr>
              <w:t>2.4 Improvement and Lessons Learned</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_Toc237020211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12</w:t>
            </w:r>
            <w:r w:rsidRPr="0067113D">
              <w:rPr>
                <w:rFonts w:ascii="Arial" w:hAnsi="Arial" w:cs="Arial"/>
                <w:noProof/>
                <w:webHidden/>
              </w:rPr>
              <w:fldChar w:fldCharType="end"/>
            </w:r>
          </w:hyperlink>
        </w:p>
        <w:p w14:paraId="45E9FA5A" w14:textId="575675BB"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12" w:history="1">
            <w:r w:rsidRPr="0067113D">
              <w:rPr>
                <w:rStyle w:val="Hyperlink"/>
                <w:rFonts w:ascii="Arial" w:hAnsi="Arial" w:cs="Arial"/>
                <w:noProof/>
                <w:lang w:val="en-GB"/>
              </w:rPr>
              <w:t>2.4.1 Medication Safety Strategies</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_Toc237020212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12</w:t>
            </w:r>
            <w:r w:rsidRPr="0067113D">
              <w:rPr>
                <w:rFonts w:ascii="Arial" w:hAnsi="Arial" w:cs="Arial"/>
                <w:noProof/>
                <w:webHidden/>
              </w:rPr>
              <w:fldChar w:fldCharType="end"/>
            </w:r>
          </w:hyperlink>
        </w:p>
        <w:p w14:paraId="3C361D39" w14:textId="3F853964"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13" w:history="1">
            <w:r w:rsidRPr="0067113D">
              <w:rPr>
                <w:rStyle w:val="Hyperlink"/>
                <w:rFonts w:ascii="Arial" w:hAnsi="Arial" w:cs="Arial"/>
                <w:noProof/>
                <w:lang w:val="en-GB"/>
              </w:rPr>
              <w:t>2.4.2 Electronic Prescribing and Clinical Decision Support</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_Toc237020213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13</w:t>
            </w:r>
            <w:r w:rsidRPr="0067113D">
              <w:rPr>
                <w:rFonts w:ascii="Arial" w:hAnsi="Arial" w:cs="Arial"/>
                <w:noProof/>
                <w:webHidden/>
              </w:rPr>
              <w:fldChar w:fldCharType="end"/>
            </w:r>
          </w:hyperlink>
        </w:p>
        <w:p w14:paraId="030BD4F9" w14:textId="571E883E"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14" w:history="1">
            <w:r w:rsidRPr="0067113D">
              <w:rPr>
                <w:rStyle w:val="Hyperlink"/>
                <w:rFonts w:ascii="Arial" w:hAnsi="Arial" w:cs="Arial"/>
                <w:noProof/>
                <w:lang w:val="en-GB"/>
              </w:rPr>
              <w:t>2.4.3 Safety Culture</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_Toc237020214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13</w:t>
            </w:r>
            <w:r w:rsidRPr="0067113D">
              <w:rPr>
                <w:rFonts w:ascii="Arial" w:hAnsi="Arial" w:cs="Arial"/>
                <w:noProof/>
                <w:webHidden/>
              </w:rPr>
              <w:fldChar w:fldCharType="end"/>
            </w:r>
          </w:hyperlink>
        </w:p>
        <w:p w14:paraId="77F60FF2" w14:textId="2477221D"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15" w:history="1">
            <w:r w:rsidRPr="0067113D">
              <w:rPr>
                <w:rStyle w:val="Hyperlink"/>
                <w:rFonts w:ascii="Arial" w:hAnsi="Arial" w:cs="Arial"/>
                <w:noProof/>
                <w:lang w:val="en-GB"/>
              </w:rPr>
              <w:t>2.4.4 Learning Health Systems</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_Toc237020215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14</w:t>
            </w:r>
            <w:r w:rsidRPr="0067113D">
              <w:rPr>
                <w:rFonts w:ascii="Arial" w:hAnsi="Arial" w:cs="Arial"/>
                <w:noProof/>
                <w:webHidden/>
              </w:rPr>
              <w:fldChar w:fldCharType="end"/>
            </w:r>
          </w:hyperlink>
        </w:p>
        <w:p w14:paraId="35CEBFA9" w14:textId="70955A1D" w:rsidR="0067113D" w:rsidRPr="0067113D" w:rsidRDefault="0067113D" w:rsidP="0067113D">
          <w:pPr>
            <w:pStyle w:val="TOC3"/>
            <w:tabs>
              <w:tab w:val="right" w:leader="dot" w:pos="9019"/>
            </w:tabs>
            <w:spacing w:after="0" w:line="240" w:lineRule="auto"/>
            <w:rPr>
              <w:rFonts w:ascii="Arial" w:eastAsiaTheme="minorEastAsia" w:hAnsi="Arial" w:cs="Arial"/>
              <w:noProof/>
              <w:kern w:val="0"/>
              <w:lang w:val="en-US"/>
              <w14:ligatures w14:val="none"/>
            </w:rPr>
          </w:pPr>
          <w:hyperlink w:anchor="_Toc237020216" w:history="1">
            <w:r w:rsidRPr="0067113D">
              <w:rPr>
                <w:rStyle w:val="Hyperlink"/>
                <w:rFonts w:ascii="Arial" w:hAnsi="Arial" w:cs="Arial"/>
                <w:noProof/>
                <w:lang w:val="en-GB"/>
              </w:rPr>
              <w:t>2.4.5 Lessons for Future Practice</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_Toc237020216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14</w:t>
            </w:r>
            <w:r w:rsidRPr="0067113D">
              <w:rPr>
                <w:rFonts w:ascii="Arial" w:hAnsi="Arial" w:cs="Arial"/>
                <w:noProof/>
                <w:webHidden/>
              </w:rPr>
              <w:fldChar w:fldCharType="end"/>
            </w:r>
          </w:hyperlink>
        </w:p>
        <w:p w14:paraId="579B93D4" w14:textId="51DFCA8B" w:rsidR="0067113D" w:rsidRPr="0067113D" w:rsidRDefault="0067113D" w:rsidP="0067113D">
          <w:pPr>
            <w:pStyle w:val="TOC1"/>
            <w:tabs>
              <w:tab w:val="right" w:leader="dot" w:pos="9019"/>
            </w:tabs>
            <w:spacing w:after="0" w:line="240" w:lineRule="auto"/>
            <w:rPr>
              <w:rFonts w:ascii="Arial" w:eastAsiaTheme="minorEastAsia" w:hAnsi="Arial" w:cs="Arial"/>
              <w:noProof/>
              <w:kern w:val="0"/>
              <w:lang w:val="en-US"/>
              <w14:ligatures w14:val="none"/>
            </w:rPr>
          </w:pPr>
          <w:hyperlink w:anchor="_Toc237020217" w:history="1">
            <w:r w:rsidRPr="0067113D">
              <w:rPr>
                <w:rStyle w:val="Hyperlink"/>
                <w:rFonts w:ascii="Arial" w:hAnsi="Arial" w:cs="Arial"/>
                <w:noProof/>
                <w:lang w:val="en-GB"/>
              </w:rPr>
              <w:t>3. Recommendations</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_Toc237020217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15</w:t>
            </w:r>
            <w:r w:rsidRPr="0067113D">
              <w:rPr>
                <w:rFonts w:ascii="Arial" w:hAnsi="Arial" w:cs="Arial"/>
                <w:noProof/>
                <w:webHidden/>
              </w:rPr>
              <w:fldChar w:fldCharType="end"/>
            </w:r>
          </w:hyperlink>
        </w:p>
        <w:p w14:paraId="06831944" w14:textId="307F7CB2" w:rsidR="0067113D" w:rsidRPr="0067113D" w:rsidRDefault="0067113D" w:rsidP="0067113D">
          <w:pPr>
            <w:pStyle w:val="TOC2"/>
            <w:tabs>
              <w:tab w:val="right" w:leader="dot" w:pos="9019"/>
            </w:tabs>
            <w:spacing w:after="0" w:line="240" w:lineRule="auto"/>
            <w:rPr>
              <w:rFonts w:ascii="Arial" w:eastAsiaTheme="minorEastAsia" w:hAnsi="Arial" w:cs="Arial"/>
              <w:noProof/>
              <w:kern w:val="0"/>
              <w:lang w:val="en-US"/>
              <w14:ligatures w14:val="none"/>
            </w:rPr>
          </w:pPr>
          <w:hyperlink w:anchor="_Toc237020218" w:history="1">
            <w:r w:rsidRPr="0067113D">
              <w:rPr>
                <w:rStyle w:val="Hyperlink"/>
                <w:rFonts w:ascii="Arial" w:hAnsi="Arial" w:cs="Arial"/>
                <w:noProof/>
                <w:lang w:val="en-GB"/>
              </w:rPr>
              <w:t>3.1 Medication Safety Interventions</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_Toc237020218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15</w:t>
            </w:r>
            <w:r w:rsidRPr="0067113D">
              <w:rPr>
                <w:rFonts w:ascii="Arial" w:hAnsi="Arial" w:cs="Arial"/>
                <w:noProof/>
                <w:webHidden/>
              </w:rPr>
              <w:fldChar w:fldCharType="end"/>
            </w:r>
          </w:hyperlink>
        </w:p>
        <w:p w14:paraId="6E6CF2BC" w14:textId="0A9A2C58" w:rsidR="0067113D" w:rsidRPr="0067113D" w:rsidRDefault="0067113D" w:rsidP="0067113D">
          <w:pPr>
            <w:pStyle w:val="TOC2"/>
            <w:tabs>
              <w:tab w:val="right" w:leader="dot" w:pos="9019"/>
            </w:tabs>
            <w:spacing w:after="0" w:line="240" w:lineRule="auto"/>
            <w:rPr>
              <w:rFonts w:ascii="Arial" w:eastAsiaTheme="minorEastAsia" w:hAnsi="Arial" w:cs="Arial"/>
              <w:noProof/>
              <w:kern w:val="0"/>
              <w:lang w:val="en-US"/>
              <w14:ligatures w14:val="none"/>
            </w:rPr>
          </w:pPr>
          <w:hyperlink w:anchor="_Toc237020219" w:history="1">
            <w:r w:rsidRPr="0067113D">
              <w:rPr>
                <w:rStyle w:val="Hyperlink"/>
                <w:rFonts w:ascii="Arial" w:hAnsi="Arial" w:cs="Arial"/>
                <w:noProof/>
                <w:lang w:val="en-GB"/>
              </w:rPr>
              <w:t>3.2 Digital Decision Support</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_Toc237020219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15</w:t>
            </w:r>
            <w:r w:rsidRPr="0067113D">
              <w:rPr>
                <w:rFonts w:ascii="Arial" w:hAnsi="Arial" w:cs="Arial"/>
                <w:noProof/>
                <w:webHidden/>
              </w:rPr>
              <w:fldChar w:fldCharType="end"/>
            </w:r>
          </w:hyperlink>
        </w:p>
        <w:p w14:paraId="64A8F681" w14:textId="453B8486" w:rsidR="0067113D" w:rsidRPr="0067113D" w:rsidRDefault="0067113D" w:rsidP="0067113D">
          <w:pPr>
            <w:pStyle w:val="TOC2"/>
            <w:tabs>
              <w:tab w:val="right" w:leader="dot" w:pos="9019"/>
            </w:tabs>
            <w:spacing w:after="0" w:line="240" w:lineRule="auto"/>
            <w:rPr>
              <w:rFonts w:ascii="Arial" w:eastAsiaTheme="minorEastAsia" w:hAnsi="Arial" w:cs="Arial"/>
              <w:noProof/>
              <w:kern w:val="0"/>
              <w:lang w:val="en-US"/>
              <w14:ligatures w14:val="none"/>
            </w:rPr>
          </w:pPr>
          <w:hyperlink w:anchor="_Toc237020220" w:history="1">
            <w:r w:rsidRPr="0067113D">
              <w:rPr>
                <w:rStyle w:val="Hyperlink"/>
                <w:rFonts w:ascii="Arial" w:hAnsi="Arial" w:cs="Arial"/>
                <w:noProof/>
                <w:lang w:val="en-GB"/>
              </w:rPr>
              <w:t>3.3 Systems-based Leadership</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_Toc237020220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16</w:t>
            </w:r>
            <w:r w:rsidRPr="0067113D">
              <w:rPr>
                <w:rFonts w:ascii="Arial" w:hAnsi="Arial" w:cs="Arial"/>
                <w:noProof/>
                <w:webHidden/>
              </w:rPr>
              <w:fldChar w:fldCharType="end"/>
            </w:r>
          </w:hyperlink>
        </w:p>
        <w:p w14:paraId="41059565" w14:textId="23B9218C" w:rsidR="0067113D" w:rsidRPr="0067113D" w:rsidRDefault="0067113D" w:rsidP="0067113D">
          <w:pPr>
            <w:pStyle w:val="TOC2"/>
            <w:tabs>
              <w:tab w:val="right" w:leader="dot" w:pos="9019"/>
            </w:tabs>
            <w:spacing w:after="0" w:line="240" w:lineRule="auto"/>
            <w:rPr>
              <w:rFonts w:ascii="Arial" w:eastAsiaTheme="minorEastAsia" w:hAnsi="Arial" w:cs="Arial"/>
              <w:noProof/>
              <w:kern w:val="0"/>
              <w:lang w:val="en-US"/>
              <w14:ligatures w14:val="none"/>
            </w:rPr>
          </w:pPr>
          <w:hyperlink w:anchor="_Toc237020221" w:history="1">
            <w:r w:rsidRPr="0067113D">
              <w:rPr>
                <w:rStyle w:val="Hyperlink"/>
                <w:rFonts w:ascii="Arial" w:hAnsi="Arial" w:cs="Arial"/>
                <w:noProof/>
                <w:lang w:val="en-GB"/>
              </w:rPr>
              <w:t>3.4 Multidisciplinary Communication</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_Toc237020221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16</w:t>
            </w:r>
            <w:r w:rsidRPr="0067113D">
              <w:rPr>
                <w:rFonts w:ascii="Arial" w:hAnsi="Arial" w:cs="Arial"/>
                <w:noProof/>
                <w:webHidden/>
              </w:rPr>
              <w:fldChar w:fldCharType="end"/>
            </w:r>
          </w:hyperlink>
        </w:p>
        <w:p w14:paraId="0E411810" w14:textId="52D2C685" w:rsidR="0067113D" w:rsidRPr="0067113D" w:rsidRDefault="0067113D" w:rsidP="0067113D">
          <w:pPr>
            <w:pStyle w:val="TOC2"/>
            <w:tabs>
              <w:tab w:val="right" w:leader="dot" w:pos="9019"/>
            </w:tabs>
            <w:spacing w:after="0" w:line="240" w:lineRule="auto"/>
            <w:rPr>
              <w:rFonts w:ascii="Arial" w:eastAsiaTheme="minorEastAsia" w:hAnsi="Arial" w:cs="Arial"/>
              <w:noProof/>
              <w:kern w:val="0"/>
              <w:lang w:val="en-US"/>
              <w14:ligatures w14:val="none"/>
            </w:rPr>
          </w:pPr>
          <w:hyperlink w:anchor="_Toc237020222" w:history="1">
            <w:r w:rsidRPr="0067113D">
              <w:rPr>
                <w:rStyle w:val="Hyperlink"/>
                <w:rFonts w:ascii="Arial" w:hAnsi="Arial" w:cs="Arial"/>
                <w:noProof/>
                <w:lang w:val="en-GB"/>
              </w:rPr>
              <w:t>3.5 Continuous Quality Improvement</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_Toc237020222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17</w:t>
            </w:r>
            <w:r w:rsidRPr="0067113D">
              <w:rPr>
                <w:rFonts w:ascii="Arial" w:hAnsi="Arial" w:cs="Arial"/>
                <w:noProof/>
                <w:webHidden/>
              </w:rPr>
              <w:fldChar w:fldCharType="end"/>
            </w:r>
          </w:hyperlink>
        </w:p>
        <w:p w14:paraId="7244E584" w14:textId="32F7BB74" w:rsidR="0067113D" w:rsidRPr="0067113D" w:rsidRDefault="0067113D" w:rsidP="0067113D">
          <w:pPr>
            <w:pStyle w:val="TOC1"/>
            <w:tabs>
              <w:tab w:val="right" w:leader="dot" w:pos="9019"/>
            </w:tabs>
            <w:spacing w:after="0" w:line="240" w:lineRule="auto"/>
            <w:rPr>
              <w:rFonts w:ascii="Arial" w:eastAsiaTheme="minorEastAsia" w:hAnsi="Arial" w:cs="Arial"/>
              <w:noProof/>
              <w:kern w:val="0"/>
              <w:lang w:val="en-US"/>
              <w14:ligatures w14:val="none"/>
            </w:rPr>
          </w:pPr>
          <w:hyperlink w:anchor="_Toc237020223" w:history="1">
            <w:r w:rsidRPr="0067113D">
              <w:rPr>
                <w:rStyle w:val="Hyperlink"/>
                <w:rFonts w:ascii="Arial" w:hAnsi="Arial" w:cs="Arial"/>
                <w:noProof/>
                <w:lang w:val="en-GB"/>
              </w:rPr>
              <w:t>4. Conclusion</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_Toc237020223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17</w:t>
            </w:r>
            <w:r w:rsidRPr="0067113D">
              <w:rPr>
                <w:rFonts w:ascii="Arial" w:hAnsi="Arial" w:cs="Arial"/>
                <w:noProof/>
                <w:webHidden/>
              </w:rPr>
              <w:fldChar w:fldCharType="end"/>
            </w:r>
          </w:hyperlink>
        </w:p>
        <w:p w14:paraId="5825F2A3" w14:textId="5D2257A7" w:rsidR="0067113D" w:rsidRPr="0067113D" w:rsidRDefault="0067113D" w:rsidP="0067113D">
          <w:pPr>
            <w:pStyle w:val="TOC1"/>
            <w:tabs>
              <w:tab w:val="right" w:leader="dot" w:pos="9019"/>
            </w:tabs>
            <w:spacing w:after="0" w:line="240" w:lineRule="auto"/>
            <w:rPr>
              <w:rFonts w:ascii="Arial" w:eastAsiaTheme="minorEastAsia" w:hAnsi="Arial" w:cs="Arial"/>
              <w:noProof/>
              <w:kern w:val="0"/>
              <w:lang w:val="en-US"/>
              <w14:ligatures w14:val="none"/>
            </w:rPr>
          </w:pPr>
          <w:hyperlink w:anchor="_Toc237020224" w:history="1">
            <w:r w:rsidRPr="0067113D">
              <w:rPr>
                <w:rStyle w:val="Hyperlink"/>
                <w:rFonts w:ascii="Arial" w:hAnsi="Arial" w:cs="Arial"/>
                <w:noProof/>
                <w:lang w:val="en-GB"/>
              </w:rPr>
              <w:t>References</w:t>
            </w:r>
            <w:r w:rsidRPr="0067113D">
              <w:rPr>
                <w:rFonts w:ascii="Arial" w:hAnsi="Arial" w:cs="Arial"/>
                <w:noProof/>
                <w:webHidden/>
              </w:rPr>
              <w:tab/>
            </w:r>
            <w:r w:rsidRPr="0067113D">
              <w:rPr>
                <w:rFonts w:ascii="Arial" w:hAnsi="Arial" w:cs="Arial"/>
                <w:noProof/>
                <w:webHidden/>
              </w:rPr>
              <w:fldChar w:fldCharType="begin"/>
            </w:r>
            <w:r w:rsidRPr="0067113D">
              <w:rPr>
                <w:rFonts w:ascii="Arial" w:hAnsi="Arial" w:cs="Arial"/>
                <w:noProof/>
                <w:webHidden/>
              </w:rPr>
              <w:instrText xml:space="preserve"> PAGEREF _Toc237020224 \h </w:instrText>
            </w:r>
            <w:r w:rsidRPr="0067113D">
              <w:rPr>
                <w:rFonts w:ascii="Arial" w:hAnsi="Arial" w:cs="Arial"/>
                <w:noProof/>
                <w:webHidden/>
              </w:rPr>
            </w:r>
            <w:r w:rsidRPr="0067113D">
              <w:rPr>
                <w:rFonts w:ascii="Arial" w:hAnsi="Arial" w:cs="Arial"/>
                <w:noProof/>
                <w:webHidden/>
              </w:rPr>
              <w:fldChar w:fldCharType="separate"/>
            </w:r>
            <w:r>
              <w:rPr>
                <w:rFonts w:ascii="Arial" w:hAnsi="Arial" w:cs="Arial"/>
                <w:noProof/>
                <w:webHidden/>
              </w:rPr>
              <w:t>19</w:t>
            </w:r>
            <w:r w:rsidRPr="0067113D">
              <w:rPr>
                <w:rFonts w:ascii="Arial" w:hAnsi="Arial" w:cs="Arial"/>
                <w:noProof/>
                <w:webHidden/>
              </w:rPr>
              <w:fldChar w:fldCharType="end"/>
            </w:r>
          </w:hyperlink>
        </w:p>
        <w:p w14:paraId="2231CF4B" w14:textId="42DA3074" w:rsidR="00746A75" w:rsidRPr="00F92FF5" w:rsidRDefault="00746A75" w:rsidP="0067113D">
          <w:pPr>
            <w:spacing w:after="0" w:line="240" w:lineRule="auto"/>
            <w:jc w:val="both"/>
            <w:rPr>
              <w:rFonts w:ascii="Arial" w:eastAsia="Arial" w:hAnsi="Arial" w:cs="Arial"/>
              <w:kern w:val="0"/>
              <w:lang w:val="en-GB"/>
              <w14:ligatures w14:val="none"/>
            </w:rPr>
          </w:pPr>
          <w:r w:rsidRPr="0067113D">
            <w:rPr>
              <w:rFonts w:ascii="Arial" w:eastAsia="Arial" w:hAnsi="Arial" w:cs="Arial"/>
              <w:b/>
              <w:bCs/>
              <w:noProof/>
              <w:kern w:val="0"/>
              <w:lang w:val="en-GB"/>
              <w14:ligatures w14:val="none"/>
            </w:rPr>
            <w:fldChar w:fldCharType="end"/>
          </w:r>
        </w:p>
      </w:sdtContent>
    </w:sdt>
    <w:p w14:paraId="6BEA2A77" w14:textId="77777777" w:rsidR="00746A75" w:rsidRPr="00F92FF5" w:rsidRDefault="00746A75" w:rsidP="0037056D">
      <w:pPr>
        <w:spacing w:before="120" w:after="120" w:line="480" w:lineRule="auto"/>
        <w:jc w:val="both"/>
        <w:rPr>
          <w:rFonts w:ascii="Arial" w:eastAsia="Arial" w:hAnsi="Arial" w:cs="Arial"/>
          <w:b/>
          <w:bCs/>
          <w:kern w:val="0"/>
          <w:sz w:val="24"/>
          <w:szCs w:val="24"/>
          <w:lang w:val="en-GB"/>
          <w14:ligatures w14:val="none"/>
        </w:rPr>
      </w:pPr>
      <w:r w:rsidRPr="00F92FF5">
        <w:rPr>
          <w:rFonts w:ascii="Arial" w:eastAsia="Arial" w:hAnsi="Arial" w:cs="Arial"/>
          <w:kern w:val="0"/>
          <w:lang w:val="en-GB"/>
          <w14:ligatures w14:val="none"/>
        </w:rPr>
        <w:br w:type="page"/>
      </w:r>
    </w:p>
    <w:p w14:paraId="116BF63E" w14:textId="77777777" w:rsidR="00746A75" w:rsidRPr="00F92FF5" w:rsidRDefault="00746A75" w:rsidP="0037056D">
      <w:pPr>
        <w:keepNext/>
        <w:keepLines/>
        <w:spacing w:before="120" w:after="120" w:line="480" w:lineRule="auto"/>
        <w:jc w:val="both"/>
        <w:outlineLvl w:val="0"/>
        <w:rPr>
          <w:rFonts w:ascii="Arial" w:eastAsia="Arial" w:hAnsi="Arial" w:cs="Arial"/>
          <w:b/>
          <w:bCs/>
          <w:kern w:val="0"/>
          <w:sz w:val="24"/>
          <w:szCs w:val="24"/>
          <w:lang w:val="en-GB"/>
          <w14:ligatures w14:val="none"/>
        </w:rPr>
        <w:sectPr w:rsidR="00746A75" w:rsidRPr="00F92FF5" w:rsidSect="00746A75">
          <w:footerReference w:type="default" r:id="rId7"/>
          <w:pgSz w:w="11909" w:h="16834"/>
          <w:pgMar w:top="1440" w:right="1440" w:bottom="1440" w:left="1440" w:header="720" w:footer="720" w:gutter="0"/>
          <w:pgNumType w:fmt="lowerRoman" w:start="1"/>
          <w:cols w:space="720"/>
          <w:titlePg/>
          <w:docGrid w:linePitch="299"/>
        </w:sectPr>
      </w:pPr>
    </w:p>
    <w:p w14:paraId="75D26849" w14:textId="77777777" w:rsidR="00746A75" w:rsidRPr="00F92FF5" w:rsidRDefault="00746A75" w:rsidP="0037056D">
      <w:pPr>
        <w:pStyle w:val="Heading1"/>
        <w:rPr>
          <w:lang w:val="en-GB"/>
        </w:rPr>
      </w:pPr>
      <w:bookmarkStart w:id="0" w:name="_Toc237020186"/>
      <w:r w:rsidRPr="00F92FF5">
        <w:rPr>
          <w:lang w:val="en-GB"/>
        </w:rPr>
        <w:lastRenderedPageBreak/>
        <w:t>1. Introduction</w:t>
      </w:r>
      <w:bookmarkEnd w:id="0"/>
    </w:p>
    <w:p w14:paraId="23F7A877" w14:textId="77777777" w:rsidR="00746A75" w:rsidRPr="00F92FF5" w:rsidRDefault="00746A75" w:rsidP="0037056D">
      <w:pPr>
        <w:pStyle w:val="Heading2"/>
        <w:rPr>
          <w:lang w:val="en-GB"/>
        </w:rPr>
      </w:pPr>
      <w:bookmarkStart w:id="1" w:name="_y7igp7kog45" w:colFirst="0" w:colLast="0"/>
      <w:bookmarkStart w:id="2" w:name="_Toc237020187"/>
      <w:bookmarkEnd w:id="1"/>
      <w:r w:rsidRPr="00F92FF5">
        <w:rPr>
          <w:lang w:val="en-GB"/>
        </w:rPr>
        <w:t>1.1 Background of Patient X Case</w:t>
      </w:r>
      <w:bookmarkEnd w:id="2"/>
    </w:p>
    <w:p w14:paraId="6F069F17"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Patient X has been consuming apixaban because of their earlier medical history of suffering from cardiovascular disease; however, when they were admitted to the healthcare facility with shortness of breath and nasal bleeding, they were prepared for receiving the treatment of pleural aspiration, and for this, the patient's anticoagulation medication - apixaban- was decided to be paused temporarily by the doctors (HSSIB, 2025). However, the medication was never resumed even after the procedure, causing the patient's death (HSSIB, 2025).</w:t>
      </w:r>
    </w:p>
    <w:p w14:paraId="6C122898" w14:textId="77777777" w:rsidR="00746A75" w:rsidRPr="00F92FF5" w:rsidRDefault="00746A75" w:rsidP="0037056D">
      <w:pPr>
        <w:pStyle w:val="Heading2"/>
        <w:rPr>
          <w:lang w:val="en-GB"/>
        </w:rPr>
      </w:pPr>
      <w:bookmarkStart w:id="3" w:name="_eoifpduznivp" w:colFirst="0" w:colLast="0"/>
      <w:bookmarkStart w:id="4" w:name="_Toc237020188"/>
      <w:bookmarkEnd w:id="3"/>
      <w:r w:rsidRPr="00F92FF5">
        <w:rPr>
          <w:lang w:val="en-GB"/>
        </w:rPr>
        <w:t>1.2 Purpose of the Report</w:t>
      </w:r>
      <w:bookmarkEnd w:id="4"/>
    </w:p>
    <w:p w14:paraId="0FAC3726"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The purpose of this report is to critically analyse the case of patient X by applying systems thinking, human factors, and medication safety principles.</w:t>
      </w:r>
    </w:p>
    <w:p w14:paraId="5CCC5DE2" w14:textId="77777777" w:rsidR="00746A75" w:rsidRPr="00F92FF5" w:rsidRDefault="00746A75" w:rsidP="0037056D">
      <w:pPr>
        <w:pStyle w:val="Heading2"/>
        <w:rPr>
          <w:lang w:val="en-GB"/>
        </w:rPr>
      </w:pPr>
      <w:bookmarkStart w:id="5" w:name="_5nyu9rcnit1e" w:colFirst="0" w:colLast="0"/>
      <w:bookmarkStart w:id="6" w:name="_Toc237020189"/>
      <w:bookmarkEnd w:id="5"/>
      <w:r w:rsidRPr="00F92FF5">
        <w:rPr>
          <w:lang w:val="en-GB"/>
        </w:rPr>
        <w:t>1.3 Systems Thinking in Healthcare</w:t>
      </w:r>
      <w:bookmarkEnd w:id="6"/>
    </w:p>
    <w:p w14:paraId="273A7FF8"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It is a fact that interconnected healthcare processes have the potential to influence patient outcomes. In this context, the findings presented by </w:t>
      </w:r>
      <w:proofErr w:type="spellStart"/>
      <w:r w:rsidRPr="00F92FF5">
        <w:rPr>
          <w:rFonts w:ascii="Arial" w:eastAsia="Arial" w:hAnsi="Arial" w:cs="Arial"/>
          <w:kern w:val="0"/>
          <w:lang w:val="en-GB"/>
          <w14:ligatures w14:val="none"/>
        </w:rPr>
        <w:t>Adeogun</w:t>
      </w:r>
      <w:proofErr w:type="spellEnd"/>
      <w:r w:rsidRPr="00F92FF5">
        <w:rPr>
          <w:rFonts w:ascii="Arial" w:eastAsia="Arial" w:hAnsi="Arial" w:cs="Arial"/>
          <w:kern w:val="0"/>
          <w:lang w:val="en-GB"/>
          <w14:ligatures w14:val="none"/>
        </w:rPr>
        <w:t xml:space="preserve"> and </w:t>
      </w:r>
      <w:proofErr w:type="spellStart"/>
      <w:r w:rsidRPr="00F92FF5">
        <w:rPr>
          <w:rFonts w:ascii="Arial" w:eastAsia="Arial" w:hAnsi="Arial" w:cs="Arial"/>
          <w:kern w:val="0"/>
          <w:lang w:val="en-GB"/>
          <w14:ligatures w14:val="none"/>
        </w:rPr>
        <w:t>Faezipour</w:t>
      </w:r>
      <w:proofErr w:type="spellEnd"/>
      <w:r w:rsidRPr="00F92FF5">
        <w:rPr>
          <w:rFonts w:ascii="Arial" w:eastAsia="Arial" w:hAnsi="Arial" w:cs="Arial"/>
          <w:kern w:val="0"/>
          <w:lang w:val="en-GB"/>
          <w14:ligatures w14:val="none"/>
        </w:rPr>
        <w:t xml:space="preserve"> (2025) point to the systems thinking approach that encourages breaking down a problem in order to understand its components, and then, with the help of a computer-aided methodology, find solutions to complex challenges by analysing relevant policies. The evaluation of this approach to find what a problem is constituted of gives the opportunity to discover its underlying relationships, which in turn can help in better policy alignment, so that the issue can be overcome. </w:t>
      </w:r>
    </w:p>
    <w:p w14:paraId="0A4C10E8" w14:textId="77777777" w:rsidR="00746A75" w:rsidRPr="00F92FF5" w:rsidRDefault="00746A75" w:rsidP="0037056D">
      <w:pPr>
        <w:pStyle w:val="Heading2"/>
        <w:rPr>
          <w:lang w:val="en-GB"/>
        </w:rPr>
      </w:pPr>
      <w:bookmarkStart w:id="7" w:name="_o833ltmkd0yk" w:colFirst="0" w:colLast="0"/>
      <w:bookmarkStart w:id="8" w:name="_Toc237020190"/>
      <w:bookmarkEnd w:id="7"/>
      <w:r w:rsidRPr="00F92FF5">
        <w:rPr>
          <w:lang w:val="en-GB"/>
        </w:rPr>
        <w:t>1.4 Centralisation and Decentralisation</w:t>
      </w:r>
      <w:bookmarkEnd w:id="8"/>
    </w:p>
    <w:p w14:paraId="23315685"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Organisational structures influence communication, decision-making, and coordination across healthcare systems. Contextually, it is worthwhile to learn about the organisational structures that shape these factors. According to what Rubel (2023) explained, in a centralised organisational structure the decision-making authority sits at the top of the hierarchy, while a decentralised organisational structure is constituted of empowered teams, with an appropriate </w:t>
      </w:r>
      <w:r w:rsidRPr="00F92FF5">
        <w:rPr>
          <w:rFonts w:ascii="Arial" w:eastAsia="Arial" w:hAnsi="Arial" w:cs="Arial"/>
          <w:kern w:val="0"/>
          <w:lang w:val="en-GB"/>
          <w14:ligatures w14:val="none"/>
        </w:rPr>
        <w:lastRenderedPageBreak/>
        <w:t>level of flexibility and autonomy. The evaluation of this information suggests that communication and decision-making in a centralised organisation is a one-way approach, flowing from top to bottom, while the hierarchical structure is flattened in a decentralised organisation, allowing for better coordination and communication among teams, fostering collaborative decision-making opportunities.</w:t>
      </w:r>
    </w:p>
    <w:p w14:paraId="36D0F5AC" w14:textId="77777777" w:rsidR="00746A75" w:rsidRPr="00F92FF5" w:rsidRDefault="00746A75" w:rsidP="0037056D">
      <w:pPr>
        <w:pStyle w:val="Heading2"/>
        <w:rPr>
          <w:lang w:val="en-GB"/>
        </w:rPr>
      </w:pPr>
      <w:bookmarkStart w:id="9" w:name="_92xpjit0obas" w:colFirst="0" w:colLast="0"/>
      <w:bookmarkStart w:id="10" w:name="_Toc237020191"/>
      <w:bookmarkEnd w:id="9"/>
      <w:r w:rsidRPr="00F92FF5">
        <w:rPr>
          <w:lang w:val="en-GB"/>
        </w:rPr>
        <w:t>1.5 Leadership and Patient Safety</w:t>
      </w:r>
      <w:bookmarkEnd w:id="10"/>
    </w:p>
    <w:p w14:paraId="096D9AA9"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Leadership plays a pivotal role in fostering a safety culture and a safe medication management system in healthcare organisations. The findings presented by </w:t>
      </w:r>
      <w:proofErr w:type="spellStart"/>
      <w:r w:rsidRPr="00F92FF5">
        <w:rPr>
          <w:rFonts w:ascii="Arial" w:eastAsia="Arial" w:hAnsi="Arial" w:cs="Arial"/>
          <w:kern w:val="0"/>
          <w:lang w:val="en-GB"/>
          <w14:ligatures w14:val="none"/>
        </w:rPr>
        <w:t>Althobaiti</w:t>
      </w:r>
      <w:proofErr w:type="spellEnd"/>
      <w:r w:rsidRPr="00F92FF5">
        <w:rPr>
          <w:rFonts w:ascii="Arial" w:eastAsia="Arial" w:hAnsi="Arial" w:cs="Arial"/>
          <w:kern w:val="0"/>
          <w:lang w:val="en-GB"/>
          <w14:ligatures w14:val="none"/>
        </w:rPr>
        <w:t xml:space="preserve"> (2026) explained the underlying mechanisms by highlighting that leaders facilitate organisational learning through training, mentorship, and positive feedback communication, which enhance teamwork competencies and organisational commitment, while fostering a positive perception of patient safety within the minds of healthcare employees. Thus, a positive patient safety culture is created by leaders. </w:t>
      </w:r>
    </w:p>
    <w:p w14:paraId="4CD2EA55" w14:textId="77777777" w:rsidR="00746A75" w:rsidRPr="00F92FF5" w:rsidRDefault="00746A75" w:rsidP="0037056D">
      <w:pPr>
        <w:pStyle w:val="Heading1"/>
        <w:rPr>
          <w:lang w:val="en-GB"/>
        </w:rPr>
      </w:pPr>
      <w:bookmarkStart w:id="11" w:name="_3mbzay9gy5id" w:colFirst="0" w:colLast="0"/>
      <w:bookmarkStart w:id="12" w:name="_Toc237020192"/>
      <w:bookmarkEnd w:id="11"/>
      <w:r w:rsidRPr="00F92FF5">
        <w:rPr>
          <w:lang w:val="en-GB"/>
        </w:rPr>
        <w:t>2. Main Analysis</w:t>
      </w:r>
      <w:bookmarkEnd w:id="12"/>
    </w:p>
    <w:p w14:paraId="5274ADC6" w14:textId="77777777" w:rsidR="00746A75" w:rsidRPr="00F92FF5" w:rsidRDefault="00746A75" w:rsidP="0037056D">
      <w:pPr>
        <w:pStyle w:val="Heading2"/>
        <w:rPr>
          <w:lang w:val="en-GB"/>
        </w:rPr>
      </w:pPr>
      <w:bookmarkStart w:id="13" w:name="_vquujlhz4t10" w:colFirst="0" w:colLast="0"/>
      <w:bookmarkStart w:id="14" w:name="_Toc237020193"/>
      <w:bookmarkEnd w:id="13"/>
      <w:r w:rsidRPr="00F92FF5">
        <w:rPr>
          <w:lang w:val="en-GB"/>
        </w:rPr>
        <w:t>2.1 Identifying the Problem through Systems Thinking</w:t>
      </w:r>
      <w:bookmarkEnd w:id="14"/>
    </w:p>
    <w:p w14:paraId="613B582C" w14:textId="77777777" w:rsidR="00746A75" w:rsidRPr="00F92FF5" w:rsidRDefault="00746A75" w:rsidP="0037056D">
      <w:pPr>
        <w:pStyle w:val="Heading3"/>
        <w:rPr>
          <w:lang w:val="en-GB"/>
        </w:rPr>
      </w:pPr>
      <w:bookmarkStart w:id="15" w:name="_tpfirghgb9zf" w:colFirst="0" w:colLast="0"/>
      <w:bookmarkStart w:id="16" w:name="_Toc237020194"/>
      <w:bookmarkEnd w:id="15"/>
      <w:r w:rsidRPr="00F92FF5">
        <w:rPr>
          <w:lang w:val="en-GB"/>
        </w:rPr>
        <w:t>2.1.1 Overview of the Incident</w:t>
      </w:r>
      <w:bookmarkEnd w:id="16"/>
    </w:p>
    <w:p w14:paraId="3CB2889F"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The findings of the patient safety incident, involving patient X, highlight more than one instance where the healthcare system failed to prevent patient harm. For instance, the unavailability of past clinical information on the risk assessment of apixaban to healthcare staff highlights the first stage where the existing healthcare system failed (HSSIB, 2025). Moreover, variations in care processes within the same healthcare facility made it uncertain to determine when patient X would undergo the medical procedure, failing to prevent the patient from experiencing a longer pause in taking their essential medication - apixaban (HSSIB, 2025).</w:t>
      </w:r>
    </w:p>
    <w:p w14:paraId="2830002C"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The incident also reveals an acute shortage of skilled workers that has failed patient X to be timely referred to and checked by the respiratory healthcare team (HSSIB, 2025). The lack of scope for reassessment of the clinical decision to keep an essential medication - apixaban- </w:t>
      </w:r>
      <w:r w:rsidRPr="00F92FF5">
        <w:rPr>
          <w:rFonts w:ascii="Arial" w:eastAsia="Arial" w:hAnsi="Arial" w:cs="Arial"/>
          <w:kern w:val="0"/>
          <w:lang w:val="en-GB"/>
          <w14:ligatures w14:val="none"/>
        </w:rPr>
        <w:lastRenderedPageBreak/>
        <w:t xml:space="preserve">paused for a long period underscores the systemic failure of the existing healthcare system (HSSIB, 2025). The other instance of systemic failure becomes evident when the </w:t>
      </w:r>
      <w:proofErr w:type="spellStart"/>
      <w:r w:rsidRPr="00F92FF5">
        <w:rPr>
          <w:rFonts w:ascii="Arial" w:eastAsia="Arial" w:hAnsi="Arial" w:cs="Arial"/>
          <w:kern w:val="0"/>
          <w:lang w:val="en-GB"/>
          <w14:ligatures w14:val="none"/>
        </w:rPr>
        <w:t>ePMA</w:t>
      </w:r>
      <w:proofErr w:type="spellEnd"/>
      <w:r w:rsidRPr="00F92FF5">
        <w:rPr>
          <w:rFonts w:ascii="Arial" w:eastAsia="Arial" w:hAnsi="Arial" w:cs="Arial"/>
          <w:kern w:val="0"/>
          <w:lang w:val="en-GB"/>
          <w14:ligatures w14:val="none"/>
        </w:rPr>
        <w:t xml:space="preserve"> system fails to prompt healthcare workers to review their decision related to the paused medication - apixaban (HSSIB, 2025).</w:t>
      </w:r>
    </w:p>
    <w:p w14:paraId="54836B9A" w14:textId="77777777" w:rsidR="00746A75" w:rsidRPr="00F92FF5" w:rsidRDefault="00746A75" w:rsidP="0037056D">
      <w:pPr>
        <w:pStyle w:val="Heading3"/>
        <w:rPr>
          <w:lang w:val="en-GB"/>
        </w:rPr>
      </w:pPr>
      <w:bookmarkStart w:id="17" w:name="_6ul3wjdrfz1w" w:colFirst="0" w:colLast="0"/>
      <w:bookmarkStart w:id="18" w:name="_Toc237020195"/>
      <w:bookmarkEnd w:id="17"/>
      <w:r w:rsidRPr="00F92FF5">
        <w:rPr>
          <w:lang w:val="en-GB"/>
        </w:rPr>
        <w:t>2.1.2 Medication Safety Statistics</w:t>
      </w:r>
      <w:bookmarkEnd w:id="18"/>
    </w:p>
    <w:p w14:paraId="50C3E80F"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Medication errors have long posed a significant challenge in terms of ensuring the safety of patient care, which has not only plagued the UK, but is equally prevalent globally as well. The recent global patient safety report shows that at least 5% of patients globally experience medication errors at either the prescribing or monitoring stages (WHO, 2024). As a consequence, medication errors cost approximately 42 billion dollars yearly, besides being accountable for approximately 3 million deaths annually (WHO, 2026; WHO, 2023).</w:t>
      </w:r>
    </w:p>
    <w:p w14:paraId="06AA5D9F"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In contrast to the global view of medication error, the National Reporting and Learning System of the UK identified that 75% of all medication errors in the country stemmed from acute general hospitals (WHO, 2024). From an economic perspective, a recent study highlights that avoidable adverse medication errors cost the NHS approximately 98,462 582 million pounds a year (Elliott </w:t>
      </w:r>
      <w:r w:rsidRPr="00F92FF5">
        <w:rPr>
          <w:rFonts w:ascii="Arial" w:eastAsia="Arial" w:hAnsi="Arial" w:cs="Arial"/>
          <w:i/>
          <w:iCs/>
          <w:kern w:val="0"/>
          <w:lang w:val="en-GB"/>
          <w14:ligatures w14:val="none"/>
        </w:rPr>
        <w:t>et al</w:t>
      </w:r>
      <w:r w:rsidRPr="00F92FF5">
        <w:rPr>
          <w:rFonts w:ascii="Arial" w:eastAsia="Arial" w:hAnsi="Arial" w:cs="Arial"/>
          <w:kern w:val="0"/>
          <w:lang w:val="en-GB"/>
          <w14:ligatures w14:val="none"/>
        </w:rPr>
        <w:t>., 2021). The overall evaluation of this information, including the global and the UK perspectives, helps to perceive how deeply rooted this challenge is in healthcare systems, taxing the industry immensely.</w:t>
      </w:r>
    </w:p>
    <w:p w14:paraId="50D64BE4" w14:textId="77777777" w:rsidR="00746A75" w:rsidRPr="00F92FF5" w:rsidRDefault="00746A75" w:rsidP="0037056D">
      <w:pPr>
        <w:pStyle w:val="Heading3"/>
        <w:rPr>
          <w:lang w:val="en-GB"/>
        </w:rPr>
      </w:pPr>
      <w:bookmarkStart w:id="19" w:name="_z53uyscwbhh2" w:colFirst="0" w:colLast="0"/>
      <w:bookmarkStart w:id="20" w:name="_Toc237020196"/>
      <w:bookmarkEnd w:id="19"/>
      <w:r w:rsidRPr="00F92FF5">
        <w:rPr>
          <w:lang w:val="en-GB"/>
        </w:rPr>
        <w:t>2.1.3 Human Factors</w:t>
      </w:r>
      <w:bookmarkEnd w:id="20"/>
    </w:p>
    <w:p w14:paraId="482A4D55"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While medication error is a huge challenge to the healthcare industry, there are certain underlying factors that have consistently been contributing to this glaring issue. As an example, the findings presented by Mikulic (2025) can be referred to here because the author highlighted that in the third quarter of 2024-25 alone, the NHS had 106,000 vacant positions, out of which 27,000 are in nursing fields only. The evaluation of this information points to the huge workload being experienced by the existing staff members, resulting in their cognitive errors.</w:t>
      </w:r>
    </w:p>
    <w:p w14:paraId="19E5981D"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lastRenderedPageBreak/>
        <w:t xml:space="preserve">Apart from the organisational pressure arising from staff shortage, and affecting the decision-making abilities of the existing healthcare employees, communication is the other human factor adversely impacting clinical decision-making. From the findings presented by </w:t>
      </w:r>
      <w:proofErr w:type="spellStart"/>
      <w:r w:rsidRPr="00F92FF5">
        <w:rPr>
          <w:rFonts w:ascii="Arial" w:eastAsia="Arial" w:hAnsi="Arial" w:cs="Arial"/>
          <w:kern w:val="0"/>
          <w:lang w:val="en-GB"/>
          <w14:ligatures w14:val="none"/>
        </w:rPr>
        <w:t>Pradelli</w:t>
      </w:r>
      <w:proofErr w:type="spellEnd"/>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et al</w:t>
      </w:r>
      <w:r w:rsidRPr="00F92FF5">
        <w:rPr>
          <w:rFonts w:ascii="Arial" w:eastAsia="Arial" w:hAnsi="Arial" w:cs="Arial"/>
          <w:kern w:val="0"/>
          <w:lang w:val="en-GB"/>
          <w14:ligatures w14:val="none"/>
        </w:rPr>
        <w:t>. (2025), it becomes evident that while effective communication facilitates coordination and quick decision-making, the lack thereof leads to fragmented care, plagued by delays and errors. Therefore, it can be synthesised that because of staff shortage and huge workload pressure, healthcare employees seldom get the opportunity to interact with one another, causing errors in healthcare decision-making.</w:t>
      </w:r>
    </w:p>
    <w:p w14:paraId="18094909" w14:textId="77777777" w:rsidR="00746A75" w:rsidRPr="00F92FF5" w:rsidRDefault="00746A75" w:rsidP="0037056D">
      <w:pPr>
        <w:pStyle w:val="Heading3"/>
        <w:rPr>
          <w:lang w:val="en-GB"/>
        </w:rPr>
      </w:pPr>
      <w:bookmarkStart w:id="21" w:name="_ibwc1qk06jex" w:colFirst="0" w:colLast="0"/>
      <w:bookmarkStart w:id="22" w:name="_Toc237020197"/>
      <w:bookmarkEnd w:id="21"/>
      <w:r w:rsidRPr="00F92FF5">
        <w:rPr>
          <w:lang w:val="en-GB"/>
        </w:rPr>
        <w:t>2.1.4 System Weaknesses</w:t>
      </w:r>
      <w:bookmarkEnd w:id="22"/>
    </w:p>
    <w:p w14:paraId="37439019"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b/>
          <w:bCs/>
          <w:kern w:val="0"/>
          <w:lang w:val="en-GB"/>
          <w14:ligatures w14:val="none"/>
        </w:rPr>
        <w:t xml:space="preserve">Organisational Processes </w:t>
      </w:r>
      <w:r w:rsidRPr="00F92FF5">
        <w:rPr>
          <w:rFonts w:ascii="Arial" w:eastAsia="Arial" w:hAnsi="Arial" w:cs="Arial"/>
          <w:kern w:val="0"/>
          <w:lang w:val="en-GB"/>
          <w14:ligatures w14:val="none"/>
        </w:rPr>
        <w:t xml:space="preserve">- One of the critical weaknesses that resulted in the adverse health outcome of patient X was the inaccessibility of the local guidelines that were hard to locate within the IT system of the healthcare facility (HSSIB, 2025). Moreover, the facility also did not have any established process to assess the risk-benefit of patient care (HSSIB, 2025). </w:t>
      </w:r>
    </w:p>
    <w:p w14:paraId="35FBE0E8"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b/>
          <w:bCs/>
          <w:kern w:val="0"/>
          <w:lang w:val="en-GB"/>
          <w14:ligatures w14:val="none"/>
        </w:rPr>
        <w:t xml:space="preserve">Policies </w:t>
      </w:r>
      <w:r w:rsidRPr="00F92FF5">
        <w:rPr>
          <w:rFonts w:ascii="Arial" w:eastAsia="Arial" w:hAnsi="Arial" w:cs="Arial"/>
          <w:kern w:val="0"/>
          <w:lang w:val="en-GB"/>
          <w14:ligatures w14:val="none"/>
        </w:rPr>
        <w:t>- The healthcare facility also did not have any established policy that could enforce the documentation of a clinical decision being made, particularly regarding the temporary stoppage of long-running patient medications (HSSIB, 2025). The absence of weekend medical review, as per policy, also contributed to the elongation of the paused essential medication (HSSIB, 2025).</w:t>
      </w:r>
    </w:p>
    <w:p w14:paraId="1AEFE53F" w14:textId="40FEE0CA"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b/>
          <w:bCs/>
          <w:kern w:val="0"/>
          <w:lang w:val="en-GB"/>
          <w14:ligatures w14:val="none"/>
        </w:rPr>
        <w:t xml:space="preserve">Workflow Failures </w:t>
      </w:r>
      <w:r w:rsidRPr="00F92FF5">
        <w:rPr>
          <w:rFonts w:ascii="Arial" w:eastAsia="Arial" w:hAnsi="Arial" w:cs="Arial"/>
          <w:kern w:val="0"/>
          <w:lang w:val="en-GB"/>
          <w14:ligatures w14:val="none"/>
        </w:rPr>
        <w:t>- It has also been noticed that, on top of staff shortage, a high patient flow in the general medical ward prevented essential resources from being mobilised into critical care sections to monitor patient health status (HSSIB, 2025). Furthermore, the phased implementation of the EPR system forced staff to duplicate their effort in documentation, contributing to oversight (HSSIB, 2025).</w:t>
      </w:r>
    </w:p>
    <w:p w14:paraId="0D0273D6" w14:textId="4D7D027A" w:rsidR="0044169B" w:rsidRPr="00F92FF5" w:rsidRDefault="0044169B"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Overall, the system weaknesses identified in the Patient X case can also be interpreted through the Donabedian Structure–Process–Outcome model. From a structural perspective, staff shortages, phased implementation of the Electronic Patient Record (EPR) system, </w:t>
      </w:r>
      <w:r w:rsidRPr="00F92FF5">
        <w:rPr>
          <w:rFonts w:ascii="Arial" w:eastAsia="Arial" w:hAnsi="Arial" w:cs="Arial"/>
          <w:kern w:val="0"/>
          <w:lang w:val="en-GB"/>
          <w14:ligatures w14:val="none"/>
        </w:rPr>
        <w:lastRenderedPageBreak/>
        <w:t>inaccessible clinical guidance, and limited technological support reduced the organisation's capacity to deliver safe care</w:t>
      </w:r>
      <w:r w:rsidR="005364E7" w:rsidRPr="00F92FF5">
        <w:rPr>
          <w:rFonts w:ascii="Arial" w:eastAsia="Arial" w:hAnsi="Arial" w:cs="Arial"/>
          <w:kern w:val="0"/>
          <w:lang w:val="en-GB"/>
          <w14:ligatures w14:val="none"/>
        </w:rPr>
        <w:t xml:space="preserve"> (Xu </w:t>
      </w:r>
      <w:r w:rsidR="005364E7" w:rsidRPr="00F92FF5">
        <w:rPr>
          <w:rFonts w:ascii="Arial" w:eastAsia="Arial" w:hAnsi="Arial" w:cs="Arial"/>
          <w:i/>
          <w:iCs/>
          <w:kern w:val="0"/>
          <w:lang w:val="en-GB"/>
          <w14:ligatures w14:val="none"/>
        </w:rPr>
        <w:t>et al.</w:t>
      </w:r>
      <w:r w:rsidR="005364E7" w:rsidRPr="00F92FF5">
        <w:rPr>
          <w:rFonts w:ascii="Arial" w:eastAsia="Arial" w:hAnsi="Arial" w:cs="Arial"/>
          <w:kern w:val="0"/>
          <w:lang w:val="en-GB"/>
          <w14:ligatures w14:val="none"/>
        </w:rPr>
        <w:t xml:space="preserve"> 2026</w:t>
      </w:r>
      <w:r w:rsidR="00CD2F11" w:rsidRPr="00F92FF5">
        <w:rPr>
          <w:rFonts w:ascii="Arial" w:eastAsia="Arial" w:hAnsi="Arial" w:cs="Arial"/>
          <w:kern w:val="0"/>
          <w:lang w:val="en-GB"/>
          <w14:ligatures w14:val="none"/>
        </w:rPr>
        <w:t xml:space="preserve">; Yang </w:t>
      </w:r>
      <w:r w:rsidR="00CD2F11" w:rsidRPr="00F92FF5">
        <w:rPr>
          <w:rFonts w:ascii="Arial" w:eastAsia="Arial" w:hAnsi="Arial" w:cs="Arial"/>
          <w:i/>
          <w:iCs/>
          <w:kern w:val="0"/>
          <w:lang w:val="en-GB"/>
          <w14:ligatures w14:val="none"/>
        </w:rPr>
        <w:t>et al.</w:t>
      </w:r>
      <w:r w:rsidR="00CD2F11" w:rsidRPr="00F92FF5">
        <w:rPr>
          <w:rFonts w:ascii="Arial" w:eastAsia="Arial" w:hAnsi="Arial" w:cs="Arial"/>
          <w:kern w:val="0"/>
          <w:lang w:val="en-GB"/>
          <w14:ligatures w14:val="none"/>
        </w:rPr>
        <w:t xml:space="preserve"> 2025</w:t>
      </w:r>
      <w:r w:rsidR="005364E7" w:rsidRPr="00F92FF5">
        <w:rPr>
          <w:rFonts w:ascii="Arial" w:eastAsia="Arial" w:hAnsi="Arial" w:cs="Arial"/>
          <w:kern w:val="0"/>
          <w:lang w:val="en-GB"/>
          <w14:ligatures w14:val="none"/>
        </w:rPr>
        <w:t>)</w:t>
      </w:r>
      <w:r w:rsidRPr="00F92FF5">
        <w:rPr>
          <w:rFonts w:ascii="Arial" w:eastAsia="Arial" w:hAnsi="Arial" w:cs="Arial"/>
          <w:kern w:val="0"/>
          <w:lang w:val="en-GB"/>
          <w14:ligatures w14:val="none"/>
        </w:rPr>
        <w:t>. Process failures included inadequate documentation, lack of medication review, inconsistent care pathways, and ineffective multidisciplinary communication. These deficiencies ultimately resulted in the adverse outcome of prolonged interruption of apixaban therapy, leading to a preventable stroke and patient death, demonstrating the interdependence of healthcare structure, clinical processes, and patient outcomes.</w:t>
      </w:r>
    </w:p>
    <w:p w14:paraId="003A67E0" w14:textId="77777777" w:rsidR="00746A75" w:rsidRPr="00F92FF5" w:rsidRDefault="00746A75" w:rsidP="0037056D">
      <w:pPr>
        <w:pStyle w:val="Heading3"/>
        <w:rPr>
          <w:lang w:val="en-GB"/>
        </w:rPr>
      </w:pPr>
      <w:bookmarkStart w:id="23" w:name="_8qyeh172euom" w:colFirst="0" w:colLast="0"/>
      <w:bookmarkStart w:id="24" w:name="_Toc237020198"/>
      <w:bookmarkEnd w:id="23"/>
      <w:r w:rsidRPr="00F92FF5">
        <w:rPr>
          <w:lang w:val="en-GB"/>
        </w:rPr>
        <w:t>2.1.5 Rich Picture</w:t>
      </w:r>
      <w:bookmarkEnd w:id="24"/>
    </w:p>
    <w:p w14:paraId="5BAFA283" w14:textId="77777777" w:rsidR="00746A75" w:rsidRPr="00F92FF5" w:rsidRDefault="00746A75" w:rsidP="0037056D">
      <w:pPr>
        <w:spacing w:before="120" w:after="120" w:line="480" w:lineRule="auto"/>
        <w:jc w:val="center"/>
        <w:rPr>
          <w:rFonts w:ascii="Arial" w:eastAsia="Arial" w:hAnsi="Arial" w:cs="Arial"/>
          <w:kern w:val="0"/>
          <w:lang w:val="en-GB"/>
          <w14:ligatures w14:val="none"/>
        </w:rPr>
      </w:pPr>
      <w:r w:rsidRPr="00F92FF5">
        <w:rPr>
          <w:rFonts w:ascii="Arial" w:eastAsia="Arial" w:hAnsi="Arial" w:cs="Arial"/>
          <w:noProof/>
          <w:kern w:val="0"/>
          <w:lang w:val="en-GB"/>
          <w14:ligatures w14:val="none"/>
        </w:rPr>
        <w:drawing>
          <wp:inline distT="114300" distB="114300" distL="114300" distR="114300" wp14:anchorId="543E46C6" wp14:editId="742DEB13">
            <wp:extent cx="5731200" cy="32258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3225800"/>
                    </a:xfrm>
                    <a:prstGeom prst="rect">
                      <a:avLst/>
                    </a:prstGeom>
                    <a:ln w="12700">
                      <a:solidFill>
                        <a:srgbClr val="000000"/>
                      </a:solidFill>
                      <a:prstDash val="solid"/>
                    </a:ln>
                  </pic:spPr>
                </pic:pic>
              </a:graphicData>
            </a:graphic>
          </wp:inline>
        </w:drawing>
      </w:r>
    </w:p>
    <w:p w14:paraId="7BFA66E3" w14:textId="77777777" w:rsidR="00746A75" w:rsidRPr="00F92FF5" w:rsidRDefault="00746A75" w:rsidP="0037056D">
      <w:pPr>
        <w:spacing w:before="120" w:after="120" w:line="480" w:lineRule="auto"/>
        <w:jc w:val="center"/>
        <w:rPr>
          <w:rFonts w:ascii="Arial" w:eastAsia="Arial" w:hAnsi="Arial" w:cs="Arial"/>
          <w:b/>
          <w:bCs/>
          <w:kern w:val="0"/>
          <w:lang w:val="en-GB"/>
          <w14:ligatures w14:val="none"/>
        </w:rPr>
      </w:pPr>
      <w:r w:rsidRPr="00F92FF5">
        <w:rPr>
          <w:rFonts w:ascii="Arial" w:eastAsia="Arial" w:hAnsi="Arial" w:cs="Arial"/>
          <w:b/>
          <w:bCs/>
          <w:kern w:val="0"/>
          <w:lang w:val="en-GB"/>
          <w14:ligatures w14:val="none"/>
        </w:rPr>
        <w:t>Figure 1: Illustration of the Medication Management Pathway</w:t>
      </w:r>
    </w:p>
    <w:p w14:paraId="5049FEE3" w14:textId="77777777" w:rsidR="00746A75" w:rsidRPr="00F92FF5" w:rsidRDefault="00746A75" w:rsidP="0037056D">
      <w:pPr>
        <w:spacing w:before="120" w:after="120" w:line="480" w:lineRule="auto"/>
        <w:jc w:val="center"/>
        <w:rPr>
          <w:rFonts w:ascii="Arial" w:eastAsia="Arial" w:hAnsi="Arial" w:cs="Arial"/>
          <w:kern w:val="0"/>
          <w:lang w:val="en-GB"/>
          <w14:ligatures w14:val="none"/>
        </w:rPr>
      </w:pPr>
      <w:r w:rsidRPr="00F92FF5">
        <w:rPr>
          <w:rFonts w:ascii="Arial" w:eastAsia="Arial" w:hAnsi="Arial" w:cs="Arial"/>
          <w:kern w:val="0"/>
          <w:lang w:val="en-GB"/>
          <w14:ligatures w14:val="none"/>
        </w:rPr>
        <w:t>(Source: Self-developed)</w:t>
      </w:r>
    </w:p>
    <w:p w14:paraId="41C41E03" w14:textId="5A79BAAF"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The medication management pathway, illustrated above, shows the interactions, bottlenecks, communication gaps, and the feedback mechanisms. As for the interactions, only the medical team and the respiratory team are found to have interacted with different entities. For example, while the respiratory team interacted with the radiology department for CT scan and procedure scheduling, the medical team interacted with the respiratory team and other nursing staff for specialist advice and medication administration, respectively (HSSIB, 2025).</w:t>
      </w:r>
    </w:p>
    <w:p w14:paraId="1BC020E0"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lastRenderedPageBreak/>
        <w:t xml:space="preserve">The case study also revealed that respiratory bed shortages and high workload are some of the prominent bottlenecks, while also pointing to the lack of documentation practice and incomplete handover to different departments as the critical communication gap areas (HSSIB, 2025). The existing feedback mechanisms of the healthcare facility include nursing observation, ward rounds by doctors, and laboratory results; however, the lack of automatic alerts by the </w:t>
      </w:r>
      <w:proofErr w:type="spellStart"/>
      <w:r w:rsidRPr="00F92FF5">
        <w:rPr>
          <w:rFonts w:ascii="Arial" w:eastAsia="Arial" w:hAnsi="Arial" w:cs="Arial"/>
          <w:kern w:val="0"/>
          <w:lang w:val="en-GB"/>
          <w14:ligatures w14:val="none"/>
        </w:rPr>
        <w:t>ePMA</w:t>
      </w:r>
      <w:proofErr w:type="spellEnd"/>
      <w:r w:rsidRPr="00F92FF5">
        <w:rPr>
          <w:rFonts w:ascii="Arial" w:eastAsia="Arial" w:hAnsi="Arial" w:cs="Arial"/>
          <w:kern w:val="0"/>
          <w:lang w:val="en-GB"/>
          <w14:ligatures w14:val="none"/>
        </w:rPr>
        <w:t xml:space="preserve"> system and systematic weekend reviews for special cases are some of the missing feedback mechanisms of the healthcare facility.</w:t>
      </w:r>
    </w:p>
    <w:p w14:paraId="34B9E54D" w14:textId="77777777" w:rsidR="00746A75" w:rsidRPr="00F92FF5" w:rsidRDefault="00746A75" w:rsidP="0037056D">
      <w:pPr>
        <w:pStyle w:val="Heading2"/>
        <w:rPr>
          <w:lang w:val="en-GB"/>
        </w:rPr>
      </w:pPr>
      <w:bookmarkStart w:id="25" w:name="_it50llm9rm7h" w:colFirst="0" w:colLast="0"/>
      <w:bookmarkStart w:id="26" w:name="_Toc237020199"/>
      <w:bookmarkEnd w:id="25"/>
      <w:r w:rsidRPr="00F92FF5">
        <w:rPr>
          <w:lang w:val="en-GB"/>
        </w:rPr>
        <w:t>2.2 Centralisation versus Decentralisation</w:t>
      </w:r>
      <w:bookmarkEnd w:id="26"/>
    </w:p>
    <w:p w14:paraId="5A9E9017" w14:textId="77777777" w:rsidR="00746A75" w:rsidRPr="00F92FF5" w:rsidRDefault="00746A75" w:rsidP="0037056D">
      <w:pPr>
        <w:pStyle w:val="Heading3"/>
        <w:rPr>
          <w:lang w:val="en-GB"/>
        </w:rPr>
      </w:pPr>
      <w:bookmarkStart w:id="27" w:name="_oacolbpj0zum" w:colFirst="0" w:colLast="0"/>
      <w:bookmarkStart w:id="28" w:name="_Toc237020200"/>
      <w:bookmarkEnd w:id="27"/>
      <w:r w:rsidRPr="00F92FF5">
        <w:rPr>
          <w:lang w:val="en-GB"/>
        </w:rPr>
        <w:t>2.2.1 Organisational Structure</w:t>
      </w:r>
      <w:bookmarkEnd w:id="28"/>
    </w:p>
    <w:p w14:paraId="100AA963"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The structure of an organisation significantly influences coordination among departments and healthcare professionals. In this context, it is important to note that a centralised organisation is better at setting uniform principles and standards, effectively allowing coordinated planning across systems (Shishkin </w:t>
      </w:r>
      <w:r w:rsidRPr="00F92FF5">
        <w:rPr>
          <w:rFonts w:ascii="Arial" w:eastAsia="Arial" w:hAnsi="Arial" w:cs="Arial"/>
          <w:i/>
          <w:iCs/>
          <w:kern w:val="0"/>
          <w:lang w:val="en-GB"/>
          <w14:ligatures w14:val="none"/>
        </w:rPr>
        <w:t>et al</w:t>
      </w:r>
      <w:r w:rsidRPr="00F92FF5">
        <w:rPr>
          <w:rFonts w:ascii="Arial" w:eastAsia="Arial" w:hAnsi="Arial" w:cs="Arial"/>
          <w:kern w:val="0"/>
          <w:lang w:val="en-GB"/>
          <w14:ligatures w14:val="none"/>
        </w:rPr>
        <w:t>., 2025). The evaluation of this information suggests that, unlike decentralised organisations, where there are possibilities for duplication of efforts because of the inherently granted autonomy to employees, a centralised decision-making authority in a centralised organisation is way better at clear top-down coordination.</w:t>
      </w:r>
    </w:p>
    <w:p w14:paraId="0410E514"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On the other hand, </w:t>
      </w:r>
      <w:proofErr w:type="spellStart"/>
      <w:r w:rsidRPr="00F92FF5">
        <w:rPr>
          <w:rFonts w:ascii="Arial" w:eastAsia="Arial" w:hAnsi="Arial" w:cs="Arial"/>
          <w:kern w:val="0"/>
          <w:lang w:val="en-GB"/>
          <w14:ligatures w14:val="none"/>
        </w:rPr>
        <w:t>Krenyacz</w:t>
      </w:r>
      <w:proofErr w:type="spellEnd"/>
      <w:r w:rsidRPr="00F92FF5">
        <w:rPr>
          <w:rFonts w:ascii="Arial" w:eastAsia="Arial" w:hAnsi="Arial" w:cs="Arial"/>
          <w:kern w:val="0"/>
          <w:lang w:val="en-GB"/>
          <w14:ligatures w14:val="none"/>
        </w:rPr>
        <w:t xml:space="preserve"> and Revesz (2025) also noted certain consequences of a centralised organisation structure. The insights gathered from the findings of the authors indicate that because centralised organisations seldom favour employee autonomy, the decision-making process in such organisations tends to be slower when compared to decentralised organisations. The evaluation of this information suggests that in a decentralised organisation, employees generally get the freedom to coordinate and collaborate with their peers to make decisions faster; however, this operational autonomy is significantly limited by financial constraints.</w:t>
      </w:r>
    </w:p>
    <w:p w14:paraId="1730E6E4" w14:textId="77777777" w:rsidR="00746A75" w:rsidRPr="00F92FF5" w:rsidRDefault="00746A75" w:rsidP="0037056D">
      <w:pPr>
        <w:pStyle w:val="Heading3"/>
        <w:rPr>
          <w:lang w:val="en-GB"/>
        </w:rPr>
      </w:pPr>
      <w:bookmarkStart w:id="29" w:name="_rfdxg9m6he2l" w:colFirst="0" w:colLast="0"/>
      <w:bookmarkStart w:id="30" w:name="_Toc237020201"/>
      <w:bookmarkEnd w:id="29"/>
      <w:r w:rsidRPr="00F92FF5">
        <w:rPr>
          <w:lang w:val="en-GB"/>
        </w:rPr>
        <w:lastRenderedPageBreak/>
        <w:t>2.2.2 Clinical Decision-making</w:t>
      </w:r>
      <w:bookmarkEnd w:id="30"/>
    </w:p>
    <w:p w14:paraId="4A167C43"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The findings illustrated in the case study of patient X point to varying organisational systems and clinical processes that influenced the clinical decision regarding the anticoagulation medication management of the patient. For example, the </w:t>
      </w:r>
      <w:proofErr w:type="spellStart"/>
      <w:r w:rsidRPr="00F92FF5">
        <w:rPr>
          <w:rFonts w:ascii="Arial" w:eastAsia="Arial" w:hAnsi="Arial" w:cs="Arial"/>
          <w:kern w:val="0"/>
          <w:lang w:val="en-GB"/>
          <w14:ligatures w14:val="none"/>
        </w:rPr>
        <w:t>ePMA</w:t>
      </w:r>
      <w:proofErr w:type="spellEnd"/>
      <w:r w:rsidRPr="00F92FF5">
        <w:rPr>
          <w:rFonts w:ascii="Arial" w:eastAsia="Arial" w:hAnsi="Arial" w:cs="Arial"/>
          <w:kern w:val="0"/>
          <w:lang w:val="en-GB"/>
          <w14:ligatures w14:val="none"/>
        </w:rPr>
        <w:t xml:space="preserve"> system includes information on the clinical decision made to pause the apixaban of the patient; however, the system lacked mechanisms to prompt healthcare employees to review their decision at a later stage (HSSIB, 2025). Additionally, the phased implementation of the EPR system was making it difficult to locate the critical clinical history of patients (HSSIB, 2025).</w:t>
      </w:r>
    </w:p>
    <w:p w14:paraId="5BAA0276"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From the perspective of clinical processes, affecting the clinical decision-making of patient X, it is observed that the explicit documentation of pausing a critical apixaban medication of the patient was not done clearly (HSSIB, 2025). The case study also highlights that the care process in the healthcare facility has variations, which made it difficult for clinicians to determine when the pleural aspiration of the patient would start, effectively contributing to the elongation of the pause period of the critical apixaban medication of the patient (HSSIB, 2025).</w:t>
      </w:r>
    </w:p>
    <w:p w14:paraId="242D46D4" w14:textId="77777777" w:rsidR="00746A75" w:rsidRPr="00F92FF5" w:rsidRDefault="00746A75" w:rsidP="0037056D">
      <w:pPr>
        <w:pStyle w:val="Heading3"/>
        <w:rPr>
          <w:lang w:val="en-GB"/>
        </w:rPr>
      </w:pPr>
      <w:bookmarkStart w:id="31" w:name="_nu1tmih9if2q" w:colFirst="0" w:colLast="0"/>
      <w:bookmarkStart w:id="32" w:name="_Toc237020202"/>
      <w:bookmarkEnd w:id="31"/>
      <w:r w:rsidRPr="00F92FF5">
        <w:rPr>
          <w:lang w:val="en-GB"/>
        </w:rPr>
        <w:t>2.2.3 Multidisciplinary Team Communication</w:t>
      </w:r>
      <w:bookmarkEnd w:id="32"/>
    </w:p>
    <w:p w14:paraId="7803044F"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Multidisciplinary team communication is an essential component to ensure patient safety. Based on the findings presented by Hamdi </w:t>
      </w:r>
      <w:r w:rsidRPr="00F92FF5">
        <w:rPr>
          <w:rFonts w:ascii="Arial" w:eastAsia="Arial" w:hAnsi="Arial" w:cs="Arial"/>
          <w:i/>
          <w:iCs/>
          <w:kern w:val="0"/>
          <w:lang w:val="en-GB"/>
          <w14:ligatures w14:val="none"/>
        </w:rPr>
        <w:t>et al</w:t>
      </w:r>
      <w:r w:rsidRPr="00F92FF5">
        <w:rPr>
          <w:rFonts w:ascii="Arial" w:eastAsia="Arial" w:hAnsi="Arial" w:cs="Arial"/>
          <w:kern w:val="0"/>
          <w:lang w:val="en-GB"/>
          <w14:ligatures w14:val="none"/>
        </w:rPr>
        <w:t>. (2025), it can be said that a well-collaborated multidisciplinary team approach contributes to the reduction of medical errors by enhancing the overall diagnostic accuracy. The evaluation of this information highlights the supportive role played by multidisciplinary teams to deliver integrated patient care. However, in the case of patient X, this multidisciplinary team communication involving doctors, nurses, pharmacists, and other healthcare staff members failed noticeably, causing the patient's death.</w:t>
      </w:r>
    </w:p>
    <w:p w14:paraId="26C94DFA"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From the findings illustrated in the case study, it becomes evident that there was a noticeable lack of shared planning across shifts because the documents of the daily ward round by doctors did not capture the long pause in the patient's critical apixaban medication (HSSIB, 2025). In addition to this, handover gaps during ward transfers were also noticed. For example, </w:t>
      </w:r>
      <w:r w:rsidRPr="00F92FF5">
        <w:rPr>
          <w:rFonts w:ascii="Arial" w:eastAsia="Arial" w:hAnsi="Arial" w:cs="Arial"/>
          <w:kern w:val="0"/>
          <w:lang w:val="en-GB"/>
          <w14:ligatures w14:val="none"/>
        </w:rPr>
        <w:lastRenderedPageBreak/>
        <w:t xml:space="preserve">information on planned procedure timing and critical medication management was not shared during the transfer of the patient from the emergency department to the acute medical unit or from thereon (HSSIB, 2025). </w:t>
      </w:r>
    </w:p>
    <w:p w14:paraId="13C12C4A" w14:textId="77777777" w:rsidR="00746A75" w:rsidRPr="00F92FF5" w:rsidRDefault="00746A75" w:rsidP="0037056D">
      <w:pPr>
        <w:pStyle w:val="Heading3"/>
        <w:rPr>
          <w:lang w:val="en-GB"/>
        </w:rPr>
      </w:pPr>
      <w:bookmarkStart w:id="33" w:name="_s45c9xnjcv6u" w:colFirst="0" w:colLast="0"/>
      <w:bookmarkStart w:id="34" w:name="_Toc237020203"/>
      <w:bookmarkEnd w:id="33"/>
      <w:r w:rsidRPr="00F92FF5">
        <w:rPr>
          <w:lang w:val="en-GB"/>
        </w:rPr>
        <w:t>2.2.4 Impact on Patient Safety</w:t>
      </w:r>
      <w:bookmarkEnd w:id="34"/>
    </w:p>
    <w:p w14:paraId="74CCDCC2"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From the earlier discussion on organisational systems and clinical processes, it becomes evident that the weaknesses there have the potential to directly increase the risk of harm to the patient. Considering the use of </w:t>
      </w:r>
      <w:proofErr w:type="spellStart"/>
      <w:r w:rsidRPr="00F92FF5">
        <w:rPr>
          <w:rFonts w:ascii="Arial" w:eastAsia="Arial" w:hAnsi="Arial" w:cs="Arial"/>
          <w:kern w:val="0"/>
          <w:lang w:val="en-GB"/>
          <w14:ligatures w14:val="none"/>
        </w:rPr>
        <w:t>ePMA</w:t>
      </w:r>
      <w:proofErr w:type="spellEnd"/>
      <w:r w:rsidRPr="00F92FF5">
        <w:rPr>
          <w:rFonts w:ascii="Arial" w:eastAsia="Arial" w:hAnsi="Arial" w:cs="Arial"/>
          <w:kern w:val="0"/>
          <w:lang w:val="en-GB"/>
          <w14:ligatures w14:val="none"/>
        </w:rPr>
        <w:t xml:space="preserve"> and the EPR systems in the healthcare facility, Abdelaziz </w:t>
      </w:r>
      <w:r w:rsidRPr="00F92FF5">
        <w:rPr>
          <w:rFonts w:ascii="Arial" w:eastAsia="Arial" w:hAnsi="Arial" w:cs="Arial"/>
          <w:i/>
          <w:iCs/>
          <w:kern w:val="0"/>
          <w:lang w:val="en-GB"/>
          <w14:ligatures w14:val="none"/>
        </w:rPr>
        <w:t>et al</w:t>
      </w:r>
      <w:r w:rsidRPr="00F92FF5">
        <w:rPr>
          <w:rFonts w:ascii="Arial" w:eastAsia="Arial" w:hAnsi="Arial" w:cs="Arial"/>
          <w:kern w:val="0"/>
          <w:lang w:val="en-GB"/>
          <w14:ligatures w14:val="none"/>
        </w:rPr>
        <w:t>. (2024) posited that over-reliance on technologies not only increases the burden of end-users, but it also eliminates the touch of human elements, which may lead to missed symptoms and the development of a notion that technologies would always continue to work as expected.</w:t>
      </w:r>
    </w:p>
    <w:p w14:paraId="723E026C"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However, the organisational systems in the healthcare facility failed, resulting in the ultimate patient harm. The lack of a re-review prompt in the </w:t>
      </w:r>
      <w:proofErr w:type="spellStart"/>
      <w:r w:rsidRPr="00F92FF5">
        <w:rPr>
          <w:rFonts w:ascii="Arial" w:eastAsia="Arial" w:hAnsi="Arial" w:cs="Arial"/>
          <w:kern w:val="0"/>
          <w:lang w:val="en-GB"/>
          <w14:ligatures w14:val="none"/>
        </w:rPr>
        <w:t>ePMA</w:t>
      </w:r>
      <w:proofErr w:type="spellEnd"/>
      <w:r w:rsidRPr="00F92FF5">
        <w:rPr>
          <w:rFonts w:ascii="Arial" w:eastAsia="Arial" w:hAnsi="Arial" w:cs="Arial"/>
          <w:kern w:val="0"/>
          <w:lang w:val="en-GB"/>
          <w14:ligatures w14:val="none"/>
        </w:rPr>
        <w:t xml:space="preserve"> system caused the healthcare professionals to overlook the incident of an elongated pause of a critical patient medication (HSSIB, 2025). The instance highlights that human touch is always necessary in healthcare, and technologies do not always work as expected. Furthermore, the phased implementation of the EPR system indeed increased the burden of end-users of the system with duplication of efforts.</w:t>
      </w:r>
    </w:p>
    <w:p w14:paraId="4FEFE47E" w14:textId="77777777" w:rsidR="00746A75" w:rsidRPr="00F92FF5" w:rsidRDefault="00746A75" w:rsidP="0037056D">
      <w:pPr>
        <w:pStyle w:val="Heading3"/>
        <w:rPr>
          <w:lang w:val="en-GB"/>
        </w:rPr>
      </w:pPr>
      <w:bookmarkStart w:id="35" w:name="_6dli86rvm88" w:colFirst="0" w:colLast="0"/>
      <w:bookmarkStart w:id="36" w:name="_Toc237020204"/>
      <w:bookmarkEnd w:id="35"/>
      <w:r w:rsidRPr="00F92FF5">
        <w:rPr>
          <w:lang w:val="en-GB"/>
        </w:rPr>
        <w:t>2.2.5 Critical Analysis</w:t>
      </w:r>
      <w:bookmarkEnd w:id="36"/>
    </w:p>
    <w:p w14:paraId="411D87F8"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The evaluation of this information indicates that an alternative organisational structure and processes could have prevented the patient's harm. For example, had there been clear standard operating procedures, doctors attending the patient would have been forced to note every time there was a long pause in the patient's critical apixaban medication. Moreover, a decentralised organisational structure could also have worked in favour of the health outcome of the patient. Teams would have leveraged their autonomy to coordinate and collaborate with one another, facilitating the sharing of critical patient information.</w:t>
      </w:r>
    </w:p>
    <w:p w14:paraId="24F618E6"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lastRenderedPageBreak/>
        <w:t xml:space="preserve">Developing further on the previous discussion on critical information sharing among multidisciplinary teams in a decentralised healthcare organisation, it can be said that the approach would have significantly reduced the sole reliance on prompts from the </w:t>
      </w:r>
      <w:proofErr w:type="spellStart"/>
      <w:r w:rsidRPr="00F92FF5">
        <w:rPr>
          <w:rFonts w:ascii="Arial" w:eastAsia="Arial" w:hAnsi="Arial" w:cs="Arial"/>
          <w:kern w:val="0"/>
          <w:lang w:val="en-GB"/>
          <w14:ligatures w14:val="none"/>
        </w:rPr>
        <w:t>ePMA</w:t>
      </w:r>
      <w:proofErr w:type="spellEnd"/>
      <w:r w:rsidRPr="00F92FF5">
        <w:rPr>
          <w:rFonts w:ascii="Arial" w:eastAsia="Arial" w:hAnsi="Arial" w:cs="Arial"/>
          <w:kern w:val="0"/>
          <w:lang w:val="en-GB"/>
          <w14:ligatures w14:val="none"/>
        </w:rPr>
        <w:t xml:space="preserve"> system. As for the organisational processes, a clear guideline on patient transfer within departments with detailed observation documents also could have prevented information gaps among departments. The abolition of varying hospital care processes in the healthcare facility also could have eliminated the uncertainty quotient, preventing delay in resuming the patient's critical medications.</w:t>
      </w:r>
    </w:p>
    <w:p w14:paraId="1026074D" w14:textId="77777777" w:rsidR="00746A75" w:rsidRPr="00F92FF5" w:rsidRDefault="00746A75" w:rsidP="0037056D">
      <w:pPr>
        <w:pStyle w:val="Heading2"/>
        <w:rPr>
          <w:lang w:val="en-GB"/>
        </w:rPr>
      </w:pPr>
      <w:bookmarkStart w:id="37" w:name="_xe49ftd2i3lp" w:colFirst="0" w:colLast="0"/>
      <w:bookmarkStart w:id="38" w:name="_Toc237020205"/>
      <w:bookmarkEnd w:id="37"/>
      <w:r w:rsidRPr="00F92FF5">
        <w:rPr>
          <w:lang w:val="en-GB"/>
        </w:rPr>
        <w:t>2.3 Leadership Theory Application</w:t>
      </w:r>
      <w:bookmarkEnd w:id="38"/>
    </w:p>
    <w:p w14:paraId="1DF2BCFD" w14:textId="77777777" w:rsidR="00746A75" w:rsidRPr="00F92FF5" w:rsidRDefault="00746A75" w:rsidP="0037056D">
      <w:pPr>
        <w:pStyle w:val="Heading3"/>
        <w:rPr>
          <w:lang w:val="en-GB"/>
        </w:rPr>
      </w:pPr>
      <w:bookmarkStart w:id="39" w:name="_4xm1lh9yf2v4" w:colFirst="0" w:colLast="0"/>
      <w:bookmarkStart w:id="40" w:name="_Toc237020206"/>
      <w:bookmarkEnd w:id="39"/>
      <w:r w:rsidRPr="00F92FF5">
        <w:rPr>
          <w:lang w:val="en-GB"/>
        </w:rPr>
        <w:t>2.3.1 Distributed Leadership</w:t>
      </w:r>
      <w:bookmarkEnd w:id="40"/>
    </w:p>
    <w:p w14:paraId="0448E93D"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A befitting leadership approach has the potential to improve teamwork and medication safety. In this context, Leach </w:t>
      </w:r>
      <w:r w:rsidRPr="00F92FF5">
        <w:rPr>
          <w:rFonts w:ascii="Arial" w:eastAsia="Arial" w:hAnsi="Arial" w:cs="Arial"/>
          <w:i/>
          <w:iCs/>
          <w:kern w:val="0"/>
          <w:lang w:val="en-GB"/>
          <w14:ligatures w14:val="none"/>
        </w:rPr>
        <w:t>et al</w:t>
      </w:r>
      <w:r w:rsidRPr="00F92FF5">
        <w:rPr>
          <w:rFonts w:ascii="Arial" w:eastAsia="Arial" w:hAnsi="Arial" w:cs="Arial"/>
          <w:kern w:val="0"/>
          <w:lang w:val="en-GB"/>
          <w14:ligatures w14:val="none"/>
        </w:rPr>
        <w:t>. (2021) talked about collective responsibility through shared leadership. From the findings presented by the authors, it becomes evident that distributed leadership is either formed by putting together employees with similar competencies who are at the same level of horizontal hierarchy, or by combining experts from varying vertical structures, such as a team of doctors, nurses, and hospital administrators. The set-up facilitates capacity improvements through the combined mobilisation of multiple leadership expertise.</w:t>
      </w:r>
    </w:p>
    <w:p w14:paraId="7C288CE4"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For the case of patient X, such an approach would have positively altered their health outcome. The rationale behind this claim is the fact that if doctors from different verticals had worked together, the information on the long pause of the critical medication could have easily been shared among themselves. Likewise, vertical integration of experts could have eliminated the uncertainty quotient regarding the beginning of the patient's pleural aspiration procedure, which in turn would have prevented the long pause of critical apixaban medication.</w:t>
      </w:r>
    </w:p>
    <w:p w14:paraId="3AB20ED3" w14:textId="77777777" w:rsidR="00746A75" w:rsidRPr="00F92FF5" w:rsidRDefault="00746A75" w:rsidP="0037056D">
      <w:pPr>
        <w:pStyle w:val="Heading3"/>
        <w:rPr>
          <w:lang w:val="en-GB"/>
        </w:rPr>
      </w:pPr>
      <w:bookmarkStart w:id="41" w:name="_971ku9vz4i70" w:colFirst="0" w:colLast="0"/>
      <w:bookmarkStart w:id="42" w:name="_Toc237020207"/>
      <w:bookmarkEnd w:id="41"/>
      <w:r w:rsidRPr="00F92FF5">
        <w:rPr>
          <w:lang w:val="en-GB"/>
        </w:rPr>
        <w:lastRenderedPageBreak/>
        <w:t>2.3.2 Systems Leadership</w:t>
      </w:r>
      <w:bookmarkEnd w:id="42"/>
    </w:p>
    <w:p w14:paraId="5BEF8234"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In healthcare, coordination among multiple departments strengthens system-wide patient safety. In support of this claim, the findings presented by </w:t>
      </w:r>
      <w:proofErr w:type="spellStart"/>
      <w:r w:rsidRPr="00F92FF5">
        <w:rPr>
          <w:rFonts w:ascii="Arial" w:eastAsia="Arial" w:hAnsi="Arial" w:cs="Arial"/>
          <w:kern w:val="0"/>
          <w:lang w:val="en-GB"/>
          <w14:ligatures w14:val="none"/>
        </w:rPr>
        <w:t>Castelyn</w:t>
      </w:r>
      <w:proofErr w:type="spellEnd"/>
      <w:r w:rsidRPr="00F92FF5">
        <w:rPr>
          <w:rFonts w:ascii="Arial" w:eastAsia="Arial" w:hAnsi="Arial" w:cs="Arial"/>
          <w:kern w:val="0"/>
          <w:lang w:val="en-GB"/>
          <w14:ligatures w14:val="none"/>
        </w:rPr>
        <w:t xml:space="preserve"> (2024) can be referred to here. The insights derived from the findings suggest that systems leadership is formed when many people working at different levels interact with one another in a healthcare setting. Accordingly, the key essence of systems leadership includes developing flexibility, adaptability, and the integration of diverse experiences in order to achieve efficient clinical decision-making. </w:t>
      </w:r>
    </w:p>
    <w:p w14:paraId="0E62DEA8"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The discussion up to this point shows that if systems leadership had been in place in the healthcare facility, it would have facilitated the formation of a multidisciplinary team, composed of doctors from different departments, skilled nurses, and hospital administrators. Accordingly, the incident of the long pause of the critical apixaban medication, the prior patient history of cardiovascular issues, uncertainty regarding the beginning of pleural aspiration, the difficulty in accessing the healthcare facility's computer systems, the lack of re-review prompt from the </w:t>
      </w:r>
      <w:proofErr w:type="spellStart"/>
      <w:r w:rsidRPr="00F92FF5">
        <w:rPr>
          <w:rFonts w:ascii="Arial" w:eastAsia="Arial" w:hAnsi="Arial" w:cs="Arial"/>
          <w:kern w:val="0"/>
          <w:lang w:val="en-GB"/>
          <w14:ligatures w14:val="none"/>
        </w:rPr>
        <w:t>ePMA</w:t>
      </w:r>
      <w:proofErr w:type="spellEnd"/>
      <w:r w:rsidRPr="00F92FF5">
        <w:rPr>
          <w:rFonts w:ascii="Arial" w:eastAsia="Arial" w:hAnsi="Arial" w:cs="Arial"/>
          <w:kern w:val="0"/>
          <w:lang w:val="en-GB"/>
          <w14:ligatures w14:val="none"/>
        </w:rPr>
        <w:t xml:space="preserve"> system, and documentation errors would not have gone unnoticed at all. </w:t>
      </w:r>
    </w:p>
    <w:p w14:paraId="02049DBD" w14:textId="77777777" w:rsidR="00746A75" w:rsidRPr="00F92FF5" w:rsidRDefault="00746A75" w:rsidP="0037056D">
      <w:pPr>
        <w:pStyle w:val="Heading3"/>
        <w:rPr>
          <w:lang w:val="en-GB"/>
        </w:rPr>
      </w:pPr>
      <w:bookmarkStart w:id="43" w:name="_o2co49ecta5v" w:colFirst="0" w:colLast="0"/>
      <w:bookmarkStart w:id="44" w:name="_Toc237020208"/>
      <w:bookmarkEnd w:id="43"/>
      <w:r w:rsidRPr="00F92FF5">
        <w:rPr>
          <w:lang w:val="en-GB"/>
        </w:rPr>
        <w:t>2.3.3 Transformational Leadership</w:t>
      </w:r>
      <w:bookmarkEnd w:id="44"/>
    </w:p>
    <w:p w14:paraId="062412D0"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When the adverse patient outcome is reviewed from the perspective of the transformational leadership framework, it appears that transformational leaders have the potential to ensure patient safety. In support of this statement, the findings presented by </w:t>
      </w:r>
      <w:proofErr w:type="spellStart"/>
      <w:r w:rsidRPr="00F92FF5">
        <w:rPr>
          <w:rFonts w:ascii="Arial" w:eastAsia="Arial" w:hAnsi="Arial" w:cs="Arial"/>
          <w:kern w:val="0"/>
          <w:lang w:val="en-GB"/>
          <w14:ligatures w14:val="none"/>
        </w:rPr>
        <w:t>Tsapnidou</w:t>
      </w:r>
      <w:proofErr w:type="spellEnd"/>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et al</w:t>
      </w:r>
      <w:r w:rsidRPr="00F92FF5">
        <w:rPr>
          <w:rFonts w:ascii="Arial" w:eastAsia="Arial" w:hAnsi="Arial" w:cs="Arial"/>
          <w:kern w:val="0"/>
          <w:lang w:val="en-GB"/>
          <w14:ligatures w14:val="none"/>
        </w:rPr>
        <w:t>. (2024) can be highlighted here. Going by the findings, it becomes apparent that transformational leaders help with efficient resource management in healthcare facilities, besides offering continuous support through employee training that ensures the best therapeutic outcomes. Therefore, transformational leadership could have been pivotal for the patient's health outcomes.</w:t>
      </w:r>
    </w:p>
    <w:p w14:paraId="30F25D0E"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The rationale behind favouring the implementation of transformational leadership in the healthcare facility is the fact that staff members of the facility found it difficult to navigate the </w:t>
      </w:r>
      <w:r w:rsidRPr="00F92FF5">
        <w:rPr>
          <w:rFonts w:ascii="Arial" w:eastAsia="Arial" w:hAnsi="Arial" w:cs="Arial"/>
          <w:kern w:val="0"/>
          <w:lang w:val="en-GB"/>
          <w14:ligatures w14:val="none"/>
        </w:rPr>
        <w:lastRenderedPageBreak/>
        <w:t>computer system to refer to the local clinical guidance (HSSIB, 2025). However, with training and learning, both of these challenges could have been eliminated. Likewise, the constraints of resources, including staff shortage and respiratory care resources, could have also been better mitigated by the transformational leadership approach (HSSIB, 2025). Therefore, it can be inferred that transformational leaders would have been successful in promoting a positive patient safety culture.</w:t>
      </w:r>
    </w:p>
    <w:p w14:paraId="5CE8A1FD" w14:textId="77777777" w:rsidR="00746A75" w:rsidRPr="00F92FF5" w:rsidRDefault="00746A75" w:rsidP="0037056D">
      <w:pPr>
        <w:pStyle w:val="Heading3"/>
        <w:rPr>
          <w:lang w:val="en-GB"/>
        </w:rPr>
      </w:pPr>
      <w:bookmarkStart w:id="45" w:name="_nks7nufdxqup" w:colFirst="0" w:colLast="0"/>
      <w:bookmarkStart w:id="46" w:name="_Toc237020209"/>
      <w:bookmarkEnd w:id="45"/>
      <w:r w:rsidRPr="00F92FF5">
        <w:rPr>
          <w:lang w:val="en-GB"/>
        </w:rPr>
        <w:t>2.3.4 Human Factors and Leadership</w:t>
      </w:r>
      <w:bookmarkEnd w:id="46"/>
    </w:p>
    <w:p w14:paraId="639B558A"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It is a fact that effective leadership has the potential to identify and manage human factors that can influence the overall clinical performance of a healthcare facility. The concept becomes clear when viewed through the lens of human resource management. When staffing planning is done in alignment with patient volume and speciality care needs forecast, it enables a hospital administration to keep a mix of healthcare professionals ready, including doctors, nurses, and support staff, preventing potential over- or under-staffing issues (Bhati, Deogade and </w:t>
      </w:r>
      <w:proofErr w:type="spellStart"/>
      <w:r w:rsidRPr="00F92FF5">
        <w:rPr>
          <w:rFonts w:ascii="Arial" w:eastAsia="Arial" w:hAnsi="Arial" w:cs="Arial"/>
          <w:kern w:val="0"/>
          <w:lang w:val="en-GB"/>
          <w14:ligatures w14:val="none"/>
        </w:rPr>
        <w:t>Kanyal</w:t>
      </w:r>
      <w:proofErr w:type="spellEnd"/>
      <w:r w:rsidRPr="00F92FF5">
        <w:rPr>
          <w:rFonts w:ascii="Arial" w:eastAsia="Arial" w:hAnsi="Arial" w:cs="Arial"/>
          <w:kern w:val="0"/>
          <w:lang w:val="en-GB"/>
          <w14:ligatures w14:val="none"/>
        </w:rPr>
        <w:t>, 2023).</w:t>
      </w:r>
    </w:p>
    <w:p w14:paraId="592D8392"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Additionally, healthcare leaders also focus on developing the communication skills of healthcare professionals. In this context, from the findings presented by Mata </w:t>
      </w:r>
      <w:r w:rsidRPr="00F92FF5">
        <w:rPr>
          <w:rFonts w:ascii="Arial" w:eastAsia="Arial" w:hAnsi="Arial" w:cs="Arial"/>
          <w:i/>
          <w:iCs/>
          <w:kern w:val="0"/>
          <w:lang w:val="en-GB"/>
          <w14:ligatures w14:val="none"/>
        </w:rPr>
        <w:t>et al</w:t>
      </w:r>
      <w:r w:rsidRPr="00F92FF5">
        <w:rPr>
          <w:rFonts w:ascii="Arial" w:eastAsia="Arial" w:hAnsi="Arial" w:cs="Arial"/>
          <w:kern w:val="0"/>
          <w:lang w:val="en-GB"/>
          <w14:ligatures w14:val="none"/>
        </w:rPr>
        <w:t>. (2021), it can be inferred that by prioritising the improvement of the verbal and non-verbal communication skills of healthcare professionals, organisational leaders ensure that they become efficient in processing patient information and understanding their needs as well. Accordingly, it is understood that had the human factor in the healthcare facility been led efficiently, the difficulty in workforce availability and understanding patient X's need for apixaban could have been avoided.</w:t>
      </w:r>
    </w:p>
    <w:p w14:paraId="421D5C38" w14:textId="77777777" w:rsidR="00746A75" w:rsidRPr="00F92FF5" w:rsidRDefault="00746A75" w:rsidP="0037056D">
      <w:pPr>
        <w:pStyle w:val="Heading3"/>
        <w:rPr>
          <w:lang w:val="en-GB"/>
        </w:rPr>
      </w:pPr>
      <w:bookmarkStart w:id="47" w:name="_w92eejll6rp1" w:colFirst="0" w:colLast="0"/>
      <w:bookmarkStart w:id="48" w:name="_Toc237020210"/>
      <w:bookmarkEnd w:id="47"/>
      <w:r w:rsidRPr="00F92FF5">
        <w:rPr>
          <w:lang w:val="en-GB"/>
        </w:rPr>
        <w:t>2.3.5 Evaluation of Leadership Approaches</w:t>
      </w:r>
      <w:bookmarkEnd w:id="48"/>
    </w:p>
    <w:p w14:paraId="7B67A48F"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In order to determine the leadership approach that is the most appropriate for improving complex healthcare systems, it is necessary to carry out a comparative evaluation thoroughly. While distributed leadership promotes shared responsibility, it heavily relies on clear and </w:t>
      </w:r>
      <w:r w:rsidRPr="00F92FF5">
        <w:rPr>
          <w:rFonts w:ascii="Arial" w:eastAsia="Arial" w:hAnsi="Arial" w:cs="Arial"/>
          <w:kern w:val="0"/>
          <w:lang w:val="en-GB"/>
          <w14:ligatures w14:val="none"/>
        </w:rPr>
        <w:lastRenderedPageBreak/>
        <w:t>structured coordination among teams. Consequently, the diffusion of patient responsibility, which is already there, could have been further reinforced. On the other hand, when focusing on the transformational leadership approach, it is observed that the leadership style can effectively mitigate the challenges of staff shortage.</w:t>
      </w:r>
    </w:p>
    <w:p w14:paraId="52210872"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However, the heavy reliance of followers on transformational leaders also makes it vulnerable, especially when such a leader would be absent from work. Likewise, human factors are observed to be mostly aligned with mitigating administrative and self-development-related challenges. Hence, it can be inferred that systems leadership would have been the most appropriate choice for improving complex healthcare systems. The rationale for this claim is the fact that by fostering multidisciplinary collaboration, the leadership approach creates a favourable environment for resilience and adaptability development, which is advantageous in complex healthcare settings.</w:t>
      </w:r>
    </w:p>
    <w:p w14:paraId="584DD90D" w14:textId="77777777" w:rsidR="00746A75" w:rsidRPr="00F92FF5" w:rsidRDefault="00746A75" w:rsidP="0037056D">
      <w:pPr>
        <w:pStyle w:val="Heading2"/>
        <w:rPr>
          <w:lang w:val="en-GB"/>
        </w:rPr>
      </w:pPr>
      <w:bookmarkStart w:id="49" w:name="_fjodq8q3grt" w:colFirst="0" w:colLast="0"/>
      <w:bookmarkStart w:id="50" w:name="_Toc237020211"/>
      <w:bookmarkEnd w:id="49"/>
      <w:r w:rsidRPr="00F92FF5">
        <w:rPr>
          <w:lang w:val="en-GB"/>
        </w:rPr>
        <w:t>2.4 Improvement and Lessons Learned</w:t>
      </w:r>
      <w:bookmarkEnd w:id="50"/>
    </w:p>
    <w:p w14:paraId="3D8CA72F" w14:textId="77777777" w:rsidR="00746A75" w:rsidRPr="00F92FF5" w:rsidRDefault="00746A75" w:rsidP="0037056D">
      <w:pPr>
        <w:pStyle w:val="Heading3"/>
        <w:rPr>
          <w:lang w:val="en-GB"/>
        </w:rPr>
      </w:pPr>
      <w:bookmarkStart w:id="51" w:name="_p53um17di0v1" w:colFirst="0" w:colLast="0"/>
      <w:bookmarkStart w:id="52" w:name="_Toc237020212"/>
      <w:bookmarkEnd w:id="51"/>
      <w:r w:rsidRPr="00F92FF5">
        <w:rPr>
          <w:lang w:val="en-GB"/>
        </w:rPr>
        <w:t>2.4.1 Medication Safety Strategies</w:t>
      </w:r>
      <w:bookmarkEnd w:id="52"/>
    </w:p>
    <w:p w14:paraId="57F67949"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The lessons learned from the death of patient X, primarily because of the long pause of apixaban, encourage a focus on improving the healthcare facility's existing medication safety strategies. Based on the findings presented by </w:t>
      </w:r>
      <w:proofErr w:type="spellStart"/>
      <w:r w:rsidRPr="00F92FF5">
        <w:rPr>
          <w:rFonts w:ascii="Arial" w:eastAsia="Arial" w:hAnsi="Arial" w:cs="Arial"/>
          <w:kern w:val="0"/>
          <w:lang w:val="en-GB"/>
          <w14:ligatures w14:val="none"/>
        </w:rPr>
        <w:t>Guntschnig</w:t>
      </w:r>
      <w:proofErr w:type="spellEnd"/>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et al</w:t>
      </w:r>
      <w:r w:rsidRPr="00F92FF5">
        <w:rPr>
          <w:rFonts w:ascii="Arial" w:eastAsia="Arial" w:hAnsi="Arial" w:cs="Arial"/>
          <w:kern w:val="0"/>
          <w:lang w:val="en-GB"/>
          <w14:ligatures w14:val="none"/>
        </w:rPr>
        <w:t>. (2025), which are based on the evaluation of 89 reported incidents involving medication errors, it can be recommended that the healthcare facility may consider implementing automated drug dispensing technology. With system automation, the recurrence of incidents involving delayed or omitted drug administration can be avoided.</w:t>
      </w:r>
    </w:p>
    <w:p w14:paraId="2597BCBD"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In addition to relying on technological means, a past study involving 115,058 participants also highlighted the advantages of pharmacist-led educational interventions in healthcare settings that can also reduce medication errors (Jaam </w:t>
      </w:r>
      <w:r w:rsidRPr="00F92FF5">
        <w:rPr>
          <w:rFonts w:ascii="Arial" w:eastAsia="Arial" w:hAnsi="Arial" w:cs="Arial"/>
          <w:i/>
          <w:iCs/>
          <w:kern w:val="0"/>
          <w:lang w:val="en-GB"/>
          <w14:ligatures w14:val="none"/>
        </w:rPr>
        <w:t>et al</w:t>
      </w:r>
      <w:r w:rsidRPr="00F92FF5">
        <w:rPr>
          <w:rFonts w:ascii="Arial" w:eastAsia="Arial" w:hAnsi="Arial" w:cs="Arial"/>
          <w:kern w:val="0"/>
          <w:lang w:val="en-GB"/>
          <w14:ligatures w14:val="none"/>
        </w:rPr>
        <w:t xml:space="preserve">., 2021). The insights gathered from the findings of the study indicate that practical teaching sessions, aimed at nurses and resident physicians, followed by audit and feedback mechanisms, can significantly prevent recurrence </w:t>
      </w:r>
      <w:r w:rsidRPr="00F92FF5">
        <w:rPr>
          <w:rFonts w:ascii="Arial" w:eastAsia="Arial" w:hAnsi="Arial" w:cs="Arial"/>
          <w:kern w:val="0"/>
          <w:lang w:val="en-GB"/>
          <w14:ligatures w14:val="none"/>
        </w:rPr>
        <w:lastRenderedPageBreak/>
        <w:t>of medication errors and the associated adverse patient outcomes. Therefore, the healthcare facility may consider integrating this dual approach strategy to ensure medication safety.</w:t>
      </w:r>
    </w:p>
    <w:p w14:paraId="4930629F" w14:textId="77777777" w:rsidR="00746A75" w:rsidRPr="00F92FF5" w:rsidRDefault="00746A75" w:rsidP="0037056D">
      <w:pPr>
        <w:pStyle w:val="Heading3"/>
        <w:rPr>
          <w:lang w:val="en-GB"/>
        </w:rPr>
      </w:pPr>
      <w:bookmarkStart w:id="53" w:name="_2ft3mcg7ffvq" w:colFirst="0" w:colLast="0"/>
      <w:bookmarkStart w:id="54" w:name="_Toc237020213"/>
      <w:bookmarkEnd w:id="53"/>
      <w:r w:rsidRPr="00F92FF5">
        <w:rPr>
          <w:lang w:val="en-GB"/>
        </w:rPr>
        <w:t>2.4.2 Electronic Prescribing and Clinical Decision Support</w:t>
      </w:r>
      <w:bookmarkEnd w:id="54"/>
    </w:p>
    <w:p w14:paraId="60443DEF"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Further integration of advanced assistive medical technologies can also help healthcare organisations prevent medication-related harms. In this context, the findings derived from the analysis of longitudinal patient data between 2000 and 2020, presented by Osmani </w:t>
      </w:r>
      <w:r w:rsidRPr="00F92FF5">
        <w:rPr>
          <w:rFonts w:ascii="Arial" w:eastAsia="Arial" w:hAnsi="Arial" w:cs="Arial"/>
          <w:i/>
          <w:iCs/>
          <w:kern w:val="0"/>
          <w:lang w:val="en-GB"/>
          <w14:ligatures w14:val="none"/>
        </w:rPr>
        <w:t>et al</w:t>
      </w:r>
      <w:r w:rsidRPr="00F92FF5">
        <w:rPr>
          <w:rFonts w:ascii="Arial" w:eastAsia="Arial" w:hAnsi="Arial" w:cs="Arial"/>
          <w:kern w:val="0"/>
          <w:lang w:val="en-GB"/>
          <w14:ligatures w14:val="none"/>
        </w:rPr>
        <w:t>. (2022), can be cited here. According to the findings, electronic prescription systems are proven to be effective in avoiding the prescription of wrong medication doses and preventing incomplete prescription of drugs. The evaluation of this information suggests that had this system been implemented in the healthcare facility, patient X would have invariably been prescribed apixaban.</w:t>
      </w:r>
    </w:p>
    <w:p w14:paraId="3508E14D"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The implementation of clinical decision support systems in healthcare facilities can also help in avoiding medication-related errors. Going by the findings presented by Shahmoradi </w:t>
      </w:r>
      <w:r w:rsidRPr="00F92FF5">
        <w:rPr>
          <w:rFonts w:ascii="Arial" w:eastAsia="Arial" w:hAnsi="Arial" w:cs="Arial"/>
          <w:i/>
          <w:iCs/>
          <w:kern w:val="0"/>
          <w:lang w:val="en-GB"/>
          <w14:ligatures w14:val="none"/>
        </w:rPr>
        <w:t>et al</w:t>
      </w:r>
      <w:r w:rsidRPr="00F92FF5">
        <w:rPr>
          <w:rFonts w:ascii="Arial" w:eastAsia="Arial" w:hAnsi="Arial" w:cs="Arial"/>
          <w:kern w:val="0"/>
          <w:lang w:val="en-GB"/>
          <w14:ligatures w14:val="none"/>
        </w:rPr>
        <w:t>. (2021), it is learned that clinical decision support systems help healthcare professionals determine appropriate drug dosage, while also highlighting any potential situation pertaining to adverse drug-drug interactions, besides integrating a built-in alert system to make healthcare employees aware of any potential medical errors. Therefore, these digital technologies can prove to be pivotal for the healthcare facility.</w:t>
      </w:r>
    </w:p>
    <w:p w14:paraId="30B81AE5" w14:textId="77777777" w:rsidR="00746A75" w:rsidRPr="00F92FF5" w:rsidRDefault="00746A75" w:rsidP="0037056D">
      <w:pPr>
        <w:pStyle w:val="Heading3"/>
        <w:rPr>
          <w:lang w:val="en-GB"/>
        </w:rPr>
      </w:pPr>
      <w:bookmarkStart w:id="55" w:name="_lab7gy9n5uhw" w:colFirst="0" w:colLast="0"/>
      <w:bookmarkStart w:id="56" w:name="_Toc237020214"/>
      <w:bookmarkEnd w:id="55"/>
      <w:r w:rsidRPr="00F92FF5">
        <w:rPr>
          <w:lang w:val="en-GB"/>
        </w:rPr>
        <w:t>2.4.3 Safety Culture</w:t>
      </w:r>
      <w:bookmarkEnd w:id="56"/>
    </w:p>
    <w:p w14:paraId="21EC8774"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Based on the lessons learned from the adverse patient outcome in the healthcare facility, it can be said that the overall safety culture of the organisation needs to be revamped. In order to achieve this objective, the healthcare facility may consider arranging training programs at regular intervals to promote patient safety by eliminating any knowledge gaps, besides creating an environment of psychological safety where errors can be reported freely, and open communication and collaboration are possible as well (Mistri, Badge and Shahu, 2023).</w:t>
      </w:r>
    </w:p>
    <w:p w14:paraId="0A1532D4"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lastRenderedPageBreak/>
        <w:t>Other than reporting errors freely and ensuring continuous improvement through training and learning, nurses also play a crucial role in fostering a patient safety culture in healthcare facilities. As a result, nurses in healthcare settings need to be empowered so that they can make decisions in favour of patient safety by allowing them to freely escalate their concerns about harmful patient conditions (</w:t>
      </w:r>
      <w:proofErr w:type="spellStart"/>
      <w:r w:rsidRPr="00F92FF5">
        <w:rPr>
          <w:rFonts w:ascii="Arial" w:eastAsia="Arial" w:hAnsi="Arial" w:cs="Arial"/>
          <w:kern w:val="0"/>
          <w:lang w:val="en-GB"/>
          <w14:ligatures w14:val="none"/>
        </w:rPr>
        <w:t>Zaitoun</w:t>
      </w:r>
      <w:proofErr w:type="spellEnd"/>
      <w:r w:rsidRPr="00F92FF5">
        <w:rPr>
          <w:rFonts w:ascii="Arial" w:eastAsia="Arial" w:hAnsi="Arial" w:cs="Arial"/>
          <w:kern w:val="0"/>
          <w:lang w:val="en-GB"/>
          <w14:ligatures w14:val="none"/>
        </w:rPr>
        <w:t xml:space="preserve">, Said and de Tantillo, 2023). The evaluation of this information helps to understand the fact that changes in organisational procedures, employee development and empowerment can create a patient safety culture in healthcare settings. </w:t>
      </w:r>
    </w:p>
    <w:p w14:paraId="6A4B9FA4" w14:textId="77777777" w:rsidR="00746A75" w:rsidRPr="00F92FF5" w:rsidRDefault="00746A75" w:rsidP="0037056D">
      <w:pPr>
        <w:pStyle w:val="Heading3"/>
        <w:rPr>
          <w:lang w:val="en-GB"/>
        </w:rPr>
      </w:pPr>
      <w:bookmarkStart w:id="57" w:name="_zfzyd0b977fw" w:colFirst="0" w:colLast="0"/>
      <w:bookmarkStart w:id="58" w:name="_Toc237020215"/>
      <w:bookmarkEnd w:id="57"/>
      <w:r w:rsidRPr="00F92FF5">
        <w:rPr>
          <w:lang w:val="en-GB"/>
        </w:rPr>
        <w:t>2.4.4 Learning Health Systems</w:t>
      </w:r>
      <w:bookmarkEnd w:id="58"/>
    </w:p>
    <w:p w14:paraId="7238525B"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The adverse patient outcome also offers an opportunity for the healthcare facility to learn from the incident data and obtain feedback on the incident, which can help the organisation improve their overall quality of delivering healthcare services to patients in the future. In relation to this discussion, as per the past research done by </w:t>
      </w:r>
      <w:proofErr w:type="spellStart"/>
      <w:r w:rsidRPr="00F92FF5">
        <w:rPr>
          <w:rFonts w:ascii="Arial" w:eastAsia="Arial" w:hAnsi="Arial" w:cs="Arial"/>
          <w:kern w:val="0"/>
          <w:lang w:val="en-GB"/>
          <w14:ligatures w14:val="none"/>
        </w:rPr>
        <w:t>Kodate</w:t>
      </w:r>
      <w:proofErr w:type="spellEnd"/>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et al</w:t>
      </w:r>
      <w:r w:rsidRPr="00F92FF5">
        <w:rPr>
          <w:rFonts w:ascii="Arial" w:eastAsia="Arial" w:hAnsi="Arial" w:cs="Arial"/>
          <w:kern w:val="0"/>
          <w:lang w:val="en-GB"/>
          <w14:ligatures w14:val="none"/>
        </w:rPr>
        <w:t>. (2022), it can be said that the incident reporting and learning systems in healthcare facilities provide an opportunity to learn what is not working, allowing the implementation of preventive measures.</w:t>
      </w:r>
    </w:p>
    <w:p w14:paraId="75BC6FF5"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Apart from leveraging incident data to learn and improve healthcare quality, feedback can also be an excellent source of healthcare service delivery improvement. However, it is important to note here that feedback provided for improving outcomes is not as effective as feedback that focuses on process improvements, followed by post-feedback consultation and learning sessions (Ali </w:t>
      </w:r>
      <w:r w:rsidRPr="00F92FF5">
        <w:rPr>
          <w:rFonts w:ascii="Arial" w:eastAsia="Arial" w:hAnsi="Arial" w:cs="Arial"/>
          <w:i/>
          <w:iCs/>
          <w:kern w:val="0"/>
          <w:lang w:val="en-GB"/>
          <w14:ligatures w14:val="none"/>
        </w:rPr>
        <w:t>et al</w:t>
      </w:r>
      <w:r w:rsidRPr="00F92FF5">
        <w:rPr>
          <w:rFonts w:ascii="Arial" w:eastAsia="Arial" w:hAnsi="Arial" w:cs="Arial"/>
          <w:kern w:val="0"/>
          <w:lang w:val="en-GB"/>
          <w14:ligatures w14:val="none"/>
        </w:rPr>
        <w:t xml:space="preserve">., 2025). Hence, the evaluation of this information helps to understand the fact that paying heed to process improvement feedback and utilising reported healthcare data can contribute to healthcare quality improvement. </w:t>
      </w:r>
    </w:p>
    <w:p w14:paraId="591FF06E" w14:textId="77777777" w:rsidR="00746A75" w:rsidRPr="00F92FF5" w:rsidRDefault="00746A75" w:rsidP="0037056D">
      <w:pPr>
        <w:pStyle w:val="Heading3"/>
        <w:rPr>
          <w:lang w:val="en-GB"/>
        </w:rPr>
      </w:pPr>
      <w:bookmarkStart w:id="59" w:name="_ob7z5y8lfs5d" w:colFirst="0" w:colLast="0"/>
      <w:bookmarkStart w:id="60" w:name="_Toc237020216"/>
      <w:bookmarkEnd w:id="59"/>
      <w:r w:rsidRPr="00F92FF5">
        <w:rPr>
          <w:lang w:val="en-GB"/>
        </w:rPr>
        <w:t>2.4.5 Lessons for Future Practice</w:t>
      </w:r>
      <w:bookmarkEnd w:id="60"/>
    </w:p>
    <w:p w14:paraId="3957917D"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From the discussion here, certain key organisational and system-level lessons are learned that can prove to be useful in preventing similar incidents from recurring across healthcare settings. For instance, it becomes evident that merely relying on technologies can prove to be insufficient, prompting the adoption of a holistic approach. Accordingly, the emphasis needs </w:t>
      </w:r>
      <w:r w:rsidRPr="00F92FF5">
        <w:rPr>
          <w:rFonts w:ascii="Arial" w:eastAsia="Arial" w:hAnsi="Arial" w:cs="Arial"/>
          <w:kern w:val="0"/>
          <w:lang w:val="en-GB"/>
          <w14:ligatures w14:val="none"/>
        </w:rPr>
        <w:lastRenderedPageBreak/>
        <w:t>to be on integrating automation, imparting education, promoting safety culture, and learning from reported incident data, which together can significantly help in improving the existing healthcare delivery practices.</w:t>
      </w:r>
    </w:p>
    <w:p w14:paraId="6F7546F8"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It is learned that automated drug dispensing systems, electronic prescription systems, clinical decision support systems, and incident reporting together can significantly lower human error, besides facilitating learning and contributing to the improvement of healthcare service delivery. However, as relying merely on technologies is insufficient, pharmacist-led educational interventions, conducting regular training, empowering frontline staff, and conducting post-feedback consultation are given equal importance as other means that can also contribute to the overall improvement of the existing healthcare service delivery across the industry globally.</w:t>
      </w:r>
    </w:p>
    <w:p w14:paraId="01307AC7" w14:textId="77777777" w:rsidR="00746A75" w:rsidRPr="00F92FF5" w:rsidRDefault="00746A75" w:rsidP="0037056D">
      <w:pPr>
        <w:pStyle w:val="Heading1"/>
        <w:rPr>
          <w:lang w:val="en-GB"/>
        </w:rPr>
      </w:pPr>
      <w:bookmarkStart w:id="61" w:name="_dh0d2jyxdsk2" w:colFirst="0" w:colLast="0"/>
      <w:bookmarkStart w:id="62" w:name="_Toc237020217"/>
      <w:bookmarkEnd w:id="61"/>
      <w:r w:rsidRPr="00F92FF5">
        <w:rPr>
          <w:lang w:val="en-GB"/>
        </w:rPr>
        <w:t>3. Recommendations</w:t>
      </w:r>
      <w:bookmarkEnd w:id="62"/>
    </w:p>
    <w:p w14:paraId="3BE2E050" w14:textId="77777777" w:rsidR="00746A75" w:rsidRPr="00F92FF5" w:rsidRDefault="00746A75" w:rsidP="0037056D">
      <w:pPr>
        <w:pStyle w:val="Heading2"/>
        <w:rPr>
          <w:lang w:val="en-GB"/>
        </w:rPr>
      </w:pPr>
      <w:bookmarkStart w:id="63" w:name="_ktgcpzfgf4xj" w:colFirst="0" w:colLast="0"/>
      <w:bookmarkStart w:id="64" w:name="_Toc237020218"/>
      <w:bookmarkEnd w:id="63"/>
      <w:r w:rsidRPr="00F92FF5">
        <w:rPr>
          <w:lang w:val="en-GB"/>
        </w:rPr>
        <w:t>3.1 Medication Safety Interventions</w:t>
      </w:r>
      <w:bookmarkEnd w:id="64"/>
    </w:p>
    <w:p w14:paraId="09C42380"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It is recommended that technologies for electronic prescribing and assisting with clinical decision-making are implemented, so that alerts can be generated in real-time for any omitted or paused medication. Moreover, it is also recommended to introduce daily multidisciplinary medication reviews, so that risk-benefit assessment of any continuing, critical patient care can be carried out. Healthcare facilities are also encouraged to configure their individual </w:t>
      </w:r>
      <w:proofErr w:type="spellStart"/>
      <w:r w:rsidRPr="00F92FF5">
        <w:rPr>
          <w:rFonts w:ascii="Arial" w:eastAsia="Arial" w:hAnsi="Arial" w:cs="Arial"/>
          <w:kern w:val="0"/>
          <w:lang w:val="en-GB"/>
          <w14:ligatures w14:val="none"/>
        </w:rPr>
        <w:t>ePMA</w:t>
      </w:r>
      <w:proofErr w:type="spellEnd"/>
      <w:r w:rsidRPr="00F92FF5">
        <w:rPr>
          <w:rFonts w:ascii="Arial" w:eastAsia="Arial" w:hAnsi="Arial" w:cs="Arial"/>
          <w:kern w:val="0"/>
          <w:lang w:val="en-GB"/>
          <w14:ligatures w14:val="none"/>
        </w:rPr>
        <w:t xml:space="preserve"> systems in a way that can automate sending real-time reminders to healthcare professionals pertaining to long-paused medications. Barring these, doctors and nurses are also recommended to undergo pharmacist-led education programs to excel in better management of critical medication. Conducting clinical audits and feedback sessions at regular intervals is also recommended.</w:t>
      </w:r>
    </w:p>
    <w:p w14:paraId="44929A8D" w14:textId="77777777" w:rsidR="00746A75" w:rsidRPr="00F92FF5" w:rsidRDefault="00746A75" w:rsidP="0037056D">
      <w:pPr>
        <w:pStyle w:val="Heading2"/>
        <w:rPr>
          <w:lang w:val="en-GB"/>
        </w:rPr>
      </w:pPr>
      <w:bookmarkStart w:id="65" w:name="_yj1zrutbthoa" w:colFirst="0" w:colLast="0"/>
      <w:bookmarkStart w:id="66" w:name="_Toc237020219"/>
      <w:bookmarkEnd w:id="65"/>
      <w:r w:rsidRPr="00F92FF5">
        <w:rPr>
          <w:lang w:val="en-GB"/>
        </w:rPr>
        <w:t>3.2 Digital Decision Support</w:t>
      </w:r>
      <w:bookmarkEnd w:id="66"/>
    </w:p>
    <w:p w14:paraId="473FDDC7"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It is suggested that the </w:t>
      </w:r>
      <w:proofErr w:type="spellStart"/>
      <w:r w:rsidRPr="00F92FF5">
        <w:rPr>
          <w:rFonts w:ascii="Arial" w:eastAsia="Arial" w:hAnsi="Arial" w:cs="Arial"/>
          <w:kern w:val="0"/>
          <w:lang w:val="en-GB"/>
          <w14:ligatures w14:val="none"/>
        </w:rPr>
        <w:t>ePMA</w:t>
      </w:r>
      <w:proofErr w:type="spellEnd"/>
      <w:r w:rsidRPr="00F92FF5">
        <w:rPr>
          <w:rFonts w:ascii="Arial" w:eastAsia="Arial" w:hAnsi="Arial" w:cs="Arial"/>
          <w:kern w:val="0"/>
          <w:lang w:val="en-GB"/>
          <w14:ligatures w14:val="none"/>
        </w:rPr>
        <w:t xml:space="preserve"> systems of healthcare organisations are configured in such a way that alerts can be triggered automatically, informing healthcare professionals to consider reviewing or reassessing their clinical decisions on medication at regular intervals. Building </w:t>
      </w:r>
      <w:r w:rsidRPr="00F92FF5">
        <w:rPr>
          <w:rFonts w:ascii="Arial" w:eastAsia="Arial" w:hAnsi="Arial" w:cs="Arial"/>
          <w:kern w:val="0"/>
          <w:lang w:val="en-GB"/>
          <w14:ligatures w14:val="none"/>
        </w:rPr>
        <w:lastRenderedPageBreak/>
        <w:t xml:space="preserve">further on the discussion on medication, it is also suggested to implement electronic prescribing systems to eliminate human errors in prescribing medications and scheduling doses. Other than these, it is also recommended that healthcare facilities consider developing and deploying automated medication review dashboards. Such an effort can help physicians review in real-time the long-paused medications of patients, besides facilitating ward-level monitoring of medications to locate any omissions or delays for clinical teams as well. </w:t>
      </w:r>
    </w:p>
    <w:p w14:paraId="782BEADD" w14:textId="77777777" w:rsidR="00746A75" w:rsidRPr="00F92FF5" w:rsidRDefault="00746A75" w:rsidP="0037056D">
      <w:pPr>
        <w:pStyle w:val="Heading2"/>
        <w:rPr>
          <w:lang w:val="en-GB"/>
        </w:rPr>
      </w:pPr>
      <w:bookmarkStart w:id="67" w:name="_xmiyspffje7o" w:colFirst="0" w:colLast="0"/>
      <w:bookmarkStart w:id="68" w:name="_Toc237020220"/>
      <w:bookmarkEnd w:id="67"/>
      <w:r w:rsidRPr="00F92FF5">
        <w:rPr>
          <w:lang w:val="en-GB"/>
        </w:rPr>
        <w:t>3.3 Systems-based Leadership</w:t>
      </w:r>
      <w:bookmarkEnd w:id="68"/>
    </w:p>
    <w:p w14:paraId="47DE1CBE"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It is advised that healthcare facilities consider adopting systems leadership as a primary leadership approach, besides implementing distributed and transformational leadership approaches. While the systems leadership approach would strengthen multidisciplinary collaboration and integrated decision-making, shared responsibility and team resilience would be developed by the distributed leadership approach. The transformational leadership approach is proposed because it can help with developing a culture of patient safety, innovation, and continuous learning. Apart from these, it is equally important to focus on improving overall communication skills through simulations and multidisciplinary team training programs. Healthcare facilities also prioritise resolving staffing shortage issues to address cognitive overload and burnout, both of which can translate into medication errors as well.</w:t>
      </w:r>
    </w:p>
    <w:p w14:paraId="2F0173A0" w14:textId="77777777" w:rsidR="00746A75" w:rsidRPr="00F92FF5" w:rsidRDefault="00746A75" w:rsidP="0037056D">
      <w:pPr>
        <w:pStyle w:val="Heading2"/>
        <w:rPr>
          <w:lang w:val="en-GB"/>
        </w:rPr>
      </w:pPr>
      <w:bookmarkStart w:id="69" w:name="_u52qmcjq62t3" w:colFirst="0" w:colLast="0"/>
      <w:bookmarkStart w:id="70" w:name="_Toc237020221"/>
      <w:bookmarkEnd w:id="69"/>
      <w:r w:rsidRPr="00F92FF5">
        <w:rPr>
          <w:lang w:val="en-GB"/>
        </w:rPr>
        <w:t>3.4 Multidisciplinary Communication</w:t>
      </w:r>
      <w:bookmarkEnd w:id="70"/>
    </w:p>
    <w:p w14:paraId="65BD895B"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In order to improve multidisciplinary team communication, healthcare facilities need to develop standard operating procedures encouraging structured patient handover protocols for inter-departmental transfers of patients within the same facility. The reason for this proposal is to ensure that all critical patient information is shared with all relevant patient care departments. It is also suggested that multidisciplinary team meetings are conducted at regular intervals, particularly involving doctors, nurses, and pharmacists, in order to review high-risk patient conditions and determine medication plans. Promoting this shared accountability shifts the medication safety burden from individuals to teams. It is also advised that healthcare facilities </w:t>
      </w:r>
      <w:r w:rsidRPr="00F92FF5">
        <w:rPr>
          <w:rFonts w:ascii="Arial" w:eastAsia="Arial" w:hAnsi="Arial" w:cs="Arial"/>
          <w:kern w:val="0"/>
          <w:lang w:val="en-GB"/>
          <w14:ligatures w14:val="none"/>
        </w:rPr>
        <w:lastRenderedPageBreak/>
        <w:t xml:space="preserve">consider developing an integrated workflow, including clinical, pharmacy, and diagnostic teams for coordinated medication review.  </w:t>
      </w:r>
    </w:p>
    <w:p w14:paraId="334B45CC" w14:textId="77777777" w:rsidR="00746A75" w:rsidRPr="00F92FF5" w:rsidRDefault="00746A75" w:rsidP="0037056D">
      <w:pPr>
        <w:pStyle w:val="Heading2"/>
        <w:rPr>
          <w:lang w:val="en-GB"/>
        </w:rPr>
      </w:pPr>
      <w:bookmarkStart w:id="71" w:name="_6vjsq19tzbvi" w:colFirst="0" w:colLast="0"/>
      <w:bookmarkStart w:id="72" w:name="_Toc237020222"/>
      <w:bookmarkEnd w:id="71"/>
      <w:r w:rsidRPr="00F92FF5">
        <w:rPr>
          <w:lang w:val="en-GB"/>
        </w:rPr>
        <w:t>3.5 Continuous Quality Improvement</w:t>
      </w:r>
      <w:bookmarkEnd w:id="72"/>
    </w:p>
    <w:p w14:paraId="69C15F80"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For achieving continuous quality improvement, it is recommended that healthcare facilities consider implementing a continuous feedback loop connecting audits for identifying existing gaps, incident reporting systems for understanding the root cause of errors, and quality improvement measures for evaluating the corrective actions taken post-root cause analysis of errors. In this context, it is essential to propose that, to identify prescribing or administration errors, audits need to be conducted at regular intervals. Similarly, it is also proposed that healthcare institutions may consider encouraging quick reporting of medication errors through incident reporting mechanisms to uncover underlying systemic or human failures. For overall quality improvement, healthcare institutions need to first devise plans, implement them, study the outcomes, and act to realign them if necessary.</w:t>
      </w:r>
    </w:p>
    <w:p w14:paraId="3A799AC6" w14:textId="77777777" w:rsidR="00746A75" w:rsidRPr="00F92FF5" w:rsidRDefault="00746A75" w:rsidP="0037056D">
      <w:pPr>
        <w:pStyle w:val="Heading1"/>
        <w:rPr>
          <w:lang w:val="en-GB"/>
        </w:rPr>
      </w:pPr>
      <w:bookmarkStart w:id="73" w:name="_y69pwihyxv0l" w:colFirst="0" w:colLast="0"/>
      <w:bookmarkStart w:id="74" w:name="_Toc237020223"/>
      <w:bookmarkEnd w:id="73"/>
      <w:r w:rsidRPr="00F92FF5">
        <w:rPr>
          <w:lang w:val="en-GB"/>
        </w:rPr>
        <w:t>4. Conclusion</w:t>
      </w:r>
      <w:bookmarkEnd w:id="74"/>
    </w:p>
    <w:p w14:paraId="60B464A8"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bookmarkStart w:id="75" w:name="_q1bakiixih8n" w:colFirst="0" w:colLast="0"/>
      <w:bookmarkEnd w:id="75"/>
      <w:r w:rsidRPr="00F92FF5">
        <w:rPr>
          <w:rFonts w:ascii="Arial" w:eastAsia="Arial" w:hAnsi="Arial" w:cs="Arial"/>
          <w:kern w:val="0"/>
          <w:lang w:val="en-GB"/>
          <w14:ligatures w14:val="none"/>
        </w:rPr>
        <w:t xml:space="preserve">Throughout the findings of this report, systems, leadership, and medication safety issues are identified. The report highlighted that the lack of re-assessment scope for paused medications and the lack of a review prompt embedded in the </w:t>
      </w:r>
      <w:proofErr w:type="spellStart"/>
      <w:r w:rsidRPr="00F92FF5">
        <w:rPr>
          <w:rFonts w:ascii="Arial" w:eastAsia="Arial" w:hAnsi="Arial" w:cs="Arial"/>
          <w:kern w:val="0"/>
          <w:lang w:val="en-GB"/>
          <w14:ligatures w14:val="none"/>
        </w:rPr>
        <w:t>ePMA</w:t>
      </w:r>
      <w:proofErr w:type="spellEnd"/>
      <w:r w:rsidRPr="00F92FF5">
        <w:rPr>
          <w:rFonts w:ascii="Arial" w:eastAsia="Arial" w:hAnsi="Arial" w:cs="Arial"/>
          <w:kern w:val="0"/>
          <w:lang w:val="en-GB"/>
          <w14:ligatures w14:val="none"/>
        </w:rPr>
        <w:t xml:space="preserve"> system are some of the prominent systems issues. On the other hand, the misalignment of staff scheduling and the diffusion of patient accountability are the leadership issues that have been identified throughout this report. In addition to these, the continued pause of the apixaban medication even after the pleural aspiration procedure is over is projected as a medication error through the findings of this report.</w:t>
      </w:r>
    </w:p>
    <w:p w14:paraId="586C5FBD"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bookmarkStart w:id="76" w:name="_8xet78hecjk0" w:colFirst="0" w:colLast="0"/>
      <w:bookmarkEnd w:id="76"/>
      <w:r w:rsidRPr="00F92FF5">
        <w:rPr>
          <w:rFonts w:ascii="Arial" w:eastAsia="Arial" w:hAnsi="Arial" w:cs="Arial"/>
          <w:kern w:val="0"/>
          <w:lang w:val="en-GB"/>
          <w14:ligatures w14:val="none"/>
        </w:rPr>
        <w:t xml:space="preserve">The discussion up to this point helps to understand that systems thinking in such situations is essential in order to prevent medication errors, while improving patient safety as well. Systems thinking acknowledges that patient safety depends on the interconnectedness among clinical, technological, and organisational processes, which inherently eliminates process silos. In </w:t>
      </w:r>
      <w:r w:rsidRPr="00F92FF5">
        <w:rPr>
          <w:rFonts w:ascii="Arial" w:eastAsia="Arial" w:hAnsi="Arial" w:cs="Arial"/>
          <w:kern w:val="0"/>
          <w:lang w:val="en-GB"/>
          <w14:ligatures w14:val="none"/>
        </w:rPr>
        <w:lastRenderedPageBreak/>
        <w:t>essence, systems thinking encourages breaking down issues into core components, which helps in revealing the root causes of an issue, such as medication errors.</w:t>
      </w:r>
    </w:p>
    <w:p w14:paraId="570CB87E" w14:textId="3084EF10"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Apart from the reasons stated above, implementing systems thinking in such healthcare settings is equally important because it emphasises risk-benefit assessment and documentation, plugging the knowledge-sharing gap. Systems thinking also promotes using technological means that can work effectively without explicit human interventions, especially when it comes to raising alarms in real-time regarding medication errors. From the organisational perspective, systems thinking acknowledges the need for addressing staff shortages and work overload, besides prioritising employee training to build a resilient workforce. Moreover, systems thinking also promotes incident reporting so that lessons can be learned from them to prevent future recurrence of the same mistakes.</w:t>
      </w:r>
      <w:bookmarkStart w:id="77" w:name="_oh5sbd2w98hr" w:colFirst="0" w:colLast="0"/>
      <w:bookmarkEnd w:id="77"/>
      <w:r w:rsidRPr="00F92FF5">
        <w:rPr>
          <w:rFonts w:ascii="Arial" w:eastAsia="Arial" w:hAnsi="Arial" w:cs="Arial"/>
          <w:kern w:val="0"/>
          <w:lang w:val="en-GB"/>
          <w14:ligatures w14:val="none"/>
        </w:rPr>
        <w:br w:type="page"/>
      </w:r>
    </w:p>
    <w:p w14:paraId="1E0E9018" w14:textId="291311D0" w:rsidR="00746A75" w:rsidRPr="00F92FF5" w:rsidRDefault="00746A75" w:rsidP="00C025C1">
      <w:pPr>
        <w:pStyle w:val="Heading1"/>
        <w:rPr>
          <w:lang w:val="en-GB"/>
        </w:rPr>
      </w:pPr>
      <w:bookmarkStart w:id="78" w:name="_Toc237020224"/>
      <w:r w:rsidRPr="00F92FF5">
        <w:rPr>
          <w:lang w:val="en-GB"/>
        </w:rPr>
        <w:lastRenderedPageBreak/>
        <w:t>Reference</w:t>
      </w:r>
      <w:r w:rsidR="0037056D" w:rsidRPr="00F92FF5">
        <w:rPr>
          <w:lang w:val="en-GB"/>
        </w:rPr>
        <w:t>s</w:t>
      </w:r>
      <w:bookmarkEnd w:id="78"/>
    </w:p>
    <w:p w14:paraId="2FBAA5C9"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Abdelaziz, S., Garfield, S., Neves, A. L., Lloyd, J., Norton, J., van Dael, J., Wheeler. C. McLeod. M.  and Franklin, B. D. (2024). What are the unintended patient safety consequences of healthcare technologies? A qualitative study among patients, carers and healthcare providers. </w:t>
      </w:r>
      <w:r w:rsidRPr="00F92FF5">
        <w:rPr>
          <w:rFonts w:ascii="Arial" w:eastAsia="Arial" w:hAnsi="Arial" w:cs="Arial"/>
          <w:i/>
          <w:iCs/>
          <w:kern w:val="0"/>
          <w:lang w:val="en-GB"/>
          <w14:ligatures w14:val="none"/>
        </w:rPr>
        <w:t>BMJ open</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14</w:t>
      </w:r>
      <w:r w:rsidRPr="00F92FF5">
        <w:rPr>
          <w:rFonts w:ascii="Arial" w:eastAsia="Arial" w:hAnsi="Arial" w:cs="Arial"/>
          <w:kern w:val="0"/>
          <w:lang w:val="en-GB"/>
          <w14:ligatures w14:val="none"/>
        </w:rPr>
        <w:t>(11), e089026. </w:t>
      </w:r>
    </w:p>
    <w:p w14:paraId="2676EB49"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proofErr w:type="spellStart"/>
      <w:r w:rsidRPr="00F92FF5">
        <w:rPr>
          <w:rFonts w:ascii="Arial" w:eastAsia="Arial" w:hAnsi="Arial" w:cs="Arial"/>
          <w:kern w:val="0"/>
          <w:lang w:val="en-GB"/>
          <w14:ligatures w14:val="none"/>
        </w:rPr>
        <w:t>Adeogun</w:t>
      </w:r>
      <w:proofErr w:type="spellEnd"/>
      <w:r w:rsidRPr="00F92FF5">
        <w:rPr>
          <w:rFonts w:ascii="Arial" w:eastAsia="Arial" w:hAnsi="Arial" w:cs="Arial"/>
          <w:kern w:val="0"/>
          <w:lang w:val="en-GB"/>
          <w14:ligatures w14:val="none"/>
        </w:rPr>
        <w:t xml:space="preserve">, A., and </w:t>
      </w:r>
      <w:proofErr w:type="spellStart"/>
      <w:r w:rsidRPr="00F92FF5">
        <w:rPr>
          <w:rFonts w:ascii="Arial" w:eastAsia="Arial" w:hAnsi="Arial" w:cs="Arial"/>
          <w:kern w:val="0"/>
          <w:lang w:val="en-GB"/>
          <w14:ligatures w14:val="none"/>
        </w:rPr>
        <w:t>Faezipour</w:t>
      </w:r>
      <w:proofErr w:type="spellEnd"/>
      <w:r w:rsidRPr="00F92FF5">
        <w:rPr>
          <w:rFonts w:ascii="Arial" w:eastAsia="Arial" w:hAnsi="Arial" w:cs="Arial"/>
          <w:kern w:val="0"/>
          <w:lang w:val="en-GB"/>
          <w14:ligatures w14:val="none"/>
        </w:rPr>
        <w:t xml:space="preserve">, M. (2025, January). Patient-centric paradigm: a systems thinking approach to enhance healthcare. In </w:t>
      </w:r>
      <w:r w:rsidRPr="00F92FF5">
        <w:rPr>
          <w:rFonts w:ascii="Arial" w:eastAsia="Arial" w:hAnsi="Arial" w:cs="Arial"/>
          <w:i/>
          <w:iCs/>
          <w:kern w:val="0"/>
          <w:lang w:val="en-GB"/>
          <w14:ligatures w14:val="none"/>
        </w:rPr>
        <w:t>Healthcare</w:t>
      </w:r>
      <w:r w:rsidRPr="00F92FF5">
        <w:rPr>
          <w:rFonts w:ascii="Arial" w:eastAsia="Arial" w:hAnsi="Arial" w:cs="Arial"/>
          <w:kern w:val="0"/>
          <w:lang w:val="en-GB"/>
          <w14:ligatures w14:val="none"/>
        </w:rPr>
        <w:t xml:space="preserve"> (Vol. 13, No. 3, p. 213). MDPI. </w:t>
      </w:r>
    </w:p>
    <w:p w14:paraId="3B2D0C23"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Ali, M. P., Visser, E. H., West, R. L., van Noord, D., van der Woude, C. J., and van Deen, W. K. (2025). Reporting feedback on healthcare outcomes to improve quality in care: a scoping review. </w:t>
      </w:r>
      <w:r w:rsidRPr="00F92FF5">
        <w:rPr>
          <w:rFonts w:ascii="Arial" w:eastAsia="Arial" w:hAnsi="Arial" w:cs="Arial"/>
          <w:i/>
          <w:iCs/>
          <w:kern w:val="0"/>
          <w:lang w:val="en-GB"/>
          <w14:ligatures w14:val="none"/>
        </w:rPr>
        <w:t>Implementation Science</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20</w:t>
      </w:r>
      <w:r w:rsidRPr="00F92FF5">
        <w:rPr>
          <w:rFonts w:ascii="Arial" w:eastAsia="Arial" w:hAnsi="Arial" w:cs="Arial"/>
          <w:kern w:val="0"/>
          <w:lang w:val="en-GB"/>
          <w14:ligatures w14:val="none"/>
        </w:rPr>
        <w:t>(1), 14.</w:t>
      </w:r>
    </w:p>
    <w:p w14:paraId="4A377288"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proofErr w:type="spellStart"/>
      <w:r w:rsidRPr="00F92FF5">
        <w:rPr>
          <w:rFonts w:ascii="Arial" w:eastAsia="Arial" w:hAnsi="Arial" w:cs="Arial"/>
          <w:kern w:val="0"/>
          <w:lang w:val="en-GB"/>
          <w14:ligatures w14:val="none"/>
        </w:rPr>
        <w:t>Althobaiti</w:t>
      </w:r>
      <w:proofErr w:type="spellEnd"/>
      <w:r w:rsidRPr="00F92FF5">
        <w:rPr>
          <w:rFonts w:ascii="Arial" w:eastAsia="Arial" w:hAnsi="Arial" w:cs="Arial"/>
          <w:kern w:val="0"/>
          <w:lang w:val="en-GB"/>
          <w14:ligatures w14:val="none"/>
        </w:rPr>
        <w:t xml:space="preserve">, F. M. (2026). The effects of leadership on patient safety culture in health care: a systematic review. </w:t>
      </w:r>
      <w:r w:rsidRPr="00F92FF5">
        <w:rPr>
          <w:rFonts w:ascii="Arial" w:eastAsia="Arial" w:hAnsi="Arial" w:cs="Arial"/>
          <w:i/>
          <w:iCs/>
          <w:kern w:val="0"/>
          <w:lang w:val="en-GB"/>
          <w14:ligatures w14:val="none"/>
        </w:rPr>
        <w:t>BMC nursing</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25</w:t>
      </w:r>
      <w:r w:rsidRPr="00F92FF5">
        <w:rPr>
          <w:rFonts w:ascii="Arial" w:eastAsia="Arial" w:hAnsi="Arial" w:cs="Arial"/>
          <w:kern w:val="0"/>
          <w:lang w:val="en-GB"/>
          <w14:ligatures w14:val="none"/>
        </w:rPr>
        <w:t>(1), 125. </w:t>
      </w:r>
    </w:p>
    <w:p w14:paraId="4C31A0C0"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Bhati, D., Deogade, M. S., and </w:t>
      </w:r>
      <w:proofErr w:type="spellStart"/>
      <w:r w:rsidRPr="00F92FF5">
        <w:rPr>
          <w:rFonts w:ascii="Arial" w:eastAsia="Arial" w:hAnsi="Arial" w:cs="Arial"/>
          <w:kern w:val="0"/>
          <w:lang w:val="en-GB"/>
          <w14:ligatures w14:val="none"/>
        </w:rPr>
        <w:t>Kanyal</w:t>
      </w:r>
      <w:proofErr w:type="spellEnd"/>
      <w:r w:rsidRPr="00F92FF5">
        <w:rPr>
          <w:rFonts w:ascii="Arial" w:eastAsia="Arial" w:hAnsi="Arial" w:cs="Arial"/>
          <w:kern w:val="0"/>
          <w:lang w:val="en-GB"/>
          <w14:ligatures w14:val="none"/>
        </w:rPr>
        <w:t xml:space="preserve">, D. (2023). Improving patient outcomes through effective hospital administration: a comprehensive review. </w:t>
      </w:r>
      <w:r w:rsidRPr="00F92FF5">
        <w:rPr>
          <w:rFonts w:ascii="Arial" w:eastAsia="Arial" w:hAnsi="Arial" w:cs="Arial"/>
          <w:i/>
          <w:iCs/>
          <w:kern w:val="0"/>
          <w:lang w:val="en-GB"/>
          <w14:ligatures w14:val="none"/>
        </w:rPr>
        <w:t>Cureus</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15</w:t>
      </w:r>
      <w:r w:rsidRPr="00F92FF5">
        <w:rPr>
          <w:rFonts w:ascii="Arial" w:eastAsia="Arial" w:hAnsi="Arial" w:cs="Arial"/>
          <w:kern w:val="0"/>
          <w:lang w:val="en-GB"/>
          <w14:ligatures w14:val="none"/>
        </w:rPr>
        <w:t>(10). </w:t>
      </w:r>
    </w:p>
    <w:p w14:paraId="26F0BB52"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Castelyn, C. (2024). Leadership in healthcare during a pandemic: for a systems leadership approach. </w:t>
      </w:r>
      <w:r w:rsidRPr="00F92FF5">
        <w:rPr>
          <w:rFonts w:ascii="Arial" w:eastAsia="Arial" w:hAnsi="Arial" w:cs="Arial"/>
          <w:i/>
          <w:iCs/>
          <w:kern w:val="0"/>
          <w:lang w:val="en-GB"/>
          <w14:ligatures w14:val="none"/>
        </w:rPr>
        <w:t>Frontiers in Public Health</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12</w:t>
      </w:r>
      <w:r w:rsidRPr="00F92FF5">
        <w:rPr>
          <w:rFonts w:ascii="Arial" w:eastAsia="Arial" w:hAnsi="Arial" w:cs="Arial"/>
          <w:kern w:val="0"/>
          <w:lang w:val="en-GB"/>
          <w14:ligatures w14:val="none"/>
        </w:rPr>
        <w:t>, 1361046. </w:t>
      </w:r>
    </w:p>
    <w:p w14:paraId="7C4EFCE5"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Elliott, R. A., Camacho, E., Jankovic, D., </w:t>
      </w:r>
      <w:proofErr w:type="spellStart"/>
      <w:r w:rsidRPr="00F92FF5">
        <w:rPr>
          <w:rFonts w:ascii="Arial" w:eastAsia="Arial" w:hAnsi="Arial" w:cs="Arial"/>
          <w:kern w:val="0"/>
          <w:lang w:val="en-GB"/>
          <w14:ligatures w14:val="none"/>
        </w:rPr>
        <w:t>Sculpher</w:t>
      </w:r>
      <w:proofErr w:type="spellEnd"/>
      <w:r w:rsidRPr="00F92FF5">
        <w:rPr>
          <w:rFonts w:ascii="Arial" w:eastAsia="Arial" w:hAnsi="Arial" w:cs="Arial"/>
          <w:kern w:val="0"/>
          <w:lang w:val="en-GB"/>
          <w14:ligatures w14:val="none"/>
        </w:rPr>
        <w:t xml:space="preserve">, M. J., and Faria, R. (2021). Economic analysis of the prevalence and clinical and economic burden of medication error in England. </w:t>
      </w:r>
      <w:r w:rsidRPr="00F92FF5">
        <w:rPr>
          <w:rFonts w:ascii="Arial" w:eastAsia="Arial" w:hAnsi="Arial" w:cs="Arial"/>
          <w:i/>
          <w:iCs/>
          <w:kern w:val="0"/>
          <w:lang w:val="en-GB"/>
          <w14:ligatures w14:val="none"/>
        </w:rPr>
        <w:t>BMJ Quality &amp; Safety</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30</w:t>
      </w:r>
      <w:r w:rsidRPr="00F92FF5">
        <w:rPr>
          <w:rFonts w:ascii="Arial" w:eastAsia="Arial" w:hAnsi="Arial" w:cs="Arial"/>
          <w:kern w:val="0"/>
          <w:lang w:val="en-GB"/>
          <w14:ligatures w14:val="none"/>
        </w:rPr>
        <w:t>(2), 96-105. </w:t>
      </w:r>
    </w:p>
    <w:p w14:paraId="7D48E1A9"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proofErr w:type="spellStart"/>
      <w:r w:rsidRPr="00F92FF5">
        <w:rPr>
          <w:rFonts w:ascii="Arial" w:eastAsia="Arial" w:hAnsi="Arial" w:cs="Arial"/>
          <w:kern w:val="0"/>
          <w:lang w:val="en-GB"/>
          <w14:ligatures w14:val="none"/>
        </w:rPr>
        <w:t>Guntschnig</w:t>
      </w:r>
      <w:proofErr w:type="spellEnd"/>
      <w:r w:rsidRPr="00F92FF5">
        <w:rPr>
          <w:rFonts w:ascii="Arial" w:eastAsia="Arial" w:hAnsi="Arial" w:cs="Arial"/>
          <w:kern w:val="0"/>
          <w:lang w:val="en-GB"/>
          <w14:ligatures w14:val="none"/>
        </w:rPr>
        <w:t xml:space="preserve">, S., Barbosa, R., Jenzer, H., Greening, M., Hayde, J., Heery, H., Serrano. M. C. I. </w:t>
      </w:r>
      <w:proofErr w:type="spellStart"/>
      <w:r w:rsidRPr="00F92FF5">
        <w:rPr>
          <w:rFonts w:ascii="Arial" w:eastAsia="Arial" w:hAnsi="Arial" w:cs="Arial"/>
          <w:kern w:val="0"/>
          <w:lang w:val="en-GB"/>
          <w14:ligatures w14:val="none"/>
        </w:rPr>
        <w:t>Lajtmanová</w:t>
      </w:r>
      <w:proofErr w:type="spellEnd"/>
      <w:r w:rsidRPr="00F92FF5">
        <w:rPr>
          <w:rFonts w:ascii="Arial" w:eastAsia="Arial" w:hAnsi="Arial" w:cs="Arial"/>
          <w:kern w:val="0"/>
          <w:lang w:val="en-GB"/>
          <w14:ligatures w14:val="none"/>
        </w:rPr>
        <w:t xml:space="preserve">. K. Rossin. E. </w:t>
      </w:r>
      <w:proofErr w:type="spellStart"/>
      <w:r w:rsidRPr="00F92FF5">
        <w:rPr>
          <w:rFonts w:ascii="Arial" w:eastAsia="Arial" w:hAnsi="Arial" w:cs="Arial"/>
          <w:kern w:val="0"/>
          <w:lang w:val="en-GB"/>
          <w14:ligatures w14:val="none"/>
        </w:rPr>
        <w:t>Tentova</w:t>
      </w:r>
      <w:proofErr w:type="spellEnd"/>
      <w:r w:rsidRPr="00F92FF5">
        <w:rPr>
          <w:rFonts w:ascii="Arial" w:eastAsia="Arial" w:hAnsi="Arial" w:cs="Arial"/>
          <w:kern w:val="0"/>
          <w:lang w:val="en-GB"/>
          <w14:ligatures w14:val="none"/>
        </w:rPr>
        <w:t xml:space="preserve">- </w:t>
      </w:r>
      <w:proofErr w:type="spellStart"/>
      <w:r w:rsidRPr="00F92FF5">
        <w:rPr>
          <w:rFonts w:ascii="Arial" w:eastAsia="Arial" w:hAnsi="Arial" w:cs="Arial"/>
          <w:kern w:val="0"/>
          <w:lang w:val="en-GB"/>
          <w14:ligatures w14:val="none"/>
        </w:rPr>
        <w:t>Peceva</w:t>
      </w:r>
      <w:proofErr w:type="spellEnd"/>
      <w:r w:rsidRPr="00F92FF5">
        <w:rPr>
          <w:rFonts w:ascii="Arial" w:eastAsia="Arial" w:hAnsi="Arial" w:cs="Arial"/>
          <w:kern w:val="0"/>
          <w:lang w:val="en-GB"/>
          <w14:ligatures w14:val="none"/>
        </w:rPr>
        <w:t xml:space="preserve">. S. Kohl. </w:t>
      </w:r>
      <w:proofErr w:type="spellStart"/>
      <w:r w:rsidRPr="00F92FF5">
        <w:rPr>
          <w:rFonts w:ascii="Arial" w:eastAsia="Arial" w:hAnsi="Arial" w:cs="Arial"/>
          <w:kern w:val="0"/>
          <w:lang w:val="en-GB"/>
          <w14:ligatures w14:val="none"/>
        </w:rPr>
        <w:t>S.and</w:t>
      </w:r>
      <w:proofErr w:type="spellEnd"/>
      <w:r w:rsidRPr="00F92FF5">
        <w:rPr>
          <w:rFonts w:ascii="Arial" w:eastAsia="Arial" w:hAnsi="Arial" w:cs="Arial"/>
          <w:kern w:val="0"/>
          <w:lang w:val="en-GB"/>
          <w14:ligatures w14:val="none"/>
        </w:rPr>
        <w:t xml:space="preserve"> Mulac, A. (2025). Tackling medication errors: how a systems approach improves patient safety. </w:t>
      </w:r>
      <w:r w:rsidRPr="00F92FF5">
        <w:rPr>
          <w:rFonts w:ascii="Arial" w:eastAsia="Arial" w:hAnsi="Arial" w:cs="Arial"/>
          <w:i/>
          <w:iCs/>
          <w:kern w:val="0"/>
          <w:lang w:val="en-GB"/>
          <w14:ligatures w14:val="none"/>
        </w:rPr>
        <w:t>European Journal of Hospital Pharmacy</w:t>
      </w:r>
      <w:r w:rsidRPr="00F92FF5">
        <w:rPr>
          <w:rFonts w:ascii="Arial" w:eastAsia="Arial" w:hAnsi="Arial" w:cs="Arial"/>
          <w:kern w:val="0"/>
          <w:lang w:val="en-GB"/>
          <w14:ligatures w14:val="none"/>
        </w:rPr>
        <w:t>. </w:t>
      </w:r>
    </w:p>
    <w:p w14:paraId="700615FD"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lastRenderedPageBreak/>
        <w:t xml:space="preserve">Hamdi, A. L., Yahya, S., </w:t>
      </w:r>
      <w:proofErr w:type="spellStart"/>
      <w:r w:rsidRPr="00F92FF5">
        <w:rPr>
          <w:rFonts w:ascii="Arial" w:eastAsia="Arial" w:hAnsi="Arial" w:cs="Arial"/>
          <w:kern w:val="0"/>
          <w:lang w:val="en-GB"/>
          <w14:ligatures w14:val="none"/>
        </w:rPr>
        <w:t>Hazazi</w:t>
      </w:r>
      <w:proofErr w:type="spellEnd"/>
      <w:r w:rsidRPr="00F92FF5">
        <w:rPr>
          <w:rFonts w:ascii="Arial" w:eastAsia="Arial" w:hAnsi="Arial" w:cs="Arial"/>
          <w:kern w:val="0"/>
          <w:lang w:val="en-GB"/>
          <w14:ligatures w14:val="none"/>
        </w:rPr>
        <w:t xml:space="preserve">, M. Y., </w:t>
      </w:r>
      <w:proofErr w:type="spellStart"/>
      <w:r w:rsidRPr="00F92FF5">
        <w:rPr>
          <w:rFonts w:ascii="Arial" w:eastAsia="Arial" w:hAnsi="Arial" w:cs="Arial"/>
          <w:kern w:val="0"/>
          <w:lang w:val="en-GB"/>
          <w14:ligatures w14:val="none"/>
        </w:rPr>
        <w:t>Anazi</w:t>
      </w:r>
      <w:proofErr w:type="spellEnd"/>
      <w:r w:rsidRPr="00F92FF5">
        <w:rPr>
          <w:rFonts w:ascii="Arial" w:eastAsia="Arial" w:hAnsi="Arial" w:cs="Arial"/>
          <w:kern w:val="0"/>
          <w:lang w:val="en-GB"/>
          <w14:ligatures w14:val="none"/>
        </w:rPr>
        <w:t xml:space="preserve">, A. L., </w:t>
      </w:r>
      <w:proofErr w:type="spellStart"/>
      <w:r w:rsidRPr="00F92FF5">
        <w:rPr>
          <w:rFonts w:ascii="Arial" w:eastAsia="Arial" w:hAnsi="Arial" w:cs="Arial"/>
          <w:kern w:val="0"/>
          <w:lang w:val="en-GB"/>
          <w14:ligatures w14:val="none"/>
        </w:rPr>
        <w:t>Ayedh</w:t>
      </w:r>
      <w:proofErr w:type="spellEnd"/>
      <w:r w:rsidRPr="00F92FF5">
        <w:rPr>
          <w:rFonts w:ascii="Arial" w:eastAsia="Arial" w:hAnsi="Arial" w:cs="Arial"/>
          <w:kern w:val="0"/>
          <w:lang w:val="en-GB"/>
          <w14:ligatures w14:val="none"/>
        </w:rPr>
        <w:t xml:space="preserve">, A., Mutairi, A. L., </w:t>
      </w:r>
      <w:proofErr w:type="spellStart"/>
      <w:r w:rsidRPr="00F92FF5">
        <w:rPr>
          <w:rFonts w:ascii="Arial" w:eastAsia="Arial" w:hAnsi="Arial" w:cs="Arial"/>
          <w:kern w:val="0"/>
          <w:lang w:val="en-GB"/>
          <w14:ligatures w14:val="none"/>
        </w:rPr>
        <w:t>Kariri</w:t>
      </w:r>
      <w:proofErr w:type="spellEnd"/>
      <w:r w:rsidRPr="00F92FF5">
        <w:rPr>
          <w:rFonts w:ascii="Arial" w:eastAsia="Arial" w:hAnsi="Arial" w:cs="Arial"/>
          <w:kern w:val="0"/>
          <w:lang w:val="en-GB"/>
          <w14:ligatures w14:val="none"/>
        </w:rPr>
        <w:t xml:space="preserve">. M. Y. and Salem, S. (2025). The role of multidisciplinary health teams in enhancing patient care in emergency departments: a comprehensive review. </w:t>
      </w:r>
      <w:r w:rsidRPr="00F92FF5">
        <w:rPr>
          <w:rFonts w:ascii="Arial" w:eastAsia="Arial" w:hAnsi="Arial" w:cs="Arial"/>
          <w:i/>
          <w:iCs/>
          <w:kern w:val="0"/>
          <w:lang w:val="en-GB"/>
          <w14:ligatures w14:val="none"/>
        </w:rPr>
        <w:t>The Review of Diabetic Studies</w:t>
      </w:r>
      <w:r w:rsidRPr="00F92FF5">
        <w:rPr>
          <w:rFonts w:ascii="Arial" w:eastAsia="Arial" w:hAnsi="Arial" w:cs="Arial"/>
          <w:kern w:val="0"/>
          <w:lang w:val="en-GB"/>
          <w14:ligatures w14:val="none"/>
        </w:rPr>
        <w:t>, 669-683. </w:t>
      </w:r>
    </w:p>
    <w:p w14:paraId="34868605"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HSSIB. (2025). </w:t>
      </w:r>
      <w:r w:rsidRPr="00F92FF5">
        <w:rPr>
          <w:rFonts w:ascii="Arial" w:eastAsia="Arial" w:hAnsi="Arial" w:cs="Arial"/>
          <w:i/>
          <w:iCs/>
          <w:kern w:val="0"/>
          <w:lang w:val="en-GB"/>
          <w14:ligatures w14:val="none"/>
        </w:rPr>
        <w:t>Medication not given: anticoagulation before and after a procedure</w:t>
      </w:r>
      <w:r w:rsidRPr="00F92FF5">
        <w:rPr>
          <w:rFonts w:ascii="Arial" w:eastAsia="Arial" w:hAnsi="Arial" w:cs="Arial"/>
          <w:kern w:val="0"/>
          <w:lang w:val="en-GB"/>
          <w14:ligatures w14:val="none"/>
        </w:rPr>
        <w:t xml:space="preserve">. Available: </w:t>
      </w:r>
      <w:hyperlink r:id="rId9" w:history="1">
        <w:r w:rsidRPr="00F92FF5">
          <w:rPr>
            <w:rFonts w:ascii="Arial" w:eastAsia="Arial" w:hAnsi="Arial" w:cs="Arial"/>
            <w:color w:val="0000FF"/>
            <w:kern w:val="0"/>
            <w:u w:val="single"/>
            <w:lang w:val="en-GB"/>
            <w14:ligatures w14:val="none"/>
          </w:rPr>
          <w:t>https://www.hssib.org.uk/patient-safety-investigations/medication-related-harm/second-investigation-report/pdf/?utm_source=chatgpt.com</w:t>
        </w:r>
      </w:hyperlink>
      <w:r w:rsidRPr="00F92FF5">
        <w:rPr>
          <w:rFonts w:ascii="Arial" w:eastAsia="Arial" w:hAnsi="Arial" w:cs="Arial"/>
          <w:kern w:val="0"/>
          <w:lang w:val="en-GB"/>
          <w14:ligatures w14:val="none"/>
        </w:rPr>
        <w:t xml:space="preserve"> [Accessed: 6.8.2026]</w:t>
      </w:r>
    </w:p>
    <w:p w14:paraId="27D03214"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Jaam, M., </w:t>
      </w:r>
      <w:proofErr w:type="spellStart"/>
      <w:r w:rsidRPr="00F92FF5">
        <w:rPr>
          <w:rFonts w:ascii="Arial" w:eastAsia="Arial" w:hAnsi="Arial" w:cs="Arial"/>
          <w:kern w:val="0"/>
          <w:lang w:val="en-GB"/>
          <w14:ligatures w14:val="none"/>
        </w:rPr>
        <w:t>Naseralallah</w:t>
      </w:r>
      <w:proofErr w:type="spellEnd"/>
      <w:r w:rsidRPr="00F92FF5">
        <w:rPr>
          <w:rFonts w:ascii="Arial" w:eastAsia="Arial" w:hAnsi="Arial" w:cs="Arial"/>
          <w:kern w:val="0"/>
          <w:lang w:val="en-GB"/>
          <w14:ligatures w14:val="none"/>
        </w:rPr>
        <w:t xml:space="preserve">, L. M., Hussain, T. A., and Pawluk, S. A. (2021). Pharmacist-led educational interventions provided to healthcare providers to reduce medication errors: A systematic review and meta-analysis. </w:t>
      </w:r>
      <w:proofErr w:type="spellStart"/>
      <w:r w:rsidRPr="00F92FF5">
        <w:rPr>
          <w:rFonts w:ascii="Arial" w:eastAsia="Arial" w:hAnsi="Arial" w:cs="Arial"/>
          <w:i/>
          <w:iCs/>
          <w:kern w:val="0"/>
          <w:lang w:val="en-GB"/>
          <w14:ligatures w14:val="none"/>
        </w:rPr>
        <w:t>PloS</w:t>
      </w:r>
      <w:proofErr w:type="spellEnd"/>
      <w:r w:rsidRPr="00F92FF5">
        <w:rPr>
          <w:rFonts w:ascii="Arial" w:eastAsia="Arial" w:hAnsi="Arial" w:cs="Arial"/>
          <w:i/>
          <w:iCs/>
          <w:kern w:val="0"/>
          <w:lang w:val="en-GB"/>
          <w14:ligatures w14:val="none"/>
        </w:rPr>
        <w:t xml:space="preserve"> one</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16</w:t>
      </w:r>
      <w:r w:rsidRPr="00F92FF5">
        <w:rPr>
          <w:rFonts w:ascii="Arial" w:eastAsia="Arial" w:hAnsi="Arial" w:cs="Arial"/>
          <w:kern w:val="0"/>
          <w:lang w:val="en-GB"/>
          <w14:ligatures w14:val="none"/>
        </w:rPr>
        <w:t>(6), e0253588. </w:t>
      </w:r>
    </w:p>
    <w:p w14:paraId="791DEEF2"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proofErr w:type="spellStart"/>
      <w:r w:rsidRPr="00F92FF5">
        <w:rPr>
          <w:rFonts w:ascii="Arial" w:eastAsia="Arial" w:hAnsi="Arial" w:cs="Arial"/>
          <w:kern w:val="0"/>
          <w:lang w:val="en-GB"/>
          <w14:ligatures w14:val="none"/>
        </w:rPr>
        <w:t>Kodate</w:t>
      </w:r>
      <w:proofErr w:type="spellEnd"/>
      <w:r w:rsidRPr="00F92FF5">
        <w:rPr>
          <w:rFonts w:ascii="Arial" w:eastAsia="Arial" w:hAnsi="Arial" w:cs="Arial"/>
          <w:kern w:val="0"/>
          <w:lang w:val="en-GB"/>
          <w14:ligatures w14:val="none"/>
        </w:rPr>
        <w:t xml:space="preserve">, N., Taneda, K. I., Yumoto, A., and Kawakami, N. (2022). How do healthcare practitioners use incident data to improve patient safety in Japan? A qualitative study. </w:t>
      </w:r>
      <w:r w:rsidRPr="00F92FF5">
        <w:rPr>
          <w:rFonts w:ascii="Arial" w:eastAsia="Arial" w:hAnsi="Arial" w:cs="Arial"/>
          <w:i/>
          <w:iCs/>
          <w:kern w:val="0"/>
          <w:lang w:val="en-GB"/>
          <w14:ligatures w14:val="none"/>
        </w:rPr>
        <w:t>BMC Health Services Research</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22</w:t>
      </w:r>
      <w:r w:rsidRPr="00F92FF5">
        <w:rPr>
          <w:rFonts w:ascii="Arial" w:eastAsia="Arial" w:hAnsi="Arial" w:cs="Arial"/>
          <w:kern w:val="0"/>
          <w:lang w:val="en-GB"/>
          <w14:ligatures w14:val="none"/>
        </w:rPr>
        <w:t>(1), 241. </w:t>
      </w:r>
    </w:p>
    <w:p w14:paraId="0C64B746"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proofErr w:type="spellStart"/>
      <w:r w:rsidRPr="00F92FF5">
        <w:rPr>
          <w:rFonts w:ascii="Arial" w:eastAsia="Arial" w:hAnsi="Arial" w:cs="Arial"/>
          <w:kern w:val="0"/>
          <w:lang w:val="en-GB"/>
          <w14:ligatures w14:val="none"/>
        </w:rPr>
        <w:t>Krenyacz</w:t>
      </w:r>
      <w:proofErr w:type="spellEnd"/>
      <w:r w:rsidRPr="00F92FF5">
        <w:rPr>
          <w:rFonts w:ascii="Arial" w:eastAsia="Arial" w:hAnsi="Arial" w:cs="Arial"/>
          <w:kern w:val="0"/>
          <w:lang w:val="en-GB"/>
          <w14:ligatures w14:val="none"/>
        </w:rPr>
        <w:t xml:space="preserve">, E., and Revesz, E. E. (2025). Consequences of centralized healthcare systems: changing role and autonomy of hospital managers–insights from a Hungarian case. </w:t>
      </w:r>
      <w:r w:rsidRPr="00F92FF5">
        <w:rPr>
          <w:rFonts w:ascii="Arial" w:eastAsia="Arial" w:hAnsi="Arial" w:cs="Arial"/>
          <w:i/>
          <w:iCs/>
          <w:kern w:val="0"/>
          <w:lang w:val="en-GB"/>
          <w14:ligatures w14:val="none"/>
        </w:rPr>
        <w:t>Journal of Health Organization and Management</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39</w:t>
      </w:r>
      <w:r w:rsidRPr="00F92FF5">
        <w:rPr>
          <w:rFonts w:ascii="Arial" w:eastAsia="Arial" w:hAnsi="Arial" w:cs="Arial"/>
          <w:kern w:val="0"/>
          <w:lang w:val="en-GB"/>
          <w14:ligatures w14:val="none"/>
        </w:rPr>
        <w:t>(9), 177-191. </w:t>
      </w:r>
    </w:p>
    <w:p w14:paraId="0ED7A790"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Leach, L., Hastings, B., Schwarz, G., Watson, B., </w:t>
      </w:r>
      <w:proofErr w:type="spellStart"/>
      <w:r w:rsidRPr="00F92FF5">
        <w:rPr>
          <w:rFonts w:ascii="Arial" w:eastAsia="Arial" w:hAnsi="Arial" w:cs="Arial"/>
          <w:kern w:val="0"/>
          <w:lang w:val="en-GB"/>
          <w14:ligatures w14:val="none"/>
        </w:rPr>
        <w:t>Bouckenooghe</w:t>
      </w:r>
      <w:proofErr w:type="spellEnd"/>
      <w:r w:rsidRPr="00F92FF5">
        <w:rPr>
          <w:rFonts w:ascii="Arial" w:eastAsia="Arial" w:hAnsi="Arial" w:cs="Arial"/>
          <w:kern w:val="0"/>
          <w:lang w:val="en-GB"/>
          <w14:ligatures w14:val="none"/>
        </w:rPr>
        <w:t xml:space="preserve">, D., Seoane, L., and Hewett, D. (2021). Distributed leadership in healthcare: leadership dyads and the promise of improved hospital outcomes. </w:t>
      </w:r>
      <w:r w:rsidRPr="00F92FF5">
        <w:rPr>
          <w:rFonts w:ascii="Arial" w:eastAsia="Arial" w:hAnsi="Arial" w:cs="Arial"/>
          <w:i/>
          <w:iCs/>
          <w:kern w:val="0"/>
          <w:lang w:val="en-GB"/>
          <w14:ligatures w14:val="none"/>
        </w:rPr>
        <w:t>Leadership in Health Services</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34</w:t>
      </w:r>
      <w:r w:rsidRPr="00F92FF5">
        <w:rPr>
          <w:rFonts w:ascii="Arial" w:eastAsia="Arial" w:hAnsi="Arial" w:cs="Arial"/>
          <w:kern w:val="0"/>
          <w:lang w:val="en-GB"/>
          <w14:ligatures w14:val="none"/>
        </w:rPr>
        <w:t>(4), 353-374. </w:t>
      </w:r>
    </w:p>
    <w:p w14:paraId="0243FC75"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Mata, Á. N. D. S., de Azevedo, K. P. M., Braga, L. P., de Medeiros, G. C. B. S., de Oliveira Segundo, V. H., Bezerra, I. N. M., Pimenta. I. D. S. F. Nicolás. I. M. and </w:t>
      </w:r>
      <w:proofErr w:type="spellStart"/>
      <w:r w:rsidRPr="00F92FF5">
        <w:rPr>
          <w:rFonts w:ascii="Arial" w:eastAsia="Arial" w:hAnsi="Arial" w:cs="Arial"/>
          <w:kern w:val="0"/>
          <w:lang w:val="en-GB"/>
          <w14:ligatures w14:val="none"/>
        </w:rPr>
        <w:t>Piuvezam</w:t>
      </w:r>
      <w:proofErr w:type="spellEnd"/>
      <w:r w:rsidRPr="00F92FF5">
        <w:rPr>
          <w:rFonts w:ascii="Arial" w:eastAsia="Arial" w:hAnsi="Arial" w:cs="Arial"/>
          <w:kern w:val="0"/>
          <w:lang w:val="en-GB"/>
          <w14:ligatures w14:val="none"/>
        </w:rPr>
        <w:t xml:space="preserve">, G. (2021). Training in communication skills for self-efficacy of health professionals: a systematic review. </w:t>
      </w:r>
      <w:r w:rsidRPr="00F92FF5">
        <w:rPr>
          <w:rFonts w:ascii="Arial" w:eastAsia="Arial" w:hAnsi="Arial" w:cs="Arial"/>
          <w:i/>
          <w:iCs/>
          <w:kern w:val="0"/>
          <w:lang w:val="en-GB"/>
          <w14:ligatures w14:val="none"/>
        </w:rPr>
        <w:t>Human resources for health</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19</w:t>
      </w:r>
      <w:r w:rsidRPr="00F92FF5">
        <w:rPr>
          <w:rFonts w:ascii="Arial" w:eastAsia="Arial" w:hAnsi="Arial" w:cs="Arial"/>
          <w:kern w:val="0"/>
          <w:lang w:val="en-GB"/>
          <w14:ligatures w14:val="none"/>
        </w:rPr>
        <w:t>(1), 30. </w:t>
      </w:r>
    </w:p>
    <w:p w14:paraId="0538D060"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Mikulic. M. (2025). </w:t>
      </w:r>
      <w:r w:rsidRPr="00F92FF5">
        <w:rPr>
          <w:rFonts w:ascii="Arial" w:eastAsia="Arial" w:hAnsi="Arial" w:cs="Arial"/>
          <w:i/>
          <w:iCs/>
          <w:kern w:val="0"/>
          <w:lang w:val="en-GB"/>
          <w14:ligatures w14:val="none"/>
        </w:rPr>
        <w:t>NHS staff shortages</w:t>
      </w:r>
      <w:r w:rsidRPr="00F92FF5">
        <w:rPr>
          <w:rFonts w:ascii="Arial" w:eastAsia="Arial" w:hAnsi="Arial" w:cs="Arial"/>
          <w:kern w:val="0"/>
          <w:lang w:val="en-GB"/>
          <w14:ligatures w14:val="none"/>
        </w:rPr>
        <w:t xml:space="preserve">. Available: </w:t>
      </w:r>
      <w:hyperlink r:id="rId10" w:anchor="topicOverview" w:history="1">
        <w:r w:rsidRPr="00F92FF5">
          <w:rPr>
            <w:rFonts w:ascii="Arial" w:eastAsia="Arial" w:hAnsi="Arial" w:cs="Arial"/>
            <w:color w:val="0000FF"/>
            <w:kern w:val="0"/>
            <w:u w:val="single"/>
            <w:lang w:val="en-GB"/>
            <w14:ligatures w14:val="none"/>
          </w:rPr>
          <w:t>https://www.statista.com/topics/9575/nhs-staff-shortage/?srsltid=AfmBOoqds07SflOEL3vaZAOuDFd1k2ZxK9C9BCtxdtB3YwTTzQP_LBjF#topicOverview</w:t>
        </w:r>
      </w:hyperlink>
      <w:r w:rsidRPr="00F92FF5">
        <w:rPr>
          <w:rFonts w:ascii="Arial" w:eastAsia="Arial" w:hAnsi="Arial" w:cs="Arial"/>
          <w:kern w:val="0"/>
          <w:lang w:val="en-GB"/>
          <w14:ligatures w14:val="none"/>
        </w:rPr>
        <w:t xml:space="preserve"> [Accessed: 6.8.2026]</w:t>
      </w:r>
    </w:p>
    <w:p w14:paraId="6F9EAB5F"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lastRenderedPageBreak/>
        <w:t xml:space="preserve">Mistri, I. U., Badge, A., and Shahu, S. (2023). Enhancing patient safety culture in hospitals. </w:t>
      </w:r>
      <w:r w:rsidRPr="00F92FF5">
        <w:rPr>
          <w:rFonts w:ascii="Arial" w:eastAsia="Arial" w:hAnsi="Arial" w:cs="Arial"/>
          <w:i/>
          <w:iCs/>
          <w:kern w:val="0"/>
          <w:lang w:val="en-GB"/>
          <w14:ligatures w14:val="none"/>
        </w:rPr>
        <w:t>Cureus</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15</w:t>
      </w:r>
      <w:r w:rsidRPr="00F92FF5">
        <w:rPr>
          <w:rFonts w:ascii="Arial" w:eastAsia="Arial" w:hAnsi="Arial" w:cs="Arial"/>
          <w:kern w:val="0"/>
          <w:lang w:val="en-GB"/>
          <w14:ligatures w14:val="none"/>
        </w:rPr>
        <w:t>(12). </w:t>
      </w:r>
    </w:p>
    <w:p w14:paraId="35214AB2"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Osmani, F., Arab-</w:t>
      </w:r>
      <w:proofErr w:type="spellStart"/>
      <w:r w:rsidRPr="00F92FF5">
        <w:rPr>
          <w:rFonts w:ascii="Arial" w:eastAsia="Arial" w:hAnsi="Arial" w:cs="Arial"/>
          <w:kern w:val="0"/>
          <w:lang w:val="en-GB"/>
          <w14:ligatures w14:val="none"/>
        </w:rPr>
        <w:t>Zozani</w:t>
      </w:r>
      <w:proofErr w:type="spellEnd"/>
      <w:r w:rsidRPr="00F92FF5">
        <w:rPr>
          <w:rFonts w:ascii="Arial" w:eastAsia="Arial" w:hAnsi="Arial" w:cs="Arial"/>
          <w:kern w:val="0"/>
          <w:lang w:val="en-GB"/>
          <w14:ligatures w14:val="none"/>
        </w:rPr>
        <w:t xml:space="preserve">, M., </w:t>
      </w:r>
      <w:proofErr w:type="spellStart"/>
      <w:r w:rsidRPr="00F92FF5">
        <w:rPr>
          <w:rFonts w:ascii="Arial" w:eastAsia="Arial" w:hAnsi="Arial" w:cs="Arial"/>
          <w:kern w:val="0"/>
          <w:lang w:val="en-GB"/>
          <w14:ligatures w14:val="none"/>
        </w:rPr>
        <w:t>Shahali</w:t>
      </w:r>
      <w:proofErr w:type="spellEnd"/>
      <w:r w:rsidRPr="00F92FF5">
        <w:rPr>
          <w:rFonts w:ascii="Arial" w:eastAsia="Arial" w:hAnsi="Arial" w:cs="Arial"/>
          <w:kern w:val="0"/>
          <w:lang w:val="en-GB"/>
          <w14:ligatures w14:val="none"/>
        </w:rPr>
        <w:t xml:space="preserve">, Z., and Lotfi, F. (2023, May). Evaluation of the effectiveness of electronic prescription in reducing medical and medical errors (systematic review study). In </w:t>
      </w:r>
      <w:r w:rsidRPr="00F92FF5">
        <w:rPr>
          <w:rFonts w:ascii="Arial" w:eastAsia="Arial" w:hAnsi="Arial" w:cs="Arial"/>
          <w:i/>
          <w:iCs/>
          <w:kern w:val="0"/>
          <w:lang w:val="en-GB"/>
          <w14:ligatures w14:val="none"/>
        </w:rPr>
        <w:t xml:space="preserve">Annales </w:t>
      </w:r>
      <w:proofErr w:type="spellStart"/>
      <w:r w:rsidRPr="00F92FF5">
        <w:rPr>
          <w:rFonts w:ascii="Arial" w:eastAsia="Arial" w:hAnsi="Arial" w:cs="Arial"/>
          <w:i/>
          <w:iCs/>
          <w:kern w:val="0"/>
          <w:lang w:val="en-GB"/>
          <w14:ligatures w14:val="none"/>
        </w:rPr>
        <w:t>Pharmaceutiques</w:t>
      </w:r>
      <w:proofErr w:type="spellEnd"/>
      <w:r w:rsidRPr="00F92FF5">
        <w:rPr>
          <w:rFonts w:ascii="Arial" w:eastAsia="Arial" w:hAnsi="Arial" w:cs="Arial"/>
          <w:i/>
          <w:iCs/>
          <w:kern w:val="0"/>
          <w:lang w:val="en-GB"/>
          <w14:ligatures w14:val="none"/>
        </w:rPr>
        <w:t xml:space="preserve"> </w:t>
      </w:r>
      <w:proofErr w:type="spellStart"/>
      <w:r w:rsidRPr="00F92FF5">
        <w:rPr>
          <w:rFonts w:ascii="Arial" w:eastAsia="Arial" w:hAnsi="Arial" w:cs="Arial"/>
          <w:i/>
          <w:iCs/>
          <w:kern w:val="0"/>
          <w:lang w:val="en-GB"/>
          <w14:ligatures w14:val="none"/>
        </w:rPr>
        <w:t>Françaises</w:t>
      </w:r>
      <w:proofErr w:type="spellEnd"/>
      <w:r w:rsidRPr="00F92FF5">
        <w:rPr>
          <w:rFonts w:ascii="Arial" w:eastAsia="Arial" w:hAnsi="Arial" w:cs="Arial"/>
          <w:kern w:val="0"/>
          <w:lang w:val="en-GB"/>
          <w14:ligatures w14:val="none"/>
        </w:rPr>
        <w:t xml:space="preserve"> (Vol. 81, No. 3, pp. 433-445). Elsevier Masson. </w:t>
      </w:r>
    </w:p>
    <w:p w14:paraId="593B6EA5"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Pradelli, L., Risoli, C., Summer, E., Bellini, G., Mozzarelli, F., Anderson, G., </w:t>
      </w:r>
      <w:proofErr w:type="spellStart"/>
      <w:r w:rsidRPr="00F92FF5">
        <w:rPr>
          <w:rFonts w:ascii="Arial" w:eastAsia="Arial" w:hAnsi="Arial" w:cs="Arial"/>
          <w:kern w:val="0"/>
          <w:lang w:val="en-GB"/>
          <w14:ligatures w14:val="none"/>
        </w:rPr>
        <w:t>Guasconi</w:t>
      </w:r>
      <w:proofErr w:type="spellEnd"/>
      <w:r w:rsidRPr="00F92FF5">
        <w:rPr>
          <w:rFonts w:ascii="Arial" w:eastAsia="Arial" w:hAnsi="Arial" w:cs="Arial"/>
          <w:kern w:val="0"/>
          <w:lang w:val="en-GB"/>
          <w14:ligatures w14:val="none"/>
        </w:rPr>
        <w:t xml:space="preserve">. M. </w:t>
      </w:r>
      <w:proofErr w:type="spellStart"/>
      <w:r w:rsidRPr="00F92FF5">
        <w:rPr>
          <w:rFonts w:ascii="Arial" w:eastAsia="Arial" w:hAnsi="Arial" w:cs="Arial"/>
          <w:kern w:val="0"/>
          <w:lang w:val="en-GB"/>
          <w14:ligatures w14:val="none"/>
        </w:rPr>
        <w:t>Artioli</w:t>
      </w:r>
      <w:proofErr w:type="spellEnd"/>
      <w:r w:rsidRPr="00F92FF5">
        <w:rPr>
          <w:rFonts w:ascii="Arial" w:eastAsia="Arial" w:hAnsi="Arial" w:cs="Arial"/>
          <w:kern w:val="0"/>
          <w:lang w:val="en-GB"/>
          <w14:ligatures w14:val="none"/>
        </w:rPr>
        <w:t xml:space="preserve">. G. </w:t>
      </w:r>
      <w:proofErr w:type="spellStart"/>
      <w:r w:rsidRPr="00F92FF5">
        <w:rPr>
          <w:rFonts w:ascii="Arial" w:eastAsia="Arial" w:hAnsi="Arial" w:cs="Arial"/>
          <w:kern w:val="0"/>
          <w:lang w:val="en-GB"/>
          <w14:ligatures w14:val="none"/>
        </w:rPr>
        <w:t>Bonacaro</w:t>
      </w:r>
      <w:proofErr w:type="spellEnd"/>
      <w:r w:rsidRPr="00F92FF5">
        <w:rPr>
          <w:rFonts w:ascii="Arial" w:eastAsia="Arial" w:hAnsi="Arial" w:cs="Arial"/>
          <w:kern w:val="0"/>
          <w:lang w:val="en-GB"/>
          <w14:ligatures w14:val="none"/>
        </w:rPr>
        <w:t xml:space="preserve">. A. and Sarli, L. (2025). Healthcare professional perspective on barriers and facilitators of multidisciplinary team working in acute care setting: a systematic review and meta-synthesis. </w:t>
      </w:r>
      <w:r w:rsidRPr="00F92FF5">
        <w:rPr>
          <w:rFonts w:ascii="Arial" w:eastAsia="Arial" w:hAnsi="Arial" w:cs="Arial"/>
          <w:i/>
          <w:iCs/>
          <w:kern w:val="0"/>
          <w:lang w:val="en-GB"/>
          <w14:ligatures w14:val="none"/>
        </w:rPr>
        <w:t>BMJ open</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15</w:t>
      </w:r>
      <w:r w:rsidRPr="00F92FF5">
        <w:rPr>
          <w:rFonts w:ascii="Arial" w:eastAsia="Arial" w:hAnsi="Arial" w:cs="Arial"/>
          <w:kern w:val="0"/>
          <w:lang w:val="en-GB"/>
          <w14:ligatures w14:val="none"/>
        </w:rPr>
        <w:t>(3), e087268. </w:t>
      </w:r>
    </w:p>
    <w:p w14:paraId="5810A3EE"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Rubel, A. (2023, June). Centralized and decentralized organizational structure: The impact on employee satisfaction and performance. In </w:t>
      </w:r>
      <w:r w:rsidRPr="00F92FF5">
        <w:rPr>
          <w:rFonts w:ascii="Arial" w:eastAsia="Arial" w:hAnsi="Arial" w:cs="Arial"/>
          <w:i/>
          <w:iCs/>
          <w:kern w:val="0"/>
          <w:lang w:val="en-GB"/>
          <w14:ligatures w14:val="none"/>
        </w:rPr>
        <w:t>Proceedings of the International Conference on Industrial Engineering and Operations Management</w:t>
      </w:r>
      <w:r w:rsidRPr="00F92FF5">
        <w:rPr>
          <w:rFonts w:ascii="Arial" w:eastAsia="Arial" w:hAnsi="Arial" w:cs="Arial"/>
          <w:kern w:val="0"/>
          <w:lang w:val="en-GB"/>
          <w14:ligatures w14:val="none"/>
        </w:rPr>
        <w:t>. IEOM Society International. </w:t>
      </w:r>
    </w:p>
    <w:p w14:paraId="116DC232"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Shahmoradi, L., Safdari, R., Ahmadi, H., and Zahmatkeshan, M. (2021). Clinical decision support systems-based interventions to improve medication outcomes: A systematic literature review on features and effects. </w:t>
      </w:r>
      <w:r w:rsidRPr="00F92FF5">
        <w:rPr>
          <w:rFonts w:ascii="Arial" w:eastAsia="Arial" w:hAnsi="Arial" w:cs="Arial"/>
          <w:i/>
          <w:iCs/>
          <w:kern w:val="0"/>
          <w:lang w:val="en-GB"/>
          <w14:ligatures w14:val="none"/>
        </w:rPr>
        <w:t>Medical Journal of the Islamic Republic of Iran</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35</w:t>
      </w:r>
      <w:r w:rsidRPr="00F92FF5">
        <w:rPr>
          <w:rFonts w:ascii="Arial" w:eastAsia="Arial" w:hAnsi="Arial" w:cs="Arial"/>
          <w:kern w:val="0"/>
          <w:lang w:val="en-GB"/>
          <w14:ligatures w14:val="none"/>
        </w:rPr>
        <w:t>, 27. </w:t>
      </w:r>
    </w:p>
    <w:p w14:paraId="3ABFBEBF"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Shishkin, S., Sheiman, I., </w:t>
      </w:r>
      <w:proofErr w:type="spellStart"/>
      <w:r w:rsidRPr="00F92FF5">
        <w:rPr>
          <w:rFonts w:ascii="Arial" w:eastAsia="Arial" w:hAnsi="Arial" w:cs="Arial"/>
          <w:kern w:val="0"/>
          <w:lang w:val="en-GB"/>
          <w14:ligatures w14:val="none"/>
        </w:rPr>
        <w:t>Potapchik</w:t>
      </w:r>
      <w:proofErr w:type="spellEnd"/>
      <w:r w:rsidRPr="00F92FF5">
        <w:rPr>
          <w:rFonts w:ascii="Arial" w:eastAsia="Arial" w:hAnsi="Arial" w:cs="Arial"/>
          <w:kern w:val="0"/>
          <w:lang w:val="en-GB"/>
          <w14:ligatures w14:val="none"/>
        </w:rPr>
        <w:t xml:space="preserve">, E., Vlassov, V., and </w:t>
      </w:r>
      <w:proofErr w:type="spellStart"/>
      <w:r w:rsidRPr="00F92FF5">
        <w:rPr>
          <w:rFonts w:ascii="Arial" w:eastAsia="Arial" w:hAnsi="Arial" w:cs="Arial"/>
          <w:kern w:val="0"/>
          <w:lang w:val="en-GB"/>
          <w14:ligatures w14:val="none"/>
        </w:rPr>
        <w:t>Sazhina</w:t>
      </w:r>
      <w:proofErr w:type="spellEnd"/>
      <w:r w:rsidRPr="00F92FF5">
        <w:rPr>
          <w:rFonts w:ascii="Arial" w:eastAsia="Arial" w:hAnsi="Arial" w:cs="Arial"/>
          <w:kern w:val="0"/>
          <w:lang w:val="en-GB"/>
          <w14:ligatures w14:val="none"/>
        </w:rPr>
        <w:t xml:space="preserve">, S. (2025). The impact of centralization on structural changes in healthcare: when it works. </w:t>
      </w:r>
      <w:r w:rsidRPr="00F92FF5">
        <w:rPr>
          <w:rFonts w:ascii="Arial" w:eastAsia="Arial" w:hAnsi="Arial" w:cs="Arial"/>
          <w:i/>
          <w:iCs/>
          <w:kern w:val="0"/>
          <w:lang w:val="en-GB"/>
          <w14:ligatures w14:val="none"/>
        </w:rPr>
        <w:t>Frontiers in Health Services</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5</w:t>
      </w:r>
      <w:r w:rsidRPr="00F92FF5">
        <w:rPr>
          <w:rFonts w:ascii="Arial" w:eastAsia="Arial" w:hAnsi="Arial" w:cs="Arial"/>
          <w:kern w:val="0"/>
          <w:lang w:val="en-GB"/>
          <w14:ligatures w14:val="none"/>
        </w:rPr>
        <w:t>, 1484225. </w:t>
      </w:r>
    </w:p>
    <w:p w14:paraId="69058345"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proofErr w:type="spellStart"/>
      <w:r w:rsidRPr="00F92FF5">
        <w:rPr>
          <w:rFonts w:ascii="Arial" w:eastAsia="Arial" w:hAnsi="Arial" w:cs="Arial"/>
          <w:kern w:val="0"/>
          <w:lang w:val="en-GB"/>
          <w14:ligatures w14:val="none"/>
        </w:rPr>
        <w:t>Tsapnidou</w:t>
      </w:r>
      <w:proofErr w:type="spellEnd"/>
      <w:r w:rsidRPr="00F92FF5">
        <w:rPr>
          <w:rFonts w:ascii="Arial" w:eastAsia="Arial" w:hAnsi="Arial" w:cs="Arial"/>
          <w:kern w:val="0"/>
          <w:lang w:val="en-GB"/>
          <w14:ligatures w14:val="none"/>
        </w:rPr>
        <w:t xml:space="preserve">, E., Kelesi, M., </w:t>
      </w:r>
      <w:proofErr w:type="spellStart"/>
      <w:r w:rsidRPr="00F92FF5">
        <w:rPr>
          <w:rFonts w:ascii="Arial" w:eastAsia="Arial" w:hAnsi="Arial" w:cs="Arial"/>
          <w:kern w:val="0"/>
          <w:lang w:val="en-GB"/>
          <w14:ligatures w14:val="none"/>
        </w:rPr>
        <w:t>Rovithis</w:t>
      </w:r>
      <w:proofErr w:type="spellEnd"/>
      <w:r w:rsidRPr="00F92FF5">
        <w:rPr>
          <w:rFonts w:ascii="Arial" w:eastAsia="Arial" w:hAnsi="Arial" w:cs="Arial"/>
          <w:kern w:val="0"/>
          <w:lang w:val="en-GB"/>
          <w14:ligatures w14:val="none"/>
        </w:rPr>
        <w:t xml:space="preserve">, M., Katharakis, G., Gerogianni, G., Dafogianni, C., </w:t>
      </w:r>
      <w:proofErr w:type="spellStart"/>
      <w:r w:rsidRPr="00F92FF5">
        <w:rPr>
          <w:rFonts w:ascii="Arial" w:eastAsia="Arial" w:hAnsi="Arial" w:cs="Arial"/>
          <w:kern w:val="0"/>
          <w:lang w:val="en-GB"/>
          <w14:ligatures w14:val="none"/>
        </w:rPr>
        <w:t>Toylia</w:t>
      </w:r>
      <w:proofErr w:type="spellEnd"/>
      <w:r w:rsidRPr="00F92FF5">
        <w:rPr>
          <w:rFonts w:ascii="Arial" w:eastAsia="Arial" w:hAnsi="Arial" w:cs="Arial"/>
          <w:kern w:val="0"/>
          <w:lang w:val="en-GB"/>
          <w14:ligatures w14:val="none"/>
        </w:rPr>
        <w:t xml:space="preserve">. G. </w:t>
      </w:r>
      <w:proofErr w:type="spellStart"/>
      <w:r w:rsidRPr="00F92FF5">
        <w:rPr>
          <w:rFonts w:ascii="Arial" w:eastAsia="Arial" w:hAnsi="Arial" w:cs="Arial"/>
          <w:kern w:val="0"/>
          <w:lang w:val="en-GB"/>
          <w14:ligatures w14:val="none"/>
        </w:rPr>
        <w:t>Fasoi</w:t>
      </w:r>
      <w:proofErr w:type="spellEnd"/>
      <w:r w:rsidRPr="00F92FF5">
        <w:rPr>
          <w:rFonts w:ascii="Arial" w:eastAsia="Arial" w:hAnsi="Arial" w:cs="Arial"/>
          <w:kern w:val="0"/>
          <w:lang w:val="en-GB"/>
          <w14:ligatures w14:val="none"/>
        </w:rPr>
        <w:t xml:space="preserve">. G. and Stavropoulou, A. (2024). Transformational leadership—quality achievements and benefits for the healthcare organizations: a scoping review. </w:t>
      </w:r>
      <w:r w:rsidRPr="00F92FF5">
        <w:rPr>
          <w:rFonts w:ascii="Arial" w:eastAsia="Arial" w:hAnsi="Arial" w:cs="Arial"/>
          <w:i/>
          <w:iCs/>
          <w:kern w:val="0"/>
          <w:lang w:val="en-GB"/>
          <w14:ligatures w14:val="none"/>
        </w:rPr>
        <w:t>Hospitals</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1</w:t>
      </w:r>
      <w:r w:rsidRPr="00F92FF5">
        <w:rPr>
          <w:rFonts w:ascii="Arial" w:eastAsia="Arial" w:hAnsi="Arial" w:cs="Arial"/>
          <w:kern w:val="0"/>
          <w:lang w:val="en-GB"/>
          <w14:ligatures w14:val="none"/>
        </w:rPr>
        <w:t>(1), 87-103. </w:t>
      </w:r>
    </w:p>
    <w:p w14:paraId="1389DEC3"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WHO. (2023). </w:t>
      </w:r>
      <w:r w:rsidRPr="00F92FF5">
        <w:rPr>
          <w:rFonts w:ascii="Arial" w:eastAsia="Arial" w:hAnsi="Arial" w:cs="Arial"/>
          <w:i/>
          <w:iCs/>
          <w:kern w:val="0"/>
          <w:lang w:val="en-GB"/>
          <w14:ligatures w14:val="none"/>
        </w:rPr>
        <w:t>Patient safety</w:t>
      </w:r>
      <w:r w:rsidRPr="00F92FF5">
        <w:rPr>
          <w:rFonts w:ascii="Arial" w:eastAsia="Arial" w:hAnsi="Arial" w:cs="Arial"/>
          <w:kern w:val="0"/>
          <w:lang w:val="en-GB"/>
          <w14:ligatures w14:val="none"/>
        </w:rPr>
        <w:t xml:space="preserve">. Available: </w:t>
      </w:r>
      <w:hyperlink r:id="rId11" w:history="1">
        <w:r w:rsidRPr="00F92FF5">
          <w:rPr>
            <w:rFonts w:ascii="Arial" w:eastAsia="Arial" w:hAnsi="Arial" w:cs="Arial"/>
            <w:color w:val="0000FF"/>
            <w:kern w:val="0"/>
            <w:u w:val="single"/>
            <w:lang w:val="en-GB"/>
            <w14:ligatures w14:val="none"/>
          </w:rPr>
          <w:t>https://www.who.int/news-room/fact-sheets/detail/patient-safety</w:t>
        </w:r>
      </w:hyperlink>
      <w:r w:rsidRPr="00F92FF5">
        <w:rPr>
          <w:rFonts w:ascii="Arial" w:eastAsia="Arial" w:hAnsi="Arial" w:cs="Arial"/>
          <w:kern w:val="0"/>
          <w:lang w:val="en-GB"/>
          <w14:ligatures w14:val="none"/>
        </w:rPr>
        <w:t xml:space="preserve"> [Accessed: 6.8.2026]</w:t>
      </w:r>
    </w:p>
    <w:p w14:paraId="2B339983" w14:textId="77777777"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WHO. (2024). </w:t>
      </w:r>
      <w:r w:rsidRPr="00F92FF5">
        <w:rPr>
          <w:rFonts w:ascii="Arial" w:eastAsia="Arial" w:hAnsi="Arial" w:cs="Arial"/>
          <w:i/>
          <w:iCs/>
          <w:kern w:val="0"/>
          <w:lang w:val="en-GB"/>
          <w14:ligatures w14:val="none"/>
        </w:rPr>
        <w:t>Global patient safety report 2024</w:t>
      </w:r>
      <w:r w:rsidRPr="00F92FF5">
        <w:rPr>
          <w:rFonts w:ascii="Arial" w:eastAsia="Arial" w:hAnsi="Arial" w:cs="Arial"/>
          <w:kern w:val="0"/>
          <w:lang w:val="en-GB"/>
          <w14:ligatures w14:val="none"/>
        </w:rPr>
        <w:t>. World Health Organization. </w:t>
      </w:r>
    </w:p>
    <w:p w14:paraId="7594F2AE" w14:textId="0EAD04E4" w:rsidR="00746A75" w:rsidRPr="00F92FF5" w:rsidRDefault="00746A75"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lastRenderedPageBreak/>
        <w:t xml:space="preserve">WHO. (2026). </w:t>
      </w:r>
      <w:r w:rsidRPr="00F92FF5">
        <w:rPr>
          <w:rFonts w:ascii="Arial" w:eastAsia="Arial" w:hAnsi="Arial" w:cs="Arial"/>
          <w:i/>
          <w:iCs/>
          <w:kern w:val="0"/>
          <w:lang w:val="en-GB"/>
          <w14:ligatures w14:val="none"/>
        </w:rPr>
        <w:t>Medication Without Harm</w:t>
      </w:r>
      <w:r w:rsidRPr="00F92FF5">
        <w:rPr>
          <w:rFonts w:ascii="Arial" w:eastAsia="Arial" w:hAnsi="Arial" w:cs="Arial"/>
          <w:kern w:val="0"/>
          <w:lang w:val="en-GB"/>
          <w14:ligatures w14:val="none"/>
        </w:rPr>
        <w:t xml:space="preserve">. Available: </w:t>
      </w:r>
      <w:hyperlink r:id="rId12" w:history="1">
        <w:r w:rsidRPr="00F92FF5">
          <w:rPr>
            <w:rFonts w:ascii="Arial" w:eastAsia="Arial" w:hAnsi="Arial" w:cs="Arial"/>
            <w:color w:val="0000FF"/>
            <w:kern w:val="0"/>
            <w:u w:val="single"/>
            <w:lang w:val="en-GB"/>
            <w14:ligatures w14:val="none"/>
          </w:rPr>
          <w:t>https://www.who.int/initiatives/medication-without-harm</w:t>
        </w:r>
      </w:hyperlink>
      <w:r w:rsidRPr="00F92FF5">
        <w:rPr>
          <w:rFonts w:ascii="Arial" w:eastAsia="Arial" w:hAnsi="Arial" w:cs="Arial"/>
          <w:kern w:val="0"/>
          <w:lang w:val="en-GB"/>
          <w14:ligatures w14:val="none"/>
        </w:rPr>
        <w:t xml:space="preserve"> [Accessed: 6.8.2026]</w:t>
      </w:r>
    </w:p>
    <w:p w14:paraId="1EA155D4" w14:textId="4FD4E048" w:rsidR="005364E7" w:rsidRPr="00F92FF5" w:rsidRDefault="005364E7"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Xu, J., Syan, J., </w:t>
      </w:r>
      <w:proofErr w:type="spellStart"/>
      <w:r w:rsidRPr="00F92FF5">
        <w:rPr>
          <w:rFonts w:ascii="Arial" w:eastAsia="Arial" w:hAnsi="Arial" w:cs="Arial"/>
          <w:kern w:val="0"/>
          <w:lang w:val="en-GB"/>
          <w14:ligatures w14:val="none"/>
        </w:rPr>
        <w:t>Alhakem</w:t>
      </w:r>
      <w:proofErr w:type="spellEnd"/>
      <w:r w:rsidRPr="00F92FF5">
        <w:rPr>
          <w:rFonts w:ascii="Arial" w:eastAsia="Arial" w:hAnsi="Arial" w:cs="Arial"/>
          <w:kern w:val="0"/>
          <w:lang w:val="en-GB"/>
          <w14:ligatures w14:val="none"/>
        </w:rPr>
        <w:t xml:space="preserve">, H., Foster, J.M., McQueen, G. and Khan, S., (2026). Equitable lipid optimisation through a data-driven, pharmacist-led secondary prevention pathway. </w:t>
      </w:r>
      <w:r w:rsidRPr="00F92FF5">
        <w:rPr>
          <w:rFonts w:ascii="Arial" w:eastAsia="Arial" w:hAnsi="Arial" w:cs="Arial"/>
          <w:i/>
          <w:iCs/>
          <w:kern w:val="0"/>
          <w:lang w:val="en-GB"/>
          <w14:ligatures w14:val="none"/>
        </w:rPr>
        <w:t>Open Heart</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13</w:t>
      </w:r>
      <w:r w:rsidRPr="00F92FF5">
        <w:rPr>
          <w:rFonts w:ascii="Arial" w:eastAsia="Arial" w:hAnsi="Arial" w:cs="Arial"/>
          <w:kern w:val="0"/>
          <w:lang w:val="en-GB"/>
          <w14:ligatures w14:val="none"/>
        </w:rPr>
        <w:t>(1).</w:t>
      </w:r>
    </w:p>
    <w:p w14:paraId="34ACFB74" w14:textId="6320590D" w:rsidR="00CD2F11" w:rsidRPr="00F92FF5" w:rsidRDefault="00CD2F11" w:rsidP="0037056D">
      <w:pPr>
        <w:spacing w:before="120" w:after="120" w:line="480" w:lineRule="auto"/>
        <w:jc w:val="both"/>
        <w:rPr>
          <w:rFonts w:ascii="Arial" w:eastAsia="Arial" w:hAnsi="Arial" w:cs="Arial"/>
          <w:kern w:val="0"/>
          <w:lang w:val="en-GB"/>
          <w14:ligatures w14:val="none"/>
        </w:rPr>
      </w:pPr>
      <w:r w:rsidRPr="00F92FF5">
        <w:rPr>
          <w:rFonts w:ascii="Arial" w:eastAsia="Arial" w:hAnsi="Arial" w:cs="Arial"/>
          <w:kern w:val="0"/>
          <w:lang w:val="en-GB"/>
          <w14:ligatures w14:val="none"/>
        </w:rPr>
        <w:t xml:space="preserve">Yang, J., Liu, F., Yang, C., Wei, J., Ma, Y., Xu, L., Xie, J. and Wang, J., </w:t>
      </w:r>
      <w:r w:rsidR="00620C78" w:rsidRPr="00F92FF5">
        <w:rPr>
          <w:rFonts w:ascii="Arial" w:eastAsia="Arial" w:hAnsi="Arial" w:cs="Arial"/>
          <w:kern w:val="0"/>
          <w:lang w:val="en-GB"/>
          <w14:ligatures w14:val="none"/>
        </w:rPr>
        <w:t>(</w:t>
      </w:r>
      <w:r w:rsidRPr="00F92FF5">
        <w:rPr>
          <w:rFonts w:ascii="Arial" w:eastAsia="Arial" w:hAnsi="Arial" w:cs="Arial"/>
          <w:kern w:val="0"/>
          <w:lang w:val="en-GB"/>
          <w14:ligatures w14:val="none"/>
        </w:rPr>
        <w:t>2025</w:t>
      </w:r>
      <w:r w:rsidR="00620C78" w:rsidRPr="00F92FF5">
        <w:rPr>
          <w:rFonts w:ascii="Arial" w:eastAsia="Arial" w:hAnsi="Arial" w:cs="Arial"/>
          <w:kern w:val="0"/>
          <w:lang w:val="en-GB"/>
          <w14:ligatures w14:val="none"/>
        </w:rPr>
        <w:t>)</w:t>
      </w:r>
      <w:r w:rsidRPr="00F92FF5">
        <w:rPr>
          <w:rFonts w:ascii="Arial" w:eastAsia="Arial" w:hAnsi="Arial" w:cs="Arial"/>
          <w:kern w:val="0"/>
          <w:lang w:val="en-GB"/>
          <w14:ligatures w14:val="none"/>
        </w:rPr>
        <w:t>. Application of Donabedian three</w:t>
      </w:r>
      <w:r w:rsidRPr="00F92FF5">
        <w:rPr>
          <w:rFonts w:ascii="Cambria Math" w:eastAsia="Arial" w:hAnsi="Cambria Math" w:cs="Cambria Math"/>
          <w:kern w:val="0"/>
          <w:lang w:val="en-GB"/>
          <w14:ligatures w14:val="none"/>
        </w:rPr>
        <w:t>‐</w:t>
      </w:r>
      <w:r w:rsidRPr="00F92FF5">
        <w:rPr>
          <w:rFonts w:ascii="Arial" w:eastAsia="Arial" w:hAnsi="Arial" w:cs="Arial"/>
          <w:kern w:val="0"/>
          <w:lang w:val="en-GB"/>
          <w14:ligatures w14:val="none"/>
        </w:rPr>
        <w:t xml:space="preserve">dimensional model in outpatient care quality: A scoping review. </w:t>
      </w:r>
      <w:r w:rsidRPr="00F92FF5">
        <w:rPr>
          <w:rFonts w:ascii="Arial" w:eastAsia="Arial" w:hAnsi="Arial" w:cs="Arial"/>
          <w:i/>
          <w:iCs/>
          <w:kern w:val="0"/>
          <w:lang w:val="en-GB"/>
          <w14:ligatures w14:val="none"/>
        </w:rPr>
        <w:t>Journal of nursing management</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2025</w:t>
      </w:r>
      <w:r w:rsidRPr="00F92FF5">
        <w:rPr>
          <w:rFonts w:ascii="Arial" w:eastAsia="Arial" w:hAnsi="Arial" w:cs="Arial"/>
          <w:kern w:val="0"/>
          <w:lang w:val="en-GB"/>
          <w14:ligatures w14:val="none"/>
        </w:rPr>
        <w:t>(1), p.6893336.</w:t>
      </w:r>
    </w:p>
    <w:p w14:paraId="30CF1CB7" w14:textId="148D601D" w:rsidR="005364E7" w:rsidRPr="00F92FF5" w:rsidRDefault="00746A75" w:rsidP="0037056D">
      <w:pPr>
        <w:spacing w:before="120" w:after="120" w:line="480" w:lineRule="auto"/>
        <w:jc w:val="both"/>
        <w:rPr>
          <w:rFonts w:ascii="Arial" w:eastAsia="Arial" w:hAnsi="Arial" w:cs="Arial"/>
          <w:kern w:val="0"/>
          <w:lang w:val="en-GB"/>
          <w14:ligatures w14:val="none"/>
        </w:rPr>
      </w:pPr>
      <w:proofErr w:type="spellStart"/>
      <w:r w:rsidRPr="00F92FF5">
        <w:rPr>
          <w:rFonts w:ascii="Arial" w:eastAsia="Arial" w:hAnsi="Arial" w:cs="Arial"/>
          <w:kern w:val="0"/>
          <w:lang w:val="en-GB"/>
          <w14:ligatures w14:val="none"/>
        </w:rPr>
        <w:t>Zaitoun</w:t>
      </w:r>
      <w:proofErr w:type="spellEnd"/>
      <w:r w:rsidRPr="00F92FF5">
        <w:rPr>
          <w:rFonts w:ascii="Arial" w:eastAsia="Arial" w:hAnsi="Arial" w:cs="Arial"/>
          <w:kern w:val="0"/>
          <w:lang w:val="en-GB"/>
          <w14:ligatures w14:val="none"/>
        </w:rPr>
        <w:t xml:space="preserve">, R. A., Said, N. B., and de Tantillo, L. (2023). Clinical nurse competence and its effect on patient safety culture: a systematic review. </w:t>
      </w:r>
      <w:r w:rsidRPr="00F92FF5">
        <w:rPr>
          <w:rFonts w:ascii="Arial" w:eastAsia="Arial" w:hAnsi="Arial" w:cs="Arial"/>
          <w:i/>
          <w:iCs/>
          <w:kern w:val="0"/>
          <w:lang w:val="en-GB"/>
          <w14:ligatures w14:val="none"/>
        </w:rPr>
        <w:t>BMC nursing</w:t>
      </w:r>
      <w:r w:rsidRPr="00F92FF5">
        <w:rPr>
          <w:rFonts w:ascii="Arial" w:eastAsia="Arial" w:hAnsi="Arial" w:cs="Arial"/>
          <w:kern w:val="0"/>
          <w:lang w:val="en-GB"/>
          <w14:ligatures w14:val="none"/>
        </w:rPr>
        <w:t xml:space="preserve">, </w:t>
      </w:r>
      <w:r w:rsidRPr="00F92FF5">
        <w:rPr>
          <w:rFonts w:ascii="Arial" w:eastAsia="Arial" w:hAnsi="Arial" w:cs="Arial"/>
          <w:i/>
          <w:iCs/>
          <w:kern w:val="0"/>
          <w:lang w:val="en-GB"/>
          <w14:ligatures w14:val="none"/>
        </w:rPr>
        <w:t>22</w:t>
      </w:r>
      <w:r w:rsidRPr="00F92FF5">
        <w:rPr>
          <w:rFonts w:ascii="Arial" w:eastAsia="Arial" w:hAnsi="Arial" w:cs="Arial"/>
          <w:kern w:val="0"/>
          <w:lang w:val="en-GB"/>
          <w14:ligatures w14:val="none"/>
        </w:rPr>
        <w:t>(1), 173. </w:t>
      </w:r>
    </w:p>
    <w:sectPr w:rsidR="005364E7" w:rsidRPr="00F92FF5" w:rsidSect="00746A7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57B8ED4" w14:textId="77777777" w:rsidR="001666BD" w:rsidRDefault="001666BD">
      <w:pPr>
        <w:spacing w:after="0" w:line="240" w:lineRule="auto"/>
      </w:pPr>
      <w:r>
        <w:separator/>
      </w:r>
    </w:p>
  </w:endnote>
  <w:endnote w:type="continuationSeparator" w:id="0">
    <w:p w14:paraId="1D7C779A" w14:textId="77777777" w:rsidR="001666BD" w:rsidRDefault="00166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82151683"/>
      <w:docPartObj>
        <w:docPartGallery w:val="Page Numbers (Bottom of Page)"/>
        <w:docPartUnique/>
      </w:docPartObj>
    </w:sdtPr>
    <w:sdtEndPr>
      <w:rPr>
        <w:noProof/>
        <w:sz w:val="20"/>
        <w:szCs w:val="20"/>
      </w:rPr>
    </w:sdtEndPr>
    <w:sdtContent>
      <w:p w14:paraId="3BF46862" w14:textId="118C892E" w:rsidR="00746A75" w:rsidRPr="00654BA5" w:rsidRDefault="00746A75" w:rsidP="00654BA5">
        <w:pPr>
          <w:pStyle w:val="Footer"/>
          <w:jc w:val="right"/>
          <w:rPr>
            <w:sz w:val="20"/>
            <w:szCs w:val="20"/>
          </w:rPr>
        </w:pPr>
        <w:r w:rsidRPr="00F63795">
          <w:rPr>
            <w:sz w:val="20"/>
            <w:szCs w:val="20"/>
          </w:rPr>
          <w:fldChar w:fldCharType="begin"/>
        </w:r>
        <w:r w:rsidRPr="00F63795">
          <w:rPr>
            <w:sz w:val="20"/>
            <w:szCs w:val="20"/>
          </w:rPr>
          <w:instrText xml:space="preserve"> PAGE   \* MERGEFORMAT </w:instrText>
        </w:r>
        <w:r w:rsidRPr="00F63795">
          <w:rPr>
            <w:sz w:val="20"/>
            <w:szCs w:val="20"/>
          </w:rPr>
          <w:fldChar w:fldCharType="separate"/>
        </w:r>
        <w:r w:rsidRPr="00F63795">
          <w:rPr>
            <w:noProof/>
            <w:sz w:val="20"/>
            <w:szCs w:val="20"/>
          </w:rPr>
          <w:t>2</w:t>
        </w:r>
        <w:r w:rsidRPr="00F63795">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E50FDD9" w14:textId="77777777" w:rsidR="001666BD" w:rsidRDefault="001666BD">
      <w:pPr>
        <w:spacing w:after="0" w:line="240" w:lineRule="auto"/>
      </w:pPr>
      <w:r>
        <w:separator/>
      </w:r>
    </w:p>
  </w:footnote>
  <w:footnote w:type="continuationSeparator" w:id="0">
    <w:p w14:paraId="0D5AD82F" w14:textId="77777777" w:rsidR="001666BD" w:rsidRDefault="001666BD">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A75"/>
    <w:rsid w:val="000D5974"/>
    <w:rsid w:val="001619B8"/>
    <w:rsid w:val="001666BD"/>
    <w:rsid w:val="00225DAC"/>
    <w:rsid w:val="0029053D"/>
    <w:rsid w:val="0037056D"/>
    <w:rsid w:val="003C6565"/>
    <w:rsid w:val="004072F4"/>
    <w:rsid w:val="0044169B"/>
    <w:rsid w:val="005364E7"/>
    <w:rsid w:val="005C3659"/>
    <w:rsid w:val="005F40EE"/>
    <w:rsid w:val="00620C78"/>
    <w:rsid w:val="00654BA5"/>
    <w:rsid w:val="0067113D"/>
    <w:rsid w:val="00746A75"/>
    <w:rsid w:val="00775FA7"/>
    <w:rsid w:val="00A126E9"/>
    <w:rsid w:val="00AC58D9"/>
    <w:rsid w:val="00C025C1"/>
    <w:rsid w:val="00CD2F11"/>
    <w:rsid w:val="00F5028C"/>
    <w:rsid w:val="00F92F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0DB58"/>
  <w15:chartTrackingRefBased/>
  <w15:docId w15:val="{DAFE9956-0D01-4A83-B007-06A3A5DFF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56D"/>
    <w:pPr>
      <w:keepNext/>
      <w:keepLines/>
      <w:spacing w:before="120" w:after="120" w:line="480" w:lineRule="auto"/>
      <w:jc w:val="both"/>
      <w:outlineLvl w:val="0"/>
    </w:pPr>
    <w:rPr>
      <w:rFonts w:ascii="Arial" w:eastAsia="Arial" w:hAnsi="Arial" w:cs="Arial"/>
      <w:b/>
      <w:bCs/>
      <w:kern w:val="0"/>
      <w:lang w:val=""/>
      <w14:ligatures w14:val="none"/>
    </w:rPr>
  </w:style>
  <w:style w:type="paragraph" w:styleId="Heading2">
    <w:name w:val="heading 2"/>
    <w:basedOn w:val="Normal"/>
    <w:next w:val="Normal"/>
    <w:link w:val="Heading2Char"/>
    <w:uiPriority w:val="9"/>
    <w:unhideWhenUsed/>
    <w:qFormat/>
    <w:rsid w:val="0037056D"/>
    <w:pPr>
      <w:keepNext/>
      <w:keepLines/>
      <w:spacing w:before="120" w:after="120" w:line="480" w:lineRule="auto"/>
      <w:jc w:val="both"/>
      <w:outlineLvl w:val="1"/>
    </w:pPr>
    <w:rPr>
      <w:rFonts w:ascii="Arial" w:eastAsia="Arial" w:hAnsi="Arial" w:cs="Arial"/>
      <w:b/>
      <w:bCs/>
      <w:i/>
      <w:iCs/>
      <w:kern w:val="0"/>
      <w:lang w:val=""/>
      <w14:ligatures w14:val="none"/>
    </w:rPr>
  </w:style>
  <w:style w:type="paragraph" w:styleId="Heading3">
    <w:name w:val="heading 3"/>
    <w:basedOn w:val="Normal"/>
    <w:next w:val="Normal"/>
    <w:link w:val="Heading3Char"/>
    <w:uiPriority w:val="9"/>
    <w:unhideWhenUsed/>
    <w:qFormat/>
    <w:rsid w:val="0037056D"/>
    <w:pPr>
      <w:keepNext/>
      <w:keepLines/>
      <w:spacing w:before="120" w:after="120" w:line="480" w:lineRule="auto"/>
      <w:jc w:val="both"/>
      <w:outlineLvl w:val="2"/>
    </w:pPr>
    <w:rPr>
      <w:rFonts w:ascii="Arial" w:eastAsia="Arial" w:hAnsi="Arial" w:cs="Arial"/>
      <w:b/>
      <w:bCs/>
      <w:kern w:val="0"/>
      <w:lang w:val=""/>
      <w14:ligatures w14:val="none"/>
    </w:rPr>
  </w:style>
  <w:style w:type="paragraph" w:styleId="Heading4">
    <w:name w:val="heading 4"/>
    <w:basedOn w:val="Normal"/>
    <w:next w:val="Normal"/>
    <w:link w:val="Heading4Char"/>
    <w:uiPriority w:val="9"/>
    <w:semiHidden/>
    <w:unhideWhenUsed/>
    <w:qFormat/>
    <w:rsid w:val="00746A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6A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6A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6A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6A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6A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56D"/>
    <w:rPr>
      <w:rFonts w:ascii="Arial" w:eastAsia="Arial" w:hAnsi="Arial" w:cs="Arial"/>
      <w:b/>
      <w:bCs/>
      <w:kern w:val="0"/>
      <w:lang w:val=""/>
      <w14:ligatures w14:val="none"/>
    </w:rPr>
  </w:style>
  <w:style w:type="character" w:customStyle="1" w:styleId="Heading2Char">
    <w:name w:val="Heading 2 Char"/>
    <w:basedOn w:val="DefaultParagraphFont"/>
    <w:link w:val="Heading2"/>
    <w:uiPriority w:val="9"/>
    <w:rsid w:val="0037056D"/>
    <w:rPr>
      <w:rFonts w:ascii="Arial" w:eastAsia="Arial" w:hAnsi="Arial" w:cs="Arial"/>
      <w:b/>
      <w:bCs/>
      <w:i/>
      <w:iCs/>
      <w:kern w:val="0"/>
      <w:lang w:val=""/>
      <w14:ligatures w14:val="none"/>
    </w:rPr>
  </w:style>
  <w:style w:type="character" w:customStyle="1" w:styleId="Heading3Char">
    <w:name w:val="Heading 3 Char"/>
    <w:basedOn w:val="DefaultParagraphFont"/>
    <w:link w:val="Heading3"/>
    <w:uiPriority w:val="9"/>
    <w:rsid w:val="0037056D"/>
    <w:rPr>
      <w:rFonts w:ascii="Arial" w:eastAsia="Arial" w:hAnsi="Arial" w:cs="Arial"/>
      <w:b/>
      <w:bCs/>
      <w:kern w:val="0"/>
      <w:lang w:val=""/>
      <w14:ligatures w14:val="none"/>
    </w:rPr>
  </w:style>
  <w:style w:type="character" w:customStyle="1" w:styleId="Heading4Char">
    <w:name w:val="Heading 4 Char"/>
    <w:basedOn w:val="DefaultParagraphFont"/>
    <w:link w:val="Heading4"/>
    <w:uiPriority w:val="9"/>
    <w:semiHidden/>
    <w:rsid w:val="00746A7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6A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6A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6A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6A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6A75"/>
    <w:rPr>
      <w:rFonts w:eastAsiaTheme="majorEastAsia" w:cstheme="majorBidi"/>
      <w:color w:val="272727" w:themeColor="text1" w:themeTint="D8"/>
    </w:rPr>
  </w:style>
  <w:style w:type="paragraph" w:styleId="Title">
    <w:name w:val="Title"/>
    <w:basedOn w:val="Normal"/>
    <w:next w:val="Normal"/>
    <w:link w:val="TitleChar"/>
    <w:uiPriority w:val="10"/>
    <w:qFormat/>
    <w:rsid w:val="00746A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6A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6A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6A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6A75"/>
    <w:pPr>
      <w:spacing w:before="160"/>
      <w:jc w:val="center"/>
    </w:pPr>
    <w:rPr>
      <w:i/>
      <w:iCs/>
      <w:color w:val="404040" w:themeColor="text1" w:themeTint="BF"/>
    </w:rPr>
  </w:style>
  <w:style w:type="character" w:customStyle="1" w:styleId="QuoteChar">
    <w:name w:val="Quote Char"/>
    <w:basedOn w:val="DefaultParagraphFont"/>
    <w:link w:val="Quote"/>
    <w:uiPriority w:val="29"/>
    <w:rsid w:val="00746A75"/>
    <w:rPr>
      <w:i/>
      <w:iCs/>
      <w:color w:val="404040" w:themeColor="text1" w:themeTint="BF"/>
    </w:rPr>
  </w:style>
  <w:style w:type="paragraph" w:styleId="ListParagraph">
    <w:name w:val="List Paragraph"/>
    <w:basedOn w:val="Normal"/>
    <w:uiPriority w:val="34"/>
    <w:qFormat/>
    <w:rsid w:val="00746A75"/>
    <w:pPr>
      <w:ind w:left="720"/>
      <w:contextualSpacing/>
    </w:pPr>
  </w:style>
  <w:style w:type="character" w:styleId="IntenseEmphasis">
    <w:name w:val="Intense Emphasis"/>
    <w:basedOn w:val="DefaultParagraphFont"/>
    <w:uiPriority w:val="21"/>
    <w:qFormat/>
    <w:rsid w:val="00746A75"/>
    <w:rPr>
      <w:i/>
      <w:iCs/>
      <w:color w:val="2F5496" w:themeColor="accent1" w:themeShade="BF"/>
    </w:rPr>
  </w:style>
  <w:style w:type="paragraph" w:styleId="IntenseQuote">
    <w:name w:val="Intense Quote"/>
    <w:basedOn w:val="Normal"/>
    <w:next w:val="Normal"/>
    <w:link w:val="IntenseQuoteChar"/>
    <w:uiPriority w:val="30"/>
    <w:qFormat/>
    <w:rsid w:val="00746A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6A75"/>
    <w:rPr>
      <w:i/>
      <w:iCs/>
      <w:color w:val="2F5496" w:themeColor="accent1" w:themeShade="BF"/>
    </w:rPr>
  </w:style>
  <w:style w:type="character" w:styleId="IntenseReference">
    <w:name w:val="Intense Reference"/>
    <w:basedOn w:val="DefaultParagraphFont"/>
    <w:uiPriority w:val="32"/>
    <w:qFormat/>
    <w:rsid w:val="00746A75"/>
    <w:rPr>
      <w:b/>
      <w:bCs/>
      <w:smallCaps/>
      <w:color w:val="2F5496" w:themeColor="accent1" w:themeShade="BF"/>
      <w:spacing w:val="5"/>
    </w:rPr>
  </w:style>
  <w:style w:type="paragraph" w:styleId="Footer">
    <w:name w:val="footer"/>
    <w:basedOn w:val="Normal"/>
    <w:link w:val="FooterChar"/>
    <w:uiPriority w:val="99"/>
    <w:unhideWhenUsed/>
    <w:rsid w:val="00746A75"/>
    <w:pPr>
      <w:tabs>
        <w:tab w:val="center" w:pos="4513"/>
        <w:tab w:val="right" w:pos="9026"/>
      </w:tabs>
      <w:spacing w:after="0" w:line="240" w:lineRule="auto"/>
      <w:jc w:val="both"/>
    </w:pPr>
    <w:rPr>
      <w:rFonts w:ascii="Arial" w:eastAsia="Arial" w:hAnsi="Arial" w:cs="Arial"/>
      <w:kern w:val="0"/>
      <w:lang w:val=""/>
      <w14:ligatures w14:val="none"/>
    </w:rPr>
  </w:style>
  <w:style w:type="character" w:customStyle="1" w:styleId="FooterChar">
    <w:name w:val="Footer Char"/>
    <w:basedOn w:val="DefaultParagraphFont"/>
    <w:link w:val="Footer"/>
    <w:uiPriority w:val="99"/>
    <w:rsid w:val="00746A75"/>
    <w:rPr>
      <w:rFonts w:ascii="Arial" w:eastAsia="Arial" w:hAnsi="Arial" w:cs="Arial"/>
      <w:kern w:val="0"/>
      <w:lang w:val=""/>
      <w14:ligatures w14:val="none"/>
    </w:rPr>
  </w:style>
  <w:style w:type="paragraph" w:styleId="TOC1">
    <w:name w:val="toc 1"/>
    <w:basedOn w:val="Normal"/>
    <w:next w:val="Normal"/>
    <w:autoRedefine/>
    <w:uiPriority w:val="39"/>
    <w:unhideWhenUsed/>
    <w:rsid w:val="00C025C1"/>
    <w:pPr>
      <w:spacing w:after="100"/>
    </w:pPr>
  </w:style>
  <w:style w:type="paragraph" w:styleId="TOC2">
    <w:name w:val="toc 2"/>
    <w:basedOn w:val="Normal"/>
    <w:next w:val="Normal"/>
    <w:autoRedefine/>
    <w:uiPriority w:val="39"/>
    <w:unhideWhenUsed/>
    <w:rsid w:val="00C025C1"/>
    <w:pPr>
      <w:spacing w:after="100"/>
      <w:ind w:left="220"/>
    </w:pPr>
  </w:style>
  <w:style w:type="paragraph" w:styleId="TOC3">
    <w:name w:val="toc 3"/>
    <w:basedOn w:val="Normal"/>
    <w:next w:val="Normal"/>
    <w:autoRedefine/>
    <w:uiPriority w:val="39"/>
    <w:unhideWhenUsed/>
    <w:rsid w:val="00C025C1"/>
    <w:pPr>
      <w:spacing w:after="100"/>
      <w:ind w:left="440"/>
    </w:pPr>
  </w:style>
  <w:style w:type="character" w:styleId="Hyperlink">
    <w:name w:val="Hyperlink"/>
    <w:basedOn w:val="DefaultParagraphFont"/>
    <w:uiPriority w:val="99"/>
    <w:unhideWhenUsed/>
    <w:rsid w:val="00C025C1"/>
    <w:rPr>
      <w:color w:val="0563C1" w:themeColor="hyperlink"/>
      <w:u w:val="single"/>
    </w:rPr>
  </w:style>
  <w:style w:type="paragraph" w:styleId="Header">
    <w:name w:val="header"/>
    <w:basedOn w:val="Normal"/>
    <w:link w:val="HeaderChar"/>
    <w:uiPriority w:val="99"/>
    <w:unhideWhenUsed/>
    <w:rsid w:val="00654B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4B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www.who.int/initiatives/medication-without-har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who.int/news-room/fact-sheets/detail/patient-safety" TargetMode="External"/><Relationship Id="rId5" Type="http://schemas.openxmlformats.org/officeDocument/2006/relationships/endnotes" Target="endnotes.xml"/><Relationship Id="rId10" Type="http://schemas.openxmlformats.org/officeDocument/2006/relationships/hyperlink" Target="https://www.statista.com/topics/9575/nhs-staff-shortage/?srsltid=AfmBOoqds07SflOEL3vaZAOuDFd1k2ZxK9C9BCtxdtB3YwTTzQP_LBjF" TargetMode="External"/><Relationship Id="rId4" Type="http://schemas.openxmlformats.org/officeDocument/2006/relationships/footnotes" Target="footnotes.xml"/><Relationship Id="rId9" Type="http://schemas.openxmlformats.org/officeDocument/2006/relationships/hyperlink" Target="https://www.hssib.org.uk/patient-safety-investigations/medication-related-harm/second-investigation-report/pdf/?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24</Pages>
  <Words>6097</Words>
  <Characters>37336</Characters>
  <Application>Microsoft Office Word</Application>
  <DocSecurity>0</DocSecurity>
  <Lines>581</Lines>
  <Paragraphs>172</Paragraphs>
  <ScaleCrop>false</ScaleCrop>
  <Company/>
  <LinksUpToDate>false</LinksUpToDate>
  <CharactersWithSpaces>43290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Gnanu Bhatt</cp:lastModifiedBy>
  <cp:revision>2</cp:revision>
  <dcterms:created xsi:type="dcterms:W3CDTF">2026-08-07T14:03:00Z</dcterms:created>
  <dcterms:modified xsi:type="dcterms:W3CDTF">2026-08-07T14:03:00Z</dcterms:modified>
</cp:coreProperties>
</file>