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C396B" w:rsidRDefault="00EC396B"/>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852A71">
      <w:r>
        <w:rPr>
          <w:noProof/>
          <w:lang w:eastAsia="en-GB"/>
        </w:rPr>
        <mc:AlternateContent>
          <mc:Choice Requires="wps">
            <w:drawing>
              <wp:anchor distT="0" distB="0" distL="114300" distR="114300" simplePos="0" relativeHeight="251659264" behindDoc="0" locked="0" layoutInCell="1" allowOverlap="1">
                <wp:simplePos x="1352550" y="4838700"/>
                <wp:positionH relativeFrom="margin">
                  <wp:align>center</wp:align>
                </wp:positionH>
                <wp:positionV relativeFrom="margin">
                  <wp:align>center</wp:align>
                </wp:positionV>
                <wp:extent cx="4448175" cy="2581275"/>
                <wp:effectExtent l="0" t="0" r="9525" b="5080"/>
                <wp:wrapSquare wrapText="bothSides"/>
                <wp:docPr id="1" name="Text Box 1"/>
                <wp:cNvGraphicFramePr/>
                <a:graphic xmlns:a="http://schemas.openxmlformats.org/drawingml/2006/main">
                  <a:graphicData uri="http://schemas.microsoft.com/office/word/2010/wordprocessingShape">
                    <wps:wsp>
                      <wps:cNvSpPr txBox="1"/>
                      <wps:spPr>
                        <a:xfrm>
                          <a:off x="0" y="0"/>
                          <a:ext cx="4448175" cy="258127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852A71" w:rsidRPr="00852A71" w:rsidRDefault="00852A71" w:rsidP="00852A71">
                            <w:pPr>
                              <w:spacing w:line="480" w:lineRule="auto"/>
                              <w:jc w:val="center"/>
                              <w:rPr>
                                <w:b/>
                              </w:rPr>
                            </w:pPr>
                            <w:r w:rsidRPr="00852A71">
                              <w:rPr>
                                <w:b/>
                              </w:rPr>
                              <w:t>Claire Mann</w:t>
                            </w:r>
                          </w:p>
                          <w:p w:rsidR="00852A71" w:rsidRPr="00852A71" w:rsidRDefault="00852A71" w:rsidP="00852A71">
                            <w:pPr>
                              <w:spacing w:line="480" w:lineRule="auto"/>
                              <w:jc w:val="center"/>
                              <w:rPr>
                                <w:b/>
                              </w:rPr>
                            </w:pPr>
                            <w:r w:rsidRPr="00852A71">
                              <w:rPr>
                                <w:b/>
                              </w:rPr>
                              <w:t>HPHI5004</w:t>
                            </w:r>
                          </w:p>
                          <w:p w:rsidR="00852A71" w:rsidRPr="00852A71" w:rsidRDefault="00852A71" w:rsidP="00852A71">
                            <w:pPr>
                              <w:spacing w:line="480" w:lineRule="auto"/>
                              <w:jc w:val="center"/>
                              <w:rPr>
                                <w:b/>
                              </w:rPr>
                            </w:pPr>
                            <w:r w:rsidRPr="00852A71">
                              <w:rPr>
                                <w:b/>
                              </w:rPr>
                              <w:t>‘Khaki Fever’ and Its Control: Gender, Class, Age and Sexual Morality on the British Homefront in the First World War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anchor>
            </w:drawing>
          </mc:Choice>
          <mc:Fallback>
            <w:pict>
              <v:shapetype id="_x0000_t202" coordsize="21600,21600" o:spt="202" path="m,l,21600r21600,l21600,xe">
                <v:stroke joinstyle="miter"/>
                <v:path gradientshapeok="t" o:connecttype="rect"/>
              </v:shapetype>
              <v:shape id="Text Box 1" o:spid="_x0000_s1026" type="#_x0000_t202" style="position:absolute;margin-left:0;margin-top:0;width:350.25pt;height:203.25pt;z-index:251659264;visibility:visible;mso-wrap-style:square;mso-wrap-distance-left:9pt;mso-wrap-distance-top:0;mso-wrap-distance-right:9pt;mso-wrap-distance-bottom:0;mso-position-horizontal:center;mso-position-horizontal-relative:margin;mso-position-vertical:center;mso-position-vertical-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" fillcolor="white [3201]" stroked="f" strokeweight=".5pt">
                <v:textbox style="mso-fit-shape-to-text:t">
                  <w:txbxContent>
                    <w:p w:rsidR="00852A71" w:rsidRPr="00852A71" w:rsidRDefault="00852A71" w:rsidP="00852A71">
                      <w:pPr>
                        <w:spacing w:line="480" w:lineRule="auto"/>
                        <w:jc w:val="center"/>
                        <w:rPr>
                          <w:b/>
                        </w:rPr>
                      </w:pPr>
                      <w:r w:rsidRPr="00852A71">
                        <w:rPr>
                          <w:b/>
                        </w:rPr>
                        <w:t>Claire Mann</w:t>
                      </w:r>
                    </w:p>
                    <w:p w:rsidR="00852A71" w:rsidRPr="00852A71" w:rsidRDefault="00852A71" w:rsidP="00852A71">
                      <w:pPr>
                        <w:spacing w:line="480" w:lineRule="auto"/>
                        <w:jc w:val="center"/>
                        <w:rPr>
                          <w:b/>
                        </w:rPr>
                      </w:pPr>
                      <w:r w:rsidRPr="00852A71">
                        <w:rPr>
                          <w:b/>
                        </w:rPr>
                        <w:t>HPHI5004</w:t>
                      </w:r>
                    </w:p>
                    <w:p w:rsidR="00852A71" w:rsidRPr="00852A71" w:rsidRDefault="00852A71" w:rsidP="00852A71">
                      <w:pPr>
                        <w:spacing w:line="480" w:lineRule="auto"/>
                        <w:jc w:val="center"/>
                        <w:rPr>
                          <w:b/>
                        </w:rPr>
                      </w:pPr>
                      <w:r w:rsidRPr="00852A71">
                        <w:rPr>
                          <w:b/>
                        </w:rPr>
                        <w:t>‘Khaki Fever’ and Its Control: Gender, Class, Age and Sexual Morality on the British Homefront in the First World War</w:t>
                      </w:r>
                    </w:p>
                  </w:txbxContent>
                </v:textbox>
                <w10:wrap type="square" anchorx="margin" anchory="margin"/>
              </v:shape>
            </w:pict>
          </mc:Fallback>
        </mc:AlternateContent>
      </w:r>
    </w:p>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p w:rsidR="00353AD3" w:rsidRDefault="00353AD3" w:rsidP="00A10C17">
      <w:pPr>
        <w:spacing w:line="480" w:lineRule="auto"/>
      </w:pPr>
      <w:r>
        <w:lastRenderedPageBreak/>
        <w:t xml:space="preserve">For this Portfolio piece I am going to analyse the academic journal ‘Khaki Fever’ and </w:t>
      </w:r>
      <w:r w:rsidR="00852A71">
        <w:t>I</w:t>
      </w:r>
      <w:r w:rsidR="00A10C17">
        <w:t>ts</w:t>
      </w:r>
      <w:r w:rsidR="00852A71">
        <w:t xml:space="preserve"> C</w:t>
      </w:r>
      <w:r>
        <w:t>ontrol: Gender, Class, Age and Sexual Morality on the British Homefront in the First World War.  Portions of which were presented at the Western</w:t>
      </w:r>
      <w:r w:rsidR="006D1A9C">
        <w:t xml:space="preserve"> Conference on British Studies</w:t>
      </w:r>
      <w:r>
        <w:t xml:space="preserve"> in New Orleans, Louisiana 28-29 October 1988</w:t>
      </w:r>
      <w:r>
        <w:rPr>
          <w:rStyle w:val="FootnoteReference"/>
        </w:rPr>
        <w:footnoteReference w:id="1"/>
      </w:r>
      <w:r w:rsidR="00A10C17">
        <w:t xml:space="preserve"> by the author Professor Angela </w:t>
      </w:r>
      <w:proofErr w:type="spellStart"/>
      <w:r w:rsidR="00A10C17">
        <w:t>Woollacott</w:t>
      </w:r>
      <w:proofErr w:type="spellEnd"/>
      <w:r w:rsidR="00A10C17">
        <w:t>.</w:t>
      </w:r>
      <w:r w:rsidR="00813B74">
        <w:t xml:space="preserve"> To assist me in doing this I intend on using academic journals and books</w:t>
      </w:r>
      <w:r w:rsidR="007446C0">
        <w:t xml:space="preserve"> by modern historians</w:t>
      </w:r>
      <w:r w:rsidR="00813B74">
        <w:t>.</w:t>
      </w:r>
    </w:p>
    <w:p w:rsidR="004B0BDD" w:rsidRDefault="004B0BDD" w:rsidP="00A10C17">
      <w:pPr>
        <w:spacing w:line="480" w:lineRule="auto"/>
      </w:pPr>
    </w:p>
    <w:p w:rsidR="00A10C17" w:rsidRDefault="00A10C17" w:rsidP="00A10C17">
      <w:pPr>
        <w:spacing w:line="480" w:lineRule="auto"/>
      </w:pPr>
      <w:r>
        <w:t xml:space="preserve">Angela Woollacott is the Manning Clark Professor of History her vast areas of research include British Empire and Post-Colonial History; Political History along with Women’s and Gender History.  She has written many journal articles and books with one of her best sellers being: On her their lives depend: Munitions Workers on the Great War (1994). </w:t>
      </w:r>
    </w:p>
    <w:p w:rsidR="00813B74" w:rsidRDefault="00813B74" w:rsidP="00A10C17">
      <w:pPr>
        <w:spacing w:line="480" w:lineRule="auto"/>
      </w:pPr>
    </w:p>
    <w:p w:rsidR="004B0BDD" w:rsidRDefault="00A10C17" w:rsidP="00A10C17">
      <w:pPr>
        <w:spacing w:line="480" w:lineRule="auto"/>
      </w:pPr>
      <w:r>
        <w:t>In late 1914 with the outbreak of the Great War there was a rise in sex</w:t>
      </w:r>
      <w:r w:rsidR="006D4D64">
        <w:t>ual permissiveness, a</w:t>
      </w:r>
      <w:r>
        <w:t>n excitement among young women</w:t>
      </w:r>
      <w:r w:rsidR="00EE6EF5">
        <w:t>.</w:t>
      </w:r>
      <w:r w:rsidR="00A50796">
        <w:t xml:space="preserve"> This excitement sparked fear, fear that this was more than the lax morality of the ‘rough’ poor, It was viewed as a contagion infecting even the ‘respectable’ classes, perhaps threatening the middle classes itself.</w:t>
      </w:r>
      <w:r w:rsidR="00EE6EF5">
        <w:t xml:space="preserve"> The</w:t>
      </w:r>
      <w:r w:rsidR="00A50796">
        <w:t xml:space="preserve"> women and young girls</w:t>
      </w:r>
      <w:r w:rsidR="00EE6EF5">
        <w:t xml:space="preserve"> were said to be so attracted to the new uniformed soldiers that were arriving in</w:t>
      </w:r>
      <w:r w:rsidR="004B0BDD">
        <w:t xml:space="preserve"> the towns that the</w:t>
      </w:r>
      <w:r w:rsidR="00EE6EF5">
        <w:t xml:space="preserve"> change in their behaviour resulted in people thinking they were suffering from a fever, the short lived epidemic known as ‘Khaki Fever’.  </w:t>
      </w:r>
    </w:p>
    <w:p w:rsidR="006871AB" w:rsidRDefault="00624552" w:rsidP="00A10C17">
      <w:pPr>
        <w:spacing w:line="480" w:lineRule="auto"/>
      </w:pPr>
      <w:r>
        <w:t>With the upsurge of patriotic feeling the new recruits were being warmly welcomed by men, women a</w:t>
      </w:r>
      <w:r w:rsidR="004B0BDD">
        <w:t xml:space="preserve">nd young people of both sexes. </w:t>
      </w:r>
      <w:r w:rsidR="006871AB">
        <w:t xml:space="preserve"> </w:t>
      </w:r>
      <w:r w:rsidR="006871AB" w:rsidRPr="006871AB">
        <w:t xml:space="preserve">This attraction did not affect only women and girls but young boys too, for the vicarious thrill of hanging about the troops was comparable to that of the girls excluding the sex.  Many young boys were frustrated at being below the enlistment age and therefore too young to join up. This was as near as they could get to the war effort.  It could be they hung around </w:t>
      </w:r>
      <w:r w:rsidR="006871AB" w:rsidRPr="006871AB">
        <w:lastRenderedPageBreak/>
        <w:t>wanting to prove their masculinity though I think it could also be argued that the young boys may well just have missed male input.  With the outbreak of war and the sudden disruption caused to family lives with fathers and brothers quickly being sent away to fight for Queen and country, with no guarantee that they would ever return, I think it would be fair to assume that these boys felt they were left with a big void in their lives</w:t>
      </w:r>
      <w:r w:rsidR="006871AB">
        <w:t>.</w:t>
      </w:r>
    </w:p>
    <w:p w:rsidR="006871AB" w:rsidRDefault="006871AB" w:rsidP="00A10C17">
      <w:pPr>
        <w:spacing w:line="480" w:lineRule="auto"/>
      </w:pPr>
    </w:p>
    <w:p w:rsidR="006871AB" w:rsidRDefault="006871AB" w:rsidP="00A10C17">
      <w:pPr>
        <w:spacing w:line="480" w:lineRule="auto"/>
      </w:pPr>
      <w:r>
        <w:t xml:space="preserve">It wasn’t the </w:t>
      </w:r>
      <w:r w:rsidR="00624552">
        <w:t>presence</w:t>
      </w:r>
      <w:r>
        <w:t xml:space="preserve"> of boys that were a worry it was that</w:t>
      </w:r>
      <w:r w:rsidR="00624552">
        <w:t xml:space="preserve"> of </w:t>
      </w:r>
      <w:r>
        <w:t xml:space="preserve">the </w:t>
      </w:r>
      <w:r w:rsidR="00624552">
        <w:t xml:space="preserve">young girls hanging vicariously around the army camps </w:t>
      </w:r>
      <w:r w:rsidR="00500122">
        <w:t xml:space="preserve">that </w:t>
      </w:r>
      <w:r w:rsidR="00624552">
        <w:t xml:space="preserve">became a growing concern for police and military authorities. </w:t>
      </w:r>
      <w:r>
        <w:t xml:space="preserve"> I think the assumption that the girls were promiscuous is a little unfair, I’m sure they were facing the same psychological distress as the boys with regard to the void left by absent family members</w:t>
      </w:r>
      <w:r w:rsidR="00813B74">
        <w:t>, and the need for male input.  It is also important to note that early on in the war they didn’t have the same patriotic outlet for their urge to participate in the national effort.  Their presence at army barracks could just have innocently been them wanting to feel near to the action, giving the pretence they were doing their bit for the cause.</w:t>
      </w:r>
    </w:p>
    <w:p w:rsidR="00813B74" w:rsidRDefault="000C1F9B" w:rsidP="00A10C17">
      <w:pPr>
        <w:spacing w:line="480" w:lineRule="auto"/>
      </w:pPr>
      <w:r>
        <w:t xml:space="preserve">Richard A. </w:t>
      </w:r>
      <w:proofErr w:type="spellStart"/>
      <w:r>
        <w:t>Voeltz</w:t>
      </w:r>
      <w:proofErr w:type="spellEnd"/>
      <w:r>
        <w:t xml:space="preserve"> suggests that even though the Girl Guides had been set up prior to the war, its original goal in 1910 was to provide an organisation that would create good wives and mothers for the British Empire.  </w:t>
      </w:r>
      <w:r w:rsidR="0039663E">
        <w:t>In 1914 the number of enrolled G</w:t>
      </w:r>
      <w:r>
        <w:t>uides stood at 40,000 however by 1918 t</w:t>
      </w:r>
      <w:r w:rsidR="00783042">
        <w:t>he numbers had dramatically risen</w:t>
      </w:r>
      <w:r>
        <w:t>, almost doubling to 70,000.</w:t>
      </w:r>
      <w:r>
        <w:rPr>
          <w:rStyle w:val="FootnoteReference"/>
        </w:rPr>
        <w:footnoteReference w:id="2"/>
      </w:r>
      <w:r>
        <w:t xml:space="preserve"> He argues that the Guides acted as a cure, or antidote, for ‘</w:t>
      </w:r>
      <w:proofErr w:type="spellStart"/>
      <w:r>
        <w:t>flapperdom</w:t>
      </w:r>
      <w:proofErr w:type="spellEnd"/>
      <w:r>
        <w:t>’ and ‘war fever’</w:t>
      </w:r>
      <w:r w:rsidR="00783042">
        <w:t xml:space="preserve"> otherwise known as</w:t>
      </w:r>
      <w:r>
        <w:t xml:space="preserve"> ‘khaki fever’.</w:t>
      </w:r>
      <w:r>
        <w:rPr>
          <w:rStyle w:val="FootnoteReference"/>
        </w:rPr>
        <w:footnoteReference w:id="3"/>
      </w:r>
    </w:p>
    <w:p w:rsidR="004B0BDD" w:rsidRDefault="00883455" w:rsidP="00A10C17">
      <w:pPr>
        <w:spacing w:line="480" w:lineRule="auto"/>
      </w:pPr>
      <w:r>
        <w:t>However the</w:t>
      </w:r>
      <w:r w:rsidR="00813B74">
        <w:t xml:space="preserve"> presence</w:t>
      </w:r>
      <w:r>
        <w:t xml:space="preserve"> of these young girls  became</w:t>
      </w:r>
      <w:r w:rsidR="00813B74">
        <w:t xml:space="preserve"> a growing concern, and </w:t>
      </w:r>
      <w:r w:rsidR="004B0BDD">
        <w:t xml:space="preserve">Tory MP Ronald McNeill spread fears of a population explosion of ‘war babies’ around camps, making the country aware of the disturbing phenomenon of ‘war nymphomania’ and warned of an impending spate of illegitimate </w:t>
      </w:r>
      <w:r w:rsidR="004B0BDD">
        <w:lastRenderedPageBreak/>
        <w:t>babies borne by women who frequented soldiers in local barracks.</w:t>
      </w:r>
      <w:r w:rsidR="004B0BDD">
        <w:rPr>
          <w:rStyle w:val="FootnoteReference"/>
        </w:rPr>
        <w:footnoteReference w:id="4"/>
      </w:r>
      <w:r w:rsidR="004B0BDD">
        <w:t xml:space="preserve"> Urging that the unfortunate mothers, ‘both for the children’s sake and their </w:t>
      </w:r>
      <w:r w:rsidR="00813B74">
        <w:t>own, should</w:t>
      </w:r>
      <w:r w:rsidR="004B0BDD">
        <w:t xml:space="preserve"> be saved from the degradation which too often follows a single lapse of virtue.</w:t>
      </w:r>
      <w:r w:rsidR="004B0BDD">
        <w:rPr>
          <w:rStyle w:val="FootnoteReference"/>
        </w:rPr>
        <w:footnoteReference w:id="5"/>
      </w:r>
    </w:p>
    <w:p w:rsidR="004B0BDD" w:rsidRDefault="00B8043A" w:rsidP="00A10C17">
      <w:pPr>
        <w:spacing w:line="480" w:lineRule="auto"/>
      </w:pPr>
      <w:r>
        <w:t xml:space="preserve">This concern with the behaviour of young women and girls provided an opportunity for feminist to express their case for the need for women police to deal with the wayward women. </w:t>
      </w:r>
      <w:r w:rsidR="00624552">
        <w:t>As a result over 1000 women police volunteers patrolled the streets, to curb the ‘amateur drift’ of women and girls into prostitution.</w:t>
      </w:r>
      <w:r w:rsidR="00624552">
        <w:rPr>
          <w:rStyle w:val="FootnoteReference"/>
        </w:rPr>
        <w:footnoteReference w:id="6"/>
      </w:r>
      <w:r w:rsidR="00ED5F36">
        <w:t xml:space="preserve"> </w:t>
      </w:r>
      <w:r w:rsidR="004B0BDD">
        <w:t>They adopted an interventionist style of rescue work, warning young girls the danger of immoral behaviour.</w:t>
      </w:r>
    </w:p>
    <w:p w:rsidR="00883455" w:rsidRDefault="00347B24" w:rsidP="00A10C17">
      <w:pPr>
        <w:spacing w:line="480" w:lineRule="auto"/>
      </w:pPr>
      <w:r>
        <w:t>That said, there was a ‘gap’ in the market for police officers, in February 1915 the English politician and lawyer Montagu Sharpe stated that in his opinion there had been a considerable drop in crime rates, by as much as 90 per cent.  This decline was believed to be fortunate given the effects the war was having upon the Metropolitan Police, 1700 officers had volunteered for the military and a further 1000 had been deployed to guard ministry</w:t>
      </w:r>
      <w:r w:rsidR="00750A6B">
        <w:t xml:space="preserve"> installations.</w:t>
      </w:r>
      <w:r w:rsidR="00750A6B">
        <w:rPr>
          <w:rStyle w:val="FootnoteReference"/>
        </w:rPr>
        <w:footnoteReference w:id="7"/>
      </w:r>
      <w:r w:rsidR="00750A6B">
        <w:t xml:space="preserve"> </w:t>
      </w:r>
      <w:proofErr w:type="gramStart"/>
      <w:r w:rsidR="00750A6B">
        <w:t>This leaving the Metropolitan Police, short on officers, and possibly leaving an opening for the introduction of female officers.</w:t>
      </w:r>
      <w:proofErr w:type="gramEnd"/>
    </w:p>
    <w:p w:rsidR="00750A6B" w:rsidRDefault="00750A6B" w:rsidP="00A10C17">
      <w:pPr>
        <w:spacing w:line="480" w:lineRule="auto"/>
      </w:pPr>
      <w:r>
        <w:t>One explanation given for the drop in crime is in part due to the amount of people that had been living in poverty had declined, and for many living on the fringes of society, that had previously been attracted to petty crimes were now enlisted to fight.  Another factor to consider could possibly be the introductio</w:t>
      </w:r>
      <w:r w:rsidR="00D24CDF">
        <w:t>n of alcohol restrictions.  E</w:t>
      </w:r>
      <w:r>
        <w:t>ven though the war in some ways did cause a drop in crime figures it seems to have produced an increase in sex-related crimes and prostitution.  One lady officer serving at the time detailed 383 cases of prostitution in polite Grantham in 1917, suggesting it was over zealous policing rather than an extraordinary level of vice.</w:t>
      </w:r>
      <w:r>
        <w:rPr>
          <w:rStyle w:val="FootnoteReference"/>
        </w:rPr>
        <w:footnoteReference w:id="8"/>
      </w:r>
      <w:r w:rsidR="00046845">
        <w:t xml:space="preserve">This I feel is a good judgement </w:t>
      </w:r>
      <w:r w:rsidR="00046845">
        <w:lastRenderedPageBreak/>
        <w:t xml:space="preserve">to make as I feel sure the newly listed women police officers surely felt that they needed to </w:t>
      </w:r>
      <w:r w:rsidR="00E224DE">
        <w:t>‘</w:t>
      </w:r>
      <w:r w:rsidR="00046845">
        <w:t>prove their worth</w:t>
      </w:r>
      <w:r w:rsidR="00E224DE">
        <w:t>’</w:t>
      </w:r>
      <w:r w:rsidR="00046845">
        <w:t>.</w:t>
      </w:r>
    </w:p>
    <w:p w:rsidR="004B0BDD" w:rsidRDefault="00ED5F36" w:rsidP="00A10C17">
      <w:pPr>
        <w:spacing w:line="480" w:lineRule="auto"/>
      </w:pPr>
      <w:r>
        <w:t xml:space="preserve">The other concern </w:t>
      </w:r>
      <w:r w:rsidR="00046845">
        <w:t xml:space="preserve">with ‘Khaki Fever’ </w:t>
      </w:r>
      <w:r>
        <w:t xml:space="preserve">was the spread of Venereal </w:t>
      </w:r>
      <w:r w:rsidR="004B0BDD">
        <w:t>diseases.  The Edwardians had viewed VD as something which men gave to helpless women; now the disease was seen as a scourge inflicted upon innocent Tommies by lascivious harlots.</w:t>
      </w:r>
      <w:r w:rsidR="004B0BDD">
        <w:rPr>
          <w:rStyle w:val="FootnoteReference"/>
        </w:rPr>
        <w:footnoteReference w:id="9"/>
      </w:r>
      <w:r w:rsidR="004B0BDD">
        <w:t xml:space="preserve"> The Royal Commission for Venereal Diseases reported that in working class areas of London 8-12 per cent of men and 3-7 per cent of women suffered from syphilis with higher figures for gonorrhoea.</w:t>
      </w:r>
      <w:r w:rsidR="004B0BDD">
        <w:rPr>
          <w:rStyle w:val="FootnoteReference"/>
        </w:rPr>
        <w:footnoteReference w:id="10"/>
      </w:r>
      <w:r w:rsidR="004B0BDD">
        <w:t xml:space="preserve"> This instilled a </w:t>
      </w:r>
      <w:r>
        <w:t>fear that promiscuity amongst members of the armed forces would weaken the British war effort.</w:t>
      </w:r>
      <w:r>
        <w:rPr>
          <w:rStyle w:val="FootnoteReference"/>
        </w:rPr>
        <w:footnoteReference w:id="11"/>
      </w:r>
      <w:r w:rsidR="00B55302">
        <w:t xml:space="preserve">   </w:t>
      </w:r>
      <w:r w:rsidR="006D4D64">
        <w:t xml:space="preserve"> </w:t>
      </w:r>
      <w:r w:rsidR="00A96FA8">
        <w:t xml:space="preserve"> </w:t>
      </w:r>
    </w:p>
    <w:p w:rsidR="004B0BDD" w:rsidRDefault="004B0BDD" w:rsidP="00A10C17">
      <w:pPr>
        <w:spacing w:line="480" w:lineRule="auto"/>
      </w:pPr>
    </w:p>
    <w:p w:rsidR="00A10C17" w:rsidRDefault="00A96FA8" w:rsidP="00A10C17">
      <w:pPr>
        <w:spacing w:line="480" w:lineRule="auto"/>
      </w:pPr>
      <w:r>
        <w:t>The Contagious Diseases Act had been in place since 1860 and gave the British P</w:t>
      </w:r>
      <w:r w:rsidR="00AE1DE0">
        <w:t>olice the power to</w:t>
      </w:r>
      <w:r>
        <w:t xml:space="preserve"> inforce a</w:t>
      </w:r>
      <w:r w:rsidR="00B8043A">
        <w:t xml:space="preserve"> medical</w:t>
      </w:r>
      <w:r w:rsidR="004B0BDD">
        <w:t>,</w:t>
      </w:r>
      <w:r w:rsidR="00B8043A">
        <w:t xml:space="preserve"> </w:t>
      </w:r>
      <w:r>
        <w:t>genital examination upon anyone they beli</w:t>
      </w:r>
      <w:r w:rsidR="00AE1DE0">
        <w:t xml:space="preserve">eved were acting as a prostitute, if the woman in question tested positive she would be detained in hospital.  However </w:t>
      </w:r>
      <w:r w:rsidR="004B0BDD">
        <w:t xml:space="preserve">in March 1918 </w:t>
      </w:r>
      <w:r w:rsidR="00AE1DE0">
        <w:t>the Defence of The Realm Act introduced a new regulation, regulati</w:t>
      </w:r>
      <w:r w:rsidR="004B0BDD">
        <w:t>on 40d.</w:t>
      </w:r>
      <w:r w:rsidR="004B0BDD" w:rsidRPr="004B0BDD">
        <w:t xml:space="preserve"> </w:t>
      </w:r>
      <w:r w:rsidR="004B0BDD">
        <w:t>The motivation behind its implementation, empowered magistrates to conflate chastity and patriotism and thereby control women’s sexuality in the name of national security.</w:t>
      </w:r>
      <w:r w:rsidR="004B0BDD">
        <w:rPr>
          <w:rStyle w:val="FootnoteReference"/>
        </w:rPr>
        <w:footnoteReference w:id="12"/>
      </w:r>
      <w:r w:rsidR="004B0BDD">
        <w:t xml:space="preserve"> The regulation was passed </w:t>
      </w:r>
      <w:r w:rsidR="00AE1DE0">
        <w:t>and</w:t>
      </w:r>
      <w:r w:rsidR="004B0BDD">
        <w:t xml:space="preserve">, </w:t>
      </w:r>
      <w:r w:rsidR="00AE1DE0">
        <w:t xml:space="preserve">made it illegal for any woman, not just prostitutes but also  ‘amateurs’ or ‘flappers’ </w:t>
      </w:r>
      <w:r w:rsidR="0080439B">
        <w:t xml:space="preserve"> afflicted with a venereal disease to have intercourse.  The woman in question could be arrested for having sex with her own husband, even if he had infected her in the first place.</w:t>
      </w:r>
      <w:r w:rsidR="0080439B">
        <w:rPr>
          <w:rStyle w:val="FootnoteReference"/>
        </w:rPr>
        <w:footnoteReference w:id="13"/>
      </w:r>
      <w:r w:rsidR="0080439B">
        <w:t xml:space="preserve">  </w:t>
      </w:r>
    </w:p>
    <w:p w:rsidR="00046845" w:rsidRDefault="00046845" w:rsidP="00A10C17">
      <w:pPr>
        <w:spacing w:line="480" w:lineRule="auto"/>
      </w:pPr>
    </w:p>
    <w:p w:rsidR="00046845" w:rsidRDefault="00046845" w:rsidP="00A10C17">
      <w:pPr>
        <w:spacing w:line="480" w:lineRule="auto"/>
      </w:pPr>
    </w:p>
    <w:p w:rsidR="004B0BDD" w:rsidRDefault="00046845" w:rsidP="00A10C17">
      <w:pPr>
        <w:spacing w:line="480" w:lineRule="auto"/>
      </w:pPr>
      <w:r>
        <w:lastRenderedPageBreak/>
        <w:t xml:space="preserve">To conclude I find it hard to believe that ‘Khaki Fever’ just developed almost overnight which is what is being suggested.  I cannot imagine women and young girls just became promiscuous </w:t>
      </w:r>
      <w:r w:rsidR="00E224DE">
        <w:t>at the sight of a khaki uniform</w:t>
      </w:r>
      <w:r>
        <w:t xml:space="preserve">.  I feel, that as an explanation  </w:t>
      </w:r>
      <w:r w:rsidR="007446C0">
        <w:t xml:space="preserve">with regard to the </w:t>
      </w:r>
      <w:r>
        <w:t xml:space="preserve"> younger girls</w:t>
      </w:r>
      <w:r w:rsidR="007446C0">
        <w:t>,</w:t>
      </w:r>
      <w:r>
        <w:t xml:space="preserve"> they must have had promiscuous tendencies prior to the war, however they had to keep it ‘under wraps’ from their fathers and brothers who were now </w:t>
      </w:r>
      <w:r w:rsidR="007446C0">
        <w:t xml:space="preserve">absent which allowed them to express that side of them.  It could also be argued that if the attraction from young girls was merely to fill the void with regard to their fathers and brothers being </w:t>
      </w:r>
      <w:r w:rsidR="00E224DE">
        <w:t>absent</w:t>
      </w:r>
      <w:r w:rsidR="007446C0">
        <w:t xml:space="preserve"> were they in fact taken advantage of</w:t>
      </w:r>
      <w:bookmarkStart w:id="0" w:name="_GoBack"/>
      <w:bookmarkEnd w:id="0"/>
      <w:r w:rsidR="007446C0">
        <w:t>?</w:t>
      </w: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Default="007446C0" w:rsidP="00A10C17">
      <w:pPr>
        <w:spacing w:line="480" w:lineRule="auto"/>
      </w:pPr>
    </w:p>
    <w:p w:rsidR="007446C0" w:rsidRPr="007446C0" w:rsidRDefault="007446C0" w:rsidP="007446C0">
      <w:pPr>
        <w:spacing w:line="480" w:lineRule="auto"/>
        <w:jc w:val="center"/>
        <w:rPr>
          <w:b/>
          <w:u w:val="single"/>
        </w:rPr>
      </w:pPr>
      <w:r w:rsidRPr="007446C0">
        <w:rPr>
          <w:b/>
          <w:u w:val="single"/>
        </w:rPr>
        <w:lastRenderedPageBreak/>
        <w:t>BIBLIOGRAPHY</w:t>
      </w:r>
    </w:p>
    <w:p w:rsidR="007446C0" w:rsidRPr="007446C0" w:rsidRDefault="007446C0" w:rsidP="007446C0">
      <w:pPr>
        <w:spacing w:line="480" w:lineRule="auto"/>
        <w:rPr>
          <w:b/>
          <w:u w:val="single"/>
        </w:rPr>
      </w:pPr>
      <w:r w:rsidRPr="007446C0">
        <w:rPr>
          <w:b/>
          <w:u w:val="single"/>
        </w:rPr>
        <w:t>BOOKS</w:t>
      </w:r>
    </w:p>
    <w:p w:rsidR="007446C0" w:rsidRDefault="007446C0" w:rsidP="007446C0">
      <w:pPr>
        <w:spacing w:line="480" w:lineRule="auto"/>
      </w:pPr>
      <w:r>
        <w:t xml:space="preserve">Gerard </w:t>
      </w:r>
      <w:proofErr w:type="spellStart"/>
      <w:r>
        <w:t>J.DeGroot</w:t>
      </w:r>
      <w:proofErr w:type="spellEnd"/>
      <w:r>
        <w:t xml:space="preserve">, </w:t>
      </w:r>
      <w:proofErr w:type="spellStart"/>
      <w:r>
        <w:t>Blighty</w:t>
      </w:r>
      <w:proofErr w:type="spellEnd"/>
      <w:r>
        <w:t xml:space="preserve"> British Society in the Era of the Great War (United States of America: Longman, 1995)</w:t>
      </w:r>
    </w:p>
    <w:p w:rsidR="007446C0" w:rsidRDefault="007446C0" w:rsidP="007446C0">
      <w:pPr>
        <w:spacing w:line="480" w:lineRule="auto"/>
      </w:pPr>
      <w:r>
        <w:t>Alan G.V. Simmonds, Britain and World War One (Oxon: Routledge, 2012)</w:t>
      </w:r>
    </w:p>
    <w:p w:rsidR="007446C0" w:rsidRDefault="007446C0" w:rsidP="007446C0">
      <w:pPr>
        <w:spacing w:line="480" w:lineRule="auto"/>
      </w:pPr>
      <w:r>
        <w:t xml:space="preserve">Arthur Marwick, </w:t>
      </w:r>
      <w:proofErr w:type="gramStart"/>
      <w:r>
        <w:t>The</w:t>
      </w:r>
      <w:proofErr w:type="gramEnd"/>
      <w:r>
        <w:t xml:space="preserve"> Deluge (London: MACMILLAN PRESS LTD, 1965).</w:t>
      </w:r>
    </w:p>
    <w:p w:rsidR="007446C0" w:rsidRDefault="007446C0" w:rsidP="007446C0">
      <w:pPr>
        <w:spacing w:line="480" w:lineRule="auto"/>
      </w:pPr>
    </w:p>
    <w:p w:rsidR="007446C0" w:rsidRPr="007446C0" w:rsidRDefault="007446C0" w:rsidP="007446C0">
      <w:pPr>
        <w:spacing w:line="480" w:lineRule="auto"/>
        <w:rPr>
          <w:b/>
          <w:u w:val="single"/>
        </w:rPr>
      </w:pPr>
      <w:r w:rsidRPr="007446C0">
        <w:rPr>
          <w:b/>
          <w:u w:val="single"/>
        </w:rPr>
        <w:t>JOURNALS</w:t>
      </w:r>
    </w:p>
    <w:p w:rsidR="007446C0" w:rsidRDefault="007446C0" w:rsidP="007446C0">
      <w:pPr>
        <w:spacing w:line="480" w:lineRule="auto"/>
      </w:pPr>
      <w:r>
        <w:t xml:space="preserve">Richard A. </w:t>
      </w:r>
      <w:proofErr w:type="spellStart"/>
      <w:r>
        <w:t>Voeltz</w:t>
      </w:r>
      <w:proofErr w:type="spellEnd"/>
      <w:r>
        <w:t>, 'The Antidote to 'Khaki Fever'? The expansion of the British Girl Guides during the First World War', Journal of Contemporary History, 27, (1992)</w:t>
      </w:r>
    </w:p>
    <w:p w:rsidR="007446C0" w:rsidRDefault="007446C0" w:rsidP="007446C0">
      <w:pPr>
        <w:spacing w:line="480" w:lineRule="auto"/>
      </w:pPr>
      <w:r>
        <w:t>Alex Rock, 'The 'khaki fever' moral panic: Women’s patrols and the policing of cinemas in London 1913-1919', Early Popular Visual Culture, 12.1, (2014)</w:t>
      </w:r>
    </w:p>
    <w:p w:rsidR="007446C0" w:rsidRDefault="007446C0" w:rsidP="007446C0">
      <w:pPr>
        <w:spacing w:line="480" w:lineRule="auto"/>
      </w:pPr>
    </w:p>
    <w:p w:rsidR="007446C0" w:rsidRDefault="007446C0" w:rsidP="007446C0">
      <w:pPr>
        <w:spacing w:line="480" w:lineRule="auto"/>
      </w:pPr>
      <w:r>
        <w:t xml:space="preserve">Laura </w:t>
      </w:r>
      <w:proofErr w:type="spellStart"/>
      <w:r>
        <w:t>Lammasniemi</w:t>
      </w:r>
      <w:proofErr w:type="spellEnd"/>
      <w:r>
        <w:t xml:space="preserve">, 'Regulation 40d', punishing promiscuity on the home front during the First World War, 26.4, (2017), 584-596 </w:t>
      </w:r>
    </w:p>
    <w:p w:rsidR="007446C0" w:rsidRDefault="007446C0" w:rsidP="007446C0">
      <w:pPr>
        <w:spacing w:line="480" w:lineRule="auto"/>
      </w:pPr>
    </w:p>
    <w:p w:rsidR="007446C0" w:rsidRDefault="007446C0" w:rsidP="007446C0">
      <w:pPr>
        <w:spacing w:line="480" w:lineRule="auto"/>
      </w:pPr>
    </w:p>
    <w:p w:rsidR="007446C0" w:rsidRDefault="007446C0" w:rsidP="007446C0">
      <w:pPr>
        <w:spacing w:line="480" w:lineRule="auto"/>
      </w:pPr>
    </w:p>
    <w:p w:rsidR="007446C0" w:rsidRDefault="007446C0" w:rsidP="00A10C17">
      <w:pPr>
        <w:spacing w:line="480" w:lineRule="auto"/>
      </w:pPr>
    </w:p>
    <w:sectPr w:rsidR="007446C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05B74" w:rsidRDefault="00105B74" w:rsidP="00353AD3">
      <w:pPr>
        <w:spacing w:after="0" w:line="240" w:lineRule="auto"/>
      </w:pPr>
      <w:r>
        <w:separator/>
      </w:r>
    </w:p>
  </w:endnote>
  <w:endnote w:type="continuationSeparator" w:id="0">
    <w:p w:rsidR="00105B74" w:rsidRDefault="00105B74" w:rsidP="00353A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05B74" w:rsidRDefault="00105B74" w:rsidP="00353AD3">
      <w:pPr>
        <w:spacing w:after="0" w:line="240" w:lineRule="auto"/>
      </w:pPr>
      <w:r>
        <w:separator/>
      </w:r>
    </w:p>
  </w:footnote>
  <w:footnote w:type="continuationSeparator" w:id="0">
    <w:p w:rsidR="00105B74" w:rsidRDefault="00105B74" w:rsidP="00353AD3">
      <w:pPr>
        <w:spacing w:after="0" w:line="240" w:lineRule="auto"/>
      </w:pPr>
      <w:r>
        <w:continuationSeparator/>
      </w:r>
    </w:p>
  </w:footnote>
  <w:footnote w:id="1">
    <w:p w:rsidR="00353AD3" w:rsidRDefault="00353AD3">
      <w:pPr>
        <w:pStyle w:val="FootnoteText"/>
      </w:pPr>
      <w:r>
        <w:rPr>
          <w:rStyle w:val="FootnoteReference"/>
        </w:rPr>
        <w:footnoteRef/>
      </w:r>
      <w:r>
        <w:t xml:space="preserve"> </w:t>
      </w:r>
      <w:r w:rsidR="00A10C17" w:rsidRPr="00A10C17">
        <w:t xml:space="preserve">Richard A. </w:t>
      </w:r>
      <w:proofErr w:type="spellStart"/>
      <w:r w:rsidR="00A10C17" w:rsidRPr="00A10C17">
        <w:t>Voeltz</w:t>
      </w:r>
      <w:proofErr w:type="spellEnd"/>
      <w:r w:rsidR="00A10C17" w:rsidRPr="00A10C17">
        <w:t xml:space="preserve">, 'The Antidote to 'Khaki Fever'? </w:t>
      </w:r>
      <w:proofErr w:type="gramStart"/>
      <w:r w:rsidR="00A10C17" w:rsidRPr="00A10C17">
        <w:t>The expansion of the British Girl Guides during the First World War', Journal of Contemporary History, 27, (1992), 635.</w:t>
      </w:r>
      <w:proofErr w:type="gramEnd"/>
    </w:p>
  </w:footnote>
  <w:footnote w:id="2">
    <w:p w:rsidR="000C1F9B" w:rsidRDefault="000C1F9B">
      <w:pPr>
        <w:pStyle w:val="FootnoteText"/>
      </w:pPr>
      <w:r>
        <w:rPr>
          <w:rStyle w:val="FootnoteReference"/>
        </w:rPr>
        <w:footnoteRef/>
      </w:r>
      <w:r>
        <w:t xml:space="preserve"> </w:t>
      </w:r>
      <w:r w:rsidRPr="000C1F9B">
        <w:t xml:space="preserve">Richard A </w:t>
      </w:r>
      <w:proofErr w:type="spellStart"/>
      <w:r w:rsidRPr="000C1F9B">
        <w:t>Voeltz</w:t>
      </w:r>
      <w:proofErr w:type="spellEnd"/>
      <w:r w:rsidRPr="000C1F9B">
        <w:t>, '</w:t>
      </w:r>
      <w:proofErr w:type="gramStart"/>
      <w:r w:rsidRPr="000C1F9B">
        <w:t>The</w:t>
      </w:r>
      <w:proofErr w:type="gramEnd"/>
      <w:r w:rsidRPr="000C1F9B">
        <w:t xml:space="preserve"> Antidote to ' Khaki Fever'? The Expansion of the British Girl Guides during the First World War', Journal of Contemporary History, 27.4, (1992), 9 (p. 627).</w:t>
      </w:r>
    </w:p>
  </w:footnote>
  <w:footnote w:id="3">
    <w:p w:rsidR="000C1F9B" w:rsidRDefault="000C1F9B">
      <w:pPr>
        <w:pStyle w:val="FootnoteText"/>
      </w:pPr>
      <w:r>
        <w:rPr>
          <w:rStyle w:val="FootnoteReference"/>
        </w:rPr>
        <w:footnoteRef/>
      </w:r>
      <w:r>
        <w:t xml:space="preserve"> </w:t>
      </w:r>
    </w:p>
  </w:footnote>
  <w:footnote w:id="4">
    <w:p w:rsidR="004B0BDD" w:rsidRDefault="004B0BDD">
      <w:pPr>
        <w:pStyle w:val="FootnoteText"/>
      </w:pPr>
      <w:r>
        <w:rPr>
          <w:rStyle w:val="FootnoteReference"/>
        </w:rPr>
        <w:footnoteRef/>
      </w:r>
      <w:r>
        <w:t xml:space="preserve"> </w:t>
      </w:r>
      <w:r w:rsidRPr="004B0BDD">
        <w:t>Alan G.V. Simmonds, Britain and World War One (Oxon: Routledge, 2012), p. 180.</w:t>
      </w:r>
    </w:p>
  </w:footnote>
  <w:footnote w:id="5">
    <w:p w:rsidR="004B0BDD" w:rsidRDefault="004B0BDD">
      <w:pPr>
        <w:pStyle w:val="FootnoteText"/>
      </w:pPr>
      <w:r>
        <w:rPr>
          <w:rStyle w:val="FootnoteReference"/>
        </w:rPr>
        <w:footnoteRef/>
      </w:r>
      <w:r>
        <w:t xml:space="preserve"> </w:t>
      </w:r>
      <w:r w:rsidRPr="004B0BDD">
        <w:t xml:space="preserve">Gerard </w:t>
      </w:r>
      <w:proofErr w:type="spellStart"/>
      <w:r w:rsidRPr="004B0BDD">
        <w:t>J.DeGroot</w:t>
      </w:r>
      <w:proofErr w:type="spellEnd"/>
      <w:r w:rsidRPr="004B0BDD">
        <w:t xml:space="preserve">, </w:t>
      </w:r>
      <w:proofErr w:type="spellStart"/>
      <w:r w:rsidRPr="004B0BDD">
        <w:t>Blighty</w:t>
      </w:r>
      <w:proofErr w:type="spellEnd"/>
      <w:r w:rsidRPr="004B0BDD">
        <w:t xml:space="preserve"> British Society in the Era of the Great War (United States of America: Longman, 1995), p215</w:t>
      </w:r>
    </w:p>
  </w:footnote>
  <w:footnote w:id="6">
    <w:p w:rsidR="00624552" w:rsidRDefault="00624552">
      <w:pPr>
        <w:pStyle w:val="FootnoteText"/>
      </w:pPr>
      <w:r>
        <w:rPr>
          <w:rStyle w:val="FootnoteReference"/>
        </w:rPr>
        <w:footnoteRef/>
      </w:r>
      <w:r>
        <w:t xml:space="preserve"> </w:t>
      </w:r>
      <w:r w:rsidR="004B0BDD">
        <w:t>Ibid</w:t>
      </w:r>
      <w:proofErr w:type="gramStart"/>
      <w:r w:rsidR="004B0BDD">
        <w:t>,.</w:t>
      </w:r>
      <w:proofErr w:type="gramEnd"/>
      <w:r w:rsidR="004B0BDD">
        <w:t xml:space="preserve"> p141</w:t>
      </w:r>
    </w:p>
  </w:footnote>
  <w:footnote w:id="7">
    <w:p w:rsidR="00750A6B" w:rsidRDefault="00750A6B">
      <w:pPr>
        <w:pStyle w:val="FootnoteText"/>
      </w:pPr>
      <w:r>
        <w:rPr>
          <w:rStyle w:val="FootnoteReference"/>
        </w:rPr>
        <w:footnoteRef/>
      </w:r>
      <w:r>
        <w:t xml:space="preserve"> </w:t>
      </w:r>
      <w:r w:rsidRPr="00750A6B">
        <w:t>Ibid</w:t>
      </w:r>
      <w:proofErr w:type="gramStart"/>
      <w:r w:rsidRPr="00750A6B">
        <w:t>,.</w:t>
      </w:r>
      <w:proofErr w:type="gramEnd"/>
      <w:r w:rsidRPr="00750A6B">
        <w:t xml:space="preserve"> p141</w:t>
      </w:r>
    </w:p>
  </w:footnote>
  <w:footnote w:id="8">
    <w:p w:rsidR="00750A6B" w:rsidRDefault="00750A6B">
      <w:pPr>
        <w:pStyle w:val="FootnoteText"/>
      </w:pPr>
      <w:r>
        <w:rPr>
          <w:rStyle w:val="FootnoteReference"/>
        </w:rPr>
        <w:footnoteRef/>
      </w:r>
      <w:r>
        <w:t xml:space="preserve"> Ibid</w:t>
      </w:r>
      <w:proofErr w:type="gramStart"/>
      <w:r>
        <w:t>,.</w:t>
      </w:r>
      <w:proofErr w:type="gramEnd"/>
      <w:r>
        <w:t xml:space="preserve"> p142</w:t>
      </w:r>
    </w:p>
  </w:footnote>
  <w:footnote w:id="9">
    <w:p w:rsidR="004B0BDD" w:rsidRDefault="004B0BDD">
      <w:pPr>
        <w:pStyle w:val="FootnoteText"/>
      </w:pPr>
      <w:r>
        <w:rPr>
          <w:rStyle w:val="FootnoteReference"/>
        </w:rPr>
        <w:footnoteRef/>
      </w:r>
      <w:r>
        <w:t xml:space="preserve"> Ibid</w:t>
      </w:r>
      <w:proofErr w:type="gramStart"/>
      <w:r>
        <w:t>,.</w:t>
      </w:r>
      <w:proofErr w:type="gramEnd"/>
      <w:r>
        <w:t xml:space="preserve"> p235</w:t>
      </w:r>
    </w:p>
  </w:footnote>
  <w:footnote w:id="10">
    <w:p w:rsidR="004B0BDD" w:rsidRDefault="004B0BDD">
      <w:pPr>
        <w:pStyle w:val="FootnoteText"/>
      </w:pPr>
      <w:r>
        <w:rPr>
          <w:rStyle w:val="FootnoteReference"/>
        </w:rPr>
        <w:footnoteRef/>
      </w:r>
      <w:r>
        <w:t xml:space="preserve"> Ibid</w:t>
      </w:r>
      <w:proofErr w:type="gramStart"/>
      <w:r>
        <w:t>,.</w:t>
      </w:r>
      <w:proofErr w:type="gramEnd"/>
      <w:r>
        <w:t xml:space="preserve"> p235</w:t>
      </w:r>
    </w:p>
  </w:footnote>
  <w:footnote w:id="11">
    <w:p w:rsidR="00ED5F36" w:rsidRDefault="00ED5F36">
      <w:pPr>
        <w:pStyle w:val="FootnoteText"/>
      </w:pPr>
      <w:r>
        <w:rPr>
          <w:rStyle w:val="FootnoteReference"/>
        </w:rPr>
        <w:footnoteRef/>
      </w:r>
      <w:r>
        <w:t xml:space="preserve"> </w:t>
      </w:r>
      <w:r w:rsidRPr="00ED5F36">
        <w:t>Alex Rock, 'The 'khaki fever' moral panic: Women</w:t>
      </w:r>
      <w:r>
        <w:t>’</w:t>
      </w:r>
      <w:r w:rsidRPr="00ED5F36">
        <w:t>s patrols and the policing of cinemas in London 1913-1919', Early Popular Visual Culture, 12.1, (2014), 59.</w:t>
      </w:r>
    </w:p>
  </w:footnote>
  <w:footnote w:id="12">
    <w:p w:rsidR="004B0BDD" w:rsidRDefault="004B0BDD">
      <w:pPr>
        <w:pStyle w:val="FootnoteText"/>
      </w:pPr>
      <w:r>
        <w:rPr>
          <w:rStyle w:val="FootnoteReference"/>
        </w:rPr>
        <w:footnoteRef/>
      </w:r>
      <w:r>
        <w:t xml:space="preserve"> </w:t>
      </w:r>
      <w:r w:rsidRPr="004B0BDD">
        <w:t xml:space="preserve">Laura </w:t>
      </w:r>
      <w:proofErr w:type="spellStart"/>
      <w:r w:rsidRPr="004B0BDD">
        <w:t>Lammasniemi</w:t>
      </w:r>
      <w:proofErr w:type="spellEnd"/>
      <w:r w:rsidRPr="004B0BDD">
        <w:t>, 'Regulation 40d', punishing promiscuity on the home front during the First World War, 26.4, (2017), 584-596 (p. 587).</w:t>
      </w:r>
    </w:p>
  </w:footnote>
  <w:footnote w:id="13">
    <w:p w:rsidR="0080439B" w:rsidRDefault="0080439B">
      <w:pPr>
        <w:pStyle w:val="FootnoteText"/>
      </w:pPr>
      <w:r>
        <w:rPr>
          <w:rStyle w:val="FootnoteReference"/>
        </w:rPr>
        <w:footnoteRef/>
      </w:r>
      <w:r>
        <w:t xml:space="preserve"> </w:t>
      </w:r>
      <w:r w:rsidRPr="0080439B">
        <w:t xml:space="preserve">Gerard </w:t>
      </w:r>
      <w:proofErr w:type="spellStart"/>
      <w:r w:rsidRPr="0080439B">
        <w:t>J.DeGroot</w:t>
      </w:r>
      <w:proofErr w:type="spellEnd"/>
      <w:r w:rsidRPr="0080439B">
        <w:t xml:space="preserve">, </w:t>
      </w:r>
      <w:proofErr w:type="spellStart"/>
      <w:r w:rsidRPr="0080439B">
        <w:t>Blighty</w:t>
      </w:r>
      <w:proofErr w:type="spellEnd"/>
      <w:r w:rsidRPr="0080439B">
        <w:t xml:space="preserve"> British Society in the Era of the Great War (United States of </w:t>
      </w:r>
      <w:r>
        <w:t>America: Longman, 1995), p. 235.</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53AD3"/>
    <w:rsid w:val="00046845"/>
    <w:rsid w:val="000C1F9B"/>
    <w:rsid w:val="00105B74"/>
    <w:rsid w:val="002F6AB9"/>
    <w:rsid w:val="00332D81"/>
    <w:rsid w:val="00347B24"/>
    <w:rsid w:val="00353AD3"/>
    <w:rsid w:val="0039663E"/>
    <w:rsid w:val="004B0BDD"/>
    <w:rsid w:val="00500122"/>
    <w:rsid w:val="00621F6F"/>
    <w:rsid w:val="00624552"/>
    <w:rsid w:val="006871AB"/>
    <w:rsid w:val="006D1A9C"/>
    <w:rsid w:val="006D4D64"/>
    <w:rsid w:val="007446C0"/>
    <w:rsid w:val="00750A6B"/>
    <w:rsid w:val="00783042"/>
    <w:rsid w:val="0080439B"/>
    <w:rsid w:val="00813B74"/>
    <w:rsid w:val="00852A71"/>
    <w:rsid w:val="00883455"/>
    <w:rsid w:val="00A10C17"/>
    <w:rsid w:val="00A50796"/>
    <w:rsid w:val="00A67400"/>
    <w:rsid w:val="00A754B9"/>
    <w:rsid w:val="00A96FA8"/>
    <w:rsid w:val="00AE1DE0"/>
    <w:rsid w:val="00B55302"/>
    <w:rsid w:val="00B8043A"/>
    <w:rsid w:val="00D24CDF"/>
    <w:rsid w:val="00E224DE"/>
    <w:rsid w:val="00EC396B"/>
    <w:rsid w:val="00ED5F36"/>
    <w:rsid w:val="00EE6EF5"/>
    <w:rsid w:val="00FB6DB2"/>
    <w:rsid w:val="00FD03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3A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3AD3"/>
    <w:rPr>
      <w:sz w:val="20"/>
      <w:szCs w:val="20"/>
    </w:rPr>
  </w:style>
  <w:style w:type="character" w:styleId="FootnoteReference">
    <w:name w:val="footnote reference"/>
    <w:basedOn w:val="DefaultParagraphFont"/>
    <w:uiPriority w:val="99"/>
    <w:semiHidden/>
    <w:unhideWhenUsed/>
    <w:rsid w:val="00353AD3"/>
    <w:rPr>
      <w:vertAlign w:val="superscript"/>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53A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53AD3"/>
    <w:rPr>
      <w:sz w:val="20"/>
      <w:szCs w:val="20"/>
    </w:rPr>
  </w:style>
  <w:style w:type="character" w:styleId="FootnoteReference">
    <w:name w:val="footnote reference"/>
    <w:basedOn w:val="DefaultParagraphFont"/>
    <w:uiPriority w:val="99"/>
    <w:semiHidden/>
    <w:unhideWhenUsed/>
    <w:rsid w:val="00353AD3"/>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5E2309-771C-4F53-B499-80CC762421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1307</Words>
  <Characters>7456</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8746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cp:lastPrinted>2019-11-15T12:24:00Z</cp:lastPrinted>
  <dcterms:created xsi:type="dcterms:W3CDTF">2019-11-15T17:52:00Z</dcterms:created>
  <dcterms:modified xsi:type="dcterms:W3CDTF">2019-11-15T17:52:00Z</dcterms:modified>
</cp:coreProperties>
</file>