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58AB" w:rsidRDefault="00E158AB">
      <w:pPr>
        <w:pStyle w:val="normal0"/>
        <w:rPr>
          <w:color w:val="000000"/>
        </w:rPr>
      </w:pPr>
    </w:p>
    <w:p w:rsidR="00E158AB" w:rsidRDefault="00E158AB">
      <w:pPr>
        <w:pStyle w:val="normal0"/>
        <w:rPr>
          <w:color w:val="000000"/>
        </w:rPr>
      </w:pPr>
    </w:p>
    <w:p w:rsidR="00E158AB" w:rsidRDefault="00E158AB">
      <w:pPr>
        <w:pStyle w:val="normal0"/>
        <w:rPr>
          <w:color w:val="000000"/>
        </w:rPr>
      </w:pPr>
    </w:p>
    <w:p w:rsidR="00E158AB" w:rsidRDefault="000F022B">
      <w:pPr>
        <w:pStyle w:val="normal0"/>
        <w:jc w:val="center"/>
        <w:rPr>
          <w:b/>
          <w:color w:val="000000"/>
        </w:rPr>
      </w:pPr>
      <w:r>
        <w:rPr>
          <w:b/>
          <w:color w:val="000000"/>
        </w:rPr>
        <w:t>Module Code: BMLW4005/BMPL4009</w:t>
      </w:r>
    </w:p>
    <w:p w:rsidR="00E158AB" w:rsidRDefault="000F022B">
      <w:pPr>
        <w:pStyle w:val="normal0"/>
        <w:jc w:val="center"/>
        <w:rPr>
          <w:b/>
          <w:color w:val="000000"/>
        </w:rPr>
      </w:pPr>
      <w:r>
        <w:rPr>
          <w:b/>
          <w:color w:val="000000"/>
        </w:rPr>
        <w:t>Module Title: Criminal law – Assignment 1</w:t>
      </w:r>
    </w:p>
    <w:p w:rsidR="00E158AB" w:rsidRDefault="000F022B">
      <w:pPr>
        <w:pStyle w:val="normal0"/>
        <w:jc w:val="center"/>
        <w:rPr>
          <w:b/>
          <w:color w:val="000000"/>
        </w:rPr>
      </w:pPr>
      <w:r>
        <w:rPr>
          <w:b/>
          <w:color w:val="000000"/>
        </w:rPr>
        <w:t>Assignment Title: Liability by Omission</w:t>
      </w:r>
    </w:p>
    <w:p w:rsidR="000F022B" w:rsidRDefault="000F022B">
      <w:pPr>
        <w:pStyle w:val="normal0"/>
        <w:jc w:val="center"/>
        <w:rPr>
          <w:b/>
          <w:color w:val="000000"/>
        </w:rPr>
      </w:pPr>
      <w:r>
        <w:rPr>
          <w:b/>
          <w:color w:val="000000"/>
        </w:rPr>
        <w:t>Word Count: 1500 words</w:t>
      </w:r>
    </w:p>
    <w:p w:rsidR="000F022B" w:rsidRDefault="000F022B">
      <w:pPr>
        <w:pStyle w:val="normal0"/>
        <w:jc w:val="center"/>
        <w:rPr>
          <w:b/>
          <w:color w:val="000000"/>
        </w:rPr>
      </w:pPr>
      <w:r>
        <w:rPr>
          <w:b/>
          <w:color w:val="000000"/>
        </w:rPr>
        <w:t xml:space="preserve">Student Name: </w:t>
      </w:r>
      <w:proofErr w:type="spellStart"/>
      <w:r>
        <w:rPr>
          <w:b/>
          <w:color w:val="000000"/>
        </w:rPr>
        <w:t>Iulian</w:t>
      </w:r>
      <w:proofErr w:type="spellEnd"/>
      <w:r>
        <w:rPr>
          <w:b/>
          <w:color w:val="000000"/>
        </w:rPr>
        <w:t xml:space="preserve"> </w:t>
      </w:r>
      <w:proofErr w:type="spellStart"/>
      <w:r>
        <w:rPr>
          <w:b/>
          <w:color w:val="000000"/>
        </w:rPr>
        <w:t>Vasile</w:t>
      </w:r>
      <w:proofErr w:type="spellEnd"/>
      <w:r>
        <w:rPr>
          <w:b/>
          <w:color w:val="000000"/>
        </w:rPr>
        <w:t xml:space="preserve"> </w:t>
      </w:r>
      <w:proofErr w:type="spellStart"/>
      <w:r>
        <w:rPr>
          <w:b/>
          <w:color w:val="000000"/>
        </w:rPr>
        <w:t>Girtu</w:t>
      </w:r>
      <w:proofErr w:type="spellEnd"/>
    </w:p>
    <w:p w:rsidR="00E158AB" w:rsidRDefault="000F022B">
      <w:pPr>
        <w:pStyle w:val="normal0"/>
        <w:jc w:val="center"/>
        <w:rPr>
          <w:b/>
          <w:color w:val="000000"/>
        </w:rPr>
      </w:pPr>
      <w:r>
        <w:rPr>
          <w:b/>
          <w:color w:val="000000"/>
        </w:rPr>
        <w:t>Student ID: 2133038</w:t>
      </w:r>
      <w:r>
        <w:br w:type="page"/>
      </w:r>
    </w:p>
    <w:p w:rsidR="00E158AB" w:rsidRDefault="000F022B">
      <w:pPr>
        <w:pStyle w:val="normal0"/>
        <w:jc w:val="center"/>
        <w:rPr>
          <w:b/>
          <w:color w:val="000000"/>
        </w:rPr>
      </w:pPr>
      <w:r>
        <w:rPr>
          <w:b/>
          <w:color w:val="000000"/>
        </w:rPr>
        <w:lastRenderedPageBreak/>
        <w:t>Table of Contents</w:t>
      </w:r>
    </w:p>
    <w:sdt>
      <w:sdtPr>
        <w:id w:val="1327284985"/>
        <w:docPartObj>
          <w:docPartGallery w:val="Table of Contents"/>
          <w:docPartUnique/>
        </w:docPartObj>
      </w:sdtPr>
      <w:sdtContent>
        <w:p w:rsidR="00E158AB" w:rsidRDefault="00E158AB">
          <w:pPr>
            <w:pStyle w:val="normal0"/>
            <w:pBdr>
              <w:top w:val="nil"/>
              <w:left w:val="nil"/>
              <w:bottom w:val="nil"/>
              <w:right w:val="nil"/>
              <w:between w:val="nil"/>
            </w:pBdr>
            <w:tabs>
              <w:tab w:val="left" w:pos="440"/>
              <w:tab w:val="right" w:pos="9350"/>
            </w:tabs>
            <w:spacing w:after="100"/>
            <w:rPr>
              <w:color w:val="000000"/>
            </w:rPr>
          </w:pPr>
          <w:r>
            <w:fldChar w:fldCharType="begin"/>
          </w:r>
          <w:r w:rsidR="000F022B">
            <w:instrText xml:space="preserve"> TOC \h \u \z </w:instrText>
          </w:r>
          <w:r>
            <w:fldChar w:fldCharType="separate"/>
          </w:r>
          <w:hyperlink w:anchor="_gjdgxs">
            <w:r w:rsidR="000F022B">
              <w:rPr>
                <w:color w:val="000000"/>
              </w:rPr>
              <w:t>1</w:t>
            </w:r>
            <w:r w:rsidR="000F022B">
              <w:rPr>
                <w:color w:val="000000"/>
              </w:rPr>
              <w:tab/>
              <w:t>Introduction</w:t>
            </w:r>
            <w:r w:rsidR="000F022B">
              <w:rPr>
                <w:color w:val="000000"/>
              </w:rPr>
              <w:tab/>
              <w:t>3</w:t>
            </w:r>
          </w:hyperlink>
        </w:p>
        <w:p w:rsidR="00E158AB" w:rsidRDefault="00E158AB">
          <w:pPr>
            <w:pStyle w:val="normal0"/>
            <w:pBdr>
              <w:top w:val="nil"/>
              <w:left w:val="nil"/>
              <w:bottom w:val="nil"/>
              <w:right w:val="nil"/>
              <w:between w:val="nil"/>
            </w:pBdr>
            <w:tabs>
              <w:tab w:val="left" w:pos="440"/>
              <w:tab w:val="right" w:pos="9350"/>
            </w:tabs>
            <w:spacing w:after="100"/>
            <w:rPr>
              <w:color w:val="000000"/>
            </w:rPr>
          </w:pPr>
          <w:hyperlink w:anchor="_30j0zll">
            <w:r w:rsidR="000F022B">
              <w:rPr>
                <w:color w:val="000000"/>
              </w:rPr>
              <w:t>2</w:t>
            </w:r>
            <w:r w:rsidR="000F022B">
              <w:rPr>
                <w:color w:val="000000"/>
              </w:rPr>
              <w:tab/>
            </w:r>
            <w:r w:rsidR="000F022B">
              <w:rPr>
                <w:color w:val="000000"/>
              </w:rPr>
              <w:t>Criminal Liability Upheld Failing to Act</w:t>
            </w:r>
            <w:r w:rsidR="000F022B">
              <w:rPr>
                <w:color w:val="000000"/>
              </w:rPr>
              <w:tab/>
              <w:t>3</w:t>
            </w:r>
          </w:hyperlink>
        </w:p>
        <w:p w:rsidR="00E158AB" w:rsidRDefault="00E158AB">
          <w:pPr>
            <w:pStyle w:val="normal0"/>
            <w:pBdr>
              <w:top w:val="nil"/>
              <w:left w:val="nil"/>
              <w:bottom w:val="nil"/>
              <w:right w:val="nil"/>
              <w:between w:val="nil"/>
            </w:pBdr>
            <w:tabs>
              <w:tab w:val="left" w:pos="440"/>
              <w:tab w:val="right" w:pos="9350"/>
            </w:tabs>
            <w:spacing w:after="100"/>
            <w:rPr>
              <w:color w:val="000000"/>
            </w:rPr>
          </w:pPr>
          <w:hyperlink w:anchor="_1fob9te">
            <w:r w:rsidR="000F022B">
              <w:rPr>
                <w:color w:val="000000"/>
              </w:rPr>
              <w:t>3</w:t>
            </w:r>
            <w:r w:rsidR="000F022B">
              <w:rPr>
                <w:color w:val="000000"/>
              </w:rPr>
              <w:tab/>
              <w:t>Conclusion</w:t>
            </w:r>
            <w:r w:rsidR="000F022B">
              <w:rPr>
                <w:color w:val="000000"/>
              </w:rPr>
              <w:tab/>
              <w:t>6</w:t>
            </w:r>
          </w:hyperlink>
        </w:p>
        <w:p w:rsidR="00E158AB" w:rsidRDefault="00E158AB">
          <w:pPr>
            <w:pStyle w:val="normal0"/>
            <w:pBdr>
              <w:top w:val="nil"/>
              <w:left w:val="nil"/>
              <w:bottom w:val="nil"/>
              <w:right w:val="nil"/>
              <w:between w:val="nil"/>
            </w:pBdr>
            <w:tabs>
              <w:tab w:val="left" w:pos="440"/>
              <w:tab w:val="right" w:pos="9350"/>
            </w:tabs>
            <w:spacing w:after="100"/>
            <w:rPr>
              <w:color w:val="000000"/>
            </w:rPr>
          </w:pPr>
          <w:hyperlink w:anchor="_3znysh7">
            <w:r w:rsidR="000F022B">
              <w:rPr>
                <w:color w:val="000000"/>
              </w:rPr>
              <w:t>4</w:t>
            </w:r>
            <w:r w:rsidR="000F022B">
              <w:rPr>
                <w:color w:val="000000"/>
              </w:rPr>
              <w:tab/>
              <w:t>References</w:t>
            </w:r>
            <w:r w:rsidR="000F022B">
              <w:rPr>
                <w:color w:val="000000"/>
              </w:rPr>
              <w:tab/>
              <w:t>7</w:t>
            </w:r>
          </w:hyperlink>
          <w:r>
            <w:fldChar w:fldCharType="end"/>
          </w:r>
        </w:p>
      </w:sdtContent>
    </w:sdt>
    <w:p w:rsidR="00E158AB" w:rsidRDefault="000F022B">
      <w:pPr>
        <w:pStyle w:val="normal0"/>
        <w:rPr>
          <w:b/>
          <w:color w:val="000000"/>
        </w:rPr>
      </w:pPr>
      <w:r>
        <w:br w:type="page"/>
      </w:r>
    </w:p>
    <w:p w:rsidR="00E158AB" w:rsidRDefault="000F022B">
      <w:pPr>
        <w:pStyle w:val="Heading1"/>
        <w:numPr>
          <w:ilvl w:val="0"/>
          <w:numId w:val="1"/>
        </w:numPr>
        <w:rPr>
          <w:rFonts w:ascii="Times New Roman" w:eastAsia="Times New Roman" w:hAnsi="Times New Roman" w:cs="Times New Roman"/>
          <w:color w:val="000000"/>
          <w:sz w:val="24"/>
          <w:szCs w:val="24"/>
        </w:rPr>
      </w:pPr>
      <w:bookmarkStart w:id="0" w:name="_gjdgxs" w:colFirst="0" w:colLast="0"/>
      <w:bookmarkEnd w:id="0"/>
      <w:r>
        <w:rPr>
          <w:rFonts w:ascii="Times New Roman" w:eastAsia="Times New Roman" w:hAnsi="Times New Roman" w:cs="Times New Roman"/>
          <w:color w:val="000000"/>
          <w:sz w:val="24"/>
          <w:szCs w:val="24"/>
        </w:rPr>
        <w:t xml:space="preserve">Introduction </w:t>
      </w:r>
    </w:p>
    <w:p w:rsidR="00E158AB" w:rsidRDefault="000F022B">
      <w:pPr>
        <w:pStyle w:val="normal0"/>
        <w:rPr>
          <w:color w:val="000000"/>
        </w:rPr>
      </w:pPr>
      <w:r>
        <w:rPr>
          <w:color w:val="000000"/>
        </w:rPr>
        <w:t>Criminal law sets the description for illegal offences and the procedures and rules that is relevant whe</w:t>
      </w:r>
      <w:r>
        <w:rPr>
          <w:color w:val="000000"/>
        </w:rPr>
        <w:t xml:space="preserve">n the police examine an offence that a person has committed. Criminal liability is when a person is held responsible for breaking the regulation. Criminal liability is the liability of unlawful </w:t>
      </w:r>
      <w:proofErr w:type="spellStart"/>
      <w:r>
        <w:rPr>
          <w:color w:val="000000"/>
        </w:rPr>
        <w:t>behaviour</w:t>
      </w:r>
      <w:proofErr w:type="spellEnd"/>
      <w:r>
        <w:rPr>
          <w:color w:val="000000"/>
        </w:rPr>
        <w:t xml:space="preserve"> that causes damage or harm to something or someone. </w:t>
      </w:r>
      <w:r>
        <w:rPr>
          <w:color w:val="000000"/>
        </w:rPr>
        <w:t>The assignment will describe when criminal liability is upheld for failing to act. The assignment will further highlight the duty to act in criminal law as well as crimes that are committed by omission. Case laws will also be described to gain a better per</w:t>
      </w:r>
      <w:r>
        <w:rPr>
          <w:color w:val="000000"/>
        </w:rPr>
        <w:t xml:space="preserve">spective on criminal liability. </w:t>
      </w:r>
    </w:p>
    <w:p w:rsidR="00E158AB" w:rsidRDefault="000F022B">
      <w:pPr>
        <w:pStyle w:val="Heading1"/>
        <w:numPr>
          <w:ilvl w:val="0"/>
          <w:numId w:val="1"/>
        </w:numPr>
        <w:rPr>
          <w:rFonts w:ascii="Times New Roman" w:eastAsia="Times New Roman" w:hAnsi="Times New Roman" w:cs="Times New Roman"/>
          <w:color w:val="000000"/>
          <w:sz w:val="24"/>
          <w:szCs w:val="24"/>
        </w:rPr>
      </w:pPr>
      <w:bookmarkStart w:id="1" w:name="_30j0zll" w:colFirst="0" w:colLast="0"/>
      <w:bookmarkEnd w:id="1"/>
      <w:r>
        <w:rPr>
          <w:rFonts w:ascii="Times New Roman" w:eastAsia="Times New Roman" w:hAnsi="Times New Roman" w:cs="Times New Roman"/>
          <w:color w:val="000000"/>
          <w:sz w:val="24"/>
          <w:szCs w:val="24"/>
        </w:rPr>
        <w:t xml:space="preserve">Criminal Liability Upheld Failing to Act </w:t>
      </w:r>
    </w:p>
    <w:p w:rsidR="00E158AB" w:rsidRDefault="000F022B">
      <w:pPr>
        <w:pStyle w:val="normal0"/>
      </w:pPr>
      <w:r>
        <w:t xml:space="preserve">According to </w:t>
      </w:r>
      <w:proofErr w:type="spellStart"/>
      <w:r>
        <w:t>Lanovoy</w:t>
      </w:r>
      <w:proofErr w:type="spellEnd"/>
      <w:r>
        <w:t xml:space="preserve"> (2017), in regulation, an omission is considered a failure to act, which attracts various lawful consequences from optimistic conduct. In order for a person to </w:t>
      </w:r>
      <w:r>
        <w:t xml:space="preserve">be found legally responsible for an offence, three aspects need to be satisfied that are </w:t>
      </w:r>
      <w:proofErr w:type="spellStart"/>
      <w:r>
        <w:t>actus</w:t>
      </w:r>
      <w:proofErr w:type="spellEnd"/>
      <w:r>
        <w:t xml:space="preserve"> </w:t>
      </w:r>
      <w:proofErr w:type="spellStart"/>
      <w:proofErr w:type="gramStart"/>
      <w:r>
        <w:t>reus</w:t>
      </w:r>
      <w:proofErr w:type="spellEnd"/>
      <w:proofErr w:type="gramEnd"/>
      <w:r>
        <w:t xml:space="preserve">, </w:t>
      </w:r>
      <w:proofErr w:type="spellStart"/>
      <w:r>
        <w:t>mens</w:t>
      </w:r>
      <w:proofErr w:type="spellEnd"/>
      <w:r>
        <w:t xml:space="preserve"> </w:t>
      </w:r>
      <w:proofErr w:type="spellStart"/>
      <w:r>
        <w:t>rea</w:t>
      </w:r>
      <w:proofErr w:type="spellEnd"/>
      <w:r>
        <w:t xml:space="preserve"> and no valid </w:t>
      </w:r>
      <w:proofErr w:type="spellStart"/>
      <w:r>
        <w:t>defence</w:t>
      </w:r>
      <w:proofErr w:type="spellEnd"/>
      <w:r>
        <w:t xml:space="preserve">. In criminal law, omission includes an </w:t>
      </w:r>
      <w:proofErr w:type="spellStart"/>
      <w:r>
        <w:t>actus</w:t>
      </w:r>
      <w:proofErr w:type="spellEnd"/>
      <w:r>
        <w:t xml:space="preserve"> </w:t>
      </w:r>
      <w:proofErr w:type="spellStart"/>
      <w:proofErr w:type="gramStart"/>
      <w:r>
        <w:t>reus</w:t>
      </w:r>
      <w:proofErr w:type="spellEnd"/>
      <w:proofErr w:type="gramEnd"/>
      <w:r>
        <w:t xml:space="preserve"> (the omission or act that consists of the physical aspect of a crime as nee</w:t>
      </w:r>
      <w:r>
        <w:t xml:space="preserve">ded by statute). R v Stone &amp; </w:t>
      </w:r>
      <w:proofErr w:type="spellStart"/>
      <w:r>
        <w:t>Dobinson</w:t>
      </w:r>
      <w:proofErr w:type="spellEnd"/>
      <w:r>
        <w:t xml:space="preserve"> [1977] is considered a case of Criminal laws that are concerned with </w:t>
      </w:r>
      <w:proofErr w:type="spellStart"/>
      <w:r>
        <w:t>Actus</w:t>
      </w:r>
      <w:proofErr w:type="spellEnd"/>
      <w:r>
        <w:t xml:space="preserve"> Reus. The defendant was responsible for the care of an infirm person who was convicted of manslaughter. Manslaughter can be proven if the indiv</w:t>
      </w:r>
      <w:r>
        <w:t xml:space="preserve">idual has breached the duty to act. It was held by the Judges that the defendant and his mistress failed to </w:t>
      </w:r>
      <w:proofErr w:type="spellStart"/>
      <w:r>
        <w:t>fulfil</w:t>
      </w:r>
      <w:proofErr w:type="spellEnd"/>
      <w:r>
        <w:t xml:space="preserve"> their duty and put her health and welfare in danger. Due to this reason, they were charged with manslaughter (Griffith, 2018). This case demo</w:t>
      </w:r>
      <w:r>
        <w:t xml:space="preserve">nstrates that a breach of criminal law is found as Stone failed to take care of the person who was under his care. Under Offences </w:t>
      </w:r>
      <w:proofErr w:type="gramStart"/>
      <w:r>
        <w:t>Against</w:t>
      </w:r>
      <w:proofErr w:type="gramEnd"/>
      <w:r>
        <w:t xml:space="preserve"> the Person Act 1861, section 18, the person Stone was in-</w:t>
      </w:r>
      <w:proofErr w:type="spellStart"/>
      <w:r>
        <w:t>charged</w:t>
      </w:r>
      <w:proofErr w:type="spellEnd"/>
      <w:r>
        <w:t xml:space="preserve"> of care suffered from grievous bodily harm. Omission </w:t>
      </w:r>
      <w:r>
        <w:t xml:space="preserve">provides rise to legal responsibility only when the regulation imposes a responsibility to act, and the accused is in breach of that responsibility. A failure to act is described as when an individual or a party have a responsibility to perform an act but </w:t>
      </w:r>
      <w:r>
        <w:t>fails to do so. In the view of Hall (2022), for criminal liability purposes, a person is under a responsibility to act if a statute needs the individual to act in a specific manner. A contract requires an individual to act in a specific way. Some status re</w:t>
      </w:r>
      <w:r>
        <w:t>lationships also exist that develop a responsibility to act in a certain manner. That is a parental responsibility. A duty to act is considered a lawful responsibility that requires an individual to take vital action to prevent harm to another individual o</w:t>
      </w:r>
      <w:r>
        <w:t xml:space="preserve">r the public. The duty to act is discharged when the defendant has taken some steps. </w:t>
      </w:r>
    </w:p>
    <w:p w:rsidR="00E158AB" w:rsidRDefault="000F022B">
      <w:pPr>
        <w:pStyle w:val="normal0"/>
        <w:rPr>
          <w:color w:val="000000"/>
        </w:rPr>
      </w:pPr>
      <w:proofErr w:type="spellStart"/>
      <w:r>
        <w:t>Ghuman</w:t>
      </w:r>
      <w:proofErr w:type="spellEnd"/>
      <w:r>
        <w:t xml:space="preserve"> (2018) described that requirements for a crime prescribe that an individual omission has the intent of causing and becomes the cause of harm. The illegal omission </w:t>
      </w:r>
      <w:r>
        <w:t>establishment requires that the close reason of the harm is considered the collapse to perform a lawful responsibility. Legal duty sources are based upon being a landowner, statute, peril creation, rescue responsibility, relationship, contract and voluntar</w:t>
      </w:r>
      <w:r>
        <w:t xml:space="preserve">y assumption of duty. The capacity to perform is also considered a vital element of criminal omission. This includes a person being physically capable of performing legal responsibility without harming the interest of others and endangering oneself. </w:t>
      </w:r>
      <w:r>
        <w:rPr>
          <w:color w:val="000000"/>
        </w:rPr>
        <w:t xml:space="preserve">Based </w:t>
      </w:r>
      <w:r>
        <w:rPr>
          <w:color w:val="000000"/>
        </w:rPr>
        <w:t xml:space="preserve">on the research of </w:t>
      </w:r>
      <w:proofErr w:type="spellStart"/>
      <w:r>
        <w:t>Gless</w:t>
      </w:r>
      <w:proofErr w:type="spellEnd"/>
      <w:r>
        <w:rPr>
          <w:color w:val="000000"/>
        </w:rPr>
        <w:t xml:space="preserve"> </w:t>
      </w:r>
      <w:r>
        <w:rPr>
          <w:i/>
          <w:color w:val="000000"/>
        </w:rPr>
        <w:t>et al.</w:t>
      </w:r>
      <w:r>
        <w:rPr>
          <w:color w:val="000000"/>
        </w:rPr>
        <w:t xml:space="preserve"> (2016), statutory duty is considered an obligation to act under which omission outcomes in criminal liability. This duty arises by a person's status in relation to another individual by statute or contract or voluntary acting so as to isolate a person fro</w:t>
      </w:r>
      <w:r>
        <w:rPr>
          <w:color w:val="000000"/>
        </w:rPr>
        <w:t>m aid by others and developing danger. In Wales and England, the decision that was provided by the House of Lords in Airedale NHS Trust v Bland [1993] developed real clarity in such cases.</w:t>
      </w:r>
      <w:r>
        <w:t xml:space="preserve"> In this case law, it was agreed that </w:t>
      </w:r>
      <w:proofErr w:type="spellStart"/>
      <w:r>
        <w:t>nasogastric</w:t>
      </w:r>
      <w:proofErr w:type="spellEnd"/>
      <w:r>
        <w:t xml:space="preserve"> hydration and feed</w:t>
      </w:r>
      <w:r>
        <w:t>ing could legally be removed from the man in a PVS (Manning, 2019). This case shows that doctors have a responsibility to act in the interest of the patient, but this does not mean that they need to prolong the patient life. The court, by the decision, wan</w:t>
      </w:r>
      <w:r>
        <w:t xml:space="preserve">ted to provide the patient with a dignified and peaceful death without suffering. </w:t>
      </w:r>
    </w:p>
    <w:p w:rsidR="00E158AB" w:rsidRDefault="000F022B">
      <w:pPr>
        <w:pStyle w:val="normal0"/>
      </w:pPr>
      <w:r>
        <w:t xml:space="preserve">According to Arlen (2016), an individual can be </w:t>
      </w:r>
      <w:proofErr w:type="gramStart"/>
      <w:r>
        <w:t>establish</w:t>
      </w:r>
      <w:proofErr w:type="gramEnd"/>
      <w:r>
        <w:t xml:space="preserve"> criminally accountable if they have failed to obey with a contractual responsibility they have to other individuals</w:t>
      </w:r>
      <w:r>
        <w:t xml:space="preserve">. R v </w:t>
      </w:r>
      <w:proofErr w:type="spellStart"/>
      <w:r>
        <w:t>Pittwood</w:t>
      </w:r>
      <w:proofErr w:type="spellEnd"/>
      <w:r>
        <w:t xml:space="preserve"> [1902] is a criminal law case of omission. This case is based upon the duty to act to save another individual from physical harm, which was an omission and amounted to manslaughter. The accused worked at a railway corporation to man the cros</w:t>
      </w:r>
      <w:r>
        <w:t>sing level entrance. The accused lifted the door to allow the cart to pass, and without closing, it went to eat. The court found the accused liable for the train driver's demise as it was his responsibility to shut the door. This shows that the defendant b</w:t>
      </w:r>
      <w:r>
        <w:t xml:space="preserve">ecomes the cause of harm (Hendy and Hutchinson, 2015). This case is also considered the best approach for describing contractual duty. </w:t>
      </w:r>
    </w:p>
    <w:p w:rsidR="00E158AB" w:rsidRDefault="000F022B">
      <w:pPr>
        <w:pStyle w:val="normal0"/>
      </w:pPr>
      <w:r>
        <w:t xml:space="preserve">In the view of Hunt (2017), </w:t>
      </w:r>
      <w:proofErr w:type="gramStart"/>
      <w:r>
        <w:t>a common duty to act arise</w:t>
      </w:r>
      <w:proofErr w:type="gramEnd"/>
      <w:r>
        <w:t xml:space="preserve"> when an individual develops a dangerous situation. </w:t>
      </w:r>
      <w:proofErr w:type="gramStart"/>
      <w:r>
        <w:t>the</w:t>
      </w:r>
      <w:proofErr w:type="gramEnd"/>
      <w:r>
        <w:t xml:space="preserve"> individual</w:t>
      </w:r>
      <w:r>
        <w:t xml:space="preserve"> is placed under a duty to take effective measures to remove that danger and can be held criminally liable if they do not take effective measures. Miller [1983] is a case in which the defendant was found legally responsible for criminal harm by omission. T</w:t>
      </w:r>
      <w:r>
        <w:t xml:space="preserve">he courts </w:t>
      </w:r>
      <w:proofErr w:type="spellStart"/>
      <w:r>
        <w:t>recognised</w:t>
      </w:r>
      <w:proofErr w:type="spellEnd"/>
      <w:r>
        <w:t xml:space="preserve"> that a responsibility to act was raised by the danger creation. In this case, Miller fell asleep with a cigarette in hand, which was lit and became the cause of the fire. The defendant woke up and, even after seeing the fire, took no e</w:t>
      </w:r>
      <w:r>
        <w:t xml:space="preserve">ffective measure to extinguish it, which damaged the house and caused damage of around £800 (Crosby, 2018). This case shows that Miller becomes the cause of harm. Although he can perform legal duty and the damage has not occurred, he chooses to ignore it. </w:t>
      </w:r>
      <w:r>
        <w:t xml:space="preserve">This case also gives rise to </w:t>
      </w:r>
      <w:proofErr w:type="spellStart"/>
      <w:r>
        <w:t>actus</w:t>
      </w:r>
      <w:proofErr w:type="spellEnd"/>
      <w:r>
        <w:t xml:space="preserve"> </w:t>
      </w:r>
      <w:proofErr w:type="spellStart"/>
      <w:proofErr w:type="gramStart"/>
      <w:r>
        <w:t>reus</w:t>
      </w:r>
      <w:proofErr w:type="spellEnd"/>
      <w:proofErr w:type="gramEnd"/>
      <w:r>
        <w:t xml:space="preserve">. In R v Evans [2009], it was held in this case that the approach that was </w:t>
      </w:r>
      <w:proofErr w:type="spellStart"/>
      <w:r>
        <w:t>utilised</w:t>
      </w:r>
      <w:proofErr w:type="spellEnd"/>
      <w:r>
        <w:t xml:space="preserve"> by Miller could be taken a step where </w:t>
      </w:r>
      <w:proofErr w:type="gramStart"/>
      <w:r>
        <w:t>an</w:t>
      </w:r>
      <w:proofErr w:type="gramEnd"/>
      <w:r>
        <w:t xml:space="preserve"> person can be held liable for carelessness manslaughter where they illegally provide a victi</w:t>
      </w:r>
      <w:r>
        <w:t>m with hazardous drug and fail in providing appropriate aid to the victim. Due to this reason, the victim fell ill as an outcome of taking the dangerous drug. It was a jury trial, and as the victim died due to poisoning by heroin, the jury agreed that Evan</w:t>
      </w:r>
      <w:r>
        <w:t xml:space="preserve">s had a duty towards his half-sister, which he failed in fulfilling and resulted in his conviction (Sullivan and </w:t>
      </w:r>
      <w:proofErr w:type="spellStart"/>
      <w:r>
        <w:t>Simester</w:t>
      </w:r>
      <w:proofErr w:type="spellEnd"/>
      <w:r>
        <w:t>, 2022). Both of these cases show negligence on the grounds of omission, which lead towards the loss of hundreds or the death of someon</w:t>
      </w:r>
      <w:r>
        <w:t xml:space="preserve">e. </w:t>
      </w:r>
    </w:p>
    <w:p w:rsidR="00E158AB" w:rsidRDefault="000F022B">
      <w:pPr>
        <w:pStyle w:val="normal0"/>
      </w:pPr>
      <w:r>
        <w:t>Peters (2018) stated that offences that need a positive act are not committed by omission. On this bases, offences that are associated with assaults cannot be committed by omission, neither burglary, rape or theft, as they require the defendant to do s</w:t>
      </w:r>
      <w:r>
        <w:t xml:space="preserve">omething to satisfy the </w:t>
      </w:r>
      <w:proofErr w:type="spellStart"/>
      <w:r>
        <w:t>actus</w:t>
      </w:r>
      <w:proofErr w:type="spellEnd"/>
      <w:r>
        <w:t xml:space="preserve"> </w:t>
      </w:r>
      <w:proofErr w:type="spellStart"/>
      <w:proofErr w:type="gramStart"/>
      <w:r>
        <w:t>reus</w:t>
      </w:r>
      <w:proofErr w:type="spellEnd"/>
      <w:proofErr w:type="gramEnd"/>
      <w:r>
        <w:t>. For instance, failing to remove a car that is parked on foot is a continued assault act rather than considered an omission of car removal. Fagan v Commissioner of Police for the Metropolis [1969] is a case that is consid</w:t>
      </w:r>
      <w:r>
        <w:t>ered an assault rather than an omission. Fagan was sitting in the car when a law enforcement officer told him to move the vehicle and, in doing so, rolled in on the law officer's foot. The police official forcefully told him to remove the vehicle, which Fa</w:t>
      </w:r>
      <w:r>
        <w:t xml:space="preserve">gan refused, due to which he was convicted of assaulting the officer. The Court provided the judgment that Fagan was upheld due to the presence of men's </w:t>
      </w:r>
      <w:proofErr w:type="spellStart"/>
      <w:r>
        <w:t>rea</w:t>
      </w:r>
      <w:proofErr w:type="spellEnd"/>
      <w:r>
        <w:t xml:space="preserve"> and </w:t>
      </w:r>
      <w:proofErr w:type="spellStart"/>
      <w:r>
        <w:t>actus</w:t>
      </w:r>
      <w:proofErr w:type="spellEnd"/>
      <w:r>
        <w:t xml:space="preserve"> </w:t>
      </w:r>
      <w:proofErr w:type="spellStart"/>
      <w:proofErr w:type="gramStart"/>
      <w:r>
        <w:t>reus</w:t>
      </w:r>
      <w:proofErr w:type="spellEnd"/>
      <w:proofErr w:type="gramEnd"/>
      <w:r>
        <w:t xml:space="preserve">, and Fagan was convicted for the assault (Hayes, 2022). The pros of the duty to act </w:t>
      </w:r>
      <w:r>
        <w:t>are protection against biased, dishonest and arbitrary care decisions, reliability on someone worthy of care and certainty and uniformity. The con of duty to care is that people fail in fulfilling it due to various reasons like complexity. Fulfilling the d</w:t>
      </w:r>
      <w:r>
        <w:t xml:space="preserve">uty to care is not easy as, under criminal law, a lack of flexibility is provided. </w:t>
      </w:r>
    </w:p>
    <w:p w:rsidR="00E158AB" w:rsidRDefault="000F022B">
      <w:pPr>
        <w:pStyle w:val="Heading1"/>
        <w:numPr>
          <w:ilvl w:val="0"/>
          <w:numId w:val="1"/>
        </w:numPr>
        <w:rPr>
          <w:rFonts w:ascii="Times New Roman" w:eastAsia="Times New Roman" w:hAnsi="Times New Roman" w:cs="Times New Roman"/>
          <w:color w:val="000000"/>
          <w:sz w:val="24"/>
          <w:szCs w:val="24"/>
        </w:rPr>
      </w:pPr>
      <w:bookmarkStart w:id="2" w:name="_1fob9te" w:colFirst="0" w:colLast="0"/>
      <w:bookmarkEnd w:id="2"/>
      <w:r>
        <w:rPr>
          <w:rFonts w:ascii="Times New Roman" w:eastAsia="Times New Roman" w:hAnsi="Times New Roman" w:cs="Times New Roman"/>
          <w:color w:val="000000"/>
          <w:sz w:val="24"/>
          <w:szCs w:val="24"/>
        </w:rPr>
        <w:t xml:space="preserve">Conclusion </w:t>
      </w:r>
    </w:p>
    <w:p w:rsidR="00E158AB" w:rsidRDefault="000F022B">
      <w:pPr>
        <w:pStyle w:val="normal0"/>
      </w:pPr>
      <w:r>
        <w:t xml:space="preserve">In a nutshell, it can be </w:t>
      </w:r>
      <w:proofErr w:type="spellStart"/>
      <w:r>
        <w:t>summarised</w:t>
      </w:r>
      <w:proofErr w:type="spellEnd"/>
      <w:r>
        <w:t xml:space="preserve"> that criminal liability is considered when an individual is responsible for breaking the law. In criminal law, the omission is failing to act, which can attract consequences. In this law, omission involves </w:t>
      </w:r>
      <w:proofErr w:type="spellStart"/>
      <w:r>
        <w:t>actus</w:t>
      </w:r>
      <w:proofErr w:type="spellEnd"/>
      <w:r>
        <w:t xml:space="preserve"> </w:t>
      </w:r>
      <w:proofErr w:type="spellStart"/>
      <w:proofErr w:type="gramStart"/>
      <w:r>
        <w:t>reus</w:t>
      </w:r>
      <w:proofErr w:type="spellEnd"/>
      <w:proofErr w:type="gramEnd"/>
      <w:r>
        <w:t xml:space="preserve">, </w:t>
      </w:r>
      <w:proofErr w:type="spellStart"/>
      <w:r>
        <w:t>me</w:t>
      </w:r>
      <w:r>
        <w:t>ns</w:t>
      </w:r>
      <w:proofErr w:type="spellEnd"/>
      <w:r>
        <w:t xml:space="preserve"> </w:t>
      </w:r>
      <w:proofErr w:type="spellStart"/>
      <w:r>
        <w:t>rea</w:t>
      </w:r>
      <w:proofErr w:type="spellEnd"/>
      <w:r>
        <w:t xml:space="preserve"> and no valid </w:t>
      </w:r>
      <w:proofErr w:type="spellStart"/>
      <w:r>
        <w:t>defence</w:t>
      </w:r>
      <w:proofErr w:type="spellEnd"/>
      <w:r>
        <w:t>. The requirements for a crime involving a person's omission have the intent of causing and becoming the harm caused. The duty arises when a person has some relationship with the individual by contract, voluntary acting and statu</w:t>
      </w:r>
      <w:r>
        <w:t xml:space="preserve">te. Various case laws have been described in this assignment for describing criminal law omission. </w:t>
      </w:r>
    </w:p>
    <w:p w:rsidR="00E158AB" w:rsidRDefault="000F022B">
      <w:pPr>
        <w:pStyle w:val="normal0"/>
      </w:pPr>
      <w:r>
        <w:br w:type="page"/>
      </w:r>
    </w:p>
    <w:p w:rsidR="00E158AB" w:rsidRDefault="000F022B">
      <w:pPr>
        <w:pStyle w:val="Heading1"/>
        <w:numPr>
          <w:ilvl w:val="0"/>
          <w:numId w:val="1"/>
        </w:numPr>
        <w:rPr>
          <w:rFonts w:ascii="Times New Roman" w:eastAsia="Times New Roman" w:hAnsi="Times New Roman" w:cs="Times New Roman"/>
          <w:color w:val="000000"/>
          <w:sz w:val="24"/>
          <w:szCs w:val="24"/>
        </w:rPr>
      </w:pPr>
      <w:bookmarkStart w:id="3" w:name="_3znysh7" w:colFirst="0" w:colLast="0"/>
      <w:bookmarkEnd w:id="3"/>
      <w:r>
        <w:rPr>
          <w:rFonts w:ascii="Times New Roman" w:eastAsia="Times New Roman" w:hAnsi="Times New Roman" w:cs="Times New Roman"/>
          <w:color w:val="000000"/>
          <w:sz w:val="24"/>
          <w:szCs w:val="24"/>
        </w:rPr>
        <w:t>References</w:t>
      </w:r>
    </w:p>
    <w:p w:rsidR="00E158AB" w:rsidRDefault="000F022B">
      <w:pPr>
        <w:pStyle w:val="normal0"/>
        <w:ind w:left="720" w:hanging="720"/>
      </w:pPr>
      <w:r>
        <w:t xml:space="preserve">Arlen, J., 2016. </w:t>
      </w:r>
      <w:proofErr w:type="gramStart"/>
      <w:r>
        <w:t>Prosecuting beyond the rule of law: corporate mandates imposed through deferred prosecution agreements.</w:t>
      </w:r>
      <w:proofErr w:type="gramEnd"/>
      <w:r>
        <w:t> </w:t>
      </w:r>
      <w:proofErr w:type="gramStart"/>
      <w:r>
        <w:rPr>
          <w:i/>
        </w:rPr>
        <w:t>Journal of Legal Analy</w:t>
      </w:r>
      <w:r>
        <w:rPr>
          <w:i/>
        </w:rPr>
        <w:t>sis</w:t>
      </w:r>
      <w:r>
        <w:t>, </w:t>
      </w:r>
      <w:r>
        <w:rPr>
          <w:i/>
        </w:rPr>
        <w:t>8</w:t>
      </w:r>
      <w:r>
        <w:t>(1), pp.191-234.</w:t>
      </w:r>
      <w:proofErr w:type="gramEnd"/>
    </w:p>
    <w:p w:rsidR="00E158AB" w:rsidRDefault="000F022B">
      <w:pPr>
        <w:pStyle w:val="normal0"/>
        <w:ind w:left="720" w:hanging="720"/>
      </w:pPr>
      <w:r>
        <w:t>Crosby, C., 2018. Gross Negligence Manslaughter by Omission: the emergence of a Good Samaritan law</w:t>
      </w:r>
      <w:proofErr w:type="gramStart"/>
      <w:r>
        <w:t>?.</w:t>
      </w:r>
      <w:proofErr w:type="gramEnd"/>
      <w:r>
        <w:t> </w:t>
      </w:r>
      <w:proofErr w:type="gramStart"/>
      <w:r>
        <w:rPr>
          <w:i/>
        </w:rPr>
        <w:t>The Journal of Criminal Law</w:t>
      </w:r>
      <w:r>
        <w:t>, </w:t>
      </w:r>
      <w:r>
        <w:rPr>
          <w:i/>
        </w:rPr>
        <w:t>82</w:t>
      </w:r>
      <w:r>
        <w:t>(2), pp.127-137.</w:t>
      </w:r>
      <w:proofErr w:type="gramEnd"/>
    </w:p>
    <w:p w:rsidR="00E158AB" w:rsidRDefault="000F022B">
      <w:pPr>
        <w:pStyle w:val="normal0"/>
        <w:ind w:left="720" w:hanging="720"/>
      </w:pPr>
      <w:proofErr w:type="spellStart"/>
      <w:r>
        <w:t>Ghuman</w:t>
      </w:r>
      <w:proofErr w:type="spellEnd"/>
      <w:r>
        <w:t xml:space="preserve">, A., 2018. </w:t>
      </w:r>
      <w:proofErr w:type="gramStart"/>
      <w:r>
        <w:t>Elements of Crime.</w:t>
      </w:r>
      <w:proofErr w:type="gramEnd"/>
      <w:r>
        <w:t> </w:t>
      </w:r>
      <w:r>
        <w:rPr>
          <w:i/>
        </w:rPr>
        <w:t>Int'l JL Mgmt. &amp; Human.</w:t>
      </w:r>
      <w:r>
        <w:t>, </w:t>
      </w:r>
      <w:r>
        <w:rPr>
          <w:i/>
        </w:rPr>
        <w:t>1</w:t>
      </w:r>
      <w:r>
        <w:t>, p.70.</w:t>
      </w:r>
    </w:p>
    <w:p w:rsidR="00E158AB" w:rsidRDefault="000F022B">
      <w:pPr>
        <w:pStyle w:val="normal0"/>
        <w:ind w:left="720" w:hanging="720"/>
      </w:pPr>
      <w:proofErr w:type="spellStart"/>
      <w:r>
        <w:t>Gless</w:t>
      </w:r>
      <w:proofErr w:type="spellEnd"/>
      <w:r>
        <w:t>, S., Si</w:t>
      </w:r>
      <w:r>
        <w:t xml:space="preserve">lverman, E. and </w:t>
      </w:r>
      <w:proofErr w:type="spellStart"/>
      <w:r>
        <w:t>Weigend</w:t>
      </w:r>
      <w:proofErr w:type="spellEnd"/>
      <w:r>
        <w:t xml:space="preserve">, T., 2016. </w:t>
      </w:r>
      <w:proofErr w:type="gramStart"/>
      <w:r>
        <w:t>If robots cause harm, who is to blame?</w:t>
      </w:r>
      <w:proofErr w:type="gramEnd"/>
      <w:r>
        <w:t xml:space="preserve"> </w:t>
      </w:r>
      <w:proofErr w:type="gramStart"/>
      <w:r>
        <w:t>Self-driving cars and criminal liability.</w:t>
      </w:r>
      <w:proofErr w:type="gramEnd"/>
      <w:r>
        <w:t> </w:t>
      </w:r>
      <w:proofErr w:type="gramStart"/>
      <w:r>
        <w:rPr>
          <w:i/>
        </w:rPr>
        <w:t>New Criminal Law Review</w:t>
      </w:r>
      <w:r>
        <w:t>, </w:t>
      </w:r>
      <w:r>
        <w:rPr>
          <w:i/>
        </w:rPr>
        <w:t>19</w:t>
      </w:r>
      <w:r>
        <w:t>(3), pp.412-436.</w:t>
      </w:r>
      <w:proofErr w:type="gramEnd"/>
    </w:p>
    <w:p w:rsidR="00E158AB" w:rsidRDefault="000F022B">
      <w:pPr>
        <w:pStyle w:val="normal0"/>
        <w:ind w:left="720" w:hanging="720"/>
      </w:pPr>
      <w:r>
        <w:t xml:space="preserve">Griffith, R., 2018. Neglect by </w:t>
      </w:r>
      <w:proofErr w:type="spellStart"/>
      <w:r>
        <w:t>carers</w:t>
      </w:r>
      <w:proofErr w:type="spellEnd"/>
      <w:r>
        <w:t>. </w:t>
      </w:r>
      <w:proofErr w:type="gramStart"/>
      <w:r>
        <w:rPr>
          <w:i/>
        </w:rPr>
        <w:t>British Journal of Community Nursing</w:t>
      </w:r>
      <w:r>
        <w:t>, </w:t>
      </w:r>
      <w:r>
        <w:rPr>
          <w:i/>
        </w:rPr>
        <w:t>23</w:t>
      </w:r>
      <w:r>
        <w:t>(8), pp.407-409.</w:t>
      </w:r>
      <w:proofErr w:type="gramEnd"/>
    </w:p>
    <w:p w:rsidR="00E158AB" w:rsidRDefault="000F022B">
      <w:pPr>
        <w:pStyle w:val="normal0"/>
        <w:ind w:left="720" w:hanging="720"/>
      </w:pPr>
      <w:r>
        <w:t>Hall, D.E., 2022. </w:t>
      </w:r>
      <w:proofErr w:type="gramStart"/>
      <w:r>
        <w:rPr>
          <w:i/>
        </w:rPr>
        <w:t>Criminal law and procedure</w:t>
      </w:r>
      <w:r>
        <w:t>.</w:t>
      </w:r>
      <w:proofErr w:type="gramEnd"/>
      <w:r>
        <w:t xml:space="preserve"> </w:t>
      </w:r>
      <w:proofErr w:type="spellStart"/>
      <w:r>
        <w:t>Cengage</w:t>
      </w:r>
      <w:proofErr w:type="spellEnd"/>
      <w:r>
        <w:t xml:space="preserve"> Learning.</w:t>
      </w:r>
    </w:p>
    <w:p w:rsidR="00E158AB" w:rsidRDefault="000F022B">
      <w:pPr>
        <w:pStyle w:val="normal0"/>
        <w:ind w:left="720" w:hanging="720"/>
      </w:pPr>
      <w:r>
        <w:t>Hayes, C., 2022. Battery Powered?-The Need for Reform on the Law of Common Assault. </w:t>
      </w:r>
      <w:r>
        <w:rPr>
          <w:i/>
        </w:rPr>
        <w:t>Southampton Student L. Rev.</w:t>
      </w:r>
      <w:r>
        <w:t>, </w:t>
      </w:r>
      <w:r>
        <w:rPr>
          <w:i/>
        </w:rPr>
        <w:t>12</w:t>
      </w:r>
      <w:r>
        <w:t>, p.18.</w:t>
      </w:r>
    </w:p>
    <w:p w:rsidR="00E158AB" w:rsidRDefault="000F022B">
      <w:pPr>
        <w:pStyle w:val="normal0"/>
        <w:ind w:left="720" w:hanging="720"/>
      </w:pPr>
      <w:r>
        <w:t>Hendy, J. and Hutchinson, O., 2015. </w:t>
      </w:r>
      <w:proofErr w:type="spellStart"/>
      <w:r>
        <w:rPr>
          <w:i/>
        </w:rPr>
        <w:t>Optimise</w:t>
      </w:r>
      <w:proofErr w:type="spellEnd"/>
      <w:r>
        <w:rPr>
          <w:i/>
        </w:rPr>
        <w:t xml:space="preserve"> Criminal Law</w:t>
      </w:r>
      <w:r>
        <w:t xml:space="preserve">. </w:t>
      </w:r>
      <w:proofErr w:type="spellStart"/>
      <w:proofErr w:type="gramStart"/>
      <w:r>
        <w:t>Routledge</w:t>
      </w:r>
      <w:proofErr w:type="spellEnd"/>
      <w:r>
        <w:t>.</w:t>
      </w:r>
      <w:proofErr w:type="gramEnd"/>
    </w:p>
    <w:p w:rsidR="00E158AB" w:rsidRDefault="000F022B">
      <w:pPr>
        <w:pStyle w:val="normal0"/>
        <w:ind w:left="720" w:hanging="720"/>
      </w:pPr>
      <w:r>
        <w:t xml:space="preserve">Hunt, P., 2017. </w:t>
      </w:r>
      <w:proofErr w:type="gramStart"/>
      <w:r>
        <w:t>A critical condition.</w:t>
      </w:r>
      <w:proofErr w:type="gramEnd"/>
      <w:r>
        <w:t xml:space="preserve"> In </w:t>
      </w:r>
      <w:r>
        <w:rPr>
          <w:i/>
        </w:rPr>
        <w:t>Disability, Space, Architecture</w:t>
      </w:r>
      <w:r>
        <w:t xml:space="preserve"> (pp. 33-41). </w:t>
      </w:r>
      <w:proofErr w:type="spellStart"/>
      <w:proofErr w:type="gramStart"/>
      <w:r>
        <w:t>Routledge</w:t>
      </w:r>
      <w:proofErr w:type="spellEnd"/>
      <w:r>
        <w:t>.</w:t>
      </w:r>
      <w:proofErr w:type="gramEnd"/>
    </w:p>
    <w:p w:rsidR="00E158AB" w:rsidRDefault="000F022B">
      <w:pPr>
        <w:pStyle w:val="normal0"/>
        <w:ind w:left="720" w:hanging="720"/>
      </w:pPr>
      <w:proofErr w:type="spellStart"/>
      <w:proofErr w:type="gramStart"/>
      <w:r>
        <w:t>Lanovoy</w:t>
      </w:r>
      <w:proofErr w:type="spellEnd"/>
      <w:r>
        <w:t>, V., 2017.</w:t>
      </w:r>
      <w:proofErr w:type="gramEnd"/>
      <w:r>
        <w:t xml:space="preserve"> </w:t>
      </w:r>
      <w:proofErr w:type="gramStart"/>
      <w:r>
        <w:t>The use of force by non-state actors and the limits of attribution of conduct.</w:t>
      </w:r>
      <w:proofErr w:type="gramEnd"/>
      <w:r>
        <w:t> </w:t>
      </w:r>
      <w:proofErr w:type="gramStart"/>
      <w:r>
        <w:rPr>
          <w:i/>
        </w:rPr>
        <w:t>European Journal of International Law</w:t>
      </w:r>
      <w:r>
        <w:t>, </w:t>
      </w:r>
      <w:r>
        <w:rPr>
          <w:i/>
        </w:rPr>
        <w:t>28</w:t>
      </w:r>
      <w:r>
        <w:t>(2), pp.563-585.</w:t>
      </w:r>
      <w:proofErr w:type="gramEnd"/>
    </w:p>
    <w:p w:rsidR="00E158AB" w:rsidRDefault="000F022B">
      <w:pPr>
        <w:pStyle w:val="normal0"/>
        <w:ind w:left="720" w:hanging="720"/>
      </w:pPr>
      <w:r>
        <w:t>Ma</w:t>
      </w:r>
      <w:r>
        <w:t xml:space="preserve">nning, J., 2019. </w:t>
      </w:r>
      <w:proofErr w:type="gramStart"/>
      <w:r>
        <w:t>" Hospitals</w:t>
      </w:r>
      <w:proofErr w:type="gramEnd"/>
      <w:r>
        <w:t xml:space="preserve"> and Clinicians Need Not Apply:" Withdrawing Clinically Assisted Nutrition and Hydration in Undisputed Cases. </w:t>
      </w:r>
      <w:proofErr w:type="gramStart"/>
      <w:r>
        <w:t>Journal of law and Medicine, 26(3), pp.538-548.</w:t>
      </w:r>
      <w:proofErr w:type="gramEnd"/>
    </w:p>
    <w:p w:rsidR="00E158AB" w:rsidRDefault="000F022B">
      <w:pPr>
        <w:pStyle w:val="normal0"/>
        <w:ind w:left="720" w:hanging="720"/>
      </w:pPr>
      <w:r>
        <w:t xml:space="preserve">Peters, A., 2018. </w:t>
      </w:r>
      <w:proofErr w:type="gramStart"/>
      <w:r>
        <w:t>Corruption as a violation of international human rig</w:t>
      </w:r>
      <w:r>
        <w:t>hts.</w:t>
      </w:r>
      <w:proofErr w:type="gramEnd"/>
      <w:r>
        <w:t> </w:t>
      </w:r>
      <w:proofErr w:type="gramStart"/>
      <w:r>
        <w:rPr>
          <w:i/>
        </w:rPr>
        <w:t>European Journal of International Law</w:t>
      </w:r>
      <w:r>
        <w:t>, </w:t>
      </w:r>
      <w:r>
        <w:rPr>
          <w:i/>
        </w:rPr>
        <w:t>29</w:t>
      </w:r>
      <w:r>
        <w:t>(4), pp.1251-1287.</w:t>
      </w:r>
      <w:proofErr w:type="gramEnd"/>
    </w:p>
    <w:p w:rsidR="00E158AB" w:rsidRDefault="000F022B">
      <w:pPr>
        <w:pStyle w:val="normal0"/>
        <w:ind w:left="720" w:hanging="720"/>
      </w:pPr>
      <w:r>
        <w:t xml:space="preserve">Sullivan, G.R. and </w:t>
      </w:r>
      <w:proofErr w:type="spellStart"/>
      <w:r>
        <w:t>Simester</w:t>
      </w:r>
      <w:proofErr w:type="spellEnd"/>
      <w:r>
        <w:t xml:space="preserve">, A.P., 2022. </w:t>
      </w:r>
      <w:proofErr w:type="gramStart"/>
      <w:r>
        <w:t>Causation, Fault, and Responsibility.</w:t>
      </w:r>
      <w:proofErr w:type="gramEnd"/>
      <w:r>
        <w:t xml:space="preserve"> </w:t>
      </w:r>
      <w:proofErr w:type="gramStart"/>
      <w:r>
        <w:t>In </w:t>
      </w:r>
      <w:r>
        <w:rPr>
          <w:i/>
        </w:rPr>
        <w:t>Fault in Criminal Law</w:t>
      </w:r>
      <w:r>
        <w:t> (pp. 67-85).</w:t>
      </w:r>
      <w:proofErr w:type="gramEnd"/>
      <w:r>
        <w:t xml:space="preserve"> </w:t>
      </w:r>
      <w:proofErr w:type="spellStart"/>
      <w:proofErr w:type="gramStart"/>
      <w:r>
        <w:t>Routledge</w:t>
      </w:r>
      <w:proofErr w:type="spellEnd"/>
      <w:r>
        <w:t>.</w:t>
      </w:r>
      <w:proofErr w:type="gramEnd"/>
    </w:p>
    <w:p w:rsidR="00E158AB" w:rsidRDefault="00E158AB">
      <w:pPr>
        <w:pStyle w:val="normal0"/>
      </w:pPr>
    </w:p>
    <w:p w:rsidR="00E158AB" w:rsidRDefault="00E158AB">
      <w:pPr>
        <w:pStyle w:val="normal0"/>
        <w:rPr>
          <w:color w:val="000000"/>
        </w:rPr>
      </w:pPr>
    </w:p>
    <w:sectPr w:rsidR="00E158AB" w:rsidSect="00E158AB">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482DEF"/>
    <w:multiLevelType w:val="multilevel"/>
    <w:tmpl w:val="B4D25C1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E158AB"/>
    <w:rsid w:val="000F022B"/>
    <w:rsid w:val="00E158A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E158AB"/>
    <w:pPr>
      <w:keepNext/>
      <w:keepLines/>
      <w:spacing w:before="480" w:after="0"/>
      <w:ind w:left="432" w:hanging="432"/>
      <w:outlineLvl w:val="0"/>
    </w:pPr>
    <w:rPr>
      <w:rFonts w:ascii="Cambria" w:eastAsia="Cambria" w:hAnsi="Cambria" w:cs="Cambria"/>
      <w:b/>
      <w:color w:val="366091"/>
      <w:sz w:val="28"/>
      <w:szCs w:val="28"/>
    </w:rPr>
  </w:style>
  <w:style w:type="paragraph" w:styleId="Heading2">
    <w:name w:val="heading 2"/>
    <w:basedOn w:val="normal0"/>
    <w:next w:val="normal0"/>
    <w:rsid w:val="00E158AB"/>
    <w:pPr>
      <w:keepNext/>
      <w:keepLines/>
      <w:spacing w:before="200" w:after="0"/>
      <w:ind w:left="576" w:hanging="576"/>
      <w:outlineLvl w:val="1"/>
    </w:pPr>
    <w:rPr>
      <w:rFonts w:ascii="Cambria" w:eastAsia="Cambria" w:hAnsi="Cambria" w:cs="Cambria"/>
      <w:b/>
      <w:color w:val="4F81BD"/>
      <w:sz w:val="26"/>
      <w:szCs w:val="26"/>
    </w:rPr>
  </w:style>
  <w:style w:type="paragraph" w:styleId="Heading3">
    <w:name w:val="heading 3"/>
    <w:basedOn w:val="normal0"/>
    <w:next w:val="normal0"/>
    <w:rsid w:val="00E158AB"/>
    <w:pPr>
      <w:keepNext/>
      <w:keepLines/>
      <w:spacing w:before="200" w:after="0"/>
      <w:ind w:left="720" w:hanging="720"/>
      <w:outlineLvl w:val="2"/>
    </w:pPr>
    <w:rPr>
      <w:rFonts w:ascii="Cambria" w:eastAsia="Cambria" w:hAnsi="Cambria" w:cs="Cambria"/>
      <w:b/>
      <w:color w:val="4F81BD"/>
    </w:rPr>
  </w:style>
  <w:style w:type="paragraph" w:styleId="Heading4">
    <w:name w:val="heading 4"/>
    <w:basedOn w:val="normal0"/>
    <w:next w:val="normal0"/>
    <w:rsid w:val="00E158AB"/>
    <w:pPr>
      <w:keepNext/>
      <w:keepLines/>
      <w:spacing w:before="200" w:after="0"/>
      <w:ind w:left="864" w:hanging="864"/>
      <w:outlineLvl w:val="3"/>
    </w:pPr>
    <w:rPr>
      <w:rFonts w:ascii="Cambria" w:eastAsia="Cambria" w:hAnsi="Cambria" w:cs="Cambria"/>
      <w:b/>
      <w:i/>
      <w:color w:val="4F81BD"/>
    </w:rPr>
  </w:style>
  <w:style w:type="paragraph" w:styleId="Heading5">
    <w:name w:val="heading 5"/>
    <w:basedOn w:val="normal0"/>
    <w:next w:val="normal0"/>
    <w:rsid w:val="00E158AB"/>
    <w:pPr>
      <w:keepNext/>
      <w:keepLines/>
      <w:spacing w:before="200" w:after="0"/>
      <w:ind w:left="1008" w:hanging="1008"/>
      <w:outlineLvl w:val="4"/>
    </w:pPr>
    <w:rPr>
      <w:rFonts w:ascii="Cambria" w:eastAsia="Cambria" w:hAnsi="Cambria" w:cs="Cambria"/>
      <w:color w:val="243F61"/>
    </w:rPr>
  </w:style>
  <w:style w:type="paragraph" w:styleId="Heading6">
    <w:name w:val="heading 6"/>
    <w:basedOn w:val="normal0"/>
    <w:next w:val="normal0"/>
    <w:rsid w:val="00E158AB"/>
    <w:pPr>
      <w:keepNext/>
      <w:keepLines/>
      <w:spacing w:before="200" w:after="0"/>
      <w:ind w:left="1152" w:hanging="1152"/>
      <w:outlineLvl w:val="5"/>
    </w:pPr>
    <w:rPr>
      <w:rFonts w:ascii="Cambria" w:eastAsia="Cambria" w:hAnsi="Cambria" w:cs="Cambria"/>
      <w:i/>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E158AB"/>
  </w:style>
  <w:style w:type="paragraph" w:styleId="Title">
    <w:name w:val="Title"/>
    <w:basedOn w:val="normal0"/>
    <w:next w:val="normal0"/>
    <w:rsid w:val="00E158AB"/>
    <w:pPr>
      <w:keepNext/>
      <w:keepLines/>
      <w:spacing w:before="480" w:after="120"/>
    </w:pPr>
    <w:rPr>
      <w:b/>
      <w:sz w:val="72"/>
      <w:szCs w:val="72"/>
    </w:rPr>
  </w:style>
  <w:style w:type="paragraph" w:styleId="Subtitle">
    <w:name w:val="Subtitle"/>
    <w:basedOn w:val="normal0"/>
    <w:next w:val="normal0"/>
    <w:rsid w:val="00E158AB"/>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0F02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022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1621</Words>
  <Characters>9243</Characters>
  <Application>Microsoft Office Word</Application>
  <DocSecurity>0</DocSecurity>
  <Lines>77</Lines>
  <Paragraphs>21</Paragraphs>
  <ScaleCrop>false</ScaleCrop>
  <Company>Grizli777</Company>
  <LinksUpToDate>false</LinksUpToDate>
  <CharactersWithSpaces>10843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cp:revision>
  <dcterms:created xsi:type="dcterms:W3CDTF">2022-11-11T19:17:00Z</dcterms:created>
  <dcterms:modified xsi:type="dcterms:W3CDTF">2022-11-11T19:19:00Z</dcterms:modified>
</cp:coreProperties>
</file>