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F5D193" w14:textId="77777777" w:rsidR="00185D7C" w:rsidRPr="00163F94" w:rsidRDefault="00185D7C" w:rsidP="00185D7C">
      <w:pPr>
        <w:spacing w:line="480" w:lineRule="auto"/>
        <w:ind w:firstLineChars="50" w:firstLine="140"/>
        <w:jc w:val="center"/>
        <w:rPr>
          <w:rFonts w:ascii="Arial" w:hAnsi="Arial" w:cs="Arial"/>
          <w:b/>
          <w:bCs/>
          <w:sz w:val="28"/>
          <w:szCs w:val="28"/>
        </w:rPr>
      </w:pPr>
      <w:r w:rsidRPr="00163F94">
        <w:rPr>
          <w:rFonts w:ascii="Arial" w:hAnsi="Arial" w:cs="Arial"/>
          <w:b/>
          <w:bCs/>
          <w:sz w:val="28"/>
          <w:szCs w:val="28"/>
        </w:rPr>
        <w:t>Contextual Translation of Ming and Qing Dynasty Jiangnan Garden Symbols in Contemporary Jewellery Designs</w:t>
      </w:r>
    </w:p>
    <w:p w14:paraId="2262D82A" w14:textId="572BE788" w:rsidR="00185D7C" w:rsidRPr="00163F94" w:rsidRDefault="00185D7C" w:rsidP="00163F94">
      <w:pPr>
        <w:spacing w:line="480" w:lineRule="auto"/>
        <w:ind w:firstLineChars="50" w:firstLine="140"/>
        <w:jc w:val="center"/>
        <w:rPr>
          <w:rFonts w:ascii="Arial" w:hAnsi="Arial" w:cs="Arial"/>
          <w:b/>
          <w:bCs/>
          <w:sz w:val="28"/>
          <w:szCs w:val="28"/>
        </w:rPr>
      </w:pPr>
      <w:r w:rsidRPr="00163F94">
        <w:rPr>
          <w:rFonts w:ascii="Arial" w:hAnsi="Arial" w:cs="Arial"/>
          <w:b/>
          <w:bCs/>
          <w:sz w:val="28"/>
          <w:szCs w:val="28"/>
        </w:rPr>
        <w:t>——Symbol Translation and Memory Construction in Transdisciplinary Perspective</w:t>
      </w:r>
    </w:p>
    <w:p w14:paraId="0E648590" w14:textId="72A165AA" w:rsidR="00163F94" w:rsidRPr="00163F94" w:rsidRDefault="00163F94" w:rsidP="00163F94">
      <w:pPr>
        <w:spacing w:line="480" w:lineRule="auto"/>
        <w:ind w:firstLineChars="50" w:firstLine="120"/>
        <w:jc w:val="center"/>
        <w:rPr>
          <w:rFonts w:ascii="Arial" w:hAnsi="Arial" w:cs="Arial"/>
          <w:sz w:val="24"/>
        </w:rPr>
      </w:pPr>
      <w:r w:rsidRPr="00163F94">
        <w:rPr>
          <w:rFonts w:ascii="Arial" w:hAnsi="Arial" w:cs="Arial"/>
          <w:sz w:val="24"/>
        </w:rPr>
        <w:t>S</w:t>
      </w:r>
      <w:r w:rsidRPr="00163F94">
        <w:rPr>
          <w:rFonts w:ascii="Arial" w:hAnsi="Arial" w:cs="Arial" w:hint="eastAsia"/>
          <w:sz w:val="24"/>
        </w:rPr>
        <w:t>tudent number</w:t>
      </w:r>
      <w:r w:rsidRPr="00163F94">
        <w:rPr>
          <w:rFonts w:ascii="Arial" w:hAnsi="Arial" w:cs="Arial" w:hint="eastAsia"/>
          <w:sz w:val="24"/>
        </w:rPr>
        <w:t>：</w:t>
      </w:r>
      <w:r>
        <w:rPr>
          <w:rFonts w:ascii="Arial" w:hAnsi="Arial" w:cs="Arial" w:hint="eastAsia"/>
          <w:sz w:val="24"/>
        </w:rPr>
        <w:t>2324278</w:t>
      </w:r>
    </w:p>
    <w:p w14:paraId="66D13975" w14:textId="0B935DA4" w:rsidR="00163F94" w:rsidRPr="00163F94" w:rsidRDefault="00163F94" w:rsidP="00163F94">
      <w:pPr>
        <w:spacing w:line="480" w:lineRule="auto"/>
        <w:ind w:firstLineChars="50" w:firstLine="120"/>
        <w:jc w:val="center"/>
        <w:rPr>
          <w:rFonts w:ascii="Arial" w:hAnsi="Arial" w:cs="Arial"/>
          <w:sz w:val="24"/>
        </w:rPr>
      </w:pPr>
      <w:r w:rsidRPr="00163F94">
        <w:rPr>
          <w:rFonts w:ascii="Arial" w:hAnsi="Arial" w:cs="Arial"/>
          <w:sz w:val="24"/>
        </w:rPr>
        <w:t>N</w:t>
      </w:r>
      <w:r w:rsidRPr="00163F94">
        <w:rPr>
          <w:rFonts w:ascii="Arial" w:hAnsi="Arial" w:cs="Arial" w:hint="eastAsia"/>
          <w:sz w:val="24"/>
        </w:rPr>
        <w:t>ame</w:t>
      </w:r>
      <w:r w:rsidRPr="00163F94">
        <w:rPr>
          <w:rFonts w:ascii="Arial" w:hAnsi="Arial" w:cs="Arial" w:hint="eastAsia"/>
          <w:sz w:val="24"/>
        </w:rPr>
        <w:t>：</w:t>
      </w:r>
      <w:r>
        <w:rPr>
          <w:rFonts w:ascii="Arial" w:hAnsi="Arial" w:cs="Arial" w:hint="eastAsia"/>
          <w:sz w:val="24"/>
        </w:rPr>
        <w:t>Yuanyua Xiong</w:t>
      </w:r>
    </w:p>
    <w:p w14:paraId="450B7AB4" w14:textId="07ACE1F1" w:rsidR="00185D7C" w:rsidRPr="007613C1" w:rsidRDefault="00645B6A" w:rsidP="00185D7C">
      <w:pPr>
        <w:spacing w:line="480" w:lineRule="auto"/>
        <w:ind w:firstLineChars="50" w:firstLine="120"/>
        <w:rPr>
          <w:rFonts w:ascii="Arial" w:hAnsi="Arial" w:cs="Arial"/>
          <w:b/>
          <w:bCs/>
          <w:sz w:val="24"/>
        </w:rPr>
      </w:pPr>
      <w:r w:rsidRPr="007613C1">
        <w:rPr>
          <w:rFonts w:ascii="Arial" w:hAnsi="Arial" w:cs="Arial" w:hint="eastAsia"/>
          <w:b/>
          <w:bCs/>
          <w:sz w:val="24"/>
        </w:rPr>
        <w:t>Introduction</w:t>
      </w:r>
    </w:p>
    <w:p w14:paraId="646F351D" w14:textId="3A4B022D" w:rsidR="00185D7C" w:rsidRPr="007613C1" w:rsidRDefault="00185D7C" w:rsidP="00185D7C">
      <w:pPr>
        <w:spacing w:line="480" w:lineRule="auto"/>
        <w:ind w:firstLineChars="50" w:firstLine="120"/>
        <w:rPr>
          <w:rFonts w:ascii="Arial" w:hAnsi="Arial" w:cs="Arial"/>
          <w:sz w:val="24"/>
        </w:rPr>
      </w:pPr>
      <w:r w:rsidRPr="007613C1">
        <w:rPr>
          <w:rFonts w:ascii="Arial" w:hAnsi="Arial" w:cs="Arial"/>
          <w:sz w:val="24"/>
        </w:rPr>
        <w:t xml:space="preserve">The prosperity is over, the people pass away, but the grass, trees, bricks and tiles in the gardens still retain the memories of thousands of years. This phenomenon triggers art design to think about the inheritance and innovation of cultural </w:t>
      </w:r>
      <w:proofErr w:type="gramStart"/>
      <w:r w:rsidRPr="007613C1">
        <w:rPr>
          <w:rFonts w:ascii="Arial" w:hAnsi="Arial" w:cs="Arial"/>
          <w:sz w:val="24"/>
        </w:rPr>
        <w:t>memory, but</w:t>
      </w:r>
      <w:proofErr w:type="gramEnd"/>
      <w:r w:rsidRPr="007613C1">
        <w:rPr>
          <w:rFonts w:ascii="Arial" w:hAnsi="Arial" w:cs="Arial"/>
          <w:sz w:val="24"/>
        </w:rPr>
        <w:t xml:space="preserve"> understanding and transmitting this cultural memory from a single disciplinary perspective can no longer meet the diversified needs of contemporary society, and it is necessary to respond to the various phenomena and thoughts generated in today's world from a broader perspective, and transdisciplinary research is precisely such a favourable tool. Transdisciplinary Research is just such a favourable tool. As Nicolescu argues, Transdisciplinary Research is able to integrate the knowledge systems of multiple disciplines in order to transcend disciplinary boundaries and achieve the goal of solving complex real-world problems. The reality-driven, knowledge-integrating and participatory principles of transdisciplinary research make it an effective tool for addressing multi-level social problems.</w:t>
      </w:r>
    </w:p>
    <w:p w14:paraId="19557EB1" w14:textId="77777777" w:rsidR="00185D7C" w:rsidRPr="007613C1" w:rsidRDefault="00185D7C" w:rsidP="00185D7C">
      <w:pPr>
        <w:spacing w:line="480" w:lineRule="auto"/>
        <w:ind w:firstLineChars="50" w:firstLine="120"/>
        <w:rPr>
          <w:rFonts w:ascii="Arial" w:hAnsi="Arial" w:cs="Arial"/>
          <w:sz w:val="24"/>
        </w:rPr>
      </w:pPr>
      <w:r w:rsidRPr="007613C1">
        <w:rPr>
          <w:rFonts w:ascii="Arial" w:hAnsi="Arial" w:cs="Arial"/>
          <w:sz w:val="24"/>
        </w:rPr>
        <w:t xml:space="preserve">In the early stage of research, it is easy to confuse interdisciplinary research with transdisciplinary research, mistakenly believing that the solution of real-life problems needs </w:t>
      </w:r>
      <w:r w:rsidRPr="007613C1">
        <w:rPr>
          <w:rFonts w:ascii="Arial" w:hAnsi="Arial" w:cs="Arial"/>
          <w:sz w:val="24"/>
        </w:rPr>
        <w:lastRenderedPageBreak/>
        <w:t>to be achieved through the co-operation of different disciplines in the subject matter. However, as the research progresses, the traditional multidisciplinary research method of maintaining disciplinary boundaries or the interdisciplinary research method of searching for disciplinary overlaps can no longer be applied to the contextual transfer of the Jiangnan garden symbols in contemporary The contextual translation of Jiangnan garden symbols in contemporary jewellery design requires a more systematic approach that transcends disciplinary boundaries, i.e. transdisciplinary research. This approach can break through the limitations of the traditional garden symbol research in the disciplines of history and art history, and cut in from the perspectives of cultural semiotics, cultural memory theory, cognitive psychology and design, to form a more comprehensive and systematic understanding. The theoretical methods are used comprehensively, and the significance of their expression in design practice is sought.</w:t>
      </w:r>
    </w:p>
    <w:p w14:paraId="7FEA0804" w14:textId="77777777" w:rsidR="00185D7C" w:rsidRPr="007613C1" w:rsidRDefault="00185D7C" w:rsidP="00185D7C">
      <w:pPr>
        <w:spacing w:line="480" w:lineRule="auto"/>
        <w:ind w:firstLineChars="50" w:firstLine="120"/>
        <w:rPr>
          <w:rFonts w:ascii="Arial" w:hAnsi="Arial" w:cs="Arial"/>
          <w:sz w:val="24"/>
        </w:rPr>
      </w:pPr>
      <w:r w:rsidRPr="007613C1">
        <w:rPr>
          <w:rFonts w:ascii="Arial" w:hAnsi="Arial" w:cs="Arial"/>
          <w:sz w:val="24"/>
        </w:rPr>
        <w:t xml:space="preserve">Furthermore, the Jiangnan gardens from the Ming and Qing dynasties are well-preserved, with a complex spatial layout and rich symbolic meaning, as well as profound cultural value. They are not just static cultural heritage, but also a symbol of the interaction between personal memory and culture in the contemporary context. Viewing Jiangnan Gardens as a place that triggers individual memories highlights their personalised significance as cultural symbols. Because everyone's experience in a garden space is unique, it coincides with the highly personalised nature of jewellery. Jewellery is often closely linked to personal emotions and memories. As an intimate object, jewellery can adorn the body, convey personal narratives, and express emotions. Moreover, jewellery itself contains symbolic meanings of materials and has a natural advantage in inheriting cultural symbols and </w:t>
      </w:r>
      <w:r w:rsidRPr="007613C1">
        <w:rPr>
          <w:rFonts w:ascii="Arial" w:hAnsi="Arial" w:cs="Arial"/>
          <w:sz w:val="24"/>
        </w:rPr>
        <w:lastRenderedPageBreak/>
        <w:t xml:space="preserve">historical memories. Traditional disciplinary research often focuses on the single analysis of the meaning of </w:t>
      </w:r>
      <w:proofErr w:type="gramStart"/>
      <w:r w:rsidRPr="007613C1">
        <w:rPr>
          <w:rFonts w:ascii="Arial" w:hAnsi="Arial" w:cs="Arial"/>
          <w:sz w:val="24"/>
        </w:rPr>
        <w:t>Jiangnan garden</w:t>
      </w:r>
      <w:proofErr w:type="gramEnd"/>
      <w:r w:rsidRPr="007613C1">
        <w:rPr>
          <w:rFonts w:ascii="Arial" w:hAnsi="Arial" w:cs="Arial"/>
          <w:sz w:val="24"/>
        </w:rPr>
        <w:t xml:space="preserve"> symbols as gardens themselves, and is unable to interpret the symbols of Jiangnan gardens across time and space in a contemporary context. This problem needs to be explored through transdisciplinary knowledge, capturing and expressing symbols and memories through the medium of jewellery, in order to provide a multi-dimensional research framework for the innovative and personalised expression of traditional culture in modern society.</w:t>
      </w:r>
    </w:p>
    <w:p w14:paraId="11DF9867" w14:textId="504278BD" w:rsidR="00E93A8F" w:rsidRPr="007613C1" w:rsidRDefault="00185D7C" w:rsidP="00185D7C">
      <w:pPr>
        <w:spacing w:line="480" w:lineRule="auto"/>
        <w:ind w:firstLineChars="50" w:firstLine="120"/>
        <w:rPr>
          <w:rFonts w:ascii="Arial" w:hAnsi="Arial" w:cs="Arial"/>
          <w:sz w:val="24"/>
        </w:rPr>
      </w:pPr>
      <w:r w:rsidRPr="007613C1">
        <w:rPr>
          <w:rFonts w:ascii="Arial" w:hAnsi="Arial" w:cs="Arial"/>
          <w:sz w:val="24"/>
        </w:rPr>
        <w:t xml:space="preserve">This research will outline the definitions and differences between multidisciplinary, interdisciplinary and transdisciplinary research, and propose key principles for transdisciplinary research. It will discuss the transformation and evolution of thinking from multidisciplinary and interdisciplinary to transdisciplinary </w:t>
      </w:r>
      <w:proofErr w:type="gramStart"/>
      <w:r w:rsidRPr="007613C1">
        <w:rPr>
          <w:rFonts w:ascii="Arial" w:hAnsi="Arial" w:cs="Arial"/>
          <w:sz w:val="24"/>
        </w:rPr>
        <w:t>research, and</w:t>
      </w:r>
      <w:proofErr w:type="gramEnd"/>
      <w:r w:rsidRPr="007613C1">
        <w:rPr>
          <w:rFonts w:ascii="Arial" w:hAnsi="Arial" w:cs="Arial"/>
          <w:sz w:val="24"/>
        </w:rPr>
        <w:t xml:space="preserve"> explore the feasibility of contextual translation of Jiangnan garden symbols in contemporary jewellery design through transdisciplinary research methods. Next, by combing and analysing the diverse theoretical foundations and practical methods of transdisciplinary research applied by different disciplines and industries, the hypothesis of transdisciplinary research in symbol translation and memory construction is proposed. Subsequently, a design practice hypothesis that can verify the problem hypothesis is proposed, and the unique advantages of transdisciplinary research in design practice are summarised, along with the limitations of this research and the direction of future research.</w:t>
      </w:r>
    </w:p>
    <w:p w14:paraId="14923BBE" w14:textId="77777777" w:rsidR="006C4D20" w:rsidRPr="007613C1" w:rsidRDefault="006C4D20" w:rsidP="00185D7C">
      <w:pPr>
        <w:spacing w:line="480" w:lineRule="auto"/>
        <w:ind w:firstLineChars="50" w:firstLine="120"/>
        <w:rPr>
          <w:rFonts w:ascii="Arial" w:hAnsi="Arial" w:cs="Arial"/>
          <w:sz w:val="24"/>
        </w:rPr>
      </w:pPr>
    </w:p>
    <w:p w14:paraId="6F075186" w14:textId="77777777" w:rsidR="00950FBF" w:rsidRPr="007613C1" w:rsidRDefault="00950FBF" w:rsidP="00734337">
      <w:pPr>
        <w:spacing w:line="480" w:lineRule="auto"/>
        <w:rPr>
          <w:rFonts w:ascii="Arial" w:hAnsi="Arial" w:cs="Arial"/>
          <w:sz w:val="24"/>
        </w:rPr>
      </w:pPr>
    </w:p>
    <w:p w14:paraId="1456CF8A" w14:textId="08A97141" w:rsidR="00950FBF" w:rsidRPr="007613C1" w:rsidRDefault="00950FBF" w:rsidP="00950FBF">
      <w:pPr>
        <w:spacing w:line="480" w:lineRule="auto"/>
        <w:ind w:firstLineChars="50" w:firstLine="120"/>
        <w:rPr>
          <w:rFonts w:ascii="Arial" w:hAnsi="Arial" w:cs="Arial"/>
          <w:b/>
          <w:bCs/>
          <w:sz w:val="24"/>
        </w:rPr>
      </w:pPr>
      <w:r w:rsidRPr="007613C1">
        <w:rPr>
          <w:rFonts w:ascii="Arial" w:hAnsi="Arial" w:cs="Arial"/>
          <w:b/>
          <w:bCs/>
          <w:sz w:val="24"/>
        </w:rPr>
        <w:lastRenderedPageBreak/>
        <w:t>Multidisciplinary, interdisciplinary and transdisciplinary research: definition and development</w:t>
      </w:r>
    </w:p>
    <w:p w14:paraId="61649907" w14:textId="40B69164" w:rsidR="00950FBF" w:rsidRPr="007613C1" w:rsidRDefault="00950FBF" w:rsidP="00950FBF">
      <w:pPr>
        <w:spacing w:line="480" w:lineRule="auto"/>
        <w:ind w:firstLineChars="50" w:firstLine="120"/>
        <w:rPr>
          <w:rFonts w:ascii="Arial" w:hAnsi="Arial" w:cs="Arial"/>
          <w:sz w:val="24"/>
        </w:rPr>
      </w:pPr>
      <w:r w:rsidRPr="007613C1">
        <w:rPr>
          <w:rFonts w:ascii="Arial" w:hAnsi="Arial" w:cs="Arial"/>
          <w:sz w:val="24"/>
        </w:rPr>
        <w:t>Th</w:t>
      </w:r>
      <w:r w:rsidR="00D75599" w:rsidRPr="007613C1">
        <w:rPr>
          <w:rFonts w:ascii="Arial" w:hAnsi="Arial" w:cs="Arial" w:hint="eastAsia"/>
          <w:sz w:val="24"/>
        </w:rPr>
        <w:t>is</w:t>
      </w:r>
      <w:r w:rsidRPr="007613C1">
        <w:rPr>
          <w:rFonts w:ascii="Arial" w:hAnsi="Arial" w:cs="Arial"/>
          <w:sz w:val="24"/>
        </w:rPr>
        <w:t xml:space="preserve"> section will explain the differences in how the three terms are defined to make some distinction regarding the content of their research and the direction of work, propose advantages, and have unique value in the process of transdisciplinary research, which can symbolically translate and construct memories playing a key role. More than that, this shows the thinking shift from multidisciplinary and interdisciplinary to transdisciplinary research, giving an in-depth analysis of the evolution process.</w:t>
      </w:r>
    </w:p>
    <w:p w14:paraId="6B4F8EB6" w14:textId="77777777" w:rsidR="00950FBF" w:rsidRPr="007613C1" w:rsidRDefault="00950FBF" w:rsidP="00950FBF">
      <w:pPr>
        <w:spacing w:line="480" w:lineRule="auto"/>
        <w:ind w:firstLineChars="50" w:firstLine="120"/>
        <w:rPr>
          <w:rFonts w:ascii="Arial" w:hAnsi="Arial" w:cs="Arial"/>
          <w:sz w:val="24"/>
        </w:rPr>
      </w:pPr>
      <w:r w:rsidRPr="007613C1">
        <w:rPr>
          <w:rFonts w:ascii="Arial" w:hAnsi="Arial" w:cs="Arial"/>
          <w:sz w:val="24"/>
        </w:rPr>
        <w:t>Multidisciplinarity, on the other hand, implies collaboration of multiple disciplines on a similar topic; however, the various disciplines are independent and not integrated in their disciplinary knowledge as suggested by Leavy (2016). This approach brings out the issue of juxtaposition of disciplines and, therefore, has been used in studying projects that call for input from diverse disciplinary backgrounds and knowledge. In this research, various disciplines analyze the problem from their respective independent perspectives, making a richly diversified explanation of the complex problem. Still, research often lacks integration as most of the time, the outcomes of the research are presented parallel to each other rather than integrative. Basically, the so-called multidisciplinary research doesn't go beyond the 'French-style' listing of knowledge and has nothing to do with breakthroughs and the elimination of disciplinary boundary restrictions.</w:t>
      </w:r>
    </w:p>
    <w:p w14:paraId="6622CEE8" w14:textId="77777777" w:rsidR="00950FBF" w:rsidRPr="007613C1" w:rsidRDefault="00950FBF" w:rsidP="00950FBF">
      <w:pPr>
        <w:spacing w:line="480" w:lineRule="auto"/>
        <w:ind w:firstLineChars="50" w:firstLine="120"/>
        <w:rPr>
          <w:rFonts w:ascii="Arial" w:hAnsi="Arial" w:cs="Arial"/>
          <w:sz w:val="24"/>
        </w:rPr>
      </w:pPr>
      <w:r w:rsidRPr="007613C1">
        <w:rPr>
          <w:rFonts w:ascii="Arial" w:hAnsi="Arial" w:cs="Arial"/>
          <w:sz w:val="24"/>
        </w:rPr>
        <w:t xml:space="preserve">As stated by Leavy (2016), "interdisciplinary research is the process of combining concepts, methods and theories from multiple disciplinary perspectives to create new </w:t>
      </w:r>
      <w:r w:rsidRPr="007613C1">
        <w:rPr>
          <w:rFonts w:ascii="Arial" w:hAnsi="Arial" w:cs="Arial"/>
          <w:sz w:val="24"/>
        </w:rPr>
        <w:lastRenderedPageBreak/>
        <w:t xml:space="preserve">knowledge." During such a process, disciplinary boundaries remain intact; thus, tools and methods alone flow among various disciplines to work on a common solution of particular problems. Innovation in theory. The interaction and integration that involve mutual learning from such a study to solve problems that one discipline could not have solved alone is done with other disciplines in research. Limitations also were mentioned: "In interdisciplinary research, due to the differences in paradigms and assumptions inborn in various disciplines, it is hard to reduce to a </w:t>
      </w:r>
      <w:proofErr w:type="gramStart"/>
      <w:r w:rsidRPr="007613C1">
        <w:rPr>
          <w:rFonts w:ascii="Arial" w:hAnsi="Arial" w:cs="Arial"/>
          <w:sz w:val="24"/>
        </w:rPr>
        <w:t>common denominator theories</w:t>
      </w:r>
      <w:proofErr w:type="gramEnd"/>
      <w:r w:rsidRPr="007613C1">
        <w:rPr>
          <w:rFonts w:ascii="Arial" w:hAnsi="Arial" w:cs="Arial"/>
          <w:sz w:val="24"/>
        </w:rPr>
        <w:t xml:space="preserve"> emerging from different disciplines, but these are the breakthroughs they have already arrived at based upon one point of view among many.".</w:t>
      </w:r>
    </w:p>
    <w:p w14:paraId="64C655F8" w14:textId="77777777" w:rsidR="007B20F5" w:rsidRPr="007613C1" w:rsidRDefault="005B0708" w:rsidP="00950FBF">
      <w:pPr>
        <w:spacing w:line="480" w:lineRule="auto"/>
        <w:ind w:firstLineChars="50" w:firstLine="120"/>
        <w:rPr>
          <w:rFonts w:ascii="Arial" w:hAnsi="Arial" w:cs="Arial"/>
          <w:sz w:val="24"/>
        </w:rPr>
      </w:pPr>
      <w:r w:rsidRPr="007613C1">
        <w:rPr>
          <w:rFonts w:ascii="Arial" w:hAnsi="Arial" w:cs="Arial" w:hint="eastAsia"/>
          <w:sz w:val="24"/>
        </w:rPr>
        <w:t>Trans</w:t>
      </w:r>
      <w:r w:rsidR="00950FBF" w:rsidRPr="007613C1">
        <w:rPr>
          <w:rFonts w:ascii="Arial" w:hAnsi="Arial" w:cs="Arial"/>
          <w:sz w:val="24"/>
        </w:rPr>
        <w:t xml:space="preserve">disciplinarity extends beyond disciplinary boundaries to integrate disciplinary and non-disciplinary knowledge through engaging scholars, practitioners, and the public in solving complex real-life problems (Leavy, 2016). </w:t>
      </w:r>
      <w:r w:rsidRPr="007613C1">
        <w:rPr>
          <w:rFonts w:ascii="Arial" w:hAnsi="Arial" w:cs="Arial" w:hint="eastAsia"/>
          <w:sz w:val="24"/>
        </w:rPr>
        <w:t>Trans</w:t>
      </w:r>
      <w:r w:rsidR="00950FBF" w:rsidRPr="007613C1">
        <w:rPr>
          <w:rFonts w:ascii="Arial" w:hAnsi="Arial" w:cs="Arial"/>
          <w:sz w:val="24"/>
        </w:rPr>
        <w:t xml:space="preserve">disciplinarity clearly focuses on complex social or natural problems and is characterized by a problem-driven approach. It presents an integrated framework that steps beyond the limitation of disciplines to integrate and practice knowledge across fields. This research will develop </w:t>
      </w:r>
      <w:proofErr w:type="gramStart"/>
      <w:r w:rsidR="00950FBF" w:rsidRPr="007613C1">
        <w:rPr>
          <w:rFonts w:ascii="Arial" w:hAnsi="Arial" w:cs="Arial"/>
          <w:sz w:val="24"/>
        </w:rPr>
        <w:t>Jiangnan garden</w:t>
      </w:r>
      <w:proofErr w:type="gramEnd"/>
      <w:r w:rsidR="00950FBF" w:rsidRPr="007613C1">
        <w:rPr>
          <w:rFonts w:ascii="Arial" w:hAnsi="Arial" w:cs="Arial"/>
          <w:sz w:val="24"/>
        </w:rPr>
        <w:t xml:space="preserve"> symbols into jewelry design with the method of knowledge integration based on knowledge of cultural semiotics, memory theory, and design. Feedback by jewelry design practitioners as a solution to non-disciplinary problems is introduced. It is an important characteristic of knowledge integration, distinguishing it from the multidisciplinary and </w:t>
      </w:r>
      <w:r w:rsidR="007B20F5" w:rsidRPr="007613C1">
        <w:rPr>
          <w:rFonts w:ascii="Arial" w:hAnsi="Arial" w:cs="Arial"/>
          <w:sz w:val="24"/>
        </w:rPr>
        <w:t>transdisciplinary</w:t>
      </w:r>
      <w:r w:rsidR="00950FBF" w:rsidRPr="007613C1">
        <w:rPr>
          <w:rFonts w:ascii="Arial" w:hAnsi="Arial" w:cs="Arial"/>
          <w:sz w:val="24"/>
        </w:rPr>
        <w:t xml:space="preserve"> research methods. Apart from this, deep involvement and cooperative collaboration on the part of the stakeholders constitute the other characteristics of </w:t>
      </w:r>
      <w:r w:rsidR="007B20F5" w:rsidRPr="007613C1">
        <w:rPr>
          <w:rFonts w:ascii="Arial" w:hAnsi="Arial" w:cs="Arial"/>
          <w:sz w:val="24"/>
        </w:rPr>
        <w:t>transdisciplinary</w:t>
      </w:r>
      <w:r w:rsidR="00950FBF" w:rsidRPr="007613C1">
        <w:rPr>
          <w:rFonts w:ascii="Arial" w:hAnsi="Arial" w:cs="Arial"/>
          <w:sz w:val="24"/>
        </w:rPr>
        <w:t xml:space="preserve"> research. It increases the nature and knowledge of disciplines and deepens it further. In addition to </w:t>
      </w:r>
      <w:r w:rsidR="00950FBF" w:rsidRPr="007613C1">
        <w:rPr>
          <w:rFonts w:ascii="Arial" w:hAnsi="Arial" w:cs="Arial"/>
          <w:sz w:val="24"/>
        </w:rPr>
        <w:lastRenderedPageBreak/>
        <w:t xml:space="preserve">enhancing the integrity of research, understanding and exploring the various kinds of </w:t>
      </w:r>
      <w:r w:rsidR="007B20F5" w:rsidRPr="007613C1">
        <w:rPr>
          <w:rFonts w:ascii="Arial" w:hAnsi="Arial" w:cs="Arial"/>
          <w:sz w:val="24"/>
        </w:rPr>
        <w:t>transdisciplinary</w:t>
      </w:r>
      <w:r w:rsidR="00950FBF" w:rsidRPr="007613C1">
        <w:rPr>
          <w:rFonts w:ascii="Arial" w:hAnsi="Arial" w:cs="Arial"/>
          <w:sz w:val="24"/>
        </w:rPr>
        <w:t xml:space="preserve"> knowledge offers a policy of flexible adjustment for design practice. </w:t>
      </w:r>
    </w:p>
    <w:p w14:paraId="60687E9C" w14:textId="719C74FD" w:rsidR="00950FBF" w:rsidRPr="007613C1" w:rsidRDefault="00950FBF" w:rsidP="00950FBF">
      <w:pPr>
        <w:spacing w:line="480" w:lineRule="auto"/>
        <w:ind w:firstLineChars="50" w:firstLine="120"/>
        <w:rPr>
          <w:rFonts w:ascii="Arial" w:hAnsi="Arial" w:cs="Arial"/>
          <w:sz w:val="24"/>
        </w:rPr>
      </w:pPr>
      <w:r w:rsidRPr="007613C1">
        <w:rPr>
          <w:rFonts w:ascii="Arial" w:hAnsi="Arial" w:cs="Arial"/>
          <w:sz w:val="24"/>
        </w:rPr>
        <w:t xml:space="preserve">Many scholars say that </w:t>
      </w:r>
      <w:r w:rsidR="002D2F84">
        <w:rPr>
          <w:rFonts w:ascii="Arial" w:hAnsi="Arial" w:cs="Arial"/>
          <w:sz w:val="24"/>
        </w:rPr>
        <w:t>trans</w:t>
      </w:r>
      <w:r w:rsidRPr="007613C1">
        <w:rPr>
          <w:rFonts w:ascii="Arial" w:hAnsi="Arial" w:cs="Arial"/>
          <w:sz w:val="24"/>
        </w:rPr>
        <w:t xml:space="preserve">disciplinarity is a process rather than a fixed method in carrying out research (Lawrence &amp; Depres 2004; Klein 2004). The process is changing and developing on the basis of multi- and interdisciplinarity but in no case independently of the disciplinary nature. In a multidisciplinary approach, the research usually takes place in each separate discipline. For example, in the case of urban traffic problems, traffic engineering scholars study road design issues, environmental scientists study the impact of pollution, and economists analyse the economic losses of traffic congestion, and finally compile the research results (Leavy, 2016). Such results are often parallel, lacking systematic and holistic induction. Multidisciplinary research puts more emphasis on the attention to a discipline itself, while often ignoring the research object or practical needs. Interdisciplinary approaches put an emphasis on the interaction and writing between disciplines. In this sense, it bridges the fragmentation and parallelization that occur in the multidisciplinary approaches. The research in this stage focuses on sharing methods and theories and tries to find overlapping areas for solving real social problems. Interdisciplinary research methods enhance the synergy between the disciplines. Through the exchange of each other's theories and methods, psychologists and sociologists have developed a psychosocial framework to comprehensively study the problem of bullying in schools. This ranges from the psychological analysis of individual behavior to the sociological concerns with culture and group dynamics in the formation of a multi-level perspective (Leavy, 2016). </w:t>
      </w:r>
      <w:r w:rsidR="007B20F5" w:rsidRPr="007613C1">
        <w:rPr>
          <w:rFonts w:ascii="Arial" w:hAnsi="Arial" w:cs="Arial"/>
          <w:sz w:val="24"/>
        </w:rPr>
        <w:t>Transdisciplinary</w:t>
      </w:r>
      <w:r w:rsidRPr="007613C1">
        <w:rPr>
          <w:rFonts w:ascii="Arial" w:hAnsi="Arial" w:cs="Arial"/>
          <w:sz w:val="24"/>
        </w:rPr>
        <w:t xml:space="preserve"> research involves an innovative model for studying social problems in an </w:t>
      </w:r>
      <w:r w:rsidRPr="007613C1">
        <w:rPr>
          <w:rFonts w:ascii="Arial" w:hAnsi="Arial" w:cs="Arial"/>
          <w:sz w:val="24"/>
        </w:rPr>
        <w:lastRenderedPageBreak/>
        <w:t xml:space="preserve">inclusive and integrated fashion, moving beyond interdisciplinary research. </w:t>
      </w:r>
      <w:r w:rsidR="007B20F5" w:rsidRPr="007613C1">
        <w:rPr>
          <w:rFonts w:ascii="Arial" w:hAnsi="Arial" w:cs="Arial"/>
          <w:sz w:val="24"/>
        </w:rPr>
        <w:t>Transdisciplinary</w:t>
      </w:r>
      <w:r w:rsidRPr="007613C1">
        <w:rPr>
          <w:rFonts w:ascii="Arial" w:hAnsi="Arial" w:cs="Arial"/>
          <w:sz w:val="24"/>
        </w:rPr>
        <w:t xml:space="preserve"> research profoundly integrates methodological and theoretical knowledge of diverse disciplines, coming up with a comprehensive and innovative problem-centred process</w:t>
      </w:r>
      <w:r w:rsidR="007B20F5" w:rsidRPr="007613C1">
        <w:rPr>
          <w:rFonts w:ascii="Arial" w:hAnsi="Arial" w:cs="Arial" w:hint="eastAsia"/>
          <w:sz w:val="24"/>
        </w:rPr>
        <w:t>（</w:t>
      </w:r>
      <w:r w:rsidRPr="007613C1">
        <w:rPr>
          <w:rFonts w:ascii="Arial" w:hAnsi="Arial" w:cs="Arial"/>
          <w:sz w:val="24"/>
        </w:rPr>
        <w:t>Chou and Wong 2015</w:t>
      </w:r>
      <w:r w:rsidR="007B20F5" w:rsidRPr="007613C1">
        <w:rPr>
          <w:rFonts w:ascii="Arial" w:hAnsi="Arial" w:cs="Arial" w:hint="eastAsia"/>
          <w:sz w:val="24"/>
        </w:rPr>
        <w:t>）</w:t>
      </w:r>
      <w:r w:rsidRPr="007613C1">
        <w:rPr>
          <w:rFonts w:ascii="Arial" w:hAnsi="Arial" w:cs="Arial"/>
          <w:sz w:val="24"/>
        </w:rPr>
        <w:t>. Interdisciplinary research involves the integration of proposals submitted by scholars in various disciplines in an integrated format, and it then goes further to develop a methodological and theoretical integrated framework with multi-dimensional integrated data on such aspects like traffic flow, air pollution indicators, economic indicators, among others. Later comes the integration of expert interpretations and analysis of data by comprehensive discussions, whereby experts establish the solutions.</w:t>
      </w:r>
    </w:p>
    <w:p w14:paraId="5F8605FE" w14:textId="23CE08D4" w:rsidR="00950FBF" w:rsidRDefault="00950FBF" w:rsidP="00950FBF">
      <w:pPr>
        <w:spacing w:line="480" w:lineRule="auto"/>
        <w:ind w:firstLineChars="50" w:firstLine="120"/>
        <w:rPr>
          <w:rFonts w:ascii="Arial" w:hAnsi="Arial" w:cs="Arial"/>
          <w:sz w:val="24"/>
        </w:rPr>
      </w:pPr>
      <w:r w:rsidRPr="007613C1">
        <w:rPr>
          <w:rFonts w:ascii="Arial" w:hAnsi="Arial" w:cs="Arial"/>
          <w:sz w:val="24"/>
        </w:rPr>
        <w:t>The emergence of such an evolutionary process from disciplinary to interdisciplinary and transdisciplinary research presents evidence of how methods and perspectives on research developed from fragmentation to integration and transferred a single discipline's contribution to comprehensive collaboration across disciplines. This would, therefore, be an evolutionary process whereby the research into such a topic could be moved forward from a position of theoretical or practical development arising within a particular discipline onto the problem in itself-learning from strong points of various disciplines and formulating a guiding theoretical framework systemically to lay out a practical path of researching on the topic.</w:t>
      </w:r>
    </w:p>
    <w:p w14:paraId="3E7EDBC5" w14:textId="77777777" w:rsidR="008D1E24" w:rsidRDefault="008D1E24" w:rsidP="00950FBF">
      <w:pPr>
        <w:spacing w:line="480" w:lineRule="auto"/>
        <w:ind w:firstLineChars="50" w:firstLine="120"/>
        <w:rPr>
          <w:rFonts w:ascii="Arial" w:hAnsi="Arial" w:cs="Arial"/>
          <w:sz w:val="24"/>
        </w:rPr>
      </w:pPr>
    </w:p>
    <w:p w14:paraId="1CE1D22B" w14:textId="0116E234" w:rsidR="00C844EE" w:rsidRPr="00CD61EA" w:rsidRDefault="00C844EE" w:rsidP="00C844EE">
      <w:pPr>
        <w:spacing w:line="480" w:lineRule="auto"/>
        <w:ind w:firstLineChars="50" w:firstLine="120"/>
        <w:rPr>
          <w:rFonts w:ascii="Arial" w:hAnsi="Arial" w:cs="Arial"/>
          <w:b/>
          <w:bCs/>
          <w:sz w:val="24"/>
        </w:rPr>
      </w:pPr>
      <w:r w:rsidRPr="00CD61EA">
        <w:rPr>
          <w:rFonts w:ascii="Arial" w:hAnsi="Arial" w:cs="Arial" w:hint="eastAsia"/>
          <w:b/>
          <w:bCs/>
          <w:sz w:val="24"/>
        </w:rPr>
        <w:t>Transdisciplinary</w:t>
      </w:r>
      <w:r w:rsidRPr="00CD61EA">
        <w:rPr>
          <w:rFonts w:ascii="Arial" w:hAnsi="Arial" w:cs="Arial"/>
          <w:b/>
          <w:bCs/>
          <w:sz w:val="24"/>
        </w:rPr>
        <w:t xml:space="preserve"> practical case analysis</w:t>
      </w:r>
    </w:p>
    <w:p w14:paraId="1E48844E" w14:textId="5BF93838" w:rsidR="00C844EE" w:rsidRPr="00C844EE" w:rsidRDefault="00C844EE" w:rsidP="00C844EE">
      <w:pPr>
        <w:spacing w:line="480" w:lineRule="auto"/>
        <w:ind w:firstLineChars="50" w:firstLine="120"/>
        <w:rPr>
          <w:rFonts w:ascii="Arial" w:hAnsi="Arial" w:cs="Arial"/>
          <w:sz w:val="24"/>
        </w:rPr>
      </w:pPr>
      <w:r w:rsidRPr="00C844EE">
        <w:rPr>
          <w:rFonts w:ascii="Arial" w:hAnsi="Arial" w:cs="Arial"/>
          <w:sz w:val="24"/>
        </w:rPr>
        <w:t xml:space="preserve">This chapter aims to sort out the role played by </w:t>
      </w:r>
      <w:r w:rsidR="002D2F84">
        <w:rPr>
          <w:rFonts w:ascii="Arial" w:hAnsi="Arial" w:cs="Arial"/>
          <w:sz w:val="24"/>
        </w:rPr>
        <w:t>trans</w:t>
      </w:r>
      <w:r w:rsidRPr="00C844EE">
        <w:rPr>
          <w:rFonts w:ascii="Arial" w:hAnsi="Arial" w:cs="Arial"/>
          <w:sz w:val="24"/>
        </w:rPr>
        <w:t xml:space="preserve">disciplinary research in different </w:t>
      </w:r>
      <w:r w:rsidRPr="00C844EE">
        <w:rPr>
          <w:rFonts w:ascii="Arial" w:hAnsi="Arial" w:cs="Arial"/>
          <w:sz w:val="24"/>
        </w:rPr>
        <w:lastRenderedPageBreak/>
        <w:t xml:space="preserve">topics or projects, in order to analyse the general process method of </w:t>
      </w:r>
      <w:r w:rsidR="002D2F84">
        <w:rPr>
          <w:rFonts w:ascii="Arial" w:hAnsi="Arial" w:cs="Arial"/>
          <w:sz w:val="24"/>
        </w:rPr>
        <w:t>trans</w:t>
      </w:r>
      <w:r w:rsidRPr="00C844EE">
        <w:rPr>
          <w:rFonts w:ascii="Arial" w:hAnsi="Arial" w:cs="Arial"/>
          <w:sz w:val="24"/>
        </w:rPr>
        <w:t xml:space="preserve">disciplinary research, and the inspiration of this process for the topic ‘Contextualised translation and memory construction of </w:t>
      </w:r>
      <w:proofErr w:type="gramStart"/>
      <w:r w:rsidRPr="00C844EE">
        <w:rPr>
          <w:rFonts w:ascii="Arial" w:hAnsi="Arial" w:cs="Arial"/>
          <w:sz w:val="24"/>
        </w:rPr>
        <w:t>Jiangnan garden</w:t>
      </w:r>
      <w:proofErr w:type="gramEnd"/>
      <w:r w:rsidRPr="00C844EE">
        <w:rPr>
          <w:rFonts w:ascii="Arial" w:hAnsi="Arial" w:cs="Arial"/>
          <w:sz w:val="24"/>
        </w:rPr>
        <w:t xml:space="preserve"> symbols in contemporary jewellery design’ and its </w:t>
      </w:r>
      <w:r w:rsidR="002D2F84">
        <w:rPr>
          <w:rFonts w:ascii="Arial" w:hAnsi="Arial" w:cs="Arial"/>
          <w:sz w:val="24"/>
        </w:rPr>
        <w:t>trans</w:t>
      </w:r>
      <w:r w:rsidRPr="00C844EE">
        <w:rPr>
          <w:rFonts w:ascii="Arial" w:hAnsi="Arial" w:cs="Arial"/>
          <w:sz w:val="24"/>
        </w:rPr>
        <w:t>disciplinary combination.</w:t>
      </w:r>
    </w:p>
    <w:p w14:paraId="5F085F27" w14:textId="167475B5" w:rsidR="00C844EE" w:rsidRPr="00C844EE" w:rsidRDefault="00C844EE" w:rsidP="00C844EE">
      <w:pPr>
        <w:spacing w:line="480" w:lineRule="auto"/>
        <w:ind w:firstLineChars="50" w:firstLine="120"/>
        <w:rPr>
          <w:rFonts w:ascii="Arial" w:hAnsi="Arial" w:cs="Arial"/>
          <w:sz w:val="24"/>
        </w:rPr>
      </w:pPr>
      <w:r w:rsidRPr="00946D3D">
        <w:rPr>
          <w:rFonts w:ascii="Arial" w:hAnsi="Arial" w:cs="Arial"/>
          <w:b/>
          <w:bCs/>
          <w:sz w:val="24"/>
        </w:rPr>
        <w:t>Case 1</w:t>
      </w:r>
      <w:r w:rsidRPr="00C844EE">
        <w:rPr>
          <w:rFonts w:ascii="Arial" w:hAnsi="Arial" w:cs="Arial"/>
          <w:sz w:val="24"/>
        </w:rPr>
        <w:t xml:space="preserve"> STEAM </w:t>
      </w:r>
      <w:r w:rsidR="002D2F84">
        <w:rPr>
          <w:rFonts w:ascii="Arial" w:hAnsi="Arial" w:cs="Arial"/>
          <w:sz w:val="24"/>
        </w:rPr>
        <w:t>trans</w:t>
      </w:r>
      <w:r w:rsidRPr="00C844EE">
        <w:rPr>
          <w:rFonts w:ascii="Arial" w:hAnsi="Arial" w:cs="Arial"/>
          <w:sz w:val="24"/>
        </w:rPr>
        <w:t>disciplinary practice</w:t>
      </w:r>
    </w:p>
    <w:p w14:paraId="5F374B8F" w14:textId="137EB04E" w:rsidR="00C844EE" w:rsidRPr="00C844EE" w:rsidRDefault="00C844EE" w:rsidP="00C844EE">
      <w:pPr>
        <w:spacing w:line="480" w:lineRule="auto"/>
        <w:ind w:firstLineChars="50" w:firstLine="120"/>
        <w:rPr>
          <w:rFonts w:ascii="Arial" w:hAnsi="Arial" w:cs="Arial"/>
          <w:sz w:val="24"/>
        </w:rPr>
      </w:pPr>
      <w:r w:rsidRPr="00C844EE">
        <w:rPr>
          <w:rFonts w:ascii="Arial" w:hAnsi="Arial" w:cs="Arial"/>
          <w:sz w:val="24"/>
        </w:rPr>
        <w:t xml:space="preserve">This case is a practical project of </w:t>
      </w:r>
      <w:r w:rsidR="002D2F84">
        <w:rPr>
          <w:rFonts w:ascii="Arial" w:hAnsi="Arial" w:cs="Arial"/>
          <w:sz w:val="24"/>
        </w:rPr>
        <w:t>trans</w:t>
      </w:r>
      <w:r w:rsidRPr="00C844EE">
        <w:rPr>
          <w:rFonts w:ascii="Arial" w:hAnsi="Arial" w:cs="Arial"/>
          <w:sz w:val="24"/>
        </w:rPr>
        <w:t xml:space="preserve">disciplinary research in the field of art and design education, which uses the STEAM teaching model to cultivate students' ability to deal with complex problems. STEAM refers to a model that combines science (S), technology (T), engineering (E), art (A) and mathematics (M). It uses the characteristics of different disciplines to integrate and dynamically collaborate, forming </w:t>
      </w:r>
      <w:proofErr w:type="gramStart"/>
      <w:r w:rsidRPr="00C844EE">
        <w:rPr>
          <w:rFonts w:ascii="Arial" w:hAnsi="Arial" w:cs="Arial"/>
          <w:sz w:val="24"/>
        </w:rPr>
        <w:t>an</w:t>
      </w:r>
      <w:proofErr w:type="gramEnd"/>
      <w:r w:rsidRPr="00C844EE">
        <w:rPr>
          <w:rFonts w:ascii="Arial" w:hAnsi="Arial" w:cs="Arial"/>
          <w:sz w:val="24"/>
        </w:rPr>
        <w:t xml:space="preserve"> </w:t>
      </w:r>
      <w:r w:rsidR="002D2F84">
        <w:rPr>
          <w:rFonts w:ascii="Arial" w:hAnsi="Arial" w:cs="Arial"/>
          <w:sz w:val="24"/>
        </w:rPr>
        <w:t>trans</w:t>
      </w:r>
      <w:r w:rsidRPr="00C844EE">
        <w:rPr>
          <w:rFonts w:ascii="Arial" w:hAnsi="Arial" w:cs="Arial"/>
          <w:sz w:val="24"/>
        </w:rPr>
        <w:t>disciplinary teaching model. This educational model not only broadens the boundaries of single, traditional disciplines, but also provides a new way of thinking for contemporary design research.</w:t>
      </w:r>
    </w:p>
    <w:p w14:paraId="19982689" w14:textId="7A9F1BCB" w:rsidR="00C844EE" w:rsidRDefault="00C844EE" w:rsidP="002F3D72">
      <w:pPr>
        <w:spacing w:line="480" w:lineRule="auto"/>
        <w:ind w:firstLineChars="50" w:firstLine="120"/>
        <w:rPr>
          <w:rFonts w:ascii="Arial" w:hAnsi="Arial" w:cs="Arial"/>
          <w:sz w:val="24"/>
        </w:rPr>
      </w:pPr>
      <w:r w:rsidRPr="00C844EE">
        <w:rPr>
          <w:rFonts w:ascii="Arial" w:hAnsi="Arial" w:cs="Arial"/>
          <w:sz w:val="24"/>
        </w:rPr>
        <w:t xml:space="preserve">Costantino (2018) believes that STEAM is not just about adding art to STEM, but about organically combining various disciplines to create a collaborative and innovative learning model that enables students to acquire new knowledge at the intersection of different fields. The key to this model is to break down the boundaries between science, technology, engineering, art and mathematics, so that students can break down their preconceptions and create new understandings. The core concept of the STEAM education model is creative inquiry. The curriculum generally revolves around a specific, complex problem, guiding students to find solutions through an open and exploratory approach from a multidisciplinary perspective. Figure 1 represents the iterative model of creative inquiry </w:t>
      </w:r>
      <w:r w:rsidRPr="00C844EE">
        <w:rPr>
          <w:rFonts w:ascii="Arial" w:hAnsi="Arial" w:cs="Arial"/>
          <w:sz w:val="24"/>
        </w:rPr>
        <w:lastRenderedPageBreak/>
        <w:t xml:space="preserve">under the STEAM education model. This model not only focuses on the definition and refinement of the </w:t>
      </w:r>
      <w:proofErr w:type="gramStart"/>
      <w:r w:rsidRPr="00C844EE">
        <w:rPr>
          <w:rFonts w:ascii="Arial" w:hAnsi="Arial" w:cs="Arial"/>
          <w:sz w:val="24"/>
        </w:rPr>
        <w:t>problem, but</w:t>
      </w:r>
      <w:proofErr w:type="gramEnd"/>
      <w:r w:rsidRPr="00C844EE">
        <w:rPr>
          <w:rFonts w:ascii="Arial" w:hAnsi="Arial" w:cs="Arial"/>
          <w:sz w:val="24"/>
        </w:rPr>
        <w:t xml:space="preserve"> also demonstrates the construction of the problem in the inquiry and criticism cycle or stimulates further expression of ideas.</w:t>
      </w:r>
    </w:p>
    <w:p w14:paraId="3F63C12E" w14:textId="1A12744C" w:rsidR="005E2993" w:rsidRPr="00C844EE" w:rsidRDefault="005E2993" w:rsidP="002F3D72">
      <w:pPr>
        <w:spacing w:line="480" w:lineRule="auto"/>
        <w:ind w:firstLineChars="50" w:firstLine="120"/>
        <w:rPr>
          <w:rFonts w:ascii="Arial" w:hAnsi="Arial" w:cs="Arial"/>
          <w:sz w:val="24"/>
        </w:rPr>
      </w:pPr>
      <w:r>
        <w:rPr>
          <w:rFonts w:ascii="宋体" w:eastAsia="宋体" w:hAnsi="宋体" w:hint="eastAsia"/>
          <w:noProof/>
          <w:sz w:val="24"/>
        </w:rPr>
        <w:drawing>
          <wp:inline distT="0" distB="0" distL="0" distR="0" wp14:anchorId="491244BD" wp14:editId="5CE3EDFC">
            <wp:extent cx="2791838" cy="2527436"/>
            <wp:effectExtent l="0" t="0" r="2540" b="0"/>
            <wp:docPr id="14544255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42552" name="图片 145442552"/>
                    <pic:cNvPicPr/>
                  </pic:nvPicPr>
                  <pic:blipFill>
                    <a:blip r:embed="rId4" cstate="print">
                      <a:extLst>
                        <a:ext uri="{28A0092B-C50C-407E-A947-70E740481C1C}">
                          <a14:useLocalDpi xmlns:a14="http://schemas.microsoft.com/office/drawing/2010/main" val="0"/>
                        </a:ext>
                      </a:extLst>
                    </a:blip>
                    <a:stretch>
                      <a:fillRect/>
                    </a:stretch>
                  </pic:blipFill>
                  <pic:spPr>
                    <a:xfrm>
                      <a:off x="0" y="0"/>
                      <a:ext cx="2822995" cy="2555642"/>
                    </a:xfrm>
                    <a:prstGeom prst="rect">
                      <a:avLst/>
                    </a:prstGeom>
                  </pic:spPr>
                </pic:pic>
              </a:graphicData>
            </a:graphic>
          </wp:inline>
        </w:drawing>
      </w:r>
      <w:r w:rsidR="009712BA">
        <w:rPr>
          <w:rFonts w:ascii="Arial" w:hAnsi="Arial" w:cs="Arial" w:hint="eastAsia"/>
          <w:sz w:val="24"/>
        </w:rPr>
        <w:t>Figure 1</w:t>
      </w:r>
      <w:r w:rsidR="00111545">
        <w:rPr>
          <w:rFonts w:ascii="Arial" w:hAnsi="Arial" w:cs="Arial" w:hint="eastAsia"/>
          <w:sz w:val="24"/>
        </w:rPr>
        <w:t xml:space="preserve"> </w:t>
      </w:r>
    </w:p>
    <w:p w14:paraId="7D0B21AB" w14:textId="38A09E8B" w:rsidR="00C844EE" w:rsidRPr="00C844EE" w:rsidRDefault="00C844EE" w:rsidP="00C844EE">
      <w:pPr>
        <w:spacing w:line="480" w:lineRule="auto"/>
        <w:ind w:firstLineChars="50" w:firstLine="120"/>
        <w:rPr>
          <w:rFonts w:ascii="Arial" w:hAnsi="Arial" w:cs="Arial"/>
          <w:sz w:val="24"/>
        </w:rPr>
      </w:pPr>
      <w:r w:rsidRPr="00C844EE">
        <w:rPr>
          <w:rFonts w:ascii="Arial" w:hAnsi="Arial" w:cs="Arial"/>
          <w:sz w:val="24"/>
        </w:rPr>
        <w:t xml:space="preserve">In addition, the project-based learning (PBL) method is often used in STEAM courses. This method is conducive to students' creation of practical works in a multidisciplinary context. For example, using engineering processes and methods, artistic methods and strategies as exploratory tools, and practicing creative thinking through the body, students guided by this teaching model create body sculptures with energy mobility in a selected area, thus responding to and thinking about issues related to energy consumption. This is completely unthinkable in teaching within traditional disciplines. With the support of </w:t>
      </w:r>
      <w:r w:rsidR="002D2F84">
        <w:rPr>
          <w:rFonts w:ascii="Arial" w:hAnsi="Arial" w:cs="Arial"/>
          <w:sz w:val="24"/>
        </w:rPr>
        <w:t>trans</w:t>
      </w:r>
      <w:r w:rsidRPr="00C844EE">
        <w:rPr>
          <w:rFonts w:ascii="Arial" w:hAnsi="Arial" w:cs="Arial"/>
          <w:sz w:val="24"/>
        </w:rPr>
        <w:t>disciplinary research, the combination of art and other disciplines allows practice to be promoted and realised in a wider field.</w:t>
      </w:r>
    </w:p>
    <w:p w14:paraId="60DB6959" w14:textId="0F9BF617" w:rsidR="008D1E24" w:rsidRDefault="00C844EE" w:rsidP="00C844EE">
      <w:pPr>
        <w:spacing w:line="480" w:lineRule="auto"/>
        <w:ind w:firstLineChars="50" w:firstLine="120"/>
        <w:rPr>
          <w:rFonts w:ascii="Arial" w:hAnsi="Arial" w:cs="Arial"/>
          <w:sz w:val="24"/>
        </w:rPr>
      </w:pPr>
      <w:r w:rsidRPr="00C844EE">
        <w:rPr>
          <w:rFonts w:ascii="Arial" w:hAnsi="Arial" w:cs="Arial"/>
          <w:sz w:val="24"/>
        </w:rPr>
        <w:t xml:space="preserve">The impact of this practical project on symbol translation and memory construction is mainly carried out from the three dimensions of problem-oriented, </w:t>
      </w:r>
      <w:r w:rsidR="002D2F84">
        <w:rPr>
          <w:rFonts w:ascii="Arial" w:hAnsi="Arial" w:cs="Arial"/>
          <w:sz w:val="24"/>
        </w:rPr>
        <w:t>trans</w:t>
      </w:r>
      <w:r w:rsidRPr="00C844EE">
        <w:rPr>
          <w:rFonts w:ascii="Arial" w:hAnsi="Arial" w:cs="Arial"/>
          <w:sz w:val="24"/>
        </w:rPr>
        <w:t xml:space="preserve">disciplinary collaboration and project-based creative methods. A problem-oriented approach centred on </w:t>
      </w:r>
      <w:r w:rsidRPr="00C844EE">
        <w:rPr>
          <w:rFonts w:ascii="Arial" w:hAnsi="Arial" w:cs="Arial"/>
          <w:sz w:val="24"/>
        </w:rPr>
        <w:lastRenderedPageBreak/>
        <w:t xml:space="preserve">culture and memory helps to focus on the objectives of the subject and promote in-depth multi-perspective and multi-dimensional </w:t>
      </w:r>
      <w:r w:rsidR="002D2F84">
        <w:rPr>
          <w:rFonts w:ascii="Arial" w:hAnsi="Arial" w:cs="Arial"/>
          <w:sz w:val="24"/>
        </w:rPr>
        <w:t>trans</w:t>
      </w:r>
      <w:r w:rsidRPr="00C844EE">
        <w:rPr>
          <w:rFonts w:ascii="Arial" w:hAnsi="Arial" w:cs="Arial"/>
          <w:sz w:val="24"/>
        </w:rPr>
        <w:t xml:space="preserve">pretation of Jiangnan gardens. </w:t>
      </w:r>
      <w:proofErr w:type="gramStart"/>
      <w:r w:rsidRPr="00C844EE">
        <w:rPr>
          <w:rFonts w:ascii="Arial" w:hAnsi="Arial" w:cs="Arial"/>
          <w:sz w:val="24"/>
        </w:rPr>
        <w:t>An</w:t>
      </w:r>
      <w:proofErr w:type="gramEnd"/>
      <w:r w:rsidRPr="00C844EE">
        <w:rPr>
          <w:rFonts w:ascii="Arial" w:hAnsi="Arial" w:cs="Arial"/>
          <w:sz w:val="24"/>
        </w:rPr>
        <w:t xml:space="preserve"> </w:t>
      </w:r>
      <w:r w:rsidR="002D2F84">
        <w:rPr>
          <w:rFonts w:ascii="Arial" w:hAnsi="Arial" w:cs="Arial"/>
          <w:sz w:val="24"/>
        </w:rPr>
        <w:t>trans</w:t>
      </w:r>
      <w:r w:rsidRPr="00C844EE">
        <w:rPr>
          <w:rFonts w:ascii="Arial" w:hAnsi="Arial" w:cs="Arial"/>
          <w:sz w:val="24"/>
        </w:rPr>
        <w:t>disciplinary collaborative model provides favourable conditions for the completion of the design project. Referring to the STEAM project-based learning model, the project can be divided into different stages to meet the challenges of different disciplines.</w:t>
      </w:r>
    </w:p>
    <w:p w14:paraId="236DF10B" w14:textId="77777777" w:rsidR="00EF1E4B" w:rsidRDefault="00EF1E4B" w:rsidP="00C844EE">
      <w:pPr>
        <w:spacing w:line="480" w:lineRule="auto"/>
        <w:ind w:firstLineChars="50" w:firstLine="120"/>
        <w:rPr>
          <w:rFonts w:ascii="Arial" w:hAnsi="Arial" w:cs="Arial"/>
          <w:sz w:val="24"/>
        </w:rPr>
      </w:pPr>
    </w:p>
    <w:p w14:paraId="203A6D95" w14:textId="77777777" w:rsidR="002D64F0" w:rsidRPr="002D64F0" w:rsidRDefault="002D64F0" w:rsidP="002D64F0">
      <w:pPr>
        <w:spacing w:line="480" w:lineRule="auto"/>
        <w:ind w:firstLineChars="50" w:firstLine="120"/>
        <w:rPr>
          <w:rFonts w:ascii="Arial" w:hAnsi="Arial" w:cs="Arial"/>
          <w:sz w:val="24"/>
        </w:rPr>
      </w:pPr>
      <w:r w:rsidRPr="00FE142F">
        <w:rPr>
          <w:rFonts w:ascii="Arial" w:hAnsi="Arial" w:cs="Arial"/>
          <w:b/>
          <w:bCs/>
          <w:sz w:val="24"/>
        </w:rPr>
        <w:t>Case 2</w:t>
      </w:r>
      <w:r w:rsidRPr="002D64F0">
        <w:rPr>
          <w:rFonts w:ascii="Arial" w:hAnsi="Arial" w:cs="Arial"/>
          <w:sz w:val="24"/>
        </w:rPr>
        <w:t xml:space="preserve"> Martínez's experimental anthropology</w:t>
      </w:r>
    </w:p>
    <w:p w14:paraId="7C8ABA60" w14:textId="77777777" w:rsidR="002D64F0" w:rsidRPr="002D64F0" w:rsidRDefault="002D64F0" w:rsidP="002D64F0">
      <w:pPr>
        <w:spacing w:line="480" w:lineRule="auto"/>
        <w:ind w:firstLineChars="50" w:firstLine="120"/>
        <w:rPr>
          <w:rFonts w:ascii="Arial" w:hAnsi="Arial" w:cs="Arial"/>
          <w:sz w:val="24"/>
        </w:rPr>
      </w:pPr>
      <w:r w:rsidRPr="002D64F0">
        <w:rPr>
          <w:rFonts w:ascii="Arial" w:hAnsi="Arial" w:cs="Arial"/>
          <w:sz w:val="24"/>
        </w:rPr>
        <w:t xml:space="preserve">Martínez's practical project is centred on the exhibition ‘Objects of Attention’, which interprets the complexity and creativity of transdisciplinarity through curatorial practices and the redesign of objects as experimental explorations (Figures 2 and 3). Participants in the exhibition include artists, designers and anthropologists, who collaborate on creative projects using ‘borderline objects’ as a medium to construct transdisciplinary dialogues. The redesigned objects in the exhibition are not only part of the exhibition, but also experimental tools for social research, exploring the paths of knowledge generation. The themes of ‘border objects’ cover immigration, gender, the environment, and so on. Practitioners contextualise these themes and redefine and reinterpret the cultural and social significance of these objects (Martínez, 2021). For example, through art installations made from industrial waste, designers express the excessive exploitation and consumption of natural resources by humans, which in turn triggers the audience to think about resource reuse, while also proposing a new definition of the aesthetics of traditional objects. In addition, interactive works that combine touchable objects with dynamic images are also part of the </w:t>
      </w:r>
      <w:r w:rsidRPr="002D64F0">
        <w:rPr>
          <w:rFonts w:ascii="Arial" w:hAnsi="Arial" w:cs="Arial"/>
          <w:sz w:val="24"/>
        </w:rPr>
        <w:lastRenderedPageBreak/>
        <w:t>exhibition. This exhibit encourages the audience to interact with the objects and participate in the discussion of reinterpreting the meaning and function of the objects. The way the objects are displayed also goes beyond the traditional way of exhibitions and stimulates new discussions among the audience, practitioners and experts about the social impact of art and technology.</w:t>
      </w:r>
    </w:p>
    <w:p w14:paraId="736EF4BD" w14:textId="711CFF7D" w:rsidR="00E13F46" w:rsidRDefault="002D64F0" w:rsidP="002D64F0">
      <w:pPr>
        <w:spacing w:line="480" w:lineRule="auto"/>
        <w:ind w:firstLineChars="50" w:firstLine="120"/>
        <w:rPr>
          <w:rFonts w:ascii="Arial" w:hAnsi="Arial" w:cs="Arial"/>
          <w:sz w:val="24"/>
        </w:rPr>
      </w:pPr>
      <w:r w:rsidRPr="002D64F0">
        <w:rPr>
          <w:rFonts w:ascii="Arial" w:hAnsi="Arial" w:cs="Arial"/>
          <w:sz w:val="24"/>
        </w:rPr>
        <w:t xml:space="preserve">The curatorial approach of the exhibition is also at the heart of transdisciplinary experimentation. Martínez uses curation as an integral part of research, which gives curation the dual identity of an organisational role and a research component, so that the exhibition has the status of both a display endpoint and a dynamic generator of knowledge. Furthermore, the introduction of the concept of ‘borderline objects’ has enabled the exhibition to break down barriers between disciplines and create a comprehensive exchange platform with multi-perspective interventions. The exhibition itself has become a transdisciplinary experiment. The curatorial approach emphasises the dynamic generation of knowledge, a process that promotes communication and interaction between artists, designers and the audience, and that constantly explains, reconstructs and reinterprets research questions in practice. In addition, the exhibition combines anthropological methods with visual expression through art and </w:t>
      </w:r>
      <w:proofErr w:type="gramStart"/>
      <w:r w:rsidRPr="002D64F0">
        <w:rPr>
          <w:rFonts w:ascii="Arial" w:hAnsi="Arial" w:cs="Arial"/>
          <w:sz w:val="24"/>
        </w:rPr>
        <w:t>design, and</w:t>
      </w:r>
      <w:proofErr w:type="gramEnd"/>
      <w:r w:rsidRPr="002D64F0">
        <w:rPr>
          <w:rFonts w:ascii="Arial" w:hAnsi="Arial" w:cs="Arial"/>
          <w:sz w:val="24"/>
        </w:rPr>
        <w:t xml:space="preserve"> demonstrates through multidisciplinary collaboration and interaction how ‘boundary objects’ can become the glue that binds different disciplines, creating a new space and form of knowledge in a relative vacuum and generating extensive social discussion.</w:t>
      </w:r>
    </w:p>
    <w:p w14:paraId="72ABA06D" w14:textId="3D365821" w:rsidR="00D80EC2" w:rsidRDefault="00C4503E" w:rsidP="00D80EC2">
      <w:pPr>
        <w:rPr>
          <w:rFonts w:ascii="Arial" w:eastAsia="宋体" w:hAnsi="Arial" w:cs="Arial"/>
          <w:sz w:val="24"/>
        </w:rPr>
      </w:pPr>
      <w:r w:rsidRPr="00C4503E">
        <w:rPr>
          <w:rFonts w:ascii="Arial" w:eastAsia="宋体" w:hAnsi="Arial" w:cs="Arial"/>
          <w:noProof/>
          <w:sz w:val="24"/>
        </w:rPr>
        <w:lastRenderedPageBreak/>
        <w:drawing>
          <wp:inline distT="0" distB="0" distL="0" distR="0" wp14:anchorId="136BE6BA" wp14:editId="5F6BE07C">
            <wp:extent cx="2480553" cy="1672537"/>
            <wp:effectExtent l="0" t="0" r="0" b="4445"/>
            <wp:docPr id="954093001" name="图片 2" descr="房间里有门&#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093001" name="图片 2" descr="房间里有门&#10;&#10;中度可信度描述已自动生成"/>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07696" cy="1690838"/>
                    </a:xfrm>
                    <a:prstGeom prst="rect">
                      <a:avLst/>
                    </a:prstGeom>
                  </pic:spPr>
                </pic:pic>
              </a:graphicData>
            </a:graphic>
          </wp:inline>
        </w:drawing>
      </w:r>
      <w:r w:rsidRPr="00C4503E">
        <w:rPr>
          <w:rFonts w:ascii="Arial" w:eastAsia="宋体" w:hAnsi="Arial" w:cs="Arial"/>
          <w:sz w:val="24"/>
        </w:rPr>
        <w:t>Figure 2</w:t>
      </w:r>
      <w:r w:rsidRPr="00C4503E">
        <w:rPr>
          <w:rFonts w:ascii="Arial" w:eastAsia="宋体" w:hAnsi="Arial" w:cs="Arial"/>
          <w:noProof/>
          <w:sz w:val="24"/>
        </w:rPr>
        <w:drawing>
          <wp:inline distT="0" distB="0" distL="0" distR="0" wp14:anchorId="03C71CA5" wp14:editId="488FD135">
            <wp:extent cx="2500008" cy="1685526"/>
            <wp:effectExtent l="0" t="0" r="1905" b="3810"/>
            <wp:docPr id="420720390" name="图片 3" descr="图片包含 室内, 建筑, 照片, 房间&#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720390" name="图片 3" descr="图片包含 室内, 建筑, 照片, 房间&#10;&#10;描述已自动生成"/>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32949" cy="1707735"/>
                    </a:xfrm>
                    <a:prstGeom prst="rect">
                      <a:avLst/>
                    </a:prstGeom>
                  </pic:spPr>
                </pic:pic>
              </a:graphicData>
            </a:graphic>
          </wp:inline>
        </w:drawing>
      </w:r>
      <w:r w:rsidRPr="00C4503E">
        <w:rPr>
          <w:rFonts w:ascii="Arial" w:eastAsia="宋体" w:hAnsi="Arial" w:cs="Arial"/>
          <w:sz w:val="24"/>
        </w:rPr>
        <w:t>Figure3</w:t>
      </w:r>
    </w:p>
    <w:p w14:paraId="6CA49F76" w14:textId="3AA1C22B" w:rsidR="00D80EC2" w:rsidRDefault="0040223C" w:rsidP="00391C1A">
      <w:pPr>
        <w:ind w:firstLineChars="50" w:firstLine="110"/>
        <w:rPr>
          <w:rFonts w:ascii="Arial" w:hAnsi="Arial" w:cs="Arial"/>
        </w:rPr>
      </w:pPr>
      <w:r w:rsidRPr="005F1EDE">
        <w:rPr>
          <w:rFonts w:ascii="Arial" w:hAnsi="Arial" w:cs="Arial"/>
        </w:rPr>
        <w:t xml:space="preserve">Martínez's research methods provide important insights into the topics of symbol translation and memory construction. Garden symbols can become a bridge between tradition and the contemporary through redesign and re-contextualisation. Symbol-translating jewellery design expresses contemporary aesthetic functions while also carrying a rich cultural memory. A curatorial approach can also be part of the display and research of symbol translation and memory construction. Based on the theoretical foundation of symbolic interactionism, users or audiences are involved in the entire process of design and exhibition. The audience is not only an observer, but also a practitioner, providing multi-perspective feedback that belongs to the user in this dynamic and open knowledge production model. In addition, it is also possible to collaborate with cultural scholars, designers, and craftsmen to explore experimental methods that transcend multidisciplinary boundaries, attempting to achieve a new life for </w:t>
      </w:r>
      <w:proofErr w:type="gramStart"/>
      <w:r w:rsidRPr="005F1EDE">
        <w:rPr>
          <w:rFonts w:ascii="Arial" w:hAnsi="Arial" w:cs="Arial"/>
        </w:rPr>
        <w:t>Jiangnan garden</w:t>
      </w:r>
      <w:proofErr w:type="gramEnd"/>
      <w:r w:rsidRPr="005F1EDE">
        <w:rPr>
          <w:rFonts w:ascii="Arial" w:hAnsi="Arial" w:cs="Arial"/>
        </w:rPr>
        <w:t xml:space="preserve"> symbols in contemporary design.</w:t>
      </w:r>
    </w:p>
    <w:p w14:paraId="7F0E4D99" w14:textId="77777777" w:rsidR="00391C1A" w:rsidRDefault="00391C1A" w:rsidP="00391C1A">
      <w:pPr>
        <w:ind w:firstLineChars="50" w:firstLine="110"/>
        <w:rPr>
          <w:rFonts w:ascii="Arial" w:hAnsi="Arial" w:cs="Arial"/>
        </w:rPr>
      </w:pPr>
    </w:p>
    <w:p w14:paraId="5F458387" w14:textId="77777777" w:rsidR="00EF1E4B" w:rsidRPr="00EF1E4B" w:rsidRDefault="00EF1E4B" w:rsidP="00EF1E4B">
      <w:pPr>
        <w:ind w:firstLineChars="50" w:firstLine="110"/>
        <w:rPr>
          <w:rFonts w:ascii="Arial" w:hAnsi="Arial" w:cs="Arial"/>
        </w:rPr>
      </w:pPr>
      <w:r w:rsidRPr="00EF1E4B">
        <w:rPr>
          <w:rFonts w:ascii="Arial" w:hAnsi="Arial" w:cs="Arial"/>
          <w:b/>
          <w:bCs/>
        </w:rPr>
        <w:t>Case 3</w:t>
      </w:r>
      <w:r w:rsidRPr="00EF1E4B">
        <w:rPr>
          <w:rFonts w:ascii="Arial" w:hAnsi="Arial" w:cs="Arial"/>
        </w:rPr>
        <w:t xml:space="preserve"> ‘Biomodd’ project</w:t>
      </w:r>
    </w:p>
    <w:p w14:paraId="12314AE8" w14:textId="08D3C36A" w:rsidR="00391C1A" w:rsidRDefault="00EF1E4B" w:rsidP="00EF1E4B">
      <w:pPr>
        <w:ind w:firstLineChars="50" w:firstLine="110"/>
        <w:rPr>
          <w:rFonts w:ascii="Arial" w:hAnsi="Arial" w:cs="Arial"/>
        </w:rPr>
      </w:pPr>
      <w:r w:rsidRPr="00EF1E4B">
        <w:rPr>
          <w:rFonts w:ascii="Arial" w:hAnsi="Arial" w:cs="Arial"/>
        </w:rPr>
        <w:t xml:space="preserve">Biomodd is an art installation project that combines virtual and offline face-to-face environments. It is a long-term artistic practice that integrates ecology, technology, art and community participation to explore social issues such as global environmental and technological waste. Kuchner et al. mentioned that Biomodd adopts a model of ‘no a priori design concept’, in which participants can customize the rules of experience and interaction based on the provided background and theme (Kuchner et al., 2023). Artists, scientists, engineers and audiences participate in the project through transdisciplinary collaboration. In the Biomodd [BRG13] version (Figure 4), the transdisciplinary team designed an interactive device using discarded computers and an environmental ecosystem to maintain the survival of plants and fish in the ecosystem. On the one hand, the device integrates biology and engineering technology, and on the other hand, it presents the symbiotic relationship between man and nature in the form of art. It not only embodies transdisciplinary </w:t>
      </w:r>
      <w:proofErr w:type="gramStart"/>
      <w:r w:rsidRPr="00EF1E4B">
        <w:rPr>
          <w:rFonts w:ascii="Arial" w:hAnsi="Arial" w:cs="Arial"/>
        </w:rPr>
        <w:t>collaboration, but</w:t>
      </w:r>
      <w:proofErr w:type="gramEnd"/>
      <w:r w:rsidRPr="00EF1E4B">
        <w:rPr>
          <w:rFonts w:ascii="Arial" w:hAnsi="Arial" w:cs="Arial"/>
        </w:rPr>
        <w:t xml:space="preserve"> also shows ‘blurred boundaries.’</w:t>
      </w:r>
    </w:p>
    <w:p w14:paraId="1C2B25A4" w14:textId="0AC9D1D0" w:rsidR="00D3077E" w:rsidRDefault="00D3077E" w:rsidP="00EF1E4B">
      <w:pPr>
        <w:ind w:firstLineChars="50" w:firstLine="120"/>
        <w:rPr>
          <w:rFonts w:ascii="Arial" w:hAnsi="Arial" w:cs="Arial"/>
        </w:rPr>
      </w:pPr>
      <w:r>
        <w:rPr>
          <w:rFonts w:ascii="宋体" w:eastAsia="宋体" w:hAnsi="宋体" w:hint="eastAsia"/>
          <w:noProof/>
          <w:sz w:val="24"/>
        </w:rPr>
        <w:lastRenderedPageBreak/>
        <w:drawing>
          <wp:inline distT="0" distB="0" distL="0" distR="0" wp14:anchorId="534C55B7" wp14:editId="54FBCD59">
            <wp:extent cx="2503917" cy="1669192"/>
            <wp:effectExtent l="0" t="0" r="0" b="0"/>
            <wp:docPr id="2050078716" name="图片 4" descr="紫色的伞&#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078716" name="图片 4" descr="紫色的伞&#10;&#10;中度可信度描述已自动生成"/>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57265" cy="1704756"/>
                    </a:xfrm>
                    <a:prstGeom prst="rect">
                      <a:avLst/>
                    </a:prstGeom>
                  </pic:spPr>
                </pic:pic>
              </a:graphicData>
            </a:graphic>
          </wp:inline>
        </w:drawing>
      </w:r>
      <w:r>
        <w:rPr>
          <w:rFonts w:ascii="Arial" w:hAnsi="Arial" w:cs="Arial" w:hint="eastAsia"/>
        </w:rPr>
        <w:t>Figure 4</w:t>
      </w:r>
    </w:p>
    <w:p w14:paraId="1451B761" w14:textId="3F0ACAF1" w:rsidR="00D3077E" w:rsidRDefault="00774671" w:rsidP="00EF1E4B">
      <w:pPr>
        <w:ind w:firstLineChars="50" w:firstLine="110"/>
        <w:rPr>
          <w:rFonts w:ascii="Arial" w:hAnsi="Arial" w:cs="Arial"/>
        </w:rPr>
      </w:pPr>
      <w:r w:rsidRPr="00774671">
        <w:rPr>
          <w:rFonts w:ascii="Arial" w:hAnsi="Arial" w:cs="Arial"/>
        </w:rPr>
        <w:t>Perry-Smith and Mannucci's (2017) ‘conceptual journey’ theory was applied to the entire process of the project, from idea generation to implementation. The project achieved transdisciplinary knowledge sharing and multi-party collaboration through a ‘</w:t>
      </w:r>
      <w:proofErr w:type="gramStart"/>
      <w:r w:rsidRPr="00774671">
        <w:rPr>
          <w:rFonts w:ascii="Arial" w:hAnsi="Arial" w:cs="Arial"/>
        </w:rPr>
        <w:t>virtual-field</w:t>
      </w:r>
      <w:proofErr w:type="gramEnd"/>
      <w:r w:rsidRPr="00774671">
        <w:rPr>
          <w:rFonts w:ascii="Arial" w:hAnsi="Arial" w:cs="Arial"/>
        </w:rPr>
        <w:t xml:space="preserve">’ hybrid model. In the virtual mode, participants shared preliminary project ideas, design prototypes, and experimental processes through online platforms such as Discord, while in the field mode, participants modified and optimised online ideas in combination with actual physical experiments and presentation effects. Take the Winogradsky column (Figure 5) as an example. This is a classic experiment that models a microbial ecosystem to show how </w:t>
      </w:r>
      <w:proofErr w:type="gramStart"/>
      <w:r w:rsidRPr="00774671">
        <w:rPr>
          <w:rFonts w:ascii="Arial" w:hAnsi="Arial" w:cs="Arial"/>
        </w:rPr>
        <w:t>organisms</w:t>
      </w:r>
      <w:proofErr w:type="gramEnd"/>
      <w:r w:rsidRPr="00774671">
        <w:rPr>
          <w:rFonts w:ascii="Arial" w:hAnsi="Arial" w:cs="Arial"/>
        </w:rPr>
        <w:t xml:space="preserve"> function in the environment. The model not only serves as an art </w:t>
      </w:r>
      <w:proofErr w:type="gramStart"/>
      <w:r w:rsidRPr="00774671">
        <w:rPr>
          <w:rFonts w:ascii="Arial" w:hAnsi="Arial" w:cs="Arial"/>
        </w:rPr>
        <w:t>installation, but</w:t>
      </w:r>
      <w:proofErr w:type="gramEnd"/>
      <w:r w:rsidRPr="00774671">
        <w:rPr>
          <w:rFonts w:ascii="Arial" w:hAnsi="Arial" w:cs="Arial"/>
        </w:rPr>
        <w:t xml:space="preserve"> also provides a source of data input for players, reflecting the process of transdisciplinary integration of biological research results into artistic creation.</w:t>
      </w:r>
    </w:p>
    <w:p w14:paraId="5906CEE7" w14:textId="4E340319" w:rsidR="00DC190D" w:rsidRDefault="00DC190D" w:rsidP="00EF1E4B">
      <w:pPr>
        <w:ind w:firstLineChars="50" w:firstLine="120"/>
        <w:rPr>
          <w:rFonts w:ascii="Arial" w:hAnsi="Arial" w:cs="Arial"/>
        </w:rPr>
      </w:pPr>
      <w:r>
        <w:rPr>
          <w:rFonts w:ascii="宋体" w:eastAsia="宋体" w:hAnsi="宋体" w:hint="eastAsia"/>
          <w:noProof/>
          <w:sz w:val="24"/>
        </w:rPr>
        <w:drawing>
          <wp:inline distT="0" distB="0" distL="0" distR="0" wp14:anchorId="57F3F2DC" wp14:editId="013854CA">
            <wp:extent cx="2546646" cy="1729659"/>
            <wp:effectExtent l="0" t="0" r="0" b="0"/>
            <wp:docPr id="1392435713" name="图片 5" descr="图片包含 紫色, 桌子, 华美, 不同&#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35713" name="图片 5" descr="图片包含 紫色, 桌子, 华美, 不同&#10;&#10;描述已自动生成"/>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74036" cy="1748262"/>
                    </a:xfrm>
                    <a:prstGeom prst="rect">
                      <a:avLst/>
                    </a:prstGeom>
                  </pic:spPr>
                </pic:pic>
              </a:graphicData>
            </a:graphic>
          </wp:inline>
        </w:drawing>
      </w:r>
      <w:r>
        <w:rPr>
          <w:rFonts w:ascii="Arial" w:hAnsi="Arial" w:cs="Arial" w:hint="eastAsia"/>
        </w:rPr>
        <w:t>Figure 5</w:t>
      </w:r>
    </w:p>
    <w:p w14:paraId="19491EC6" w14:textId="77777777" w:rsidR="0063038F" w:rsidRPr="005F1EDE" w:rsidRDefault="0063038F" w:rsidP="0063038F">
      <w:pPr>
        <w:rPr>
          <w:rFonts w:ascii="Arial" w:hAnsi="Arial" w:cs="Arial"/>
        </w:rPr>
      </w:pPr>
      <w:r w:rsidRPr="005F1EDE">
        <w:rPr>
          <w:rFonts w:ascii="Arial" w:hAnsi="Arial" w:cs="Arial"/>
        </w:rPr>
        <w:t xml:space="preserve">The Biomodd project emphasises the participation of the public as creators and audiences. Community members immerse themselves in the process of </w:t>
      </w:r>
      <w:r>
        <w:rPr>
          <w:rFonts w:ascii="Arial" w:hAnsi="Arial" w:cs="Arial"/>
        </w:rPr>
        <w:t>trans</w:t>
      </w:r>
      <w:r w:rsidRPr="005F1EDE">
        <w:rPr>
          <w:rFonts w:ascii="Arial" w:hAnsi="Arial" w:cs="Arial"/>
        </w:rPr>
        <w:t>disciplinary collaboration by participating in electronic recycling workshops and interactive games. In the exhibition at St. John's Hospital, the audience directly participates in influencing the growth of plants and changing the growth environment of plants in a multiplayer game. This real-time game feedback can deepen the audience's understanding of the relationship between human behaviour and the environment.</w:t>
      </w:r>
    </w:p>
    <w:p w14:paraId="252E5897" w14:textId="77777777" w:rsidR="0063038F" w:rsidRPr="005F1EDE" w:rsidRDefault="0063038F" w:rsidP="0063038F">
      <w:pPr>
        <w:rPr>
          <w:rFonts w:ascii="Arial" w:hAnsi="Arial" w:cs="Arial"/>
        </w:rPr>
      </w:pPr>
      <w:r w:rsidRPr="005F1EDE">
        <w:rPr>
          <w:rFonts w:ascii="Arial" w:hAnsi="Arial" w:cs="Arial"/>
        </w:rPr>
        <w:t xml:space="preserve">The approach of dynamic generation and experimental design is rare in previous symbolic translation. A ‘no a priori design’ model like Biomodd can also be used in landscape symbolic translation projects. The public and designers participate together to explore the multiple possibilities of symbolic translation. In this process, the author is the creator, and the audience can also participate in the design by interacting with and giving feedback to the creator, thus achieving </w:t>
      </w:r>
      <w:r w:rsidRPr="005F1EDE">
        <w:rPr>
          <w:rFonts w:ascii="Arial" w:hAnsi="Arial" w:cs="Arial"/>
        </w:rPr>
        <w:lastRenderedPageBreak/>
        <w:t xml:space="preserve">the co-construction of symbols and memories. Planning related theme activities, public participation in the experience design activities with the theme of the translation of </w:t>
      </w:r>
      <w:proofErr w:type="gramStart"/>
      <w:r w:rsidRPr="005F1EDE">
        <w:rPr>
          <w:rFonts w:ascii="Arial" w:hAnsi="Arial" w:cs="Arial"/>
        </w:rPr>
        <w:t>Jiangnan garden</w:t>
      </w:r>
      <w:proofErr w:type="gramEnd"/>
      <w:r w:rsidRPr="005F1EDE">
        <w:rPr>
          <w:rFonts w:ascii="Arial" w:hAnsi="Arial" w:cs="Arial"/>
        </w:rPr>
        <w:t xml:space="preserve"> symbols in contemporary jewellery, can make the design process more intuitive, and enable the public to understand the cultural meaning behind the design.</w:t>
      </w:r>
    </w:p>
    <w:p w14:paraId="0EDB3800" w14:textId="77777777" w:rsidR="00DC190D" w:rsidRDefault="00DC190D" w:rsidP="00EF1E4B">
      <w:pPr>
        <w:ind w:firstLineChars="50" w:firstLine="110"/>
        <w:rPr>
          <w:rFonts w:ascii="Arial" w:hAnsi="Arial" w:cs="Arial"/>
        </w:rPr>
      </w:pPr>
    </w:p>
    <w:p w14:paraId="23D74AF9" w14:textId="77777777" w:rsidR="00E12D63" w:rsidRPr="00E12D63" w:rsidRDefault="00E12D63" w:rsidP="00E12D63">
      <w:pPr>
        <w:ind w:firstLineChars="50" w:firstLine="110"/>
        <w:rPr>
          <w:rFonts w:ascii="Arial" w:hAnsi="Arial" w:cs="Arial"/>
        </w:rPr>
      </w:pPr>
      <w:r w:rsidRPr="00E12D63">
        <w:rPr>
          <w:rFonts w:ascii="Arial" w:hAnsi="Arial" w:cs="Arial"/>
          <w:b/>
          <w:bCs/>
        </w:rPr>
        <w:t>Case 4</w:t>
      </w:r>
      <w:r w:rsidRPr="00E12D63">
        <w:rPr>
          <w:rFonts w:ascii="Arial" w:hAnsi="Arial" w:cs="Arial"/>
        </w:rPr>
        <w:t xml:space="preserve"> Teaching Environmental Conflict</w:t>
      </w:r>
    </w:p>
    <w:p w14:paraId="1564045B" w14:textId="77777777" w:rsidR="00E12D63" w:rsidRPr="00E12D63" w:rsidRDefault="00E12D63" w:rsidP="00E12D63">
      <w:pPr>
        <w:ind w:firstLineChars="50" w:firstLine="110"/>
        <w:rPr>
          <w:rFonts w:ascii="Arial" w:hAnsi="Arial" w:cs="Arial"/>
        </w:rPr>
      </w:pPr>
      <w:r w:rsidRPr="00E12D63">
        <w:rPr>
          <w:rFonts w:ascii="Arial" w:hAnsi="Arial" w:cs="Arial"/>
        </w:rPr>
        <w:t>This case explores how to help students understand the complexity of environmental conflicts through case studies and immersive teaching. The case specifically analyzes the practice of transdisciplinary teaching in environmental conflicts, especially in courses in Argentina and Mexico. Ruggerio (2024) pointed out that the thinking mode of transdisciplinary research can enable the research and teaching of environmental conflicts to break through the boundaries of single-disciplinary research and integrate social sciences, natural sciences, and stakeholder knowledge. In fact, transdisciplinarity is not entirely divorced from disciplinary boundaries, but rather combines meaningful social engagement with research on academic methods at the intersection of disciplines to create a process of mutual learning and integration of knowledge from multiple fields (Scholz and Steiner, 2015). In the teaching project in Argentina, students take the conflict over real estate development as the central issue and use a combination of different perspectives from ecology, political ecology and sociology to study and analyse the impact of environmental conflicts on the social, cultural and ecological dimensions of the Parana River Delta region. Students do not study events and problems from a single disciplinary perspective but rather analyse the issues as a whole in a transdisciplinary manner, which precisely reflects the ability of transdisciplinary research to transcend boundaries and solve complex problems. During the research process, students were divided into small groups and were responsible for analysing the conflict from different disciplinary perspectives. The division of labour promoted the improvement of students' collaborative skills, and they were able to form a comprehensive report to reflect their research results to the community group.</w:t>
      </w:r>
    </w:p>
    <w:p w14:paraId="3907DEFE" w14:textId="77777777" w:rsidR="00E12D63" w:rsidRPr="00E12D63" w:rsidRDefault="00E12D63" w:rsidP="00E12D63">
      <w:pPr>
        <w:ind w:firstLineChars="50" w:firstLine="110"/>
        <w:rPr>
          <w:rFonts w:ascii="Arial" w:hAnsi="Arial" w:cs="Arial"/>
        </w:rPr>
      </w:pPr>
      <w:r w:rsidRPr="00E12D63">
        <w:rPr>
          <w:rFonts w:ascii="Arial" w:hAnsi="Arial" w:cs="Arial"/>
        </w:rPr>
        <w:t xml:space="preserve">The combination of transdisciplinary case studies and immersive student experiences is an effective strategy for teaching environmental conflicts in this practical project. Bringing real environmental conflicts into the classroom allows students to experience the conflict scene first-hand, which is conducive to their understanding of the logic of the actions of the parties involved, that is, the stakeholders, and the impact of the conflict on the social environment. Ruggerio (2024) believes that this immersive experience model can stimulate students' emotions and perceptions of events, thereby enhancing the teaching effect and making learning more meaningful. The field research in Mexico in which students participated showed that immersive experiential methods that provide an in-depth understanding of the power relations behind local resource grabs through interaction with local communities prompted students to develop critical thinking and a sense of social responsibility by directly understanding complex realities on a psychological and physical </w:t>
      </w:r>
      <w:r w:rsidRPr="00E12D63">
        <w:rPr>
          <w:rFonts w:ascii="Arial" w:hAnsi="Arial" w:cs="Arial"/>
        </w:rPr>
        <w:lastRenderedPageBreak/>
        <w:t>level.</w:t>
      </w:r>
    </w:p>
    <w:p w14:paraId="2074BA9F" w14:textId="7E027822" w:rsidR="00E12D63" w:rsidRDefault="00E12D63" w:rsidP="00E12D63">
      <w:pPr>
        <w:ind w:firstLineChars="50" w:firstLine="110"/>
        <w:rPr>
          <w:rFonts w:ascii="Arial" w:hAnsi="Arial" w:cs="Arial"/>
        </w:rPr>
      </w:pPr>
      <w:r w:rsidRPr="00E12D63">
        <w:rPr>
          <w:rFonts w:ascii="Arial" w:hAnsi="Arial" w:cs="Arial"/>
        </w:rPr>
        <w:t>For the practical task of the symbolic translation and memory construction of Jiangnan gardens in the context of transdisciplinary research and its application in jewellery design, the case study and immersive experience methods in this case can be used as a reference. On the one hand, the symbolic translation of the geographical characteristics and historical and cultural memory of the garden structure is used, and on the other hand, the public is invited to participate in the redesign of the jewellery to enhance the interactivity of memory construction. The reconstruction of the symbolic form of the garden and public feedback are experimentally incorporated into the design.</w:t>
      </w:r>
    </w:p>
    <w:p w14:paraId="511655C6" w14:textId="77777777" w:rsidR="0035242F" w:rsidRDefault="0035242F" w:rsidP="00E12D63">
      <w:pPr>
        <w:ind w:firstLineChars="50" w:firstLine="110"/>
        <w:rPr>
          <w:rFonts w:ascii="Arial" w:hAnsi="Arial" w:cs="Arial"/>
        </w:rPr>
      </w:pPr>
    </w:p>
    <w:p w14:paraId="2B3F6480" w14:textId="77777777" w:rsidR="0035242F" w:rsidRPr="005F1EDE" w:rsidRDefault="0035242F" w:rsidP="0035242F">
      <w:pPr>
        <w:rPr>
          <w:rFonts w:ascii="Arial" w:hAnsi="Arial" w:cs="Arial"/>
        </w:rPr>
      </w:pPr>
      <w:r w:rsidRPr="0035242F">
        <w:rPr>
          <w:rFonts w:ascii="Arial" w:hAnsi="Arial" w:cs="Arial"/>
          <w:b/>
          <w:bCs/>
        </w:rPr>
        <w:t>Case 5</w:t>
      </w:r>
      <w:r w:rsidRPr="005F1EDE">
        <w:rPr>
          <w:rFonts w:ascii="Arial" w:hAnsi="Arial" w:cs="Arial"/>
        </w:rPr>
        <w:t xml:space="preserve"> Connected Art Practice</w:t>
      </w:r>
    </w:p>
    <w:p w14:paraId="39FF5333" w14:textId="77777777" w:rsidR="0035242F" w:rsidRPr="005F1EDE" w:rsidRDefault="0035242F" w:rsidP="0035242F">
      <w:pPr>
        <w:rPr>
          <w:rFonts w:ascii="Arial" w:hAnsi="Arial" w:cs="Arial"/>
        </w:rPr>
      </w:pPr>
      <w:r w:rsidRPr="005F1EDE">
        <w:rPr>
          <w:rFonts w:ascii="Arial" w:hAnsi="Arial" w:cs="Arial"/>
        </w:rPr>
        <w:t xml:space="preserve">The practice of Norton and others explores the </w:t>
      </w:r>
      <w:r>
        <w:rPr>
          <w:rFonts w:ascii="Arial" w:hAnsi="Arial" w:cs="Arial"/>
        </w:rPr>
        <w:t>trans</w:t>
      </w:r>
      <w:r w:rsidRPr="005F1EDE">
        <w:rPr>
          <w:rFonts w:ascii="Arial" w:hAnsi="Arial" w:cs="Arial"/>
        </w:rPr>
        <w:t>disciplinary embodiment of ‘Connected Art Practice’ in a variety of learning environments, demonstrating the role of this approach in academic research, artistic expression across social and cultural boundaries, and communication involving community participation, thereby promoting the cultivation of the innovative capabilities of students and researchers in different design projects.</w:t>
      </w:r>
    </w:p>
    <w:p w14:paraId="1327AE10" w14:textId="77777777" w:rsidR="0035242F" w:rsidRPr="005F1EDE" w:rsidRDefault="0035242F" w:rsidP="0035242F">
      <w:pPr>
        <w:rPr>
          <w:rFonts w:ascii="Arial" w:hAnsi="Arial" w:cs="Arial"/>
        </w:rPr>
      </w:pPr>
      <w:r w:rsidRPr="005F1EDE">
        <w:rPr>
          <w:rFonts w:ascii="Arial" w:hAnsi="Arial" w:cs="Arial"/>
        </w:rPr>
        <w:t xml:space="preserve">The Connected Art project consists of three specific practical cases, namely the GoodLife RealLAB course, the Body-Themed Sculpture Workshop and the </w:t>
      </w:r>
      <w:r>
        <w:rPr>
          <w:rFonts w:ascii="Arial" w:hAnsi="Arial" w:cs="Arial"/>
        </w:rPr>
        <w:t>Trans</w:t>
      </w:r>
      <w:r w:rsidRPr="005F1EDE">
        <w:rPr>
          <w:rFonts w:ascii="Arial" w:hAnsi="Arial" w:cs="Arial"/>
        </w:rPr>
        <w:t xml:space="preserve">disciplinary Practice for Adult Learners. These three practical cases discuss the role of </w:t>
      </w:r>
      <w:proofErr w:type="gramStart"/>
      <w:r w:rsidRPr="005F1EDE">
        <w:rPr>
          <w:rFonts w:ascii="Arial" w:hAnsi="Arial" w:cs="Arial"/>
        </w:rPr>
        <w:t>an</w:t>
      </w:r>
      <w:proofErr w:type="gramEnd"/>
      <w:r w:rsidRPr="005F1EDE">
        <w:rPr>
          <w:rFonts w:ascii="Arial" w:hAnsi="Arial" w:cs="Arial"/>
        </w:rPr>
        <w:t xml:space="preserve"> </w:t>
      </w:r>
      <w:r>
        <w:rPr>
          <w:rFonts w:ascii="Arial" w:hAnsi="Arial" w:cs="Arial"/>
        </w:rPr>
        <w:t>trans</w:t>
      </w:r>
      <w:r w:rsidRPr="005F1EDE">
        <w:rPr>
          <w:rFonts w:ascii="Arial" w:hAnsi="Arial" w:cs="Arial"/>
        </w:rPr>
        <w:t xml:space="preserve">disciplinary approach in learning environments from the perspectives of collaboration, experimental art and emotion, respectively. Connected Art Practices illustrates how networks of </w:t>
      </w:r>
      <w:r>
        <w:rPr>
          <w:rFonts w:ascii="Arial" w:hAnsi="Arial" w:cs="Arial"/>
        </w:rPr>
        <w:t>trans</w:t>
      </w:r>
      <w:r w:rsidRPr="005F1EDE">
        <w:rPr>
          <w:rFonts w:ascii="Arial" w:hAnsi="Arial" w:cs="Arial"/>
        </w:rPr>
        <w:t xml:space="preserve">disciplinary understanding can be constructed through object connections, sound interactions and visual narratives (Norton, Norton and Veciana, 2024). In the GoodLife RealLAB course at Leuphana University in Germany, students use everyday objects (the size of a potato) to symbolise their research </w:t>
      </w:r>
      <w:proofErr w:type="gramStart"/>
      <w:r w:rsidRPr="005F1EDE">
        <w:rPr>
          <w:rFonts w:ascii="Arial" w:hAnsi="Arial" w:cs="Arial"/>
        </w:rPr>
        <w:t>interests, and</w:t>
      </w:r>
      <w:proofErr w:type="gramEnd"/>
      <w:r w:rsidRPr="005F1EDE">
        <w:rPr>
          <w:rFonts w:ascii="Arial" w:hAnsi="Arial" w:cs="Arial"/>
        </w:rPr>
        <w:t xml:space="preserve"> then use rope-like connections to form different key learning groups by stringing together keywords (Figure 6). By combining quantitative research methods, stakeholder analysis from sociology and visual expression from art and design, students experience </w:t>
      </w:r>
      <w:r>
        <w:rPr>
          <w:rFonts w:ascii="Arial" w:hAnsi="Arial" w:cs="Arial"/>
        </w:rPr>
        <w:t>trans</w:t>
      </w:r>
      <w:r w:rsidRPr="005F1EDE">
        <w:rPr>
          <w:rFonts w:ascii="Arial" w:hAnsi="Arial" w:cs="Arial"/>
        </w:rPr>
        <w:t xml:space="preserve">disciplinary collaboration in the process of forming learning groups, so that they can play </w:t>
      </w:r>
      <w:proofErr w:type="gramStart"/>
      <w:r w:rsidRPr="005F1EDE">
        <w:rPr>
          <w:rFonts w:ascii="Arial" w:hAnsi="Arial" w:cs="Arial"/>
        </w:rPr>
        <w:t>an</w:t>
      </w:r>
      <w:proofErr w:type="gramEnd"/>
      <w:r w:rsidRPr="005F1EDE">
        <w:rPr>
          <w:rFonts w:ascii="Arial" w:hAnsi="Arial" w:cs="Arial"/>
        </w:rPr>
        <w:t xml:space="preserve"> </w:t>
      </w:r>
      <w:r>
        <w:rPr>
          <w:rFonts w:ascii="Arial" w:hAnsi="Arial" w:cs="Arial"/>
        </w:rPr>
        <w:t>trans</w:t>
      </w:r>
      <w:r w:rsidRPr="005F1EDE">
        <w:rPr>
          <w:rFonts w:ascii="Arial" w:hAnsi="Arial" w:cs="Arial"/>
        </w:rPr>
        <w:t xml:space="preserve">disciplinary role in specific design projects, such as the theme of sustainable cities, to solve complex social reality problems. The body-themed sculpture workshop explores experimental learning and artistic intervention, emphasising the use of visual stimuli and physical activities to enhance learning. Students use discarded materials to create body-themed sculptures and display them in the street (Figure 7), exploring the relationship between the body and the environment in the form of sculpture. Social issues such as pollutants and waste of resources are raised in the production of artworks, stimulating critical thinking among students. The combination of emotion and cognition is also one of the </w:t>
      </w:r>
      <w:r>
        <w:rPr>
          <w:rFonts w:ascii="Arial" w:hAnsi="Arial" w:cs="Arial"/>
        </w:rPr>
        <w:t>trans</w:t>
      </w:r>
      <w:r w:rsidRPr="005F1EDE">
        <w:rPr>
          <w:rFonts w:ascii="Arial" w:hAnsi="Arial" w:cs="Arial"/>
        </w:rPr>
        <w:t xml:space="preserve">disciplinary practices in the Connected Art project. Participants build confidence through dialogue with objects and personal narratives, form partnerships with peers and share personal experiences through community-based </w:t>
      </w:r>
      <w:r w:rsidRPr="005F1EDE">
        <w:rPr>
          <w:rFonts w:ascii="Arial" w:hAnsi="Arial" w:cs="Arial"/>
        </w:rPr>
        <w:lastRenderedPageBreak/>
        <w:t>discussions to explore their own identities. The methods used in these examples not only overcome the barriers and obstacles created by different disciplines or cultural backgrounds, but also create imaginative practical results, which are very intuitive for the practical exploration of the translation of symbols and the construction of memory.</w:t>
      </w:r>
    </w:p>
    <w:p w14:paraId="744D49D1" w14:textId="77777777" w:rsidR="0035242F" w:rsidRPr="005F1EDE" w:rsidRDefault="0035242F" w:rsidP="0035242F">
      <w:pPr>
        <w:rPr>
          <w:rFonts w:ascii="Arial" w:hAnsi="Arial" w:cs="Arial"/>
        </w:rPr>
      </w:pPr>
      <w:r w:rsidRPr="005F1EDE">
        <w:rPr>
          <w:rFonts w:ascii="Arial" w:hAnsi="Arial" w:cs="Arial"/>
        </w:rPr>
        <w:t xml:space="preserve">The ‘object dialogue’ in the Connected Art project provides important insights into the translation of Jiangnan symbols. Symbols can be ‘associated objects’ and thus be redesigned in a modern form using modern materials. The </w:t>
      </w:r>
      <w:r>
        <w:rPr>
          <w:rFonts w:ascii="Arial" w:hAnsi="Arial" w:cs="Arial"/>
        </w:rPr>
        <w:t>trans</w:t>
      </w:r>
      <w:r w:rsidRPr="005F1EDE">
        <w:rPr>
          <w:rFonts w:ascii="Arial" w:hAnsi="Arial" w:cs="Arial"/>
        </w:rPr>
        <w:t xml:space="preserve">disciplinary collaboration of the project integrates history, cultural semiotics, psychology and design. By combining the curriculum with contemporary design, it promotes communication and cooperation between the public and </w:t>
      </w:r>
      <w:proofErr w:type="gramStart"/>
      <w:r w:rsidRPr="005F1EDE">
        <w:rPr>
          <w:rFonts w:ascii="Arial" w:hAnsi="Arial" w:cs="Arial"/>
        </w:rPr>
        <w:t>designers, and</w:t>
      </w:r>
      <w:proofErr w:type="gramEnd"/>
      <w:r w:rsidRPr="005F1EDE">
        <w:rPr>
          <w:rFonts w:ascii="Arial" w:hAnsi="Arial" w:cs="Arial"/>
        </w:rPr>
        <w:t xml:space="preserve"> further stimulates thinking about memory construction and personal identity perception.</w:t>
      </w:r>
    </w:p>
    <w:p w14:paraId="097A6B4C" w14:textId="59C072CC" w:rsidR="00E12D63" w:rsidRDefault="00865D86" w:rsidP="00E12D63">
      <w:pPr>
        <w:ind w:firstLineChars="50" w:firstLine="122"/>
        <w:rPr>
          <w:rFonts w:ascii="Arial" w:hAnsi="Arial" w:cs="Arial"/>
        </w:rPr>
      </w:pPr>
      <w:r>
        <w:rPr>
          <w:rFonts w:ascii="宋体" w:eastAsia="宋体" w:hAnsi="宋体" w:hint="eastAsia"/>
          <w:b/>
          <w:bCs/>
          <w:noProof/>
          <w:sz w:val="24"/>
        </w:rPr>
        <w:drawing>
          <wp:inline distT="0" distB="0" distL="0" distR="0" wp14:anchorId="37047428" wp14:editId="60529CDA">
            <wp:extent cx="2136448" cy="1601350"/>
            <wp:effectExtent l="0" t="0" r="0" b="0"/>
            <wp:docPr id="393567481" name="图片 6" descr="许多照片放在一起&#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567481" name="图片 6" descr="许多照片放在一起&#10;&#10;中度可信度描述已自动生成"/>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47903" cy="1609936"/>
                    </a:xfrm>
                    <a:prstGeom prst="rect">
                      <a:avLst/>
                    </a:prstGeom>
                  </pic:spPr>
                </pic:pic>
              </a:graphicData>
            </a:graphic>
          </wp:inline>
        </w:drawing>
      </w:r>
      <w:r>
        <w:rPr>
          <w:rFonts w:ascii="Arial" w:hAnsi="Arial" w:cs="Arial" w:hint="eastAsia"/>
        </w:rPr>
        <w:t>Figure 6</w:t>
      </w:r>
      <w:r>
        <w:rPr>
          <w:rFonts w:ascii="宋体" w:eastAsia="宋体" w:hAnsi="宋体" w:hint="eastAsia"/>
          <w:b/>
          <w:bCs/>
          <w:noProof/>
          <w:sz w:val="24"/>
        </w:rPr>
        <w:drawing>
          <wp:inline distT="0" distB="0" distL="0" distR="0" wp14:anchorId="2EDE092C" wp14:editId="3F92E126">
            <wp:extent cx="1707523" cy="2478280"/>
            <wp:effectExtent l="0" t="0" r="0" b="0"/>
            <wp:docPr id="1213839517" name="图片 7" descr="图片包含 室内, 猫, 看着, 照片&#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839517" name="图片 7" descr="图片包含 室内, 猫, 看着, 照片&#10;&#10;描述已自动生成"/>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23726" cy="2501797"/>
                    </a:xfrm>
                    <a:prstGeom prst="rect">
                      <a:avLst/>
                    </a:prstGeom>
                  </pic:spPr>
                </pic:pic>
              </a:graphicData>
            </a:graphic>
          </wp:inline>
        </w:drawing>
      </w:r>
      <w:r>
        <w:rPr>
          <w:rFonts w:ascii="Arial" w:hAnsi="Arial" w:cs="Arial" w:hint="eastAsia"/>
        </w:rPr>
        <w:t>Figure 7</w:t>
      </w:r>
    </w:p>
    <w:p w14:paraId="05A8AD82" w14:textId="77777777" w:rsidR="00843331" w:rsidRDefault="00843331" w:rsidP="00E12D63">
      <w:pPr>
        <w:ind w:firstLineChars="50" w:firstLine="110"/>
        <w:rPr>
          <w:rFonts w:ascii="Arial" w:hAnsi="Arial" w:cs="Arial"/>
        </w:rPr>
      </w:pPr>
    </w:p>
    <w:p w14:paraId="300CFCA1" w14:textId="77777777" w:rsidR="00CE2AAD" w:rsidRPr="00F43FD8" w:rsidRDefault="00CE2AAD" w:rsidP="000C2B0A">
      <w:pPr>
        <w:ind w:firstLineChars="50" w:firstLine="110"/>
        <w:rPr>
          <w:rFonts w:ascii="Arial" w:hAnsi="Arial" w:cs="Arial"/>
          <w:b/>
          <w:bCs/>
        </w:rPr>
      </w:pPr>
      <w:r w:rsidRPr="00F43FD8">
        <w:rPr>
          <w:rFonts w:ascii="Arial" w:hAnsi="Arial" w:cs="Arial"/>
          <w:b/>
          <w:bCs/>
        </w:rPr>
        <w:t>Design practice hypothesis</w:t>
      </w:r>
    </w:p>
    <w:p w14:paraId="7D446B33" w14:textId="77777777" w:rsidR="00CE2AAD" w:rsidRPr="005F1EDE" w:rsidRDefault="00CE2AAD" w:rsidP="000C2B0A">
      <w:pPr>
        <w:ind w:firstLineChars="50" w:firstLine="110"/>
        <w:rPr>
          <w:rFonts w:ascii="Arial" w:hAnsi="Arial" w:cs="Arial"/>
        </w:rPr>
      </w:pPr>
      <w:r w:rsidRPr="005F1EDE">
        <w:rPr>
          <w:rFonts w:ascii="Arial" w:hAnsi="Arial" w:cs="Arial"/>
        </w:rPr>
        <w:t xml:space="preserve">The research topic ‘Contextual translation of Ming and Qing dynasty </w:t>
      </w:r>
      <w:proofErr w:type="gramStart"/>
      <w:r w:rsidRPr="005F1EDE">
        <w:rPr>
          <w:rFonts w:ascii="Arial" w:hAnsi="Arial" w:cs="Arial"/>
        </w:rPr>
        <w:t>Jiangnan garden</w:t>
      </w:r>
      <w:proofErr w:type="gramEnd"/>
      <w:r w:rsidRPr="005F1EDE">
        <w:rPr>
          <w:rFonts w:ascii="Arial" w:hAnsi="Arial" w:cs="Arial"/>
        </w:rPr>
        <w:t xml:space="preserve"> symbols in contemporary jewellery’ is conducted in an </w:t>
      </w:r>
      <w:r>
        <w:rPr>
          <w:rFonts w:ascii="Arial" w:hAnsi="Arial" w:cs="Arial"/>
        </w:rPr>
        <w:t>trans</w:t>
      </w:r>
      <w:r w:rsidRPr="005F1EDE">
        <w:rPr>
          <w:rFonts w:ascii="Arial" w:hAnsi="Arial" w:cs="Arial"/>
        </w:rPr>
        <w:t xml:space="preserve">disciplinary manner that focuses on symbol translation and memory construction. The main objective is to elucidate the translation of </w:t>
      </w:r>
      <w:proofErr w:type="gramStart"/>
      <w:r w:rsidRPr="005F1EDE">
        <w:rPr>
          <w:rFonts w:ascii="Arial" w:hAnsi="Arial" w:cs="Arial"/>
        </w:rPr>
        <w:t>Jiangnan garden</w:t>
      </w:r>
      <w:proofErr w:type="gramEnd"/>
      <w:r w:rsidRPr="005F1EDE">
        <w:rPr>
          <w:rFonts w:ascii="Arial" w:hAnsi="Arial" w:cs="Arial"/>
        </w:rPr>
        <w:t xml:space="preserve"> symbols, the construction of user memory and the design practice of the jewellery medium, and to dynamically interact at their overlapping intersections, thereby systematically demonstrating the exploration of the significance of the topic for personal emotional cognition, the innovation and inheritance of traditional culture.</w:t>
      </w:r>
    </w:p>
    <w:p w14:paraId="44D18501" w14:textId="77777777" w:rsidR="00CE2AAD" w:rsidRPr="005F1EDE" w:rsidRDefault="00CE2AAD" w:rsidP="000C2B0A">
      <w:pPr>
        <w:ind w:firstLineChars="50" w:firstLine="110"/>
        <w:rPr>
          <w:rFonts w:ascii="Arial" w:hAnsi="Arial" w:cs="Arial"/>
        </w:rPr>
      </w:pPr>
      <w:r w:rsidRPr="005F1EDE">
        <w:rPr>
          <w:rFonts w:ascii="Arial" w:hAnsi="Arial" w:cs="Arial"/>
        </w:rPr>
        <w:t xml:space="preserve">This topic requires </w:t>
      </w:r>
      <w:proofErr w:type="gramStart"/>
      <w:r w:rsidRPr="005F1EDE">
        <w:rPr>
          <w:rFonts w:ascii="Arial" w:hAnsi="Arial" w:cs="Arial"/>
        </w:rPr>
        <w:t>an</w:t>
      </w:r>
      <w:proofErr w:type="gramEnd"/>
      <w:r w:rsidRPr="005F1EDE">
        <w:rPr>
          <w:rFonts w:ascii="Arial" w:hAnsi="Arial" w:cs="Arial"/>
        </w:rPr>
        <w:t xml:space="preserve"> </w:t>
      </w:r>
      <w:r>
        <w:rPr>
          <w:rFonts w:ascii="Arial" w:hAnsi="Arial" w:cs="Arial"/>
        </w:rPr>
        <w:t>trans</w:t>
      </w:r>
      <w:r w:rsidRPr="005F1EDE">
        <w:rPr>
          <w:rFonts w:ascii="Arial" w:hAnsi="Arial" w:cs="Arial"/>
        </w:rPr>
        <w:t xml:space="preserve">disciplinary collaborative model of cultural semiotics, cultural memory theory, cognitive psychology and design to construct a systematic theoretical analysis framework that explains how to translate Jiangnan garden symbols, how to apply them in jewellery design and construct users' individual memories. Cultural semiotics needs to use Charles Morris's semiotic concept to help analyse the semiotic pragmatics, semantics and morphology. Cultural memory </w:t>
      </w:r>
      <w:r w:rsidRPr="005F1EDE">
        <w:rPr>
          <w:rFonts w:ascii="Arial" w:hAnsi="Arial" w:cs="Arial"/>
        </w:rPr>
        <w:lastRenderedPageBreak/>
        <w:t xml:space="preserve">theory provides a dual perspective for constructing the meaning of </w:t>
      </w:r>
      <w:proofErr w:type="gramStart"/>
      <w:r w:rsidRPr="005F1EDE">
        <w:rPr>
          <w:rFonts w:ascii="Arial" w:hAnsi="Arial" w:cs="Arial"/>
        </w:rPr>
        <w:t>symbols, and</w:t>
      </w:r>
      <w:proofErr w:type="gramEnd"/>
      <w:r w:rsidRPr="005F1EDE">
        <w:rPr>
          <w:rFonts w:ascii="Arial" w:hAnsi="Arial" w:cs="Arial"/>
        </w:rPr>
        <w:t xml:space="preserve"> explores the formation of cultural memory through the combination of individual and collective memory. Cognitive psychology supports the user's perception and reception of symbols from a psychological perspective. Design science further achieves a balance between aesthetics and function at the physical level from the perspective of jewellery design. This </w:t>
      </w:r>
      <w:r>
        <w:rPr>
          <w:rFonts w:ascii="Arial" w:hAnsi="Arial" w:cs="Arial"/>
        </w:rPr>
        <w:t>trans</w:t>
      </w:r>
      <w:r w:rsidRPr="005F1EDE">
        <w:rPr>
          <w:rFonts w:ascii="Arial" w:hAnsi="Arial" w:cs="Arial"/>
        </w:rPr>
        <w:t>disciplinary collaborative approach provides a new path for the practical application of the analysis topic.</w:t>
      </w:r>
    </w:p>
    <w:p w14:paraId="44EE5B89" w14:textId="073A7003" w:rsidR="000C2B0A" w:rsidRDefault="00CE2AAD" w:rsidP="000C2B0A">
      <w:pPr>
        <w:ind w:firstLineChars="50" w:firstLine="110"/>
        <w:rPr>
          <w:rFonts w:ascii="Arial" w:hAnsi="Arial" w:cs="Arial"/>
        </w:rPr>
      </w:pPr>
      <w:r w:rsidRPr="005F1EDE">
        <w:rPr>
          <w:rFonts w:ascii="Arial" w:hAnsi="Arial" w:cs="Arial"/>
        </w:rPr>
        <w:t xml:space="preserve">This topic is not limited to qualitative research </w:t>
      </w:r>
      <w:proofErr w:type="gramStart"/>
      <w:r w:rsidRPr="005F1EDE">
        <w:rPr>
          <w:rFonts w:ascii="Arial" w:hAnsi="Arial" w:cs="Arial"/>
        </w:rPr>
        <w:t>methods, but</w:t>
      </w:r>
      <w:proofErr w:type="gramEnd"/>
      <w:r w:rsidRPr="005F1EDE">
        <w:rPr>
          <w:rFonts w:ascii="Arial" w:hAnsi="Arial" w:cs="Arial"/>
        </w:rPr>
        <w:t xml:space="preserve"> adopts a practical-oriented research strategy that combines a small amount of quantitative research methods. Qualitative research sets the tone for the research topic. Through interviews and questionnaires, data is collected to understand personal memories and symbolic perceptions of Jiangnan gardens, in order to explore the possibility of symbols evoking individual emotions and perceptions. At the same time, quantitative research methods complement qualitative research to further confirm the form of symbols in design and user acceptance, thereby providing stronger data support for the research, analysing the similarities and differences between different samples and data, and exploring the translation and reproduction of symbols in a contemporary context. Technically, innovative formal languages can be used to reinterpret the meaning of Jiangnan gardens in the contemporary era through the use of AI intelligent platforms (chatGPT, Midjourney, Stable Diffusion), 3D printing, CAD milling machines, etc., demonstrating the interaction between tradition and modernity in design expression.</w:t>
      </w:r>
    </w:p>
    <w:p w14:paraId="0DFF4FED" w14:textId="77777777" w:rsidR="000C2B0A" w:rsidRPr="005F1EDE" w:rsidRDefault="000C2B0A" w:rsidP="000C2B0A">
      <w:pPr>
        <w:ind w:firstLineChars="50" w:firstLine="110"/>
        <w:rPr>
          <w:rFonts w:ascii="Arial" w:hAnsi="Arial" w:cs="Arial"/>
        </w:rPr>
      </w:pPr>
    </w:p>
    <w:p w14:paraId="1E21473B" w14:textId="77777777" w:rsidR="00717EE0" w:rsidRPr="0049639C" w:rsidRDefault="00717EE0" w:rsidP="00717EE0">
      <w:pPr>
        <w:rPr>
          <w:rFonts w:ascii="Arial" w:hAnsi="Arial" w:cs="Arial"/>
          <w:b/>
          <w:bCs/>
        </w:rPr>
      </w:pPr>
      <w:r w:rsidRPr="0049639C">
        <w:rPr>
          <w:rFonts w:ascii="Arial" w:hAnsi="Arial" w:cs="Arial"/>
          <w:b/>
          <w:bCs/>
        </w:rPr>
        <w:t>Summary and outlook</w:t>
      </w:r>
    </w:p>
    <w:p w14:paraId="7DB673A7" w14:textId="77777777" w:rsidR="00717EE0" w:rsidRPr="005F1EDE" w:rsidRDefault="00717EE0" w:rsidP="00717EE0">
      <w:pPr>
        <w:rPr>
          <w:rFonts w:ascii="Arial" w:hAnsi="Arial" w:cs="Arial"/>
        </w:rPr>
      </w:pPr>
      <w:r w:rsidRPr="005F1EDE">
        <w:rPr>
          <w:rFonts w:ascii="Arial" w:hAnsi="Arial" w:cs="Arial"/>
        </w:rPr>
        <w:t xml:space="preserve">Through an understanding of definitions and principles, discussions on </w:t>
      </w:r>
      <w:r>
        <w:rPr>
          <w:rFonts w:ascii="Arial" w:hAnsi="Arial" w:cs="Arial"/>
        </w:rPr>
        <w:t>trans</w:t>
      </w:r>
      <w:r w:rsidRPr="005F1EDE">
        <w:rPr>
          <w:rFonts w:ascii="Arial" w:hAnsi="Arial" w:cs="Arial"/>
        </w:rPr>
        <w:t xml:space="preserve">disciplinary, multidisciplinary, inter-disciplinary and transdisciplinary nature are carried out, emphasising the advantages of </w:t>
      </w:r>
      <w:r>
        <w:rPr>
          <w:rFonts w:ascii="Arial" w:hAnsi="Arial" w:cs="Arial"/>
        </w:rPr>
        <w:t>trans</w:t>
      </w:r>
      <w:r w:rsidRPr="005F1EDE">
        <w:rPr>
          <w:rFonts w:ascii="Arial" w:hAnsi="Arial" w:cs="Arial"/>
        </w:rPr>
        <w:t xml:space="preserve">disciplinary research compared to other research methods and its unique role in modern expression. The evolution and transformation from multidisciplinary to interdisciplinary thinking is analysed, and this research proposes the feasibility of contextual translation of </w:t>
      </w:r>
      <w:proofErr w:type="gramStart"/>
      <w:r w:rsidRPr="005F1EDE">
        <w:rPr>
          <w:rFonts w:ascii="Arial" w:hAnsi="Arial" w:cs="Arial"/>
        </w:rPr>
        <w:t>Jiangnan garden</w:t>
      </w:r>
      <w:proofErr w:type="gramEnd"/>
      <w:r w:rsidRPr="005F1EDE">
        <w:rPr>
          <w:rFonts w:ascii="Arial" w:hAnsi="Arial" w:cs="Arial"/>
        </w:rPr>
        <w:t xml:space="preserve"> symbols in contemporary jewellery design from an </w:t>
      </w:r>
      <w:r>
        <w:rPr>
          <w:rFonts w:ascii="Arial" w:hAnsi="Arial" w:cs="Arial"/>
        </w:rPr>
        <w:t>trans</w:t>
      </w:r>
      <w:r w:rsidRPr="005F1EDE">
        <w:rPr>
          <w:rFonts w:ascii="Arial" w:hAnsi="Arial" w:cs="Arial"/>
        </w:rPr>
        <w:t xml:space="preserve">disciplinary perspective. This study proposes that the greatest advantage of </w:t>
      </w:r>
      <w:r>
        <w:rPr>
          <w:rFonts w:ascii="Arial" w:hAnsi="Arial" w:cs="Arial"/>
        </w:rPr>
        <w:t>trans</w:t>
      </w:r>
      <w:r w:rsidRPr="005F1EDE">
        <w:rPr>
          <w:rFonts w:ascii="Arial" w:hAnsi="Arial" w:cs="Arial"/>
        </w:rPr>
        <w:t xml:space="preserve">disciplinarity is its ability to integrate the characteristics of different disciplines for collaborative work. It is also problem-oriented, with the formation of a problem as the core, and a multidimensional divergent research method with the problem at the centre of the project. This highlights the ability of </w:t>
      </w:r>
      <w:r>
        <w:rPr>
          <w:rFonts w:ascii="Arial" w:hAnsi="Arial" w:cs="Arial"/>
        </w:rPr>
        <w:t>trans</w:t>
      </w:r>
      <w:r w:rsidRPr="005F1EDE">
        <w:rPr>
          <w:rFonts w:ascii="Arial" w:hAnsi="Arial" w:cs="Arial"/>
        </w:rPr>
        <w:t>disciplinarity to transcend the boundaries of a single discipline, as well as the characteristics of holistic knowledge integration, which is conducive to the in-depth research and development of this topic.</w:t>
      </w:r>
    </w:p>
    <w:p w14:paraId="5B7FC9F9" w14:textId="77777777" w:rsidR="00717EE0" w:rsidRPr="005F1EDE" w:rsidRDefault="00717EE0" w:rsidP="00717EE0">
      <w:pPr>
        <w:rPr>
          <w:rFonts w:ascii="Arial" w:hAnsi="Arial" w:cs="Arial"/>
        </w:rPr>
      </w:pPr>
      <w:r w:rsidRPr="005F1EDE">
        <w:rPr>
          <w:rFonts w:ascii="Arial" w:hAnsi="Arial" w:cs="Arial"/>
        </w:rPr>
        <w:t xml:space="preserve">Using the analysis of different practical cases, this study believes that there is practical reference and value in the modern expression of symbols, the interactive participation of users and feedback. Specifically, traditional cultural symbols can be integrated into the contemporary context through </w:t>
      </w:r>
      <w:r w:rsidRPr="005F1EDE">
        <w:rPr>
          <w:rFonts w:ascii="Arial" w:hAnsi="Arial" w:cs="Arial"/>
        </w:rPr>
        <w:lastRenderedPageBreak/>
        <w:t xml:space="preserve">dynamic generation and multi-sensory interaction, while providing users or audiences with the opportunity to participate in the co-construction of cultural memory. At the same time, design practice is not only a carrier of symbolic expression, but also an experimental platform for </w:t>
      </w:r>
      <w:r>
        <w:rPr>
          <w:rFonts w:ascii="Arial" w:hAnsi="Arial" w:cs="Arial"/>
        </w:rPr>
        <w:t>trans</w:t>
      </w:r>
      <w:r w:rsidRPr="005F1EDE">
        <w:rPr>
          <w:rFonts w:ascii="Arial" w:hAnsi="Arial" w:cs="Arial"/>
        </w:rPr>
        <w:t xml:space="preserve">disciplinary research, which can verify the effectiveness of </w:t>
      </w:r>
      <w:r>
        <w:rPr>
          <w:rFonts w:ascii="Arial" w:hAnsi="Arial" w:cs="Arial"/>
        </w:rPr>
        <w:t>trans</w:t>
      </w:r>
      <w:r w:rsidRPr="005F1EDE">
        <w:rPr>
          <w:rFonts w:ascii="Arial" w:hAnsi="Arial" w:cs="Arial"/>
        </w:rPr>
        <w:t>disciplinary translation methods in this way.</w:t>
      </w:r>
    </w:p>
    <w:p w14:paraId="50743C7C" w14:textId="77777777" w:rsidR="00717EE0" w:rsidRPr="005F1EDE" w:rsidRDefault="00717EE0" w:rsidP="00717EE0">
      <w:pPr>
        <w:rPr>
          <w:rFonts w:ascii="Arial" w:hAnsi="Arial" w:cs="Arial"/>
        </w:rPr>
      </w:pPr>
      <w:r w:rsidRPr="005F1EDE">
        <w:rPr>
          <w:rFonts w:ascii="Arial" w:hAnsi="Arial" w:cs="Arial"/>
        </w:rPr>
        <w:t xml:space="preserve">However, there are still limitations to this research. First, the practice of </w:t>
      </w:r>
      <w:r>
        <w:rPr>
          <w:rFonts w:ascii="Arial" w:hAnsi="Arial" w:cs="Arial"/>
        </w:rPr>
        <w:t>trans</w:t>
      </w:r>
      <w:r w:rsidRPr="005F1EDE">
        <w:rPr>
          <w:rFonts w:ascii="Arial" w:hAnsi="Arial" w:cs="Arial"/>
        </w:rPr>
        <w:t xml:space="preserve">disciplinary methods in art design is not new, but the combination of jewellery design is indeed rare. The collaboration between different disciplines and the cooperation between different scholars may lead to conflicts in knowledge systems and methodologies, which puts forward higher requirements for </w:t>
      </w:r>
      <w:r>
        <w:rPr>
          <w:rFonts w:ascii="Arial" w:hAnsi="Arial" w:cs="Arial"/>
        </w:rPr>
        <w:t>trans</w:t>
      </w:r>
      <w:r w:rsidRPr="005F1EDE">
        <w:rPr>
          <w:rFonts w:ascii="Arial" w:hAnsi="Arial" w:cs="Arial"/>
        </w:rPr>
        <w:t>disciplinary coordination. Secondly, the tension between traditional and modern design needs to be balanced and included in future in-depth research. Future research needs to further propose a systematic framework for research, especially how to integrate technology and culture to adapt to the contemporary context. At the same time, leveraging digital technology and artificial intelligence is also one of the directions that can be discussed, so as to better promote the promotion and application of garden symbols in contemporary design.</w:t>
      </w:r>
    </w:p>
    <w:p w14:paraId="08409125" w14:textId="77777777" w:rsidR="00CE2AAD" w:rsidRDefault="00CE2AAD" w:rsidP="00E12D63">
      <w:pPr>
        <w:ind w:firstLineChars="50" w:firstLine="110"/>
        <w:rPr>
          <w:rFonts w:ascii="Arial" w:hAnsi="Arial" w:cs="Arial"/>
        </w:rPr>
      </w:pPr>
    </w:p>
    <w:p w14:paraId="5D40D460" w14:textId="1B203D6B" w:rsidR="00E7052B" w:rsidRDefault="00E7052B">
      <w:pPr>
        <w:widowControl/>
        <w:rPr>
          <w:rFonts w:ascii="Arial" w:hAnsi="Arial" w:cs="Arial"/>
        </w:rPr>
      </w:pPr>
      <w:r>
        <w:rPr>
          <w:rFonts w:ascii="Arial" w:hAnsi="Arial" w:cs="Arial"/>
        </w:rPr>
        <w:br w:type="page"/>
      </w:r>
    </w:p>
    <w:p w14:paraId="3EE103D8" w14:textId="4AD2EC36" w:rsidR="00E7052B" w:rsidRPr="00996567" w:rsidRDefault="00E7052B" w:rsidP="00E12D63">
      <w:pPr>
        <w:ind w:firstLineChars="50" w:firstLine="110"/>
        <w:rPr>
          <w:rFonts w:ascii="Arial" w:hAnsi="Arial" w:cs="Arial"/>
          <w:b/>
          <w:bCs/>
        </w:rPr>
      </w:pPr>
      <w:r w:rsidRPr="00996567">
        <w:rPr>
          <w:rFonts w:ascii="Arial" w:hAnsi="Arial" w:cs="Arial"/>
          <w:b/>
          <w:bCs/>
        </w:rPr>
        <w:lastRenderedPageBreak/>
        <w:t>R</w:t>
      </w:r>
      <w:r w:rsidRPr="00996567">
        <w:rPr>
          <w:rFonts w:ascii="Arial" w:hAnsi="Arial" w:cs="Arial" w:hint="eastAsia"/>
          <w:b/>
          <w:bCs/>
        </w:rPr>
        <w:t>eference</w:t>
      </w:r>
    </w:p>
    <w:p w14:paraId="78BAA5B3" w14:textId="77777777" w:rsidR="00000000" w:rsidRPr="00105247" w:rsidRDefault="00000000" w:rsidP="004F3EBF">
      <w:pPr>
        <w:rPr>
          <w:rFonts w:ascii="Arial" w:hAnsi="Arial" w:cs="Arial"/>
          <w:sz w:val="24"/>
        </w:rPr>
      </w:pPr>
      <w:r w:rsidRPr="00105247">
        <w:rPr>
          <w:rFonts w:ascii="Arial" w:hAnsi="Arial" w:cs="Arial"/>
          <w:sz w:val="24"/>
        </w:rPr>
        <w:fldChar w:fldCharType="begin"/>
      </w:r>
      <w:r w:rsidRPr="00105247">
        <w:rPr>
          <w:rFonts w:ascii="Arial" w:hAnsi="Arial" w:cs="Arial"/>
          <w:sz w:val="24"/>
        </w:rPr>
        <w:instrText xml:space="preserve"> ADDIN ZOTERO_BIBL {"uncited":[],"omitted":[],"custom":[]} CSL_BIBLIOGRAPHY </w:instrText>
      </w:r>
      <w:r w:rsidRPr="00105247">
        <w:rPr>
          <w:rFonts w:ascii="Arial" w:hAnsi="Arial" w:cs="Arial"/>
          <w:sz w:val="24"/>
        </w:rPr>
        <w:fldChar w:fldCharType="separate"/>
      </w:r>
      <w:r w:rsidRPr="00105247">
        <w:rPr>
          <w:rFonts w:ascii="Arial" w:hAnsi="Arial" w:cs="Arial"/>
          <w:sz w:val="24"/>
        </w:rPr>
        <w:t xml:space="preserve">Chou, W.H. and Wong, J. (2015) </w:t>
      </w:r>
      <w:r w:rsidRPr="00105247">
        <w:rPr>
          <w:rFonts w:ascii="Arial" w:hAnsi="Arial" w:cs="Arial"/>
          <w:sz w:val="24"/>
        </w:rPr>
        <w:t>From a Disciplinary to an Interdisciplinary Design Research: Developing an Integrative Approach for Design.</w:t>
      </w:r>
      <w:r w:rsidRPr="00105247">
        <w:rPr>
          <w:rFonts w:ascii="Arial" w:hAnsi="Arial" w:cs="Arial"/>
          <w:sz w:val="24"/>
        </w:rPr>
        <w:t xml:space="preserve">, </w:t>
      </w:r>
      <w:r w:rsidRPr="00105247">
        <w:rPr>
          <w:rFonts w:ascii="Arial" w:hAnsi="Arial" w:cs="Arial"/>
          <w:i/>
          <w:iCs/>
          <w:sz w:val="24"/>
        </w:rPr>
        <w:t>International Journal of Art &amp; Design Education</w:t>
      </w:r>
      <w:r w:rsidRPr="00105247">
        <w:rPr>
          <w:rFonts w:ascii="Arial" w:hAnsi="Arial" w:cs="Arial"/>
          <w:sz w:val="24"/>
        </w:rPr>
        <w:t>. Available at: https://doi.org/10.1111/jade.12017.</w:t>
      </w:r>
    </w:p>
    <w:p w14:paraId="2B73C821" w14:textId="77777777" w:rsidR="004F3EBF" w:rsidRDefault="00000000" w:rsidP="004F3EBF">
      <w:pPr>
        <w:rPr>
          <w:rFonts w:ascii="Arial" w:hAnsi="Arial" w:cs="Arial"/>
          <w:sz w:val="24"/>
        </w:rPr>
      </w:pPr>
      <w:r w:rsidRPr="00105247">
        <w:rPr>
          <w:rFonts w:ascii="Arial" w:hAnsi="Arial" w:cs="Arial"/>
          <w:sz w:val="24"/>
        </w:rPr>
        <w:t xml:space="preserve">Costantino, T. (2018) ‘STEAM by another name: Transdisciplinary practice in art and design education.’, </w:t>
      </w:r>
      <w:r w:rsidRPr="00105247">
        <w:rPr>
          <w:rFonts w:ascii="Arial" w:hAnsi="Arial" w:cs="Arial"/>
          <w:i/>
          <w:iCs/>
          <w:sz w:val="24"/>
        </w:rPr>
        <w:t>Arts Education Policy Review</w:t>
      </w:r>
      <w:r w:rsidRPr="00105247">
        <w:rPr>
          <w:rFonts w:ascii="Arial" w:hAnsi="Arial" w:cs="Arial"/>
          <w:i/>
          <w:iCs/>
          <w:sz w:val="24"/>
        </w:rPr>
        <w:t>,</w:t>
      </w:r>
      <w:r w:rsidRPr="00105247">
        <w:rPr>
          <w:rFonts w:ascii="Arial" w:hAnsi="Arial" w:cs="Arial"/>
          <w:sz w:val="24"/>
        </w:rPr>
        <w:t xml:space="preserve"> 119(2), pp. 100–</w:t>
      </w:r>
      <w:r w:rsidRPr="00105247">
        <w:rPr>
          <w:rFonts w:ascii="Arial" w:hAnsi="Arial" w:cs="Arial"/>
          <w:sz w:val="24"/>
        </w:rPr>
        <w:t>106. Available at: https://doi.org/10.1080/10632913.2017.1292973.</w:t>
      </w:r>
    </w:p>
    <w:p w14:paraId="13D15675" w14:textId="77777777" w:rsidR="00000000" w:rsidRPr="00105247" w:rsidRDefault="004F3EBF" w:rsidP="004F3EBF">
      <w:pPr>
        <w:rPr>
          <w:rFonts w:ascii="Arial" w:hAnsi="Arial" w:cs="Arial" w:hint="eastAsia"/>
          <w:sz w:val="24"/>
        </w:rPr>
      </w:pPr>
      <w:r w:rsidRPr="0067242A">
        <w:rPr>
          <w:rFonts w:ascii="Arial" w:hAnsi="Arial" w:cs="Arial"/>
          <w:sz w:val="24"/>
        </w:rPr>
        <w:t xml:space="preserve">Klein, J.T., 2004. </w:t>
      </w:r>
      <w:r w:rsidRPr="0067242A">
        <w:rPr>
          <w:rFonts w:ascii="Arial" w:hAnsi="Arial" w:cs="Arial"/>
          <w:i/>
          <w:iCs/>
          <w:sz w:val="24"/>
        </w:rPr>
        <w:t>Interdisciplinarity and complexity: An evolving relationship</w:t>
      </w:r>
      <w:r w:rsidRPr="0067242A">
        <w:rPr>
          <w:rFonts w:ascii="Arial" w:hAnsi="Arial" w:cs="Arial"/>
          <w:sz w:val="24"/>
        </w:rPr>
        <w:t>. E:CO Special Double Issue, 6(1-2), pp.2-10.</w:t>
      </w:r>
    </w:p>
    <w:p w14:paraId="60EE9062" w14:textId="77777777" w:rsidR="004F3EBF" w:rsidRDefault="00000000" w:rsidP="004F3EBF">
      <w:pPr>
        <w:rPr>
          <w:rFonts w:ascii="Arial" w:hAnsi="Arial" w:cs="Arial"/>
          <w:sz w:val="24"/>
        </w:rPr>
      </w:pPr>
      <w:r w:rsidRPr="00105247">
        <w:rPr>
          <w:rFonts w:ascii="Arial" w:hAnsi="Arial" w:cs="Arial"/>
          <w:sz w:val="24"/>
        </w:rPr>
        <w:t xml:space="preserve">Kuchner, U. </w:t>
      </w:r>
      <w:r w:rsidRPr="00105247">
        <w:rPr>
          <w:rFonts w:ascii="Arial" w:hAnsi="Arial" w:cs="Arial"/>
          <w:sz w:val="24"/>
        </w:rPr>
        <w:t>et al.</w:t>
      </w:r>
      <w:r w:rsidRPr="00105247">
        <w:rPr>
          <w:rFonts w:ascii="Arial" w:hAnsi="Arial" w:cs="Arial"/>
          <w:sz w:val="24"/>
        </w:rPr>
        <w:t xml:space="preserve"> (2023) ‘Biomodd: The integration of art into transdisciplinary research practices’, </w:t>
      </w:r>
      <w:r w:rsidRPr="00105247">
        <w:rPr>
          <w:rFonts w:ascii="Arial" w:hAnsi="Arial" w:cs="Arial"/>
          <w:i/>
          <w:iCs/>
          <w:sz w:val="24"/>
        </w:rPr>
        <w:t>GAIA - Ecological Perspectives for Science and Society</w:t>
      </w:r>
      <w:r w:rsidRPr="00105247">
        <w:rPr>
          <w:rFonts w:ascii="Arial" w:hAnsi="Arial" w:cs="Arial"/>
          <w:sz w:val="24"/>
        </w:rPr>
        <w:t>, 32(1), pp. 144–153. Available at: https://doi.org/10.14512/gaia.32.1.12.</w:t>
      </w:r>
    </w:p>
    <w:p w14:paraId="3B25DD30" w14:textId="77777777" w:rsidR="00000000" w:rsidRPr="00105247" w:rsidRDefault="004F3EBF" w:rsidP="004F3EBF">
      <w:pPr>
        <w:rPr>
          <w:rFonts w:ascii="Arial" w:hAnsi="Arial" w:cs="Arial" w:hint="eastAsia"/>
          <w:sz w:val="24"/>
        </w:rPr>
      </w:pPr>
      <w:r w:rsidRPr="00BF3485">
        <w:rPr>
          <w:rFonts w:ascii="Arial" w:hAnsi="Arial" w:cs="Arial"/>
          <w:sz w:val="24"/>
        </w:rPr>
        <w:t xml:space="preserve">Lawrence, R.J. and Depres, C., 2004. </w:t>
      </w:r>
      <w:r w:rsidRPr="00BF3485">
        <w:rPr>
          <w:rFonts w:ascii="Arial" w:hAnsi="Arial" w:cs="Arial"/>
          <w:i/>
          <w:iCs/>
          <w:sz w:val="24"/>
        </w:rPr>
        <w:t>Introduction: Futures of transdisciplinarity</w:t>
      </w:r>
      <w:r w:rsidRPr="00BF3485">
        <w:rPr>
          <w:rFonts w:ascii="Arial" w:hAnsi="Arial" w:cs="Arial"/>
          <w:sz w:val="24"/>
        </w:rPr>
        <w:t>. Futures, 36(4), pp.397-405.</w:t>
      </w:r>
    </w:p>
    <w:p w14:paraId="36A34F42" w14:textId="77777777" w:rsidR="00000000" w:rsidRPr="00105247" w:rsidRDefault="00000000" w:rsidP="004F3EBF">
      <w:pPr>
        <w:rPr>
          <w:rFonts w:ascii="Arial" w:hAnsi="Arial" w:cs="Arial"/>
          <w:sz w:val="24"/>
        </w:rPr>
      </w:pPr>
      <w:r w:rsidRPr="00105247">
        <w:rPr>
          <w:rFonts w:ascii="Arial" w:hAnsi="Arial" w:cs="Arial"/>
          <w:sz w:val="24"/>
        </w:rPr>
        <w:t xml:space="preserve">Leavy, P. (2016) </w:t>
      </w:r>
      <w:r w:rsidRPr="00105247">
        <w:rPr>
          <w:rFonts w:ascii="Arial" w:hAnsi="Arial" w:cs="Arial"/>
          <w:sz w:val="24"/>
        </w:rPr>
        <w:t>Essentials of Transdisciplinary Research: Using Problem-Centered Methodologies</w:t>
      </w:r>
      <w:r w:rsidRPr="00105247">
        <w:rPr>
          <w:rFonts w:ascii="Arial" w:hAnsi="Arial" w:cs="Arial"/>
          <w:sz w:val="24"/>
        </w:rPr>
        <w:t xml:space="preserve">. </w:t>
      </w:r>
      <w:r w:rsidRPr="00105247">
        <w:rPr>
          <w:rFonts w:ascii="Arial" w:hAnsi="Arial" w:cs="Arial"/>
          <w:i/>
          <w:iCs/>
          <w:sz w:val="24"/>
        </w:rPr>
        <w:t>New York: Routledge</w:t>
      </w:r>
      <w:r w:rsidRPr="00105247">
        <w:rPr>
          <w:rFonts w:ascii="Arial" w:hAnsi="Arial" w:cs="Arial"/>
          <w:sz w:val="24"/>
        </w:rPr>
        <w:t>. Available at: https://doi.org/10.4324/9781315429137.</w:t>
      </w:r>
    </w:p>
    <w:p w14:paraId="32246221" w14:textId="77777777" w:rsidR="00000000" w:rsidRPr="00105247" w:rsidRDefault="00000000" w:rsidP="004F3EBF">
      <w:pPr>
        <w:rPr>
          <w:rFonts w:ascii="Arial" w:hAnsi="Arial" w:cs="Arial"/>
          <w:sz w:val="24"/>
        </w:rPr>
      </w:pPr>
      <w:r w:rsidRPr="00105247">
        <w:rPr>
          <w:rFonts w:ascii="Arial" w:hAnsi="Arial" w:cs="Arial"/>
          <w:sz w:val="24"/>
        </w:rPr>
        <w:t xml:space="preserve">Martínez, F. (2021) </w:t>
      </w:r>
      <w:r w:rsidRPr="00105247">
        <w:rPr>
          <w:rFonts w:ascii="Arial" w:hAnsi="Arial" w:cs="Arial"/>
          <w:sz w:val="24"/>
        </w:rPr>
        <w:t>Ethnographic Experiments with Artists, Designers and Boundary Objects: Exhibitions as a research method</w:t>
      </w:r>
      <w:r w:rsidRPr="00105247">
        <w:rPr>
          <w:rFonts w:ascii="Arial" w:hAnsi="Arial" w:cs="Arial"/>
          <w:sz w:val="24"/>
        </w:rPr>
        <w:t>.</w:t>
      </w:r>
      <w:r w:rsidRPr="00105247">
        <w:rPr>
          <w:rFonts w:ascii="Arial" w:hAnsi="Arial" w:cs="Arial"/>
          <w:i/>
          <w:iCs/>
          <w:sz w:val="24"/>
        </w:rPr>
        <w:t xml:space="preserve"> UCL Press</w:t>
      </w:r>
      <w:r w:rsidRPr="00105247">
        <w:rPr>
          <w:rFonts w:ascii="Arial" w:hAnsi="Arial" w:cs="Arial"/>
          <w:sz w:val="24"/>
        </w:rPr>
        <w:t>. Available at: https://www.jstor.org/stable/j.ctv1nnwhnc (Accessed: 12 December 2024).</w:t>
      </w:r>
    </w:p>
    <w:p w14:paraId="38D56CF2" w14:textId="77777777" w:rsidR="00000000" w:rsidRPr="00105247" w:rsidRDefault="00000000" w:rsidP="004F3EBF">
      <w:pPr>
        <w:rPr>
          <w:rFonts w:ascii="Arial" w:hAnsi="Arial" w:cs="Arial"/>
          <w:sz w:val="24"/>
        </w:rPr>
      </w:pPr>
      <w:r w:rsidRPr="00105247">
        <w:rPr>
          <w:rFonts w:ascii="Arial" w:hAnsi="Arial" w:cs="Arial"/>
          <w:sz w:val="24"/>
        </w:rPr>
        <w:t xml:space="preserve">Norton, D., Norton, F.-A. and Veciana, S. (2024) ‘Connected Art Practice: Transformative Learning Environments for Transdisciplinary Competences’, </w:t>
      </w:r>
      <w:r w:rsidRPr="00105247">
        <w:rPr>
          <w:rFonts w:ascii="Arial" w:hAnsi="Arial" w:cs="Arial"/>
          <w:i/>
          <w:iCs/>
          <w:sz w:val="24"/>
        </w:rPr>
        <w:t>Societies</w:t>
      </w:r>
      <w:r w:rsidRPr="00105247">
        <w:rPr>
          <w:rFonts w:ascii="Arial" w:hAnsi="Arial" w:cs="Arial"/>
          <w:sz w:val="24"/>
        </w:rPr>
        <w:t>, 14(3). Available at: https://doi.org/10.3390/soc14030033.</w:t>
      </w:r>
    </w:p>
    <w:p w14:paraId="6EC15B66" w14:textId="77777777" w:rsidR="00000000" w:rsidRPr="00105247" w:rsidRDefault="00000000" w:rsidP="004F3EBF">
      <w:pPr>
        <w:rPr>
          <w:rFonts w:ascii="Arial" w:hAnsi="Arial" w:cs="Arial"/>
          <w:sz w:val="24"/>
        </w:rPr>
      </w:pPr>
      <w:r w:rsidRPr="00105247">
        <w:rPr>
          <w:rFonts w:ascii="Arial" w:hAnsi="Arial" w:cs="Arial"/>
          <w:sz w:val="24"/>
        </w:rPr>
        <w:t>P</w:t>
      </w:r>
      <w:r w:rsidR="004F3EBF">
        <w:rPr>
          <w:rFonts w:ascii="Arial" w:hAnsi="Arial" w:cs="Arial" w:hint="eastAsia"/>
          <w:sz w:val="24"/>
        </w:rPr>
        <w:t>erry</w:t>
      </w:r>
      <w:r w:rsidRPr="00105247">
        <w:rPr>
          <w:rFonts w:ascii="Arial" w:hAnsi="Arial" w:cs="Arial" w:hint="eastAsia"/>
          <w:sz w:val="24"/>
        </w:rPr>
        <w:t>-</w:t>
      </w:r>
      <w:r w:rsidRPr="00105247">
        <w:rPr>
          <w:rFonts w:ascii="Arial" w:hAnsi="Arial" w:cs="Arial"/>
          <w:sz w:val="24"/>
        </w:rPr>
        <w:t>S</w:t>
      </w:r>
      <w:r w:rsidR="004F3EBF">
        <w:rPr>
          <w:rFonts w:ascii="Arial" w:hAnsi="Arial" w:cs="Arial" w:hint="eastAsia"/>
          <w:sz w:val="24"/>
        </w:rPr>
        <w:t>mith</w:t>
      </w:r>
      <w:r w:rsidRPr="00105247">
        <w:rPr>
          <w:rFonts w:ascii="Arial" w:hAnsi="Arial" w:cs="Arial"/>
          <w:sz w:val="24"/>
        </w:rPr>
        <w:t>, J.E. and M</w:t>
      </w:r>
      <w:r w:rsidR="004F3EBF">
        <w:rPr>
          <w:rFonts w:ascii="Arial" w:hAnsi="Arial" w:cs="Arial" w:hint="eastAsia"/>
          <w:sz w:val="24"/>
        </w:rPr>
        <w:t>annucci</w:t>
      </w:r>
      <w:r w:rsidRPr="00105247">
        <w:rPr>
          <w:rFonts w:ascii="Arial" w:hAnsi="Arial" w:cs="Arial"/>
          <w:sz w:val="24"/>
        </w:rPr>
        <w:t>, P.V. (2017) ‘F</w:t>
      </w:r>
      <w:r w:rsidR="004F3EBF">
        <w:rPr>
          <w:rFonts w:ascii="Arial" w:hAnsi="Arial" w:cs="Arial" w:hint="eastAsia"/>
          <w:sz w:val="24"/>
        </w:rPr>
        <w:t>rom</w:t>
      </w:r>
      <w:r w:rsidRPr="00105247">
        <w:rPr>
          <w:rFonts w:ascii="Arial" w:hAnsi="Arial" w:cs="Arial"/>
          <w:sz w:val="24"/>
        </w:rPr>
        <w:t xml:space="preserve"> </w:t>
      </w:r>
      <w:r w:rsidR="004F3EBF">
        <w:rPr>
          <w:rFonts w:ascii="Arial" w:hAnsi="Arial" w:cs="Arial" w:hint="eastAsia"/>
          <w:sz w:val="24"/>
        </w:rPr>
        <w:t>creativity</w:t>
      </w:r>
      <w:r w:rsidRPr="00105247">
        <w:rPr>
          <w:rFonts w:ascii="Arial" w:hAnsi="Arial" w:cs="Arial"/>
          <w:sz w:val="24"/>
        </w:rPr>
        <w:t xml:space="preserve"> </w:t>
      </w:r>
      <w:r w:rsidR="004F3EBF">
        <w:rPr>
          <w:rFonts w:ascii="Arial" w:hAnsi="Arial" w:cs="Arial" w:hint="eastAsia"/>
          <w:sz w:val="24"/>
        </w:rPr>
        <w:t xml:space="preserve">to </w:t>
      </w:r>
      <w:proofErr w:type="gramStart"/>
      <w:r w:rsidR="004F3EBF">
        <w:rPr>
          <w:rFonts w:ascii="Arial" w:hAnsi="Arial" w:cs="Arial" w:hint="eastAsia"/>
          <w:sz w:val="24"/>
        </w:rPr>
        <w:t>innovation:The</w:t>
      </w:r>
      <w:proofErr w:type="gramEnd"/>
      <w:r w:rsidR="004F3EBF">
        <w:rPr>
          <w:rFonts w:ascii="Arial" w:hAnsi="Arial" w:cs="Arial" w:hint="eastAsia"/>
          <w:sz w:val="24"/>
        </w:rPr>
        <w:t xml:space="preserve"> social network drivers of the four phases of the idea journey'.</w:t>
      </w:r>
      <w:r w:rsidRPr="00105247">
        <w:rPr>
          <w:rFonts w:ascii="Arial" w:hAnsi="Arial" w:cs="Arial"/>
          <w:sz w:val="24"/>
        </w:rPr>
        <w:t xml:space="preserve"> </w:t>
      </w:r>
      <w:r w:rsidRPr="00105247">
        <w:rPr>
          <w:rFonts w:ascii="Arial" w:hAnsi="Arial" w:cs="Arial"/>
          <w:i/>
          <w:iCs/>
          <w:sz w:val="24"/>
        </w:rPr>
        <w:t>Academy of Management Review</w:t>
      </w:r>
      <w:r w:rsidRPr="00105247">
        <w:rPr>
          <w:rFonts w:ascii="Arial" w:hAnsi="Arial" w:cs="Arial"/>
          <w:sz w:val="24"/>
        </w:rPr>
        <w:t>, 42(1), pp. 53–79. Available at: https://doi.org/10.5465/amr.2014.0462.</w:t>
      </w:r>
    </w:p>
    <w:p w14:paraId="0ADC4FF2" w14:textId="77777777" w:rsidR="00000000" w:rsidRPr="00105247" w:rsidRDefault="00000000" w:rsidP="004F3EBF">
      <w:pPr>
        <w:rPr>
          <w:rFonts w:ascii="Arial" w:hAnsi="Arial" w:cs="Arial"/>
          <w:sz w:val="24"/>
        </w:rPr>
      </w:pPr>
      <w:r w:rsidRPr="00105247">
        <w:rPr>
          <w:rFonts w:ascii="Arial" w:hAnsi="Arial" w:cs="Arial"/>
          <w:sz w:val="24"/>
        </w:rPr>
        <w:t xml:space="preserve">Ruggerio, C.A. </w:t>
      </w:r>
      <w:r w:rsidRPr="00105247">
        <w:rPr>
          <w:rFonts w:ascii="Arial" w:hAnsi="Arial" w:cs="Arial"/>
          <w:sz w:val="24"/>
        </w:rPr>
        <w:t>et al.</w:t>
      </w:r>
      <w:r w:rsidRPr="00105247">
        <w:rPr>
          <w:rFonts w:ascii="Arial" w:hAnsi="Arial" w:cs="Arial"/>
          <w:sz w:val="24"/>
        </w:rPr>
        <w:t xml:space="preserve"> (2024) ‘Teaching–learning environmental conflicts through case studies and experiential immersion: introducing students to transdisciplinary research’, </w:t>
      </w:r>
      <w:r w:rsidRPr="00105247">
        <w:rPr>
          <w:rFonts w:ascii="Arial" w:hAnsi="Arial" w:cs="Arial"/>
          <w:i/>
          <w:iCs/>
          <w:sz w:val="24"/>
        </w:rPr>
        <w:t>Sustainability Science</w:t>
      </w:r>
      <w:r w:rsidRPr="00105247">
        <w:rPr>
          <w:rFonts w:ascii="Arial" w:hAnsi="Arial" w:cs="Arial"/>
          <w:sz w:val="24"/>
        </w:rPr>
        <w:t>, 19(3), pp. 935–948. Available at: https://doi.org/10.1007/s11625-023-01448-4.</w:t>
      </w:r>
    </w:p>
    <w:p w14:paraId="40F39C01" w14:textId="77777777" w:rsidR="00000000" w:rsidRPr="00105247" w:rsidRDefault="00000000" w:rsidP="004F3EBF">
      <w:pPr>
        <w:rPr>
          <w:rFonts w:ascii="Arial" w:hAnsi="Arial" w:cs="Arial"/>
          <w:sz w:val="24"/>
        </w:rPr>
      </w:pPr>
      <w:r w:rsidRPr="00105247">
        <w:rPr>
          <w:rFonts w:ascii="Arial" w:hAnsi="Arial" w:cs="Arial"/>
          <w:sz w:val="24"/>
        </w:rPr>
        <w:t xml:space="preserve">Scholz, R.W. and Steiner, G. (2015) ‘The real type and ideal type of transdisciplinary processes: part I—theoretical foundations’, </w:t>
      </w:r>
      <w:r w:rsidRPr="00105247">
        <w:rPr>
          <w:rFonts w:ascii="Arial" w:hAnsi="Arial" w:cs="Arial"/>
          <w:i/>
          <w:iCs/>
          <w:sz w:val="24"/>
        </w:rPr>
        <w:t>Sustainability Science</w:t>
      </w:r>
      <w:r w:rsidRPr="00105247">
        <w:rPr>
          <w:rFonts w:ascii="Arial" w:hAnsi="Arial" w:cs="Arial"/>
          <w:sz w:val="24"/>
        </w:rPr>
        <w:t>, 10(4), pp. 527–544. Available at: https://doi.org/10.1007/s11625-015-0326-4.</w:t>
      </w:r>
    </w:p>
    <w:p w14:paraId="1C2B9297" w14:textId="5CB4A8D4" w:rsidR="00E7052B" w:rsidRPr="00E7052B" w:rsidRDefault="004F3EBF" w:rsidP="004F3EBF">
      <w:pPr>
        <w:ind w:firstLineChars="50" w:firstLine="120"/>
        <w:rPr>
          <w:rFonts w:ascii="Arial" w:hAnsi="Arial" w:cs="Arial"/>
        </w:rPr>
      </w:pPr>
      <w:r w:rsidRPr="00105247">
        <w:rPr>
          <w:rFonts w:ascii="Arial" w:hAnsi="Arial" w:cs="Arial"/>
          <w:sz w:val="24"/>
        </w:rPr>
        <w:fldChar w:fldCharType="end"/>
      </w:r>
    </w:p>
    <w:sectPr w:rsidR="00E7052B" w:rsidRPr="00E7052B" w:rsidSect="00E93A8F">
      <w:pgSz w:w="11906" w:h="16838"/>
      <w:pgMar w:top="1440" w:right="1077" w:bottom="1440" w:left="1077"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bordersDoNotSurroundHeader/>
  <w:bordersDoNotSurroundFooter/>
  <w:proofState w:grammar="clean"/>
  <w:defaultTabStop w:val="420"/>
  <w:drawingGridHorizontalSpacing w:val="11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A8F"/>
    <w:rsid w:val="000C2B0A"/>
    <w:rsid w:val="00111545"/>
    <w:rsid w:val="00163F94"/>
    <w:rsid w:val="00185D7C"/>
    <w:rsid w:val="002D2F84"/>
    <w:rsid w:val="002D64F0"/>
    <w:rsid w:val="002F3D72"/>
    <w:rsid w:val="0035242F"/>
    <w:rsid w:val="0037755B"/>
    <w:rsid w:val="00391C1A"/>
    <w:rsid w:val="0040223C"/>
    <w:rsid w:val="0049639C"/>
    <w:rsid w:val="004F3EBF"/>
    <w:rsid w:val="00544BD3"/>
    <w:rsid w:val="00563869"/>
    <w:rsid w:val="005A3849"/>
    <w:rsid w:val="005B0708"/>
    <w:rsid w:val="005E2993"/>
    <w:rsid w:val="0063038F"/>
    <w:rsid w:val="00645B6A"/>
    <w:rsid w:val="00654304"/>
    <w:rsid w:val="006C4D20"/>
    <w:rsid w:val="0070325B"/>
    <w:rsid w:val="00717EE0"/>
    <w:rsid w:val="00734337"/>
    <w:rsid w:val="007613C1"/>
    <w:rsid w:val="00774671"/>
    <w:rsid w:val="007B20F5"/>
    <w:rsid w:val="00843331"/>
    <w:rsid w:val="00865D86"/>
    <w:rsid w:val="008D1E24"/>
    <w:rsid w:val="00946D3D"/>
    <w:rsid w:val="00950FBF"/>
    <w:rsid w:val="0095643B"/>
    <w:rsid w:val="009712BA"/>
    <w:rsid w:val="00996567"/>
    <w:rsid w:val="00A91FBD"/>
    <w:rsid w:val="00AE5548"/>
    <w:rsid w:val="00C27B78"/>
    <w:rsid w:val="00C4503E"/>
    <w:rsid w:val="00C844EE"/>
    <w:rsid w:val="00CD61EA"/>
    <w:rsid w:val="00CE2AAD"/>
    <w:rsid w:val="00D305B4"/>
    <w:rsid w:val="00D3077E"/>
    <w:rsid w:val="00D75599"/>
    <w:rsid w:val="00D80EC2"/>
    <w:rsid w:val="00DC190D"/>
    <w:rsid w:val="00DD07E1"/>
    <w:rsid w:val="00E12D63"/>
    <w:rsid w:val="00E13F46"/>
    <w:rsid w:val="00E7052B"/>
    <w:rsid w:val="00E80F9A"/>
    <w:rsid w:val="00E93A8F"/>
    <w:rsid w:val="00EB257E"/>
    <w:rsid w:val="00EF1E4B"/>
    <w:rsid w:val="00EF4A02"/>
    <w:rsid w:val="00F43FD8"/>
    <w:rsid w:val="00FE14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0498D1A"/>
  <w15:chartTrackingRefBased/>
  <w15:docId w15:val="{95D63DB5-EFE1-D94E-A9EE-6977F76B6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E93A8F"/>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E93A8F"/>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E93A8F"/>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E93A8F"/>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E93A8F"/>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E93A8F"/>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E93A8F"/>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E93A8F"/>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E93A8F"/>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93A8F"/>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E93A8F"/>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E93A8F"/>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E93A8F"/>
    <w:rPr>
      <w:rFonts w:cstheme="majorBidi"/>
      <w:color w:val="0F4761" w:themeColor="accent1" w:themeShade="BF"/>
      <w:sz w:val="28"/>
      <w:szCs w:val="28"/>
    </w:rPr>
  </w:style>
  <w:style w:type="character" w:customStyle="1" w:styleId="50">
    <w:name w:val="标题 5 字符"/>
    <w:basedOn w:val="a0"/>
    <w:link w:val="5"/>
    <w:uiPriority w:val="9"/>
    <w:semiHidden/>
    <w:rsid w:val="00E93A8F"/>
    <w:rPr>
      <w:rFonts w:cstheme="majorBidi"/>
      <w:color w:val="0F4761" w:themeColor="accent1" w:themeShade="BF"/>
      <w:sz w:val="24"/>
    </w:rPr>
  </w:style>
  <w:style w:type="character" w:customStyle="1" w:styleId="60">
    <w:name w:val="标题 6 字符"/>
    <w:basedOn w:val="a0"/>
    <w:link w:val="6"/>
    <w:uiPriority w:val="9"/>
    <w:semiHidden/>
    <w:rsid w:val="00E93A8F"/>
    <w:rPr>
      <w:rFonts w:cstheme="majorBidi"/>
      <w:b/>
      <w:bCs/>
      <w:color w:val="0F4761" w:themeColor="accent1" w:themeShade="BF"/>
    </w:rPr>
  </w:style>
  <w:style w:type="character" w:customStyle="1" w:styleId="70">
    <w:name w:val="标题 7 字符"/>
    <w:basedOn w:val="a0"/>
    <w:link w:val="7"/>
    <w:uiPriority w:val="9"/>
    <w:semiHidden/>
    <w:rsid w:val="00E93A8F"/>
    <w:rPr>
      <w:rFonts w:cstheme="majorBidi"/>
      <w:b/>
      <w:bCs/>
      <w:color w:val="595959" w:themeColor="text1" w:themeTint="A6"/>
    </w:rPr>
  </w:style>
  <w:style w:type="character" w:customStyle="1" w:styleId="80">
    <w:name w:val="标题 8 字符"/>
    <w:basedOn w:val="a0"/>
    <w:link w:val="8"/>
    <w:uiPriority w:val="9"/>
    <w:semiHidden/>
    <w:rsid w:val="00E93A8F"/>
    <w:rPr>
      <w:rFonts w:cstheme="majorBidi"/>
      <w:color w:val="595959" w:themeColor="text1" w:themeTint="A6"/>
    </w:rPr>
  </w:style>
  <w:style w:type="character" w:customStyle="1" w:styleId="90">
    <w:name w:val="标题 9 字符"/>
    <w:basedOn w:val="a0"/>
    <w:link w:val="9"/>
    <w:uiPriority w:val="9"/>
    <w:semiHidden/>
    <w:rsid w:val="00E93A8F"/>
    <w:rPr>
      <w:rFonts w:eastAsiaTheme="majorEastAsia" w:cstheme="majorBidi"/>
      <w:color w:val="595959" w:themeColor="text1" w:themeTint="A6"/>
    </w:rPr>
  </w:style>
  <w:style w:type="paragraph" w:styleId="a3">
    <w:name w:val="Title"/>
    <w:basedOn w:val="a"/>
    <w:next w:val="a"/>
    <w:link w:val="a4"/>
    <w:uiPriority w:val="10"/>
    <w:qFormat/>
    <w:rsid w:val="00E93A8F"/>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93A8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93A8F"/>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93A8F"/>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93A8F"/>
    <w:pPr>
      <w:spacing w:before="160"/>
      <w:jc w:val="center"/>
    </w:pPr>
    <w:rPr>
      <w:i/>
      <w:iCs/>
      <w:color w:val="404040" w:themeColor="text1" w:themeTint="BF"/>
    </w:rPr>
  </w:style>
  <w:style w:type="character" w:customStyle="1" w:styleId="a8">
    <w:name w:val="引用 字符"/>
    <w:basedOn w:val="a0"/>
    <w:link w:val="a7"/>
    <w:uiPriority w:val="29"/>
    <w:rsid w:val="00E93A8F"/>
    <w:rPr>
      <w:i/>
      <w:iCs/>
      <w:color w:val="404040" w:themeColor="text1" w:themeTint="BF"/>
    </w:rPr>
  </w:style>
  <w:style w:type="paragraph" w:styleId="a9">
    <w:name w:val="List Paragraph"/>
    <w:basedOn w:val="a"/>
    <w:uiPriority w:val="34"/>
    <w:qFormat/>
    <w:rsid w:val="00E93A8F"/>
    <w:pPr>
      <w:ind w:left="720"/>
      <w:contextualSpacing/>
    </w:pPr>
  </w:style>
  <w:style w:type="character" w:styleId="aa">
    <w:name w:val="Intense Emphasis"/>
    <w:basedOn w:val="a0"/>
    <w:uiPriority w:val="21"/>
    <w:qFormat/>
    <w:rsid w:val="00E93A8F"/>
    <w:rPr>
      <w:i/>
      <w:iCs/>
      <w:color w:val="0F4761" w:themeColor="accent1" w:themeShade="BF"/>
    </w:rPr>
  </w:style>
  <w:style w:type="paragraph" w:styleId="ab">
    <w:name w:val="Intense Quote"/>
    <w:basedOn w:val="a"/>
    <w:next w:val="a"/>
    <w:link w:val="ac"/>
    <w:uiPriority w:val="30"/>
    <w:qFormat/>
    <w:rsid w:val="00E93A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E93A8F"/>
    <w:rPr>
      <w:i/>
      <w:iCs/>
      <w:color w:val="0F4761" w:themeColor="accent1" w:themeShade="BF"/>
    </w:rPr>
  </w:style>
  <w:style w:type="character" w:styleId="ad">
    <w:name w:val="Intense Reference"/>
    <w:basedOn w:val="a0"/>
    <w:uiPriority w:val="32"/>
    <w:qFormat/>
    <w:rsid w:val="00E93A8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0375299">
      <w:bodyDiv w:val="1"/>
      <w:marLeft w:val="0"/>
      <w:marRight w:val="0"/>
      <w:marTop w:val="0"/>
      <w:marBottom w:val="0"/>
      <w:divBdr>
        <w:top w:val="none" w:sz="0" w:space="0" w:color="auto"/>
        <w:left w:val="none" w:sz="0" w:space="0" w:color="auto"/>
        <w:bottom w:val="none" w:sz="0" w:space="0" w:color="auto"/>
        <w:right w:val="none" w:sz="0" w:space="0" w:color="auto"/>
      </w:divBdr>
    </w:div>
    <w:div w:id="1335374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48</TotalTime>
  <Pages>19</Pages>
  <Words>5724</Words>
  <Characters>32630</Characters>
  <Application>Microsoft Office Word</Application>
  <DocSecurity>0</DocSecurity>
  <Lines>271</Lines>
  <Paragraphs>76</Paragraphs>
  <ScaleCrop>false</ScaleCrop>
  <Company/>
  <LinksUpToDate>false</LinksUpToDate>
  <CharactersWithSpaces>38278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418527863@qq.com</dc:creator>
  <cp:keywords/>
  <dc:description/>
  <cp:lastModifiedBy>418527863@qq.com</cp:lastModifiedBy>
  <cp:revision>83</cp:revision>
  <dcterms:created xsi:type="dcterms:W3CDTF">2025-01-06T03:05:00Z</dcterms:created>
  <dcterms:modified xsi:type="dcterms:W3CDTF">2025-01-06T06:41:00Z</dcterms:modified>
</cp:coreProperties>
</file>