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CA3D1" w14:textId="77777777"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Programme: BSc Health and Social Care</w:t>
      </w:r>
    </w:p>
    <w:p w14:paraId="46057A71" w14:textId="77777777"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Module: Principles of Health and Social Care Practice</w:t>
      </w:r>
    </w:p>
    <w:p w14:paraId="5B372202" w14:textId="77777777"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Module code: BMHP5016</w:t>
      </w:r>
    </w:p>
    <w:p w14:paraId="6D208236" w14:textId="77777777"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 xml:space="preserve">Student name: Nina Clarke </w:t>
      </w:r>
    </w:p>
    <w:p w14:paraId="13304981" w14:textId="77777777"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Student number:2422882</w:t>
      </w:r>
    </w:p>
    <w:p w14:paraId="3E80A551" w14:textId="3DE37E22"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 xml:space="preserve">Lecturer: </w:t>
      </w:r>
      <w:r w:rsidR="004924C6" w:rsidRPr="00D8067C">
        <w:rPr>
          <w:rFonts w:ascii="Arial" w:eastAsia="Times New Roman" w:hAnsi="Arial" w:cs="Arial"/>
          <w:bCs/>
          <w:lang w:eastAsia="en-GB"/>
        </w:rPr>
        <w:t>Dr Mark Gallagher-Read</w:t>
      </w:r>
    </w:p>
    <w:p w14:paraId="6852EAE4" w14:textId="25B3C55D" w:rsidR="00C70729" w:rsidRPr="00D8067C" w:rsidRDefault="00C70729" w:rsidP="00586AFB">
      <w:pPr>
        <w:spacing w:after="0" w:line="360" w:lineRule="auto"/>
        <w:rPr>
          <w:rFonts w:ascii="Arial" w:eastAsia="Times New Roman" w:hAnsi="Arial" w:cs="Arial"/>
          <w:lang w:eastAsia="en-GB"/>
        </w:rPr>
      </w:pPr>
      <w:r w:rsidRPr="00D8067C">
        <w:rPr>
          <w:rFonts w:ascii="Arial" w:eastAsia="Times New Roman" w:hAnsi="Arial" w:cs="Arial"/>
          <w:lang w:eastAsia="en-GB"/>
        </w:rPr>
        <w:t xml:space="preserve">Assignment </w:t>
      </w:r>
      <w:r w:rsidR="00FB3855" w:rsidRPr="00D8067C">
        <w:rPr>
          <w:rFonts w:ascii="Arial" w:eastAsia="Times New Roman" w:hAnsi="Arial" w:cs="Arial"/>
          <w:lang w:eastAsia="en-GB"/>
        </w:rPr>
        <w:t>T</w:t>
      </w:r>
      <w:r w:rsidRPr="00D8067C">
        <w:rPr>
          <w:rFonts w:ascii="Arial" w:eastAsia="Times New Roman" w:hAnsi="Arial" w:cs="Arial"/>
          <w:lang w:eastAsia="en-GB"/>
        </w:rPr>
        <w:t xml:space="preserve">itle: Component </w:t>
      </w:r>
      <w:r w:rsidR="00C12FF4" w:rsidRPr="00D8067C">
        <w:rPr>
          <w:rFonts w:ascii="Arial" w:eastAsia="Times New Roman" w:hAnsi="Arial" w:cs="Arial"/>
          <w:lang w:eastAsia="en-GB"/>
        </w:rPr>
        <w:t>2</w:t>
      </w:r>
      <w:r w:rsidRPr="00D8067C">
        <w:rPr>
          <w:rFonts w:ascii="Arial" w:eastAsia="Times New Roman" w:hAnsi="Arial" w:cs="Arial"/>
          <w:lang w:eastAsia="en-GB"/>
        </w:rPr>
        <w:t xml:space="preserve">: Report </w:t>
      </w:r>
    </w:p>
    <w:p w14:paraId="500A1E32" w14:textId="77777777" w:rsidR="00C70729" w:rsidRPr="00D8067C" w:rsidRDefault="00C70729" w:rsidP="00586AFB">
      <w:pPr>
        <w:spacing w:after="0" w:line="360" w:lineRule="auto"/>
        <w:rPr>
          <w:rFonts w:ascii="Arial" w:eastAsia="Times New Roman" w:hAnsi="Arial" w:cs="Arial"/>
          <w:lang w:eastAsia="en-GB"/>
        </w:rPr>
      </w:pPr>
    </w:p>
    <w:p w14:paraId="2E234ADA" w14:textId="77777777" w:rsidR="000D428E" w:rsidRPr="00D8067C" w:rsidRDefault="000D428E" w:rsidP="00586AFB">
      <w:pPr>
        <w:spacing w:after="0" w:line="360" w:lineRule="auto"/>
        <w:rPr>
          <w:rFonts w:ascii="Arial" w:eastAsia="Times New Roman" w:hAnsi="Arial" w:cs="Arial"/>
          <w:lang w:eastAsia="en-GB"/>
        </w:rPr>
      </w:pPr>
    </w:p>
    <w:p w14:paraId="35656737" w14:textId="77777777" w:rsidR="000D428E" w:rsidRPr="00D8067C" w:rsidRDefault="000D428E" w:rsidP="00586AFB">
      <w:pPr>
        <w:spacing w:after="0" w:line="360" w:lineRule="auto"/>
        <w:rPr>
          <w:rFonts w:ascii="Arial" w:eastAsia="Times New Roman" w:hAnsi="Arial" w:cs="Arial"/>
          <w:lang w:eastAsia="en-GB"/>
        </w:rPr>
      </w:pPr>
    </w:p>
    <w:p w14:paraId="356CE986" w14:textId="77777777" w:rsidR="000D428E" w:rsidRPr="00D8067C" w:rsidRDefault="000D428E" w:rsidP="00586AFB">
      <w:pPr>
        <w:spacing w:after="0" w:line="360" w:lineRule="auto"/>
        <w:rPr>
          <w:rFonts w:ascii="Arial" w:eastAsia="Times New Roman" w:hAnsi="Arial" w:cs="Arial"/>
          <w:lang w:eastAsia="en-GB"/>
        </w:rPr>
      </w:pPr>
    </w:p>
    <w:p w14:paraId="08B160FD" w14:textId="77777777" w:rsidR="000D428E" w:rsidRPr="00D8067C" w:rsidRDefault="000D428E" w:rsidP="00586AFB">
      <w:pPr>
        <w:spacing w:after="0" w:line="360" w:lineRule="auto"/>
        <w:rPr>
          <w:rFonts w:ascii="Arial" w:eastAsia="Times New Roman" w:hAnsi="Arial" w:cs="Arial"/>
          <w:lang w:eastAsia="en-GB"/>
        </w:rPr>
      </w:pPr>
    </w:p>
    <w:p w14:paraId="64870C71" w14:textId="77777777" w:rsidR="000D428E" w:rsidRPr="00D8067C" w:rsidRDefault="000D428E" w:rsidP="00586AFB">
      <w:pPr>
        <w:spacing w:after="0" w:line="360" w:lineRule="auto"/>
        <w:rPr>
          <w:rFonts w:ascii="Arial" w:eastAsia="Times New Roman" w:hAnsi="Arial" w:cs="Arial"/>
          <w:lang w:eastAsia="en-GB"/>
        </w:rPr>
      </w:pPr>
    </w:p>
    <w:p w14:paraId="7710AAF0" w14:textId="77777777" w:rsidR="000D428E" w:rsidRPr="00D8067C" w:rsidRDefault="000D428E" w:rsidP="00586AFB">
      <w:pPr>
        <w:spacing w:after="0" w:line="360" w:lineRule="auto"/>
        <w:rPr>
          <w:rFonts w:ascii="Arial" w:eastAsia="Times New Roman" w:hAnsi="Arial" w:cs="Arial"/>
          <w:lang w:eastAsia="en-GB"/>
        </w:rPr>
      </w:pPr>
    </w:p>
    <w:p w14:paraId="5C868CC5" w14:textId="77777777" w:rsidR="000D428E" w:rsidRPr="00D8067C" w:rsidRDefault="000D428E" w:rsidP="00586AFB">
      <w:pPr>
        <w:spacing w:after="0" w:line="360" w:lineRule="auto"/>
        <w:rPr>
          <w:rFonts w:ascii="Arial" w:eastAsia="Times New Roman" w:hAnsi="Arial" w:cs="Arial"/>
          <w:lang w:eastAsia="en-GB"/>
        </w:rPr>
      </w:pPr>
    </w:p>
    <w:p w14:paraId="368BC910" w14:textId="77777777" w:rsidR="000D428E" w:rsidRPr="00D8067C" w:rsidRDefault="000D428E" w:rsidP="00586AFB">
      <w:pPr>
        <w:spacing w:after="0" w:line="360" w:lineRule="auto"/>
        <w:rPr>
          <w:rFonts w:ascii="Arial" w:eastAsia="Times New Roman" w:hAnsi="Arial" w:cs="Arial"/>
          <w:lang w:eastAsia="en-GB"/>
        </w:rPr>
      </w:pPr>
    </w:p>
    <w:p w14:paraId="2D109BCE" w14:textId="77777777" w:rsidR="000D428E" w:rsidRPr="00D8067C" w:rsidRDefault="000D428E" w:rsidP="00586AFB">
      <w:pPr>
        <w:spacing w:after="0" w:line="360" w:lineRule="auto"/>
        <w:rPr>
          <w:rFonts w:ascii="Arial" w:eastAsia="Times New Roman" w:hAnsi="Arial" w:cs="Arial"/>
          <w:lang w:eastAsia="en-GB"/>
        </w:rPr>
      </w:pPr>
    </w:p>
    <w:p w14:paraId="3D701072" w14:textId="77777777" w:rsidR="000D428E" w:rsidRPr="00D8067C" w:rsidRDefault="000D428E" w:rsidP="00586AFB">
      <w:pPr>
        <w:spacing w:after="0" w:line="360" w:lineRule="auto"/>
        <w:rPr>
          <w:rFonts w:ascii="Arial" w:eastAsia="Times New Roman" w:hAnsi="Arial" w:cs="Arial"/>
          <w:lang w:eastAsia="en-GB"/>
        </w:rPr>
      </w:pPr>
    </w:p>
    <w:p w14:paraId="511A1CD1" w14:textId="77777777" w:rsidR="000D428E" w:rsidRPr="00D8067C" w:rsidRDefault="000D428E" w:rsidP="00586AFB">
      <w:pPr>
        <w:spacing w:after="0" w:line="360" w:lineRule="auto"/>
        <w:rPr>
          <w:rFonts w:ascii="Arial" w:eastAsia="Times New Roman" w:hAnsi="Arial" w:cs="Arial"/>
          <w:lang w:eastAsia="en-GB"/>
        </w:rPr>
      </w:pPr>
    </w:p>
    <w:p w14:paraId="61A9C187" w14:textId="77777777" w:rsidR="000D428E" w:rsidRPr="00D8067C" w:rsidRDefault="000D428E" w:rsidP="00586AFB">
      <w:pPr>
        <w:spacing w:after="0" w:line="360" w:lineRule="auto"/>
        <w:rPr>
          <w:rFonts w:ascii="Arial" w:eastAsia="Times New Roman" w:hAnsi="Arial" w:cs="Arial"/>
          <w:lang w:eastAsia="en-GB"/>
        </w:rPr>
      </w:pPr>
    </w:p>
    <w:p w14:paraId="623AE264" w14:textId="77777777" w:rsidR="000D428E" w:rsidRPr="00D8067C" w:rsidRDefault="000D428E" w:rsidP="00586AFB">
      <w:pPr>
        <w:spacing w:after="0" w:line="360" w:lineRule="auto"/>
        <w:rPr>
          <w:rFonts w:ascii="Arial" w:eastAsia="Times New Roman" w:hAnsi="Arial" w:cs="Arial"/>
          <w:lang w:eastAsia="en-GB"/>
        </w:rPr>
      </w:pPr>
    </w:p>
    <w:p w14:paraId="4D76AE61" w14:textId="77777777" w:rsidR="000D428E" w:rsidRPr="00D8067C" w:rsidRDefault="000D428E" w:rsidP="00586AFB">
      <w:pPr>
        <w:spacing w:after="0" w:line="360" w:lineRule="auto"/>
        <w:rPr>
          <w:rFonts w:ascii="Arial" w:eastAsia="Times New Roman" w:hAnsi="Arial" w:cs="Arial"/>
          <w:lang w:eastAsia="en-GB"/>
        </w:rPr>
      </w:pPr>
    </w:p>
    <w:p w14:paraId="46CF6C25" w14:textId="77777777" w:rsidR="000D428E" w:rsidRPr="00D8067C" w:rsidRDefault="000D428E" w:rsidP="00586AFB">
      <w:pPr>
        <w:spacing w:after="0" w:line="360" w:lineRule="auto"/>
        <w:rPr>
          <w:rFonts w:ascii="Arial" w:eastAsia="Times New Roman" w:hAnsi="Arial" w:cs="Arial"/>
          <w:lang w:eastAsia="en-GB"/>
        </w:rPr>
      </w:pPr>
    </w:p>
    <w:p w14:paraId="7C30CF41" w14:textId="77777777" w:rsidR="000D428E" w:rsidRPr="00D8067C" w:rsidRDefault="000D428E" w:rsidP="00586AFB">
      <w:pPr>
        <w:spacing w:after="0" w:line="360" w:lineRule="auto"/>
        <w:rPr>
          <w:rFonts w:ascii="Arial" w:eastAsia="Times New Roman" w:hAnsi="Arial" w:cs="Arial"/>
          <w:lang w:eastAsia="en-GB"/>
        </w:rPr>
      </w:pPr>
    </w:p>
    <w:p w14:paraId="4EDBD116" w14:textId="77777777" w:rsidR="000D428E" w:rsidRPr="00D8067C" w:rsidRDefault="000D428E" w:rsidP="00586AFB">
      <w:pPr>
        <w:spacing w:after="0" w:line="360" w:lineRule="auto"/>
        <w:rPr>
          <w:rFonts w:ascii="Arial" w:eastAsia="Times New Roman" w:hAnsi="Arial" w:cs="Arial"/>
          <w:lang w:eastAsia="en-GB"/>
        </w:rPr>
      </w:pPr>
    </w:p>
    <w:p w14:paraId="788EC57F" w14:textId="77777777" w:rsidR="000D428E" w:rsidRPr="00D8067C" w:rsidRDefault="000D428E" w:rsidP="00586AFB">
      <w:pPr>
        <w:spacing w:after="0" w:line="360" w:lineRule="auto"/>
        <w:rPr>
          <w:rFonts w:ascii="Arial" w:eastAsia="Times New Roman" w:hAnsi="Arial" w:cs="Arial"/>
          <w:lang w:eastAsia="en-GB"/>
        </w:rPr>
      </w:pPr>
    </w:p>
    <w:p w14:paraId="3FBBC445" w14:textId="77777777" w:rsidR="000D428E" w:rsidRPr="00D8067C" w:rsidRDefault="000D428E" w:rsidP="00586AFB">
      <w:pPr>
        <w:spacing w:after="0" w:line="360" w:lineRule="auto"/>
        <w:rPr>
          <w:rFonts w:ascii="Arial" w:eastAsia="Times New Roman" w:hAnsi="Arial" w:cs="Arial"/>
          <w:lang w:eastAsia="en-GB"/>
        </w:rPr>
      </w:pPr>
    </w:p>
    <w:p w14:paraId="48365CF7" w14:textId="77777777" w:rsidR="000D428E" w:rsidRPr="00D8067C" w:rsidRDefault="000D428E" w:rsidP="00586AFB">
      <w:pPr>
        <w:spacing w:after="0" w:line="360" w:lineRule="auto"/>
        <w:rPr>
          <w:rFonts w:ascii="Arial" w:eastAsia="Times New Roman" w:hAnsi="Arial" w:cs="Arial"/>
          <w:lang w:eastAsia="en-GB"/>
        </w:rPr>
      </w:pPr>
    </w:p>
    <w:p w14:paraId="5A636653" w14:textId="77777777" w:rsidR="000D428E" w:rsidRPr="00D8067C" w:rsidRDefault="000D428E" w:rsidP="00586AFB">
      <w:pPr>
        <w:spacing w:after="0" w:line="360" w:lineRule="auto"/>
        <w:rPr>
          <w:rFonts w:ascii="Arial" w:eastAsia="Times New Roman" w:hAnsi="Arial" w:cs="Arial"/>
          <w:lang w:eastAsia="en-GB"/>
        </w:rPr>
      </w:pPr>
    </w:p>
    <w:p w14:paraId="294C548A" w14:textId="77777777" w:rsidR="000D428E" w:rsidRPr="00D8067C" w:rsidRDefault="000D428E" w:rsidP="00586AFB">
      <w:pPr>
        <w:spacing w:after="0" w:line="360" w:lineRule="auto"/>
        <w:rPr>
          <w:rFonts w:ascii="Arial" w:eastAsia="Times New Roman" w:hAnsi="Arial" w:cs="Arial"/>
          <w:lang w:eastAsia="en-GB"/>
        </w:rPr>
      </w:pPr>
    </w:p>
    <w:p w14:paraId="6364C0BD" w14:textId="77777777" w:rsidR="000D428E" w:rsidRPr="00D8067C" w:rsidRDefault="000D428E" w:rsidP="00586AFB">
      <w:pPr>
        <w:spacing w:after="0" w:line="360" w:lineRule="auto"/>
        <w:rPr>
          <w:rFonts w:ascii="Arial" w:eastAsia="Times New Roman" w:hAnsi="Arial" w:cs="Arial"/>
          <w:lang w:eastAsia="en-GB"/>
        </w:rPr>
      </w:pPr>
    </w:p>
    <w:p w14:paraId="454ECFF1" w14:textId="77777777" w:rsidR="000D428E" w:rsidRPr="00D8067C" w:rsidRDefault="000D428E" w:rsidP="00586AFB">
      <w:pPr>
        <w:spacing w:after="0" w:line="360" w:lineRule="auto"/>
        <w:rPr>
          <w:rFonts w:ascii="Arial" w:eastAsia="Times New Roman" w:hAnsi="Arial" w:cs="Arial"/>
          <w:lang w:eastAsia="en-GB"/>
        </w:rPr>
      </w:pPr>
    </w:p>
    <w:p w14:paraId="4CB2FF72" w14:textId="77777777" w:rsidR="000D428E" w:rsidRPr="00D8067C" w:rsidRDefault="000D428E" w:rsidP="00586AFB">
      <w:pPr>
        <w:spacing w:after="0" w:line="360" w:lineRule="auto"/>
        <w:rPr>
          <w:rFonts w:ascii="Arial" w:eastAsia="Times New Roman" w:hAnsi="Arial" w:cs="Arial"/>
          <w:lang w:eastAsia="en-GB"/>
        </w:rPr>
      </w:pPr>
    </w:p>
    <w:p w14:paraId="07A20941" w14:textId="77777777" w:rsidR="000D428E" w:rsidRPr="00D8067C" w:rsidRDefault="000D428E" w:rsidP="00586AFB">
      <w:pPr>
        <w:spacing w:after="0" w:line="360" w:lineRule="auto"/>
        <w:rPr>
          <w:rFonts w:ascii="Arial" w:eastAsia="Times New Roman" w:hAnsi="Arial" w:cs="Arial"/>
          <w:lang w:eastAsia="en-GB"/>
        </w:rPr>
      </w:pPr>
    </w:p>
    <w:p w14:paraId="1AF2B804" w14:textId="77777777" w:rsidR="000D428E" w:rsidRPr="00D8067C" w:rsidRDefault="000D428E" w:rsidP="00586AFB">
      <w:pPr>
        <w:spacing w:after="0" w:line="360" w:lineRule="auto"/>
        <w:rPr>
          <w:rFonts w:ascii="Arial" w:eastAsia="Times New Roman" w:hAnsi="Arial" w:cs="Arial"/>
          <w:lang w:eastAsia="en-GB"/>
        </w:rPr>
      </w:pPr>
    </w:p>
    <w:p w14:paraId="0C277F95" w14:textId="77777777" w:rsidR="000D428E" w:rsidRPr="00D8067C" w:rsidRDefault="000D428E" w:rsidP="00586AFB">
      <w:pPr>
        <w:spacing w:after="0" w:line="360" w:lineRule="auto"/>
        <w:rPr>
          <w:rFonts w:ascii="Arial" w:eastAsia="Times New Roman" w:hAnsi="Arial" w:cs="Arial"/>
          <w:lang w:eastAsia="en-GB"/>
        </w:rPr>
      </w:pPr>
    </w:p>
    <w:p w14:paraId="7C90DBF1" w14:textId="77777777" w:rsidR="000D428E" w:rsidRPr="00D8067C" w:rsidRDefault="000D428E" w:rsidP="00586AFB">
      <w:pPr>
        <w:spacing w:after="0" w:line="360" w:lineRule="auto"/>
        <w:rPr>
          <w:rFonts w:ascii="Arial" w:eastAsia="Times New Roman" w:hAnsi="Arial" w:cs="Arial"/>
          <w:lang w:eastAsia="en-GB"/>
        </w:rPr>
      </w:pPr>
    </w:p>
    <w:p w14:paraId="68B26553" w14:textId="128F0783" w:rsidR="000D428E" w:rsidRPr="00D8067C" w:rsidRDefault="007F3F6C" w:rsidP="00586AFB">
      <w:pPr>
        <w:spacing w:after="0" w:line="360" w:lineRule="auto"/>
        <w:rPr>
          <w:rFonts w:ascii="Arial" w:eastAsia="Times New Roman" w:hAnsi="Arial" w:cs="Arial"/>
          <w:b/>
          <w:bCs/>
          <w:u w:val="single"/>
          <w:lang w:eastAsia="en-GB"/>
        </w:rPr>
      </w:pPr>
      <w:r w:rsidRPr="00D8067C">
        <w:rPr>
          <w:rFonts w:ascii="Arial" w:eastAsia="Times New Roman" w:hAnsi="Arial" w:cs="Arial"/>
          <w:b/>
          <w:bCs/>
          <w:u w:val="single"/>
          <w:lang w:eastAsia="en-GB"/>
        </w:rPr>
        <w:lastRenderedPageBreak/>
        <w:t>C</w:t>
      </w:r>
      <w:r w:rsidR="000D428E" w:rsidRPr="00D8067C">
        <w:rPr>
          <w:rFonts w:ascii="Arial" w:eastAsia="Times New Roman" w:hAnsi="Arial" w:cs="Arial"/>
          <w:b/>
          <w:bCs/>
          <w:u w:val="single"/>
          <w:lang w:eastAsia="en-GB"/>
        </w:rPr>
        <w:t>onte</w:t>
      </w:r>
      <w:r w:rsidRPr="00D8067C">
        <w:rPr>
          <w:rFonts w:ascii="Arial" w:eastAsia="Times New Roman" w:hAnsi="Arial" w:cs="Arial"/>
          <w:b/>
          <w:bCs/>
          <w:u w:val="single"/>
          <w:lang w:eastAsia="en-GB"/>
        </w:rPr>
        <w:t>nt Page</w:t>
      </w:r>
    </w:p>
    <w:p w14:paraId="4B141B00" w14:textId="77777777" w:rsidR="00C70729" w:rsidRPr="00D8067C" w:rsidRDefault="00C70729" w:rsidP="00586AFB">
      <w:pPr>
        <w:spacing w:line="360" w:lineRule="auto"/>
        <w:rPr>
          <w:rFonts w:ascii="Arial" w:hAnsi="Arial" w:cs="Arial"/>
          <w:b/>
          <w:bCs/>
          <w:u w:val="single"/>
        </w:rPr>
      </w:pPr>
    </w:p>
    <w:p w14:paraId="19AB34DA" w14:textId="13ED0788" w:rsidR="004C1EB4" w:rsidRPr="00D8067C" w:rsidRDefault="00F43402" w:rsidP="00586AFB">
      <w:pPr>
        <w:spacing w:line="360" w:lineRule="auto"/>
        <w:rPr>
          <w:rFonts w:ascii="Arial" w:hAnsi="Arial" w:cs="Arial"/>
        </w:rPr>
      </w:pPr>
      <w:r w:rsidRPr="00D8067C">
        <w:rPr>
          <w:rFonts w:ascii="Arial" w:hAnsi="Arial" w:cs="Arial"/>
        </w:rPr>
        <w:t>Introduction</w:t>
      </w:r>
      <w:r w:rsidR="009F4A7A">
        <w:rPr>
          <w:rFonts w:ascii="Arial" w:hAnsi="Arial" w:cs="Arial"/>
        </w:rPr>
        <w:t>…………………………………………………………………</w:t>
      </w:r>
      <w:r w:rsidR="009F4A7A">
        <w:rPr>
          <w:rFonts w:ascii="Arial" w:hAnsi="Arial" w:cs="Arial"/>
        </w:rPr>
        <w:tab/>
        <w:t xml:space="preserve">page </w:t>
      </w:r>
      <w:r w:rsidR="00605B69">
        <w:rPr>
          <w:rFonts w:ascii="Arial" w:hAnsi="Arial" w:cs="Arial"/>
        </w:rPr>
        <w:t>3</w:t>
      </w:r>
    </w:p>
    <w:p w14:paraId="52B2FEAB" w14:textId="6246ED71" w:rsidR="00F43402" w:rsidRPr="00D8067C" w:rsidRDefault="00F33DDE" w:rsidP="00586AFB">
      <w:pPr>
        <w:spacing w:line="360" w:lineRule="auto"/>
        <w:rPr>
          <w:rFonts w:ascii="Arial" w:hAnsi="Arial" w:cs="Arial"/>
        </w:rPr>
      </w:pPr>
      <w:r w:rsidRPr="00D8067C">
        <w:rPr>
          <w:rFonts w:ascii="Arial" w:hAnsi="Arial" w:cs="Arial"/>
        </w:rPr>
        <w:t>P</w:t>
      </w:r>
      <w:r w:rsidR="00F43402" w:rsidRPr="00D8067C">
        <w:rPr>
          <w:rFonts w:ascii="Arial" w:hAnsi="Arial" w:cs="Arial"/>
        </w:rPr>
        <w:t>er</w:t>
      </w:r>
      <w:r w:rsidRPr="00D8067C">
        <w:rPr>
          <w:rFonts w:ascii="Arial" w:hAnsi="Arial" w:cs="Arial"/>
        </w:rPr>
        <w:t>son-centred Care</w:t>
      </w:r>
      <w:r w:rsidR="00605B69">
        <w:rPr>
          <w:rFonts w:ascii="Arial" w:hAnsi="Arial" w:cs="Arial"/>
        </w:rPr>
        <w:t>………………………………………………………</w:t>
      </w:r>
      <w:r w:rsidR="00605B69">
        <w:rPr>
          <w:rFonts w:ascii="Arial" w:hAnsi="Arial" w:cs="Arial"/>
        </w:rPr>
        <w:tab/>
        <w:t xml:space="preserve">page </w:t>
      </w:r>
      <w:r w:rsidR="00A56ABD">
        <w:rPr>
          <w:rFonts w:ascii="Arial" w:hAnsi="Arial" w:cs="Arial"/>
        </w:rPr>
        <w:t>3</w:t>
      </w:r>
    </w:p>
    <w:p w14:paraId="15CCBCEE" w14:textId="560FF61F" w:rsidR="00F33DDE" w:rsidRPr="00D8067C" w:rsidRDefault="00F33DDE" w:rsidP="00586AFB">
      <w:pPr>
        <w:spacing w:line="360" w:lineRule="auto"/>
        <w:rPr>
          <w:rFonts w:ascii="Arial" w:hAnsi="Arial" w:cs="Arial"/>
        </w:rPr>
      </w:pPr>
      <w:r w:rsidRPr="00D8067C">
        <w:rPr>
          <w:rFonts w:ascii="Arial" w:hAnsi="Arial" w:cs="Arial"/>
        </w:rPr>
        <w:t>Benefits and Limitations</w:t>
      </w:r>
      <w:r w:rsidR="00605B69">
        <w:rPr>
          <w:rFonts w:ascii="Arial" w:hAnsi="Arial" w:cs="Arial"/>
        </w:rPr>
        <w:t>………………………………………………</w:t>
      </w:r>
      <w:proofErr w:type="gramStart"/>
      <w:r w:rsidR="00605B69">
        <w:rPr>
          <w:rFonts w:ascii="Arial" w:hAnsi="Arial" w:cs="Arial"/>
        </w:rPr>
        <w:t>…..</w:t>
      </w:r>
      <w:proofErr w:type="gramEnd"/>
      <w:r w:rsidR="000738DF">
        <w:rPr>
          <w:rFonts w:ascii="Arial" w:hAnsi="Arial" w:cs="Arial"/>
        </w:rPr>
        <w:tab/>
        <w:t xml:space="preserve">page </w:t>
      </w:r>
      <w:r w:rsidR="00A56ABD">
        <w:rPr>
          <w:rFonts w:ascii="Arial" w:hAnsi="Arial" w:cs="Arial"/>
        </w:rPr>
        <w:t>3</w:t>
      </w:r>
    </w:p>
    <w:p w14:paraId="2849E706" w14:textId="6D71EB5E" w:rsidR="00F33DDE" w:rsidRPr="00D8067C" w:rsidRDefault="00F33DDE" w:rsidP="00586AFB">
      <w:pPr>
        <w:spacing w:line="360" w:lineRule="auto"/>
        <w:rPr>
          <w:rFonts w:ascii="Arial" w:hAnsi="Arial" w:cs="Arial"/>
        </w:rPr>
      </w:pPr>
      <w:r w:rsidRPr="00D8067C">
        <w:rPr>
          <w:rFonts w:ascii="Arial" w:hAnsi="Arial" w:cs="Arial"/>
        </w:rPr>
        <w:t>Partnership Working</w:t>
      </w:r>
      <w:r w:rsidR="000738DF">
        <w:rPr>
          <w:rFonts w:ascii="Arial" w:hAnsi="Arial" w:cs="Arial"/>
        </w:rPr>
        <w:t>………………………………………………………</w:t>
      </w:r>
      <w:r w:rsidR="000738DF">
        <w:rPr>
          <w:rFonts w:ascii="Arial" w:hAnsi="Arial" w:cs="Arial"/>
        </w:rPr>
        <w:tab/>
        <w:t xml:space="preserve">page </w:t>
      </w:r>
      <w:r w:rsidR="00A56ABD">
        <w:rPr>
          <w:rFonts w:ascii="Arial" w:hAnsi="Arial" w:cs="Arial"/>
        </w:rPr>
        <w:t>4</w:t>
      </w:r>
    </w:p>
    <w:p w14:paraId="4E67D499" w14:textId="146B6979" w:rsidR="00F33DDE" w:rsidRDefault="00E17D9F" w:rsidP="00586AFB">
      <w:pPr>
        <w:spacing w:line="360" w:lineRule="auto"/>
        <w:rPr>
          <w:rFonts w:ascii="Arial" w:hAnsi="Arial" w:cs="Arial"/>
        </w:rPr>
      </w:pPr>
      <w:r w:rsidRPr="00D8067C">
        <w:rPr>
          <w:rFonts w:ascii="Arial" w:hAnsi="Arial" w:cs="Arial"/>
        </w:rPr>
        <w:t>Legislation and Policy</w:t>
      </w:r>
      <w:r w:rsidR="000738DF">
        <w:rPr>
          <w:rFonts w:ascii="Arial" w:hAnsi="Arial" w:cs="Arial"/>
        </w:rPr>
        <w:t>…………………………………………………….</w:t>
      </w:r>
      <w:r w:rsidR="000738DF">
        <w:rPr>
          <w:rFonts w:ascii="Arial" w:hAnsi="Arial" w:cs="Arial"/>
        </w:rPr>
        <w:tab/>
      </w:r>
      <w:r w:rsidR="00201374">
        <w:rPr>
          <w:rFonts w:ascii="Arial" w:hAnsi="Arial" w:cs="Arial"/>
        </w:rPr>
        <w:t>p</w:t>
      </w:r>
      <w:r w:rsidR="000738DF">
        <w:rPr>
          <w:rFonts w:ascii="Arial" w:hAnsi="Arial" w:cs="Arial"/>
        </w:rPr>
        <w:t xml:space="preserve">age </w:t>
      </w:r>
      <w:r w:rsidR="00191BA7">
        <w:rPr>
          <w:rFonts w:ascii="Arial" w:hAnsi="Arial" w:cs="Arial"/>
        </w:rPr>
        <w:t>5</w:t>
      </w:r>
    </w:p>
    <w:p w14:paraId="7CCBD58F" w14:textId="1680D050" w:rsidR="00A56ABD" w:rsidRDefault="009573AE" w:rsidP="00586AFB">
      <w:pPr>
        <w:spacing w:line="360" w:lineRule="auto"/>
        <w:rPr>
          <w:rFonts w:ascii="Arial" w:hAnsi="Arial" w:cs="Arial"/>
        </w:rPr>
      </w:pPr>
      <w:r w:rsidRPr="009573AE">
        <w:rPr>
          <w:rFonts w:ascii="Arial" w:hAnsi="Arial" w:cs="Arial"/>
        </w:rPr>
        <w:t>Benefits and Continuing Challenges</w:t>
      </w:r>
      <w:r w:rsidR="002239C6">
        <w:rPr>
          <w:rFonts w:ascii="Arial" w:hAnsi="Arial" w:cs="Arial"/>
        </w:rPr>
        <w:t>…………………………………….</w:t>
      </w:r>
      <w:r w:rsidR="002239C6">
        <w:rPr>
          <w:rFonts w:ascii="Arial" w:hAnsi="Arial" w:cs="Arial"/>
        </w:rPr>
        <w:tab/>
      </w:r>
      <w:r w:rsidR="005424F4">
        <w:rPr>
          <w:rFonts w:ascii="Arial" w:hAnsi="Arial" w:cs="Arial"/>
        </w:rPr>
        <w:t>p</w:t>
      </w:r>
      <w:r w:rsidR="002239C6">
        <w:rPr>
          <w:rFonts w:ascii="Arial" w:hAnsi="Arial" w:cs="Arial"/>
        </w:rPr>
        <w:t xml:space="preserve">age </w:t>
      </w:r>
      <w:r w:rsidR="005A67AD">
        <w:rPr>
          <w:rFonts w:ascii="Arial" w:hAnsi="Arial" w:cs="Arial"/>
        </w:rPr>
        <w:t>6</w:t>
      </w:r>
    </w:p>
    <w:p w14:paraId="5A07F9B3" w14:textId="7B247B08" w:rsidR="0070177F" w:rsidRPr="00D8067C" w:rsidRDefault="0070177F" w:rsidP="00586AFB">
      <w:pPr>
        <w:spacing w:line="360" w:lineRule="auto"/>
        <w:rPr>
          <w:rFonts w:ascii="Arial" w:hAnsi="Arial" w:cs="Arial"/>
        </w:rPr>
      </w:pPr>
      <w:r w:rsidRPr="0070177F">
        <w:rPr>
          <w:rFonts w:ascii="Arial" w:hAnsi="Arial" w:cs="Arial"/>
        </w:rPr>
        <w:t>Recommendations for future development in the UK</w:t>
      </w:r>
      <w:r>
        <w:rPr>
          <w:rFonts w:ascii="Arial" w:hAnsi="Arial" w:cs="Arial"/>
        </w:rPr>
        <w:t>…………………</w:t>
      </w:r>
      <w:r>
        <w:rPr>
          <w:rFonts w:ascii="Arial" w:hAnsi="Arial" w:cs="Arial"/>
        </w:rPr>
        <w:tab/>
        <w:t xml:space="preserve">page </w:t>
      </w:r>
      <w:r w:rsidR="005A67AD">
        <w:rPr>
          <w:rFonts w:ascii="Arial" w:hAnsi="Arial" w:cs="Arial"/>
        </w:rPr>
        <w:t>7</w:t>
      </w:r>
    </w:p>
    <w:p w14:paraId="3144014F" w14:textId="6FF9ECF0" w:rsidR="00E17D9F" w:rsidRDefault="00E17D9F" w:rsidP="00586AFB">
      <w:pPr>
        <w:spacing w:line="360" w:lineRule="auto"/>
        <w:rPr>
          <w:rFonts w:ascii="Arial" w:hAnsi="Arial" w:cs="Arial"/>
        </w:rPr>
      </w:pPr>
      <w:r w:rsidRPr="00D8067C">
        <w:rPr>
          <w:rFonts w:ascii="Arial" w:hAnsi="Arial" w:cs="Arial"/>
        </w:rPr>
        <w:t>Conclusion</w:t>
      </w:r>
      <w:r w:rsidR="00201374">
        <w:rPr>
          <w:rFonts w:ascii="Arial" w:hAnsi="Arial" w:cs="Arial"/>
        </w:rPr>
        <w:t>…………………………………………………………………</w:t>
      </w:r>
      <w:r w:rsidR="00201374">
        <w:rPr>
          <w:rFonts w:ascii="Arial" w:hAnsi="Arial" w:cs="Arial"/>
        </w:rPr>
        <w:tab/>
        <w:t xml:space="preserve">page </w:t>
      </w:r>
      <w:r w:rsidR="005A67AD">
        <w:rPr>
          <w:rFonts w:ascii="Arial" w:hAnsi="Arial" w:cs="Arial"/>
        </w:rPr>
        <w:t>9</w:t>
      </w:r>
    </w:p>
    <w:p w14:paraId="1785E567" w14:textId="51AA1D48" w:rsidR="0054472A" w:rsidRPr="00D8067C" w:rsidRDefault="0054472A" w:rsidP="00586AFB">
      <w:pPr>
        <w:spacing w:line="360" w:lineRule="auto"/>
        <w:rPr>
          <w:rFonts w:ascii="Arial" w:hAnsi="Arial" w:cs="Arial"/>
        </w:rPr>
      </w:pPr>
      <w:r>
        <w:rPr>
          <w:rFonts w:ascii="Arial" w:hAnsi="Arial" w:cs="Arial"/>
        </w:rPr>
        <w:t>Reference List…………………………………………………………</w:t>
      </w:r>
      <w:proofErr w:type="gramStart"/>
      <w:r>
        <w:rPr>
          <w:rFonts w:ascii="Arial" w:hAnsi="Arial" w:cs="Arial"/>
        </w:rPr>
        <w:t>…..</w:t>
      </w:r>
      <w:proofErr w:type="gramEnd"/>
      <w:r>
        <w:rPr>
          <w:rFonts w:ascii="Arial" w:hAnsi="Arial" w:cs="Arial"/>
        </w:rPr>
        <w:tab/>
        <w:t xml:space="preserve">page </w:t>
      </w:r>
      <w:r w:rsidR="005A67AD">
        <w:rPr>
          <w:rFonts w:ascii="Arial" w:hAnsi="Arial" w:cs="Arial"/>
        </w:rPr>
        <w:t>10</w:t>
      </w:r>
    </w:p>
    <w:p w14:paraId="34C66727" w14:textId="77777777" w:rsidR="00A56ABD" w:rsidRDefault="00A56ABD" w:rsidP="00586AFB">
      <w:pPr>
        <w:spacing w:line="360" w:lineRule="auto"/>
        <w:rPr>
          <w:rFonts w:ascii="Arial" w:hAnsi="Arial" w:cs="Arial"/>
          <w:b/>
          <w:bCs/>
          <w:u w:val="single"/>
        </w:rPr>
      </w:pPr>
    </w:p>
    <w:p w14:paraId="7B603886" w14:textId="77777777" w:rsidR="00A56ABD" w:rsidRDefault="00A56ABD" w:rsidP="00586AFB">
      <w:pPr>
        <w:spacing w:line="360" w:lineRule="auto"/>
        <w:rPr>
          <w:rFonts w:ascii="Arial" w:hAnsi="Arial" w:cs="Arial"/>
          <w:b/>
          <w:bCs/>
          <w:u w:val="single"/>
        </w:rPr>
      </w:pPr>
    </w:p>
    <w:p w14:paraId="0CF563F6" w14:textId="77777777" w:rsidR="00A56ABD" w:rsidRDefault="00A56ABD" w:rsidP="00586AFB">
      <w:pPr>
        <w:spacing w:line="360" w:lineRule="auto"/>
        <w:rPr>
          <w:rFonts w:ascii="Arial" w:hAnsi="Arial" w:cs="Arial"/>
          <w:b/>
          <w:bCs/>
          <w:u w:val="single"/>
        </w:rPr>
      </w:pPr>
    </w:p>
    <w:p w14:paraId="0BC0561A" w14:textId="77777777" w:rsidR="00A56ABD" w:rsidRDefault="00A56ABD" w:rsidP="00586AFB">
      <w:pPr>
        <w:spacing w:line="360" w:lineRule="auto"/>
        <w:rPr>
          <w:rFonts w:ascii="Arial" w:hAnsi="Arial" w:cs="Arial"/>
          <w:b/>
          <w:bCs/>
          <w:u w:val="single"/>
        </w:rPr>
      </w:pPr>
    </w:p>
    <w:p w14:paraId="4920DABA" w14:textId="77777777" w:rsidR="00A56ABD" w:rsidRDefault="00A56ABD" w:rsidP="00586AFB">
      <w:pPr>
        <w:spacing w:line="360" w:lineRule="auto"/>
        <w:rPr>
          <w:rFonts w:ascii="Arial" w:hAnsi="Arial" w:cs="Arial"/>
          <w:b/>
          <w:bCs/>
          <w:u w:val="single"/>
        </w:rPr>
      </w:pPr>
    </w:p>
    <w:p w14:paraId="566B6932" w14:textId="77777777" w:rsidR="00A56ABD" w:rsidRDefault="00A56ABD" w:rsidP="00586AFB">
      <w:pPr>
        <w:spacing w:line="360" w:lineRule="auto"/>
        <w:rPr>
          <w:rFonts w:ascii="Arial" w:hAnsi="Arial" w:cs="Arial"/>
          <w:b/>
          <w:bCs/>
          <w:u w:val="single"/>
        </w:rPr>
      </w:pPr>
    </w:p>
    <w:p w14:paraId="743EA253" w14:textId="77777777" w:rsidR="00A56ABD" w:rsidRDefault="00A56ABD" w:rsidP="00586AFB">
      <w:pPr>
        <w:spacing w:line="360" w:lineRule="auto"/>
        <w:rPr>
          <w:rFonts w:ascii="Arial" w:hAnsi="Arial" w:cs="Arial"/>
          <w:b/>
          <w:bCs/>
          <w:u w:val="single"/>
        </w:rPr>
      </w:pPr>
    </w:p>
    <w:p w14:paraId="1B1B52AB" w14:textId="77777777" w:rsidR="00A56ABD" w:rsidRDefault="00A56ABD" w:rsidP="00586AFB">
      <w:pPr>
        <w:spacing w:line="360" w:lineRule="auto"/>
        <w:rPr>
          <w:rFonts w:ascii="Arial" w:hAnsi="Arial" w:cs="Arial"/>
          <w:b/>
          <w:bCs/>
          <w:u w:val="single"/>
        </w:rPr>
      </w:pPr>
    </w:p>
    <w:p w14:paraId="4E9537C2" w14:textId="77777777" w:rsidR="00A56ABD" w:rsidRDefault="00A56ABD" w:rsidP="00586AFB">
      <w:pPr>
        <w:spacing w:line="360" w:lineRule="auto"/>
        <w:rPr>
          <w:rFonts w:ascii="Arial" w:hAnsi="Arial" w:cs="Arial"/>
          <w:b/>
          <w:bCs/>
          <w:u w:val="single"/>
        </w:rPr>
      </w:pPr>
    </w:p>
    <w:p w14:paraId="166CEAA2" w14:textId="77777777" w:rsidR="00A56ABD" w:rsidRDefault="00A56ABD" w:rsidP="00586AFB">
      <w:pPr>
        <w:spacing w:line="360" w:lineRule="auto"/>
        <w:rPr>
          <w:rFonts w:ascii="Arial" w:hAnsi="Arial" w:cs="Arial"/>
          <w:b/>
          <w:bCs/>
          <w:u w:val="single"/>
        </w:rPr>
      </w:pPr>
    </w:p>
    <w:p w14:paraId="0EC1B600" w14:textId="77777777" w:rsidR="00A56ABD" w:rsidRDefault="00A56ABD" w:rsidP="00586AFB">
      <w:pPr>
        <w:spacing w:line="360" w:lineRule="auto"/>
        <w:rPr>
          <w:rFonts w:ascii="Arial" w:hAnsi="Arial" w:cs="Arial"/>
          <w:b/>
          <w:bCs/>
          <w:u w:val="single"/>
        </w:rPr>
      </w:pPr>
    </w:p>
    <w:p w14:paraId="37986667" w14:textId="77777777" w:rsidR="00A56ABD" w:rsidRDefault="00A56ABD" w:rsidP="00586AFB">
      <w:pPr>
        <w:spacing w:line="360" w:lineRule="auto"/>
        <w:rPr>
          <w:rFonts w:ascii="Arial" w:hAnsi="Arial" w:cs="Arial"/>
          <w:b/>
          <w:bCs/>
          <w:u w:val="single"/>
        </w:rPr>
      </w:pPr>
    </w:p>
    <w:p w14:paraId="6AB09614" w14:textId="77777777" w:rsidR="00A56ABD" w:rsidRDefault="00A56ABD" w:rsidP="00586AFB">
      <w:pPr>
        <w:spacing w:line="360" w:lineRule="auto"/>
        <w:rPr>
          <w:rFonts w:ascii="Arial" w:hAnsi="Arial" w:cs="Arial"/>
          <w:b/>
          <w:bCs/>
          <w:u w:val="single"/>
        </w:rPr>
      </w:pPr>
    </w:p>
    <w:p w14:paraId="5A4C575F" w14:textId="77777777" w:rsidR="00A56ABD" w:rsidRDefault="00A56ABD" w:rsidP="00586AFB">
      <w:pPr>
        <w:spacing w:line="360" w:lineRule="auto"/>
        <w:rPr>
          <w:rFonts w:ascii="Arial" w:hAnsi="Arial" w:cs="Arial"/>
          <w:b/>
          <w:bCs/>
          <w:u w:val="single"/>
        </w:rPr>
      </w:pPr>
    </w:p>
    <w:p w14:paraId="04F26630" w14:textId="77777777" w:rsidR="00A56ABD" w:rsidRDefault="00A56ABD" w:rsidP="00586AFB">
      <w:pPr>
        <w:spacing w:line="360" w:lineRule="auto"/>
        <w:rPr>
          <w:rFonts w:ascii="Arial" w:hAnsi="Arial" w:cs="Arial"/>
          <w:b/>
          <w:bCs/>
          <w:u w:val="single"/>
        </w:rPr>
      </w:pPr>
    </w:p>
    <w:p w14:paraId="3F6433AE" w14:textId="52042AFF" w:rsidR="008C38A0" w:rsidRPr="00D8067C" w:rsidRDefault="00570DB6" w:rsidP="00586AFB">
      <w:pPr>
        <w:spacing w:line="360" w:lineRule="auto"/>
        <w:rPr>
          <w:rFonts w:ascii="Arial" w:hAnsi="Arial" w:cs="Arial"/>
          <w:b/>
          <w:bCs/>
          <w:u w:val="single"/>
        </w:rPr>
      </w:pPr>
      <w:r w:rsidRPr="00D8067C">
        <w:rPr>
          <w:rFonts w:ascii="Arial" w:hAnsi="Arial" w:cs="Arial"/>
          <w:b/>
          <w:bCs/>
          <w:u w:val="single"/>
        </w:rPr>
        <w:lastRenderedPageBreak/>
        <w:t xml:space="preserve">Introduction </w:t>
      </w:r>
    </w:p>
    <w:p w14:paraId="54B440F0" w14:textId="3242953E" w:rsidR="00966BC9" w:rsidRPr="00D8067C" w:rsidRDefault="005E3DF5" w:rsidP="00586AFB">
      <w:pPr>
        <w:spacing w:line="360" w:lineRule="auto"/>
        <w:rPr>
          <w:rFonts w:ascii="Arial" w:hAnsi="Arial" w:cs="Arial"/>
        </w:rPr>
      </w:pPr>
      <w:r w:rsidRPr="00D8067C">
        <w:rPr>
          <w:rFonts w:ascii="Arial" w:hAnsi="Arial" w:cs="Arial"/>
        </w:rPr>
        <w:t xml:space="preserve">This report will focus on the evaluation of person-centred care and partnership working. I will identify the main benefits and limitations of both practices. In my report, I will introduce relevant theory that fosters good practice in person-centred care and evaluate partnership working within the health and social care sector. I will also examine the relevant policies and legislation, including my own recommendations for further development of person-centred care and partnership working in the UK. </w:t>
      </w:r>
    </w:p>
    <w:p w14:paraId="56908155" w14:textId="6A051944" w:rsidR="00570DB6" w:rsidRPr="00D8067C" w:rsidRDefault="008B3ADF" w:rsidP="00586AFB">
      <w:pPr>
        <w:spacing w:before="100" w:beforeAutospacing="1" w:after="100" w:afterAutospacing="1" w:line="360" w:lineRule="auto"/>
        <w:rPr>
          <w:rFonts w:ascii="Arial" w:eastAsia="Times New Roman" w:hAnsi="Arial" w:cs="Arial"/>
          <w:b/>
          <w:bCs/>
          <w:u w:val="single"/>
          <w:lang w:eastAsia="en-GB"/>
        </w:rPr>
      </w:pPr>
      <w:r w:rsidRPr="00D8067C">
        <w:rPr>
          <w:rFonts w:ascii="Arial" w:eastAsia="Times New Roman" w:hAnsi="Arial" w:cs="Arial"/>
          <w:b/>
          <w:bCs/>
          <w:u w:val="single"/>
          <w:lang w:eastAsia="en-GB"/>
        </w:rPr>
        <w:t>Person-centred Care</w:t>
      </w:r>
    </w:p>
    <w:p w14:paraId="31A2645C" w14:textId="04D410AD" w:rsidR="00026AFC" w:rsidRPr="00D8067C" w:rsidRDefault="00026AFC"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Person-centred care begins with understanding the individual’s expressed and felt needs. Bradshaw distinguishes normative needs, felt and expressed needs. This is what people feel they need and request. In addition to comparative needs, benchmarking will often reveal gaps in a care plan. Subsequently, professionals can </w:t>
      </w:r>
      <w:proofErr w:type="gramStart"/>
      <w:r w:rsidRPr="00D8067C">
        <w:rPr>
          <w:rFonts w:ascii="Arial" w:eastAsia="Times New Roman" w:hAnsi="Arial" w:cs="Arial"/>
          <w:lang w:eastAsia="en-GB"/>
        </w:rPr>
        <w:t>make adjustments to</w:t>
      </w:r>
      <w:proofErr w:type="gramEnd"/>
      <w:r w:rsidRPr="00D8067C">
        <w:rPr>
          <w:rFonts w:ascii="Arial" w:eastAsia="Times New Roman" w:hAnsi="Arial" w:cs="Arial"/>
          <w:lang w:eastAsia="en-GB"/>
        </w:rPr>
        <w:t xml:space="preserve"> improve the outcome of an individual's care plan (Bradshaw, 1972). </w:t>
      </w:r>
    </w:p>
    <w:p w14:paraId="34301EC5" w14:textId="77777777" w:rsidR="00E57029" w:rsidRPr="00D8067C" w:rsidRDefault="00E57029"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A person-centred approach prioritises expressed needs, ensuring care plans reflect what matters to the individual, not merely normative standards. Maslow’s hierarchy suggests that unmet physiological and safety needs undermine higher-level goals such as autonomy or esteem (Maslow, 1943). In practice, this means stabilising housing, pain, and food security to enable engagement in self-management and shared decision-making. Alderfer’s ERG theory refines this by allowing movement up and down between Existence, Relatedness, and Growth needs; frustration-regression explains why people may refocus on immediate basics when higher aims are blocked (Alderfer, 1969). </w:t>
      </w:r>
    </w:p>
    <w:p w14:paraId="4EB9C7CC" w14:textId="5D65F54D" w:rsidR="00E57029" w:rsidRPr="00D8067C" w:rsidRDefault="00E57029"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Person-centred care acknowledges this fluidity by modifying its intensity and objectives in response to changing circumstances. In the UK, legal responsibilities concerning reasonable adjustments and collaborative care planning in community services put this approach into practice, leading to better satisfaction, compliance, and results (Department of Health &amp; Social Care 2025).</w:t>
      </w:r>
    </w:p>
    <w:p w14:paraId="6E2D0F96" w14:textId="0A4F5BD1" w:rsidR="008B3ADF" w:rsidRPr="00D8067C" w:rsidRDefault="008B3ADF" w:rsidP="00586AFB">
      <w:pPr>
        <w:spacing w:before="100" w:beforeAutospacing="1" w:after="100" w:afterAutospacing="1" w:line="360" w:lineRule="auto"/>
        <w:rPr>
          <w:rFonts w:ascii="Arial" w:eastAsia="Times New Roman" w:hAnsi="Arial" w:cs="Arial"/>
          <w:b/>
          <w:bCs/>
          <w:u w:val="single"/>
          <w:lang w:eastAsia="en-GB"/>
        </w:rPr>
      </w:pPr>
      <w:r w:rsidRPr="00D8067C">
        <w:rPr>
          <w:rFonts w:ascii="Arial" w:eastAsia="Times New Roman" w:hAnsi="Arial" w:cs="Arial"/>
          <w:b/>
          <w:bCs/>
          <w:u w:val="single"/>
          <w:lang w:eastAsia="en-GB"/>
        </w:rPr>
        <w:t>Benefits and Limit</w:t>
      </w:r>
      <w:r w:rsidR="00B2631F" w:rsidRPr="00D8067C">
        <w:rPr>
          <w:rFonts w:ascii="Arial" w:eastAsia="Times New Roman" w:hAnsi="Arial" w:cs="Arial"/>
          <w:b/>
          <w:bCs/>
          <w:u w:val="single"/>
          <w:lang w:eastAsia="en-GB"/>
        </w:rPr>
        <w:t xml:space="preserve">ations </w:t>
      </w:r>
    </w:p>
    <w:p w14:paraId="096874C0" w14:textId="09FA9B86" w:rsidR="00026AFC" w:rsidRPr="00D8067C" w:rsidRDefault="00026AFC"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Benefits include enhanced patient experience and satisfaction as individuals feel listened to and respected in treatment and daily choices. Shared decision-making can boost adherence to care plans and self-management, which correlates with improved clinical outcomes in long-term conditions (Coulter &amp; Oldham; NICE). Person-centred planning also improves safety by ensuring care aligns with what matters to the person, thereby reducing </w:t>
      </w:r>
      <w:r w:rsidRPr="00D8067C">
        <w:rPr>
          <w:rFonts w:ascii="Arial" w:eastAsia="Times New Roman" w:hAnsi="Arial" w:cs="Arial"/>
          <w:lang w:eastAsia="en-GB"/>
        </w:rPr>
        <w:lastRenderedPageBreak/>
        <w:t>unnecessary interventions and communication-related errors (IHI). For staff and systems, it fosters greater engagement and lowers avoidable utilisation through better coordination and continuity (The Health Foundation). In social care, emphasising strengths and personal goals promotes independence, community involvement, and overall quality of life (SCIE).</w:t>
      </w:r>
    </w:p>
    <w:p w14:paraId="53DC23BD" w14:textId="28046E9B" w:rsidR="00026AFC" w:rsidRPr="00D8067C" w:rsidRDefault="00026AFC"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Limitations include time and resource demands: meaningful conversations, care planning, and continuity require staffing, training, and flexible scheduling that many services lack (NICE). Documentation and measurement can drift towards checklists that miss genuine personalisation, creating “tick-box” person-centredness (The Health Foundation). Inequalities may persist if services do not address language, literacy, cultural </w:t>
      </w:r>
      <w:r w:rsidR="00893E65" w:rsidRPr="00D8067C">
        <w:rPr>
          <w:rFonts w:ascii="Arial" w:eastAsia="Times New Roman" w:hAnsi="Arial" w:cs="Arial"/>
          <w:lang w:eastAsia="en-GB"/>
        </w:rPr>
        <w:t>differences</w:t>
      </w:r>
      <w:r w:rsidRPr="00D8067C">
        <w:rPr>
          <w:rFonts w:ascii="Arial" w:eastAsia="Times New Roman" w:hAnsi="Arial" w:cs="Arial"/>
          <w:lang w:eastAsia="en-GB"/>
        </w:rPr>
        <w:t>, or digital acces</w:t>
      </w:r>
      <w:r w:rsidR="00893E65" w:rsidRPr="00D8067C">
        <w:rPr>
          <w:rFonts w:ascii="Arial" w:eastAsia="Times New Roman" w:hAnsi="Arial" w:cs="Arial"/>
          <w:lang w:eastAsia="en-GB"/>
        </w:rPr>
        <w:t>s. P</w:t>
      </w:r>
      <w:r w:rsidRPr="00D8067C">
        <w:rPr>
          <w:rFonts w:ascii="Arial" w:eastAsia="Times New Roman" w:hAnsi="Arial" w:cs="Arial"/>
          <w:lang w:eastAsia="en-GB"/>
        </w:rPr>
        <w:t>eople with fewer resources can be excluded from shared decision-making (WHO). Clinical complexity can challenge alignment between preferences and evidence, especially when risks are high or capacity fluctuates</w:t>
      </w:r>
      <w:r w:rsidR="0070571F" w:rsidRPr="00D8067C">
        <w:rPr>
          <w:rFonts w:ascii="Arial" w:eastAsia="Times New Roman" w:hAnsi="Arial" w:cs="Arial"/>
          <w:lang w:eastAsia="en-GB"/>
        </w:rPr>
        <w:t>.</w:t>
      </w:r>
      <w:r w:rsidRPr="00D8067C">
        <w:rPr>
          <w:rFonts w:ascii="Arial" w:eastAsia="Times New Roman" w:hAnsi="Arial" w:cs="Arial"/>
          <w:lang w:eastAsia="en-GB"/>
        </w:rPr>
        <w:t xml:space="preserve"> </w:t>
      </w:r>
      <w:r w:rsidR="0070571F" w:rsidRPr="00D8067C">
        <w:rPr>
          <w:rFonts w:ascii="Arial" w:eastAsia="Times New Roman" w:hAnsi="Arial" w:cs="Arial"/>
          <w:lang w:eastAsia="en-GB"/>
        </w:rPr>
        <w:t>B</w:t>
      </w:r>
      <w:r w:rsidRPr="00D8067C">
        <w:rPr>
          <w:rFonts w:ascii="Arial" w:eastAsia="Times New Roman" w:hAnsi="Arial" w:cs="Arial"/>
          <w:lang w:eastAsia="en-GB"/>
        </w:rPr>
        <w:t xml:space="preserve">alancing autonomy with safeguarding and legal duties is difficult (GMC/NMC guidance). System incentives often prioritise </w:t>
      </w:r>
      <w:r w:rsidR="0070571F" w:rsidRPr="00D8067C">
        <w:rPr>
          <w:rFonts w:ascii="Arial" w:eastAsia="Times New Roman" w:hAnsi="Arial" w:cs="Arial"/>
          <w:lang w:eastAsia="en-GB"/>
        </w:rPr>
        <w:t>input</w:t>
      </w:r>
      <w:r w:rsidRPr="00D8067C">
        <w:rPr>
          <w:rFonts w:ascii="Arial" w:eastAsia="Times New Roman" w:hAnsi="Arial" w:cs="Arial"/>
          <w:lang w:eastAsia="en-GB"/>
        </w:rPr>
        <w:t xml:space="preserve"> and targets over relational continuity, limiting sustained implementation (IHI; The Health Foundation).</w:t>
      </w:r>
    </w:p>
    <w:p w14:paraId="00D263E1" w14:textId="1F6071AF" w:rsidR="006C10CB" w:rsidRPr="00D8067C" w:rsidRDefault="006C10CB" w:rsidP="00586AFB">
      <w:pPr>
        <w:spacing w:before="100" w:beforeAutospacing="1" w:after="100" w:afterAutospacing="1" w:line="360" w:lineRule="auto"/>
        <w:rPr>
          <w:rFonts w:ascii="Arial" w:eastAsia="Times New Roman" w:hAnsi="Arial" w:cs="Arial"/>
          <w:b/>
          <w:bCs/>
          <w:u w:val="single"/>
          <w:lang w:eastAsia="en-GB"/>
        </w:rPr>
      </w:pPr>
      <w:r w:rsidRPr="00D8067C">
        <w:rPr>
          <w:rFonts w:ascii="Arial" w:eastAsia="Times New Roman" w:hAnsi="Arial" w:cs="Arial"/>
          <w:b/>
          <w:bCs/>
          <w:u w:val="single"/>
          <w:lang w:eastAsia="en-GB"/>
        </w:rPr>
        <w:t xml:space="preserve">Partnership Working </w:t>
      </w:r>
    </w:p>
    <w:p w14:paraId="5E4B940F" w14:textId="07DAC9D1" w:rsidR="000E3CA6" w:rsidRPr="00D8067C" w:rsidRDefault="000E3CA6"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Partnership collaboration ensures that the diverse needs identified from various perspectives are addressed </w:t>
      </w:r>
      <w:r w:rsidR="006A0FF0" w:rsidRPr="00D8067C">
        <w:rPr>
          <w:rFonts w:ascii="Arial" w:eastAsia="Times New Roman" w:hAnsi="Arial" w:cs="Arial"/>
          <w:lang w:eastAsia="en-GB"/>
        </w:rPr>
        <w:t>cohesively</w:t>
      </w:r>
      <w:r w:rsidRPr="00D8067C">
        <w:rPr>
          <w:rFonts w:ascii="Arial" w:eastAsia="Times New Roman" w:hAnsi="Arial" w:cs="Arial"/>
          <w:lang w:eastAsia="en-GB"/>
        </w:rPr>
        <w:t>. Both Maslow and Alderfer ERG emphasise that needs are multidimensional and cannot be fully met by a single professional. Multidisciplinary teams, Integrated Care Systems, and joint commissioning bring together NHS, local authorities, and voluntary sector organisations to address needs such as medication and housing. They also focus on related needs like family or carer support and community assets, as well as developmental needs like rehabilitation and employment. Bradshaw’s comparative need approach evaluates disparities across regions and groups, guiding resource allocation to areas with the greatest gaps (Bradshaw, 1972). Effective partnership work is characterised by clear roles, shared information, and coordination with individuals and families. This reduces duplication and facilitates smoother transitions, for example, from hospital to home.  and maintains continuity, all of which are indicators of quality within Donabedian’s process outcome framework (Medic Earth 2025).</w:t>
      </w:r>
    </w:p>
    <w:p w14:paraId="147BF3B2" w14:textId="77777777" w:rsidR="000E3CA6" w:rsidRPr="00D8067C" w:rsidRDefault="000E3CA6"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Person-centred assessment identifies both felt and expressed needs alongside preferred outcomes. Partnership working involves coordinating the right agencies to simultaneously address existence, relatedness, and growth needs. Ethics helps manage trade-offs and ensures fairness. Incorporating these elements into frameworks such as co-produced pathways, carer involvement, and data-sharing agreements, and processes such as shared </w:t>
      </w:r>
      <w:r w:rsidRPr="00D8067C">
        <w:rPr>
          <w:rFonts w:ascii="Arial" w:eastAsia="Times New Roman" w:hAnsi="Arial" w:cs="Arial"/>
          <w:lang w:eastAsia="en-GB"/>
        </w:rPr>
        <w:lastRenderedPageBreak/>
        <w:t xml:space="preserve">decision-making, MDT huddles, and ethical case reviews, with outcomes focused on experience, safety, and equity, enhances care quality across the UK. Crucially, applying need theories prevents a narrow biomedical focus: teams can tackle heat-or-eat dilemmas before pursuing more treatment, connect individuals with peer groups to meet relatedness needs that foster resilience, and foster growth through rehabilitation and vocational support. When care centres on </w:t>
      </w:r>
      <w:proofErr w:type="gramStart"/>
      <w:r w:rsidRPr="00D8067C">
        <w:rPr>
          <w:rFonts w:ascii="Arial" w:eastAsia="Times New Roman" w:hAnsi="Arial" w:cs="Arial"/>
          <w:lang w:eastAsia="en-GB"/>
        </w:rPr>
        <w:t>whole-person</w:t>
      </w:r>
      <w:proofErr w:type="gramEnd"/>
      <w:r w:rsidRPr="00D8067C">
        <w:rPr>
          <w:rFonts w:ascii="Arial" w:eastAsia="Times New Roman" w:hAnsi="Arial" w:cs="Arial"/>
          <w:lang w:eastAsia="en-GB"/>
        </w:rPr>
        <w:t xml:space="preserve"> needs, coordinated across partners, and guided by principled reasoning, it feels respectful, effective, and just.</w:t>
      </w:r>
    </w:p>
    <w:p w14:paraId="0F97CC8D" w14:textId="21611CA0" w:rsidR="003721B8" w:rsidRPr="00D8067C" w:rsidRDefault="00041773" w:rsidP="00586AFB">
      <w:pPr>
        <w:spacing w:before="100" w:beforeAutospacing="1" w:after="100" w:afterAutospacing="1" w:line="360" w:lineRule="auto"/>
        <w:rPr>
          <w:rFonts w:ascii="Arial" w:eastAsia="Times New Roman" w:hAnsi="Arial" w:cs="Arial"/>
          <w:b/>
          <w:bCs/>
          <w:u w:val="single"/>
          <w:lang w:eastAsia="en-GB"/>
        </w:rPr>
      </w:pPr>
      <w:r w:rsidRPr="00D8067C">
        <w:rPr>
          <w:rFonts w:ascii="Arial" w:eastAsia="Times New Roman" w:hAnsi="Arial" w:cs="Arial"/>
          <w:b/>
          <w:bCs/>
          <w:u w:val="single"/>
          <w:lang w:eastAsia="en-GB"/>
        </w:rPr>
        <w:t xml:space="preserve">Legislation and Policies </w:t>
      </w:r>
    </w:p>
    <w:p w14:paraId="1B7754EB" w14:textId="582320D6" w:rsidR="004C0696" w:rsidRPr="00D8067C" w:rsidRDefault="003721B8"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Person-centred care and collaborative working in the UK health and social care sectors are grounded in a solid legal and policy framework. This framework, which covers the NHS, social care, and safeguarding laws, establishes responsibilities to involve individuals in decision-making, tailor support to their needs, uphold rights, ensure inter-service coordination, and safeguard those with limited capacity.</w:t>
      </w:r>
    </w:p>
    <w:p w14:paraId="125C817E" w14:textId="487A6B68" w:rsidR="001E67F0" w:rsidRPr="00D8067C" w:rsidRDefault="001E67F0"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b/>
          <w:bCs/>
          <w:lang w:eastAsia="en-GB"/>
        </w:rPr>
        <w:t>Health and Social Care Act 2012 and NHS Act 2006</w:t>
      </w:r>
      <w:r w:rsidRPr="00D8067C">
        <w:rPr>
          <w:rFonts w:ascii="Arial" w:eastAsia="Times New Roman" w:hAnsi="Arial" w:cs="Arial"/>
          <w:lang w:eastAsia="en-GB"/>
        </w:rPr>
        <w:t xml:space="preserve"> (as amended). NHS bodies must secure services that promote the NHS Constitution’s commitments to dignity, compassion, and involvement; commissioners are under duties to involve patients and the public in planning and decisions about services (s.13Q, s.242) (NHS Act 2006; Health and Social Care Act 2012).</w:t>
      </w:r>
    </w:p>
    <w:p w14:paraId="01E0709B" w14:textId="77777777" w:rsidR="001E67F0" w:rsidRPr="00D8067C" w:rsidRDefault="001E67F0"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b/>
          <w:bCs/>
          <w:lang w:eastAsia="en-GB"/>
        </w:rPr>
        <w:t>Health and Care Act 2022.</w:t>
      </w:r>
      <w:r w:rsidRPr="00D8067C">
        <w:rPr>
          <w:rFonts w:ascii="Arial" w:eastAsia="Times New Roman" w:hAnsi="Arial" w:cs="Arial"/>
          <w:lang w:eastAsia="en-GB"/>
        </w:rPr>
        <w:t xml:space="preserve"> Establishes Integrated Care Systems (ICSs) with legal duties on Integrated Care Boards and Partnerships to improve outcomes, tackle inequalities, and integrate services around people’s needs. The Act strengthens collaboration duties with local authorities and requires regard to the Triple Aim, embedding partnership working across health and care (Health and Care Act 2022).</w:t>
      </w:r>
    </w:p>
    <w:p w14:paraId="49CB7C1A" w14:textId="6B054DBC" w:rsidR="006B4E12" w:rsidRPr="00D8067C" w:rsidRDefault="006B4E12"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b/>
          <w:bCs/>
          <w:lang w:eastAsia="en-GB"/>
        </w:rPr>
        <w:t>The Care Act 2014</w:t>
      </w:r>
      <w:r w:rsidRPr="00D8067C">
        <w:rPr>
          <w:rFonts w:ascii="Arial" w:eastAsia="Times New Roman" w:hAnsi="Arial" w:cs="Arial"/>
          <w:lang w:eastAsia="en-GB"/>
        </w:rPr>
        <w:t xml:space="preserve"> (England) is the fundamental social care legislation that emphasizes person-</w:t>
      </w:r>
      <w:proofErr w:type="spellStart"/>
      <w:r w:rsidRPr="00D8067C">
        <w:rPr>
          <w:rFonts w:ascii="Arial" w:eastAsia="Times New Roman" w:hAnsi="Arial" w:cs="Arial"/>
          <w:lang w:eastAsia="en-GB"/>
        </w:rPr>
        <w:t>centered</w:t>
      </w:r>
      <w:proofErr w:type="spellEnd"/>
      <w:r w:rsidRPr="00D8067C">
        <w:rPr>
          <w:rFonts w:ascii="Arial" w:eastAsia="Times New Roman" w:hAnsi="Arial" w:cs="Arial"/>
          <w:lang w:eastAsia="en-GB"/>
        </w:rPr>
        <w:t xml:space="preserve"> assessment tailored to the individual’s needs, outcomes, and wellbeing (s.1). It promotes co-production of care and support plans, considers prevention and individual strengths, and requires integration with the NHS and other partners (s.3). Additionally, it mandates duties to offer independent advocacy for those who find it difficult to engage (ss.67–68) (Care Act 2014).</w:t>
      </w:r>
    </w:p>
    <w:p w14:paraId="2F71CA80" w14:textId="39C7D29E" w:rsidR="006B4E12" w:rsidRPr="00D8067C" w:rsidRDefault="001E67F0"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b/>
          <w:bCs/>
          <w:lang w:eastAsia="en-GB"/>
        </w:rPr>
        <w:t>Mental Capacity Act 2005</w:t>
      </w:r>
      <w:r w:rsidRPr="00D8067C">
        <w:rPr>
          <w:rFonts w:ascii="Arial" w:eastAsia="Times New Roman" w:hAnsi="Arial" w:cs="Arial"/>
          <w:lang w:eastAsia="en-GB"/>
        </w:rPr>
        <w:t xml:space="preserve"> (MCA). Presumes capacity, requires all practicable support to enable decision</w:t>
      </w:r>
      <w:r w:rsidRPr="00D8067C">
        <w:rPr>
          <w:rFonts w:ascii="Arial" w:eastAsia="Times New Roman" w:hAnsi="Arial" w:cs="Arial"/>
          <w:lang w:eastAsia="en-GB"/>
        </w:rPr>
        <w:noBreakHyphen/>
        <w:t>making, and when capacity is lacking mandates best</w:t>
      </w:r>
      <w:r w:rsidRPr="00D8067C">
        <w:rPr>
          <w:rFonts w:ascii="Arial" w:eastAsia="Times New Roman" w:hAnsi="Arial" w:cs="Arial"/>
          <w:lang w:eastAsia="en-GB"/>
        </w:rPr>
        <w:noBreakHyphen/>
        <w:t xml:space="preserve">interest decisions that consider the person’s wishes, feelings, values, and those close to them. The MCA’s </w:t>
      </w:r>
      <w:r w:rsidRPr="00D8067C">
        <w:rPr>
          <w:rFonts w:ascii="Arial" w:eastAsia="Times New Roman" w:hAnsi="Arial" w:cs="Arial"/>
          <w:lang w:eastAsia="en-GB"/>
        </w:rPr>
        <w:lastRenderedPageBreak/>
        <w:t>Deprivation of Liberty Safeguards are transitioning to Liberty Protection Safeguards (LPS) to streamline authorisations while keeping person</w:t>
      </w:r>
      <w:r w:rsidRPr="00D8067C">
        <w:rPr>
          <w:rFonts w:ascii="Arial" w:eastAsia="Times New Roman" w:hAnsi="Arial" w:cs="Arial"/>
          <w:lang w:eastAsia="en-GB"/>
        </w:rPr>
        <w:noBreakHyphen/>
        <w:t>centred safeguards (MCA 2005; DHSC 2022).</w:t>
      </w:r>
    </w:p>
    <w:p w14:paraId="6041844A" w14:textId="24414A63" w:rsidR="00275C87" w:rsidRPr="00D8067C" w:rsidRDefault="00275C87"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b/>
          <w:bCs/>
          <w:lang w:eastAsia="en-GB"/>
        </w:rPr>
        <w:t>Equality Act 2010 and Human Rights Act 1998</w:t>
      </w:r>
      <w:r w:rsidRPr="00D8067C">
        <w:rPr>
          <w:rFonts w:ascii="Arial" w:eastAsia="Times New Roman" w:hAnsi="Arial" w:cs="Arial"/>
          <w:lang w:eastAsia="en-GB"/>
        </w:rPr>
        <w:t xml:space="preserve"> mandate that services make reasonable adjustments and avoid discrimination to promote equal opportunities, which is fundamental to equitable, person-centred care. Human rights principles—such as </w:t>
      </w:r>
      <w:r w:rsidR="00A26728" w:rsidRPr="00D8067C">
        <w:rPr>
          <w:rFonts w:ascii="Arial" w:eastAsia="Times New Roman" w:hAnsi="Arial" w:cs="Arial"/>
          <w:lang w:eastAsia="en-GB"/>
        </w:rPr>
        <w:t xml:space="preserve">respect for private life, liberty, and protection from degrading treatment—inform proportionate responses regarding risk, restraint, and safeguarding, thereby </w:t>
      </w:r>
      <w:r w:rsidRPr="00D8067C">
        <w:rPr>
          <w:rFonts w:ascii="Arial" w:eastAsia="Times New Roman" w:hAnsi="Arial" w:cs="Arial"/>
          <w:lang w:eastAsia="en-GB"/>
        </w:rPr>
        <w:t xml:space="preserve">supporting personalised and minimally restrictive care (Equality Act 2010; HRA 1998). </w:t>
      </w:r>
    </w:p>
    <w:p w14:paraId="5CE8B605" w14:textId="2DCD70CE" w:rsidR="00F36A91" w:rsidRPr="009573AE" w:rsidRDefault="00F36A91" w:rsidP="00586AFB">
      <w:pPr>
        <w:spacing w:before="100" w:beforeAutospacing="1" w:after="100" w:afterAutospacing="1" w:line="360" w:lineRule="auto"/>
        <w:outlineLvl w:val="1"/>
        <w:rPr>
          <w:rFonts w:ascii="Arial" w:eastAsia="Times New Roman" w:hAnsi="Arial" w:cs="Arial"/>
          <w:b/>
          <w:bCs/>
          <w:u w:val="single"/>
          <w:lang w:eastAsia="en-GB"/>
        </w:rPr>
      </w:pPr>
      <w:r w:rsidRPr="009573AE">
        <w:rPr>
          <w:rFonts w:ascii="Arial" w:eastAsia="Times New Roman" w:hAnsi="Arial" w:cs="Arial"/>
          <w:b/>
          <w:bCs/>
          <w:u w:val="single"/>
          <w:lang w:eastAsia="en-GB"/>
        </w:rPr>
        <w:t xml:space="preserve">Benefits and </w:t>
      </w:r>
      <w:r w:rsidR="009573AE">
        <w:rPr>
          <w:rFonts w:ascii="Arial" w:eastAsia="Times New Roman" w:hAnsi="Arial" w:cs="Arial"/>
          <w:b/>
          <w:bCs/>
          <w:u w:val="single"/>
          <w:lang w:eastAsia="en-GB"/>
        </w:rPr>
        <w:t>C</w:t>
      </w:r>
      <w:r w:rsidRPr="009573AE">
        <w:rPr>
          <w:rFonts w:ascii="Arial" w:eastAsia="Times New Roman" w:hAnsi="Arial" w:cs="Arial"/>
          <w:b/>
          <w:bCs/>
          <w:u w:val="single"/>
          <w:lang w:eastAsia="en-GB"/>
        </w:rPr>
        <w:t xml:space="preserve">ontinuing </w:t>
      </w:r>
      <w:r w:rsidR="009573AE">
        <w:rPr>
          <w:rFonts w:ascii="Arial" w:eastAsia="Times New Roman" w:hAnsi="Arial" w:cs="Arial"/>
          <w:b/>
          <w:bCs/>
          <w:u w:val="single"/>
          <w:lang w:eastAsia="en-GB"/>
        </w:rPr>
        <w:t>C</w:t>
      </w:r>
      <w:r w:rsidRPr="009573AE">
        <w:rPr>
          <w:rFonts w:ascii="Arial" w:eastAsia="Times New Roman" w:hAnsi="Arial" w:cs="Arial"/>
          <w:b/>
          <w:bCs/>
          <w:u w:val="single"/>
          <w:lang w:eastAsia="en-GB"/>
        </w:rPr>
        <w:t>hallenges</w:t>
      </w:r>
    </w:p>
    <w:p w14:paraId="669BB601"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These policies and frameworks have advanced personalised care across the UK. They have increased the use of personalised care and support plans, personal budgets, and social prescribing, while strengthening legal support for co-production and clarifying responsibilities for integrated care. Despite this progress, several barriers continue to limit consistent implementation:</w:t>
      </w:r>
    </w:p>
    <w:p w14:paraId="7EA23C8B" w14:textId="77777777" w:rsidR="00F36A91" w:rsidRPr="00D8067C" w:rsidRDefault="00F36A91" w:rsidP="00586AFB">
      <w:pPr>
        <w:numPr>
          <w:ilvl w:val="0"/>
          <w:numId w:val="24"/>
        </w:num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Unequal access: Availability of personal health budgets, advocacy, decision-support tools, and culturally appropriate services differs considerably across regions and population groups. People with learning disabilities, serious mental health conditions, or limited English proficiency are particularly likely to experience barriers (NICE; CQC).</w:t>
      </w:r>
    </w:p>
    <w:p w14:paraId="30F9AE30" w14:textId="77777777" w:rsidR="00F36A91" w:rsidRPr="00D8067C" w:rsidRDefault="00F36A91" w:rsidP="00586AFB">
      <w:pPr>
        <w:numPr>
          <w:ilvl w:val="0"/>
          <w:numId w:val="24"/>
        </w:num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Workforce pressures: Staff do not always have sufficient time, training, or continuity of relationships to deliver meaningful shared decision-making and personalised care planning (The Health Foundation).</w:t>
      </w:r>
    </w:p>
    <w:p w14:paraId="759C2D7E" w14:textId="77777777" w:rsidR="00F36A91" w:rsidRPr="00D8067C" w:rsidRDefault="00F36A91" w:rsidP="00586AFB">
      <w:pPr>
        <w:numPr>
          <w:ilvl w:val="0"/>
          <w:numId w:val="24"/>
        </w:num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Fragmented information systems: Disconnected records and inconsistent approaches to consent make collaboration difficult across NHS services, social care, and voluntary-sector organisations (ICO; NHS Digital).</w:t>
      </w:r>
    </w:p>
    <w:p w14:paraId="038A349C" w14:textId="77777777" w:rsidR="00F36A91" w:rsidRPr="00D8067C" w:rsidRDefault="00F36A91" w:rsidP="00586AFB">
      <w:pPr>
        <w:numPr>
          <w:ilvl w:val="0"/>
          <w:numId w:val="24"/>
        </w:num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Inconsistent application of the law: Practice under the Mental Capacity Act, including best-</w:t>
      </w:r>
      <w:proofErr w:type="gramStart"/>
      <w:r w:rsidRPr="00D8067C">
        <w:rPr>
          <w:rFonts w:ascii="Arial" w:eastAsia="Times New Roman" w:hAnsi="Arial" w:cs="Arial"/>
          <w:lang w:eastAsia="en-GB"/>
        </w:rPr>
        <w:t>interests</w:t>
      </w:r>
      <w:proofErr w:type="gramEnd"/>
      <w:r w:rsidRPr="00D8067C">
        <w:rPr>
          <w:rFonts w:ascii="Arial" w:eastAsia="Times New Roman" w:hAnsi="Arial" w:cs="Arial"/>
          <w:lang w:eastAsia="en-GB"/>
        </w:rPr>
        <w:t xml:space="preserve"> decisions and the use of least-restrictive options, varies between organisations. Risk-averse workplace cultures can also limit individual choice and control (CQC; DHSC).</w:t>
      </w:r>
    </w:p>
    <w:p w14:paraId="681105A2" w14:textId="77777777" w:rsidR="00F36A91" w:rsidRDefault="00F36A91" w:rsidP="00586AFB">
      <w:pPr>
        <w:numPr>
          <w:ilvl w:val="0"/>
          <w:numId w:val="24"/>
        </w:num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Misaligned incentives and measures: Funding and performance systems often prioritise service activity and throughput rather than outcomes that matter to individuals. Measures frequently focus on whether processes have been completed instead of evaluating their effect on people's lives (The Health Foundation).</w:t>
      </w:r>
    </w:p>
    <w:p w14:paraId="22AFCF1E" w14:textId="77777777" w:rsidR="004013CF" w:rsidRPr="00D8067C" w:rsidRDefault="004013CF" w:rsidP="00586AFB">
      <w:pPr>
        <w:spacing w:before="100" w:beforeAutospacing="1" w:after="100" w:afterAutospacing="1" w:line="360" w:lineRule="auto"/>
        <w:rPr>
          <w:rFonts w:ascii="Arial" w:eastAsia="Times New Roman" w:hAnsi="Arial" w:cs="Arial"/>
          <w:lang w:eastAsia="en-GB"/>
        </w:rPr>
      </w:pPr>
    </w:p>
    <w:p w14:paraId="70120432" w14:textId="75FFC98D" w:rsidR="00F36A91" w:rsidRPr="002239C6" w:rsidRDefault="00F36A91" w:rsidP="00586AFB">
      <w:pPr>
        <w:spacing w:before="100" w:beforeAutospacing="1" w:after="100" w:afterAutospacing="1" w:line="360" w:lineRule="auto"/>
        <w:outlineLvl w:val="1"/>
        <w:rPr>
          <w:rFonts w:ascii="Arial" w:eastAsia="Times New Roman" w:hAnsi="Arial" w:cs="Arial"/>
          <w:b/>
          <w:bCs/>
          <w:u w:val="single"/>
          <w:lang w:eastAsia="en-GB"/>
        </w:rPr>
      </w:pPr>
      <w:r w:rsidRPr="002239C6">
        <w:rPr>
          <w:rFonts w:ascii="Arial" w:eastAsia="Times New Roman" w:hAnsi="Arial" w:cs="Arial"/>
          <w:b/>
          <w:bCs/>
          <w:u w:val="single"/>
          <w:lang w:eastAsia="en-GB"/>
        </w:rPr>
        <w:t xml:space="preserve">Recommendations for </w:t>
      </w:r>
      <w:r w:rsidR="005A67AD">
        <w:rPr>
          <w:rFonts w:ascii="Arial" w:eastAsia="Times New Roman" w:hAnsi="Arial" w:cs="Arial"/>
          <w:b/>
          <w:bCs/>
          <w:u w:val="single"/>
          <w:lang w:eastAsia="en-GB"/>
        </w:rPr>
        <w:t>F</w:t>
      </w:r>
      <w:r w:rsidRPr="002239C6">
        <w:rPr>
          <w:rFonts w:ascii="Arial" w:eastAsia="Times New Roman" w:hAnsi="Arial" w:cs="Arial"/>
          <w:b/>
          <w:bCs/>
          <w:u w:val="single"/>
          <w:lang w:eastAsia="en-GB"/>
        </w:rPr>
        <w:t xml:space="preserve">uture </w:t>
      </w:r>
      <w:r w:rsidR="005A67AD">
        <w:rPr>
          <w:rFonts w:ascii="Arial" w:eastAsia="Times New Roman" w:hAnsi="Arial" w:cs="Arial"/>
          <w:b/>
          <w:bCs/>
          <w:u w:val="single"/>
          <w:lang w:eastAsia="en-GB"/>
        </w:rPr>
        <w:t>D</w:t>
      </w:r>
      <w:r w:rsidRPr="002239C6">
        <w:rPr>
          <w:rFonts w:ascii="Arial" w:eastAsia="Times New Roman" w:hAnsi="Arial" w:cs="Arial"/>
          <w:b/>
          <w:bCs/>
          <w:u w:val="single"/>
          <w:lang w:eastAsia="en-GB"/>
        </w:rPr>
        <w:t>evelopment in the UK</w:t>
      </w:r>
    </w:p>
    <w:p w14:paraId="7E37E507"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1. Establish personalised care as the standard funded approach</w:t>
      </w:r>
    </w:p>
    <w:p w14:paraId="415A28EA"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 xml:space="preserve">Funding and commissioning arrangements should require providers to implement the main elements of Universal Personalised Care. These include shared decision-making, personalised care and support planning, social prescribing, and personal budgets. Incentives should be linked to person-reported outcome and experience measures that assess progress towards </w:t>
      </w:r>
      <w:proofErr w:type="gramStart"/>
      <w:r w:rsidRPr="00D8067C">
        <w:rPr>
          <w:rFonts w:ascii="Arial" w:eastAsia="Times New Roman" w:hAnsi="Arial" w:cs="Arial"/>
          <w:lang w:eastAsia="en-GB"/>
        </w:rPr>
        <w:t>each individual's</w:t>
      </w:r>
      <w:proofErr w:type="gramEnd"/>
      <w:r w:rsidRPr="00D8067C">
        <w:rPr>
          <w:rFonts w:ascii="Arial" w:eastAsia="Times New Roman" w:hAnsi="Arial" w:cs="Arial"/>
          <w:lang w:eastAsia="en-GB"/>
        </w:rPr>
        <w:t xml:space="preserve"> priorities and goals (NHS England; The Health Foundation).</w:t>
      </w:r>
    </w:p>
    <w:p w14:paraId="3AE07E16"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2. Improve legal implementation and protective safeguards</w:t>
      </w:r>
    </w:p>
    <w:p w14:paraId="5151ED1B"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The future system for authorising restrictions on liberty should be clarified, properly funded, and supported by strong safeguards. This should include access to advocacy, meaningful involvement of families and carers, practical guidance for best-</w:t>
      </w:r>
      <w:proofErr w:type="gramStart"/>
      <w:r w:rsidRPr="00D8067C">
        <w:rPr>
          <w:rFonts w:ascii="Arial" w:eastAsia="Times New Roman" w:hAnsi="Arial" w:cs="Arial"/>
          <w:lang w:eastAsia="en-GB"/>
        </w:rPr>
        <w:t>interests</w:t>
      </w:r>
      <w:proofErr w:type="gramEnd"/>
      <w:r w:rsidRPr="00D8067C">
        <w:rPr>
          <w:rFonts w:ascii="Arial" w:eastAsia="Times New Roman" w:hAnsi="Arial" w:cs="Arial"/>
          <w:lang w:eastAsia="en-GB"/>
        </w:rPr>
        <w:t xml:space="preserve"> decisions, and regular auditing of least-restrictive practice (Mental Capacity Act 2005; DHSC).</w:t>
      </w:r>
    </w:p>
    <w:p w14:paraId="4F01F9DA"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Eligibility for independent advocacy should also be widened beyond existing statutory thresholds to ensure that more people can participate meaningfully in decisions about planning, treatment, and consent (Care Act 2014).</w:t>
      </w:r>
    </w:p>
    <w:p w14:paraId="19DB0042"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3. Strengthen workforce knowledge and provide protected time</w:t>
      </w:r>
    </w:p>
    <w:p w14:paraId="01A59236"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Training in shared decision-making, personalised care planning, cultural humility, and trauma-informed practice should become a core requirement in both pre-registration education and continuing professional development. Service models should also give staff protected time to build relationships and support continuity of care within multidisciplinary teams (NICE; GMC; NMC; NHS England).</w:t>
      </w:r>
    </w:p>
    <w:p w14:paraId="47E6D7DD"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4. Address inequality through targeted action</w:t>
      </w:r>
    </w:p>
    <w:p w14:paraId="7DF4269A"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Health and care services should be designed collaboratively with the communities they serve. Greater investment is needed in interpreting services, accessible communication, peer support, and community link workers. Public organisations should use the Public Sector Equality Duty to assess and openly report inequalities in access to personalised care and its outcomes (Equality Act 2010; NHS England).</w:t>
      </w:r>
    </w:p>
    <w:p w14:paraId="1A79EE24"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lastRenderedPageBreak/>
        <w:t>5. Develop interoperable, person-controlled records</w:t>
      </w:r>
    </w:p>
    <w:p w14:paraId="52B188DC"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Shared care records should be made interoperable across NHS, social care, and voluntary-sector services. Person-held records should operate through clear consent and information-governance arrangements consistent with UK GDPR and the Caldicott Principles. Individuals and authorised carers should be able to read and contribute to records so that plans are developed collaboratively rather than written solely by professionals (ICO; National Data Guardian; NHS England).</w:t>
      </w:r>
    </w:p>
    <w:p w14:paraId="7FDC3915"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6. Increase joint commissioning and pooled funding</w:t>
      </w:r>
    </w:p>
    <w:p w14:paraId="3E86E0AD"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Section 75 agreements and pooled-budget models should be expanded across priority areas such as frailty, complex disabilities, mental health, and end-of-life care. Funding should be linked to integrated, person-centred outcomes rather than the activity of individual organisations.</w:t>
      </w:r>
    </w:p>
    <w:p w14:paraId="5766250A"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Integrated care systems and local authorities should jointly publish market-shaping plans developed with people who use services, carers, community representatives, and providers (Health and Care Act 2022; Care Act 2014).</w:t>
      </w:r>
    </w:p>
    <w:p w14:paraId="04A7C275"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7. Focus measurement on meaningful outcomes</w:t>
      </w:r>
    </w:p>
    <w:p w14:paraId="32DBC378"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Performance frameworks should place less emphasis on proxy indicators and process completion. Instead, they should use goal-attainment measures, personal-outcome tools, and narrative-based person-reported experience measures. Documentation should also be simplified to allow professionals to spend more time in meaningful conversations and less time completing repetitive forms (NICE; The Health Foundation).</w:t>
      </w:r>
    </w:p>
    <w:p w14:paraId="33E69894"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8. Recognise and support carers as partners</w:t>
      </w:r>
    </w:p>
    <w:p w14:paraId="30783245" w14:textId="77777777" w:rsidR="00F36A91"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Carers' legal rights to assessment and support should be implemented consistently. With the individual's consent, carers should be involved in care planning and receive appropriate access to relevant information and records. Integrated care strategies should include carers' outcomes and provide access to flexible breaks, training, and practical assistance (Care Act 2014; NHS England).</w:t>
      </w:r>
    </w:p>
    <w:p w14:paraId="6DA9A4A4" w14:textId="77777777" w:rsidR="005A67AD" w:rsidRDefault="005A67AD" w:rsidP="00586AFB">
      <w:pPr>
        <w:spacing w:before="100" w:beforeAutospacing="1" w:after="100" w:afterAutospacing="1" w:line="360" w:lineRule="auto"/>
        <w:rPr>
          <w:rFonts w:ascii="Arial" w:eastAsia="Times New Roman" w:hAnsi="Arial" w:cs="Arial"/>
          <w:lang w:eastAsia="en-GB"/>
        </w:rPr>
      </w:pPr>
    </w:p>
    <w:p w14:paraId="3E81A5A5" w14:textId="77777777" w:rsidR="005A67AD" w:rsidRPr="00D8067C" w:rsidRDefault="005A67AD" w:rsidP="00586AFB">
      <w:pPr>
        <w:spacing w:before="100" w:beforeAutospacing="1" w:after="100" w:afterAutospacing="1" w:line="360" w:lineRule="auto"/>
        <w:rPr>
          <w:rFonts w:ascii="Arial" w:eastAsia="Times New Roman" w:hAnsi="Arial" w:cs="Arial"/>
          <w:lang w:eastAsia="en-GB"/>
        </w:rPr>
      </w:pPr>
    </w:p>
    <w:p w14:paraId="0E2D4601"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lastRenderedPageBreak/>
        <w:t>9. Define clear expectations for co-production</w:t>
      </w:r>
    </w:p>
    <w:p w14:paraId="79E34C08" w14:textId="77777777" w:rsidR="00F36A91"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Statutory guidance should establish minimum requirements for co-production at individual, service, and system levels. Healthwatch should contribute to oversight, and CQC assessments should give greater importance to evidence of co-production and the achievement of personalised outcomes (DHSC; CQC).</w:t>
      </w:r>
    </w:p>
    <w:p w14:paraId="1FE8CD8A" w14:textId="77777777" w:rsidR="00F36A91" w:rsidRPr="00D8067C" w:rsidRDefault="00F36A91" w:rsidP="00586AFB">
      <w:pPr>
        <w:spacing w:before="100" w:beforeAutospacing="1" w:after="100" w:afterAutospacing="1" w:line="360" w:lineRule="auto"/>
        <w:outlineLvl w:val="2"/>
        <w:rPr>
          <w:rFonts w:ascii="Arial" w:eastAsia="Times New Roman" w:hAnsi="Arial" w:cs="Arial"/>
          <w:b/>
          <w:bCs/>
          <w:lang w:eastAsia="en-GB"/>
        </w:rPr>
      </w:pPr>
      <w:r w:rsidRPr="00D8067C">
        <w:rPr>
          <w:rFonts w:ascii="Arial" w:eastAsia="Times New Roman" w:hAnsi="Arial" w:cs="Arial"/>
          <w:b/>
          <w:bCs/>
          <w:lang w:eastAsia="en-GB"/>
        </w:rPr>
        <w:t>10. Provide sustainable support for voluntary and community organisations</w:t>
      </w:r>
    </w:p>
    <w:p w14:paraId="4E0A7D42" w14:textId="4636EBB9" w:rsidR="00A26728" w:rsidRPr="00D8067C" w:rsidRDefault="00F36A91"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Voluntary, community, and social enterprise organisations should receive longer-term and proportionate commissioning arrangements for their roles in social prescribing, advocacy, peer support, and related services. Stable funding would preserve community resources, strengthen local partnerships, and embed these organisations more securely in personalised care pathways (NHS England).</w:t>
      </w:r>
    </w:p>
    <w:p w14:paraId="3DD4B74F" w14:textId="77777777" w:rsidR="001E67F0" w:rsidRPr="005424F4" w:rsidRDefault="001E67F0" w:rsidP="00586AFB">
      <w:pPr>
        <w:spacing w:before="100" w:beforeAutospacing="1" w:after="100" w:afterAutospacing="1" w:line="360" w:lineRule="auto"/>
        <w:rPr>
          <w:rFonts w:ascii="Arial" w:eastAsia="Times New Roman" w:hAnsi="Arial" w:cs="Arial"/>
          <w:b/>
          <w:bCs/>
          <w:u w:val="single"/>
          <w:lang w:eastAsia="en-GB"/>
        </w:rPr>
      </w:pPr>
      <w:r w:rsidRPr="005424F4">
        <w:rPr>
          <w:rFonts w:ascii="Arial" w:eastAsia="Times New Roman" w:hAnsi="Arial" w:cs="Arial"/>
          <w:b/>
          <w:bCs/>
          <w:u w:val="single"/>
          <w:lang w:eastAsia="en-GB"/>
        </w:rPr>
        <w:t>Conclusion</w:t>
      </w:r>
    </w:p>
    <w:p w14:paraId="248932BC" w14:textId="7E0261A2" w:rsidR="001E67F0" w:rsidRPr="00D8067C" w:rsidRDefault="001E67F0" w:rsidP="00586AFB">
      <w:pPr>
        <w:spacing w:before="100" w:beforeAutospacing="1" w:after="100" w:afterAutospacing="1" w:line="360" w:lineRule="auto"/>
        <w:rPr>
          <w:rFonts w:ascii="Arial" w:eastAsia="Times New Roman" w:hAnsi="Arial" w:cs="Arial"/>
          <w:lang w:eastAsia="en-GB"/>
        </w:rPr>
      </w:pPr>
      <w:r w:rsidRPr="00D8067C">
        <w:rPr>
          <w:rFonts w:ascii="Arial" w:eastAsia="Times New Roman" w:hAnsi="Arial" w:cs="Arial"/>
          <w:lang w:eastAsia="en-GB"/>
        </w:rPr>
        <w:t>UK legislation and policy increasingly make person</w:t>
      </w:r>
      <w:r w:rsidRPr="00D8067C">
        <w:rPr>
          <w:rFonts w:ascii="Arial" w:eastAsia="Times New Roman" w:hAnsi="Arial" w:cs="Arial"/>
          <w:lang w:eastAsia="en-GB"/>
        </w:rPr>
        <w:noBreakHyphen/>
        <w:t>centred care and partnership working a legal duty, not a discretionary ideal. The next phase should focus on consistent implementation: aligning incentives to personal outcomes, resourcing workforce capability and protected time, ensuring equitable access, and enabling interoperable, person</w:t>
      </w:r>
      <w:r w:rsidRPr="00D8067C">
        <w:rPr>
          <w:rFonts w:ascii="Arial" w:eastAsia="Times New Roman" w:hAnsi="Arial" w:cs="Arial"/>
          <w:lang w:eastAsia="en-GB"/>
        </w:rPr>
        <w:noBreakHyphen/>
        <w:t>held records. With these shifts, ICSs and local authorities can deliver on the statutes’ intent</w:t>
      </w:r>
      <w:r w:rsidR="005424F4">
        <w:rPr>
          <w:rFonts w:ascii="Arial" w:eastAsia="Times New Roman" w:hAnsi="Arial" w:cs="Arial"/>
          <w:lang w:eastAsia="en-GB"/>
        </w:rPr>
        <w:t>-</w:t>
      </w:r>
      <w:r w:rsidRPr="00D8067C">
        <w:rPr>
          <w:rFonts w:ascii="Arial" w:eastAsia="Times New Roman" w:hAnsi="Arial" w:cs="Arial"/>
          <w:lang w:eastAsia="en-GB"/>
        </w:rPr>
        <w:t>care built around each person’s goals, coordinated across sectors, and measured by what matters to people and carers (NHS England; Care Act 2014; Health and Care Act 2022).</w:t>
      </w:r>
    </w:p>
    <w:p w14:paraId="5207B81E" w14:textId="77777777" w:rsidR="00893E65" w:rsidRPr="00026AFC" w:rsidRDefault="00893E65" w:rsidP="00586AFB">
      <w:pPr>
        <w:spacing w:before="100" w:beforeAutospacing="1" w:after="100" w:afterAutospacing="1" w:line="360" w:lineRule="auto"/>
        <w:rPr>
          <w:rFonts w:ascii="Arial" w:eastAsia="Times New Roman" w:hAnsi="Arial" w:cs="Arial"/>
          <w:lang w:eastAsia="en-GB"/>
        </w:rPr>
      </w:pPr>
    </w:p>
    <w:p w14:paraId="23533D47" w14:textId="77777777" w:rsidR="005E3DF5" w:rsidRDefault="005E3DF5" w:rsidP="00586AFB">
      <w:pPr>
        <w:spacing w:line="360" w:lineRule="auto"/>
        <w:rPr>
          <w:rFonts w:ascii="Arial" w:hAnsi="Arial" w:cs="Arial"/>
        </w:rPr>
      </w:pPr>
    </w:p>
    <w:p w14:paraId="4FDDAE53" w14:textId="77777777" w:rsidR="005A67AD" w:rsidRDefault="005A67AD" w:rsidP="00586AFB">
      <w:pPr>
        <w:spacing w:line="360" w:lineRule="auto"/>
        <w:rPr>
          <w:rFonts w:ascii="Arial" w:hAnsi="Arial" w:cs="Arial"/>
        </w:rPr>
      </w:pPr>
    </w:p>
    <w:p w14:paraId="6329970D" w14:textId="77777777" w:rsidR="005A67AD" w:rsidRDefault="005A67AD" w:rsidP="00586AFB">
      <w:pPr>
        <w:spacing w:line="360" w:lineRule="auto"/>
        <w:rPr>
          <w:rFonts w:ascii="Arial" w:hAnsi="Arial" w:cs="Arial"/>
        </w:rPr>
      </w:pPr>
    </w:p>
    <w:p w14:paraId="5B154F2C" w14:textId="77777777" w:rsidR="005A67AD" w:rsidRDefault="005A67AD" w:rsidP="00586AFB">
      <w:pPr>
        <w:spacing w:line="360" w:lineRule="auto"/>
        <w:rPr>
          <w:rFonts w:ascii="Arial" w:hAnsi="Arial" w:cs="Arial"/>
        </w:rPr>
      </w:pPr>
    </w:p>
    <w:p w14:paraId="06D96441" w14:textId="77777777" w:rsidR="005A67AD" w:rsidRDefault="005A67AD" w:rsidP="00586AFB">
      <w:pPr>
        <w:spacing w:line="360" w:lineRule="auto"/>
        <w:rPr>
          <w:rFonts w:ascii="Arial" w:hAnsi="Arial" w:cs="Arial"/>
        </w:rPr>
      </w:pPr>
    </w:p>
    <w:p w14:paraId="44807E02" w14:textId="77777777" w:rsidR="005A67AD" w:rsidRDefault="005A67AD" w:rsidP="00586AFB">
      <w:pPr>
        <w:spacing w:line="360" w:lineRule="auto"/>
        <w:rPr>
          <w:rFonts w:ascii="Arial" w:hAnsi="Arial" w:cs="Arial"/>
        </w:rPr>
      </w:pPr>
    </w:p>
    <w:p w14:paraId="09B2D125" w14:textId="77777777" w:rsidR="005A67AD" w:rsidRDefault="005A67AD" w:rsidP="00586AFB">
      <w:pPr>
        <w:spacing w:line="360" w:lineRule="auto"/>
        <w:rPr>
          <w:rFonts w:ascii="Arial" w:hAnsi="Arial" w:cs="Arial"/>
        </w:rPr>
      </w:pPr>
    </w:p>
    <w:p w14:paraId="7F606587" w14:textId="77777777" w:rsidR="005A67AD" w:rsidRDefault="005A67AD" w:rsidP="00586AFB">
      <w:pPr>
        <w:spacing w:line="360" w:lineRule="auto"/>
        <w:rPr>
          <w:rFonts w:ascii="Arial" w:hAnsi="Arial" w:cs="Arial"/>
        </w:rPr>
      </w:pPr>
    </w:p>
    <w:p w14:paraId="23E4EA47" w14:textId="4DA5F9FA" w:rsidR="005A67AD" w:rsidRPr="00934843" w:rsidRDefault="0048356E" w:rsidP="00586AFB">
      <w:pPr>
        <w:spacing w:line="360" w:lineRule="auto"/>
        <w:rPr>
          <w:rFonts w:ascii="Arial" w:hAnsi="Arial" w:cs="Arial"/>
          <w:b/>
          <w:bCs/>
          <w:u w:val="single"/>
        </w:rPr>
      </w:pPr>
      <w:r w:rsidRPr="00934843">
        <w:rPr>
          <w:rFonts w:ascii="Arial" w:hAnsi="Arial" w:cs="Arial"/>
          <w:b/>
          <w:bCs/>
          <w:u w:val="single"/>
        </w:rPr>
        <w:lastRenderedPageBreak/>
        <w:t xml:space="preserve">Reference List </w:t>
      </w:r>
    </w:p>
    <w:p w14:paraId="0B055FD4"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Care Act 2014. Statute of the UK Parliament.</w:t>
      </w:r>
    </w:p>
    <w:p w14:paraId="683A059B"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Care Act 2014. UK Public General Acts.</w:t>
      </w:r>
    </w:p>
    <w:p w14:paraId="14F5F0FD"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Care Quality Commission (CQC). (2019–2024). State of Care reports and guidance on person</w:t>
      </w:r>
      <w:r w:rsidRPr="008844BC">
        <w:rPr>
          <w:rFonts w:ascii="Arial" w:eastAsia="Times New Roman" w:hAnsi="Arial" w:cs="Arial"/>
          <w:lang w:eastAsia="en-GB"/>
        </w:rPr>
        <w:noBreakHyphen/>
        <w:t>centred care and Making Safeguarding Personal.</w:t>
      </w:r>
    </w:p>
    <w:p w14:paraId="3A2AE00B"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Care Quality Commission (CQC). (2023). Single assessment framework: People’s experience and partnership.</w:t>
      </w:r>
    </w:p>
    <w:p w14:paraId="19E1E070"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Children and Families Act 2014. Statute of the UK Parliament.</w:t>
      </w:r>
    </w:p>
    <w:p w14:paraId="096BE562"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Coulter, A., &amp; Oldham, J. (2016). Person</w:t>
      </w:r>
      <w:r w:rsidRPr="008844BC">
        <w:rPr>
          <w:rFonts w:ascii="Arial" w:eastAsia="Times New Roman" w:hAnsi="Arial" w:cs="Arial"/>
          <w:lang w:eastAsia="en-GB"/>
        </w:rPr>
        <w:noBreakHyphen/>
        <w:t>centred care: What is it and how do we get there? Future Hospital Journal, 3(2), 114–116.</w:t>
      </w:r>
    </w:p>
    <w:p w14:paraId="0B4B9907"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Data Protection Act 2018 (DPA 2018) and UK GDPR.</w:t>
      </w:r>
    </w:p>
    <w:p w14:paraId="6E3A4C66"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Department of Health and Social Care (DHSC). (2018). Care and Support Statutory Guidance (updated).</w:t>
      </w:r>
    </w:p>
    <w:p w14:paraId="4D91E15C"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DHSC. (2022). Liberty Protection Safeguards policy update and implementation guidance.</w:t>
      </w:r>
    </w:p>
    <w:p w14:paraId="707F6D72"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Equality Act 2010. Statute of the UK Parliament.</w:t>
      </w:r>
    </w:p>
    <w:p w14:paraId="6396A540"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General Medical Council (GMC) and Nursing &amp; Midwifery Council (NMC). (2018). Decision making and consent; The Code: Professional standards of practice and behaviour.</w:t>
      </w:r>
    </w:p>
    <w:p w14:paraId="254E6563"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General Medical Council (GMC). (2020). Decision making and consent; Good medical practice (updated).</w:t>
      </w:r>
    </w:p>
    <w:p w14:paraId="4B945856"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General Medical Council (GMC). (2020). Decision making and consent.</w:t>
      </w:r>
    </w:p>
    <w:p w14:paraId="150DBF20"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Health and Care Act 2022. Statute of the UK Parliament.</w:t>
      </w:r>
    </w:p>
    <w:p w14:paraId="4B69E6F9"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Health and Care Act 2022. UK Public General Acts.</w:t>
      </w:r>
    </w:p>
    <w:p w14:paraId="38CEA8B6"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Health and Social Care Act 2012. Statute of the UK Parliament.</w:t>
      </w:r>
    </w:p>
    <w:p w14:paraId="6B2B282E"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Health and Social Care Act 2012. UK Public General Acts.</w:t>
      </w:r>
    </w:p>
    <w:p w14:paraId="71B15349"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Human Rights Act 1998. Statute of the UK Parliament.</w:t>
      </w:r>
    </w:p>
    <w:p w14:paraId="3AD50AFC"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Information Commissioner’s Office (ICO). (2021–2024). UK GDPR and Data Protection Act 2018 guidance for health and social care.</w:t>
      </w:r>
    </w:p>
    <w:p w14:paraId="1A133BF1"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Institute for Healthcare Improvement (IHI). (2017). Person</w:t>
      </w:r>
      <w:r w:rsidRPr="008844BC">
        <w:rPr>
          <w:rFonts w:ascii="Arial" w:eastAsia="Times New Roman" w:hAnsi="Arial" w:cs="Arial"/>
          <w:lang w:eastAsia="en-GB"/>
        </w:rPr>
        <w:noBreakHyphen/>
        <w:t xml:space="preserve"> and Family</w:t>
      </w:r>
      <w:r w:rsidRPr="008844BC">
        <w:rPr>
          <w:rFonts w:ascii="Arial" w:eastAsia="Times New Roman" w:hAnsi="Arial" w:cs="Arial"/>
          <w:lang w:eastAsia="en-GB"/>
        </w:rPr>
        <w:noBreakHyphen/>
      </w:r>
      <w:proofErr w:type="spellStart"/>
      <w:r w:rsidRPr="008844BC">
        <w:rPr>
          <w:rFonts w:ascii="Arial" w:eastAsia="Times New Roman" w:hAnsi="Arial" w:cs="Arial"/>
          <w:lang w:eastAsia="en-GB"/>
        </w:rPr>
        <w:t>Centered</w:t>
      </w:r>
      <w:proofErr w:type="spellEnd"/>
      <w:r w:rsidRPr="008844BC">
        <w:rPr>
          <w:rFonts w:ascii="Arial" w:eastAsia="Times New Roman" w:hAnsi="Arial" w:cs="Arial"/>
          <w:lang w:eastAsia="en-GB"/>
        </w:rPr>
        <w:t xml:space="preserve"> Care: A Framework for Better Care and Lower Costs.</w:t>
      </w:r>
    </w:p>
    <w:p w14:paraId="6EEF5095"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Institute of Medicine (IOM). (2001). Crossing the Quality Chasm: A New Health System for the 21st Century. National Academies Press.</w:t>
      </w:r>
    </w:p>
    <w:p w14:paraId="6DF361A2"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National Data Guardian (NDG). (2020). Caldicott Principles review and guidance.</w:t>
      </w:r>
    </w:p>
    <w:p w14:paraId="2CF56748"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National Health Service (NHS) Act 2006 (as amended). Statute of the UK Parliament.</w:t>
      </w:r>
    </w:p>
    <w:p w14:paraId="5D88107E"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lastRenderedPageBreak/>
        <w:t>National Institute for Health and Care Excellence (NICE). (2012). Patient experience in adult NHS services (CG138); (2021). Shared decision making (NG197).</w:t>
      </w:r>
    </w:p>
    <w:p w14:paraId="47ED9BB9"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National Institute for Health and Care Excellence (NICE). (2012, updated). CG138 Patient experience in adult NHS services; NG197 Shared decision making; NG86 People’s experience in adult social care services.</w:t>
      </w:r>
    </w:p>
    <w:p w14:paraId="017BDBE8"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National Institute for Health and Care Excellence (NICE). (2012, updated 2021). Patient experience in adult NHS services: Improving the experience of care for people using adult NHS services (CG138).</w:t>
      </w:r>
    </w:p>
    <w:p w14:paraId="07B002A4"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NHS England. (2019). Universal Personalised Care: Implementing the Comprehensive Model; NHS Long Term Plan; NHS Constitution.</w:t>
      </w:r>
    </w:p>
    <w:p w14:paraId="0661F944"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NHS England. (2019). Universal Personalised Care: Implementing the Comprehensive Model.</w:t>
      </w:r>
    </w:p>
    <w:p w14:paraId="77A460B5"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Nursing and Midwifery Council (NMC). (2018). The Code: Professional standards of practice and behaviour.</w:t>
      </w:r>
    </w:p>
    <w:p w14:paraId="781EEE62"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Social Care Institute for Excellence (SCIE). (2015). Person</w:t>
      </w:r>
      <w:r w:rsidRPr="008844BC">
        <w:rPr>
          <w:rFonts w:ascii="Arial" w:eastAsia="Times New Roman" w:hAnsi="Arial" w:cs="Arial"/>
          <w:lang w:eastAsia="en-GB"/>
        </w:rPr>
        <w:noBreakHyphen/>
        <w:t>centred care: A Q&amp;A and practice guide.</w:t>
      </w:r>
    </w:p>
    <w:p w14:paraId="55AC1A1D"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Social Care Institute for Excellence (SCIE). (2015). Person-centred care: Guide.</w:t>
      </w:r>
    </w:p>
    <w:p w14:paraId="4672B5C2"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The Health Foundation. (2014). Person-centred care made simple.</w:t>
      </w:r>
    </w:p>
    <w:p w14:paraId="39B3AA8B"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The Health Foundation. (2014). Person</w:t>
      </w:r>
      <w:r w:rsidRPr="008844BC">
        <w:rPr>
          <w:rFonts w:ascii="Arial" w:eastAsia="Times New Roman" w:hAnsi="Arial" w:cs="Arial"/>
          <w:lang w:eastAsia="en-GB"/>
        </w:rPr>
        <w:noBreakHyphen/>
        <w:t>centred care made simple: What everyone should know about person</w:t>
      </w:r>
      <w:r w:rsidRPr="008844BC">
        <w:rPr>
          <w:rFonts w:ascii="Arial" w:eastAsia="Times New Roman" w:hAnsi="Arial" w:cs="Arial"/>
          <w:lang w:eastAsia="en-GB"/>
        </w:rPr>
        <w:noBreakHyphen/>
        <w:t>centred care.</w:t>
      </w:r>
    </w:p>
    <w:p w14:paraId="3CA272E2"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The Health Foundation. (2014). Person</w:t>
      </w:r>
      <w:r w:rsidRPr="008844BC">
        <w:rPr>
          <w:rFonts w:ascii="Arial" w:eastAsia="Times New Roman" w:hAnsi="Arial" w:cs="Arial"/>
          <w:lang w:eastAsia="en-GB"/>
        </w:rPr>
        <w:noBreakHyphen/>
        <w:t xml:space="preserve">centred care made simple; (2021). Evidence </w:t>
      </w:r>
      <w:proofErr w:type="gramStart"/>
      <w:r w:rsidRPr="008844BC">
        <w:rPr>
          <w:rFonts w:ascii="Arial" w:eastAsia="Times New Roman" w:hAnsi="Arial" w:cs="Arial"/>
          <w:lang w:eastAsia="en-GB"/>
        </w:rPr>
        <w:t>scan</w:t>
      </w:r>
      <w:proofErr w:type="gramEnd"/>
      <w:r w:rsidRPr="008844BC">
        <w:rPr>
          <w:rFonts w:ascii="Arial" w:eastAsia="Times New Roman" w:hAnsi="Arial" w:cs="Arial"/>
          <w:lang w:eastAsia="en-GB"/>
        </w:rPr>
        <w:t xml:space="preserve"> on personalised care.</w:t>
      </w:r>
    </w:p>
    <w:p w14:paraId="3F1E2084"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UK Caldicott Review. (2013; 2020 updates). Information governance in health and care.</w:t>
      </w:r>
    </w:p>
    <w:p w14:paraId="01D24EAF" w14:textId="77777777" w:rsidR="00934843" w:rsidRPr="008844BC" w:rsidRDefault="00934843" w:rsidP="007339A0">
      <w:pPr>
        <w:numPr>
          <w:ilvl w:val="0"/>
          <w:numId w:val="25"/>
        </w:numPr>
        <w:spacing w:after="0" w:line="360" w:lineRule="auto"/>
        <w:rPr>
          <w:rFonts w:ascii="Arial" w:eastAsia="Times New Roman" w:hAnsi="Arial" w:cs="Arial"/>
          <w:lang w:eastAsia="en-GB"/>
        </w:rPr>
      </w:pPr>
      <w:r w:rsidRPr="008844BC">
        <w:rPr>
          <w:rFonts w:ascii="Arial" w:eastAsia="Times New Roman" w:hAnsi="Arial" w:cs="Arial"/>
          <w:lang w:eastAsia="en-GB"/>
        </w:rPr>
        <w:t>World Health Organization (WHO). (2016). Framework on integrated, people</w:t>
      </w:r>
      <w:r w:rsidRPr="008844BC">
        <w:rPr>
          <w:rFonts w:ascii="Arial" w:eastAsia="Times New Roman" w:hAnsi="Arial" w:cs="Arial"/>
          <w:lang w:eastAsia="en-GB"/>
        </w:rPr>
        <w:noBreakHyphen/>
        <w:t>centred health services; and WHO (2015). People</w:t>
      </w:r>
      <w:r w:rsidRPr="008844BC">
        <w:rPr>
          <w:rFonts w:ascii="Arial" w:eastAsia="Times New Roman" w:hAnsi="Arial" w:cs="Arial"/>
          <w:lang w:eastAsia="en-GB"/>
        </w:rPr>
        <w:noBreakHyphen/>
        <w:t>centred health services: Strategies towards universal health coverage.</w:t>
      </w:r>
    </w:p>
    <w:p w14:paraId="132A506A" w14:textId="77777777" w:rsidR="00934843" w:rsidRPr="00026AFC" w:rsidRDefault="00934843" w:rsidP="00586AFB">
      <w:pPr>
        <w:spacing w:line="360" w:lineRule="auto"/>
        <w:rPr>
          <w:rFonts w:ascii="Arial" w:hAnsi="Arial" w:cs="Arial"/>
        </w:rPr>
      </w:pPr>
    </w:p>
    <w:sectPr w:rsidR="00934843" w:rsidRPr="00026AF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B9AFD" w14:textId="77777777" w:rsidR="00B33AA8" w:rsidRDefault="00B33AA8" w:rsidP="00C70729">
      <w:pPr>
        <w:spacing w:after="0" w:line="240" w:lineRule="auto"/>
      </w:pPr>
      <w:r>
        <w:separator/>
      </w:r>
    </w:p>
  </w:endnote>
  <w:endnote w:type="continuationSeparator" w:id="0">
    <w:p w14:paraId="496BB29A" w14:textId="77777777" w:rsidR="00B33AA8" w:rsidRDefault="00B33AA8" w:rsidP="00C70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715392"/>
      <w:docPartObj>
        <w:docPartGallery w:val="Page Numbers (Bottom of Page)"/>
        <w:docPartUnique/>
      </w:docPartObj>
    </w:sdtPr>
    <w:sdtContent>
      <w:p w14:paraId="001952FE" w14:textId="3566C985" w:rsidR="00FB3855" w:rsidRDefault="00FB3855">
        <w:pPr>
          <w:pStyle w:val="Footer"/>
        </w:pPr>
        <w:r>
          <w:fldChar w:fldCharType="begin"/>
        </w:r>
        <w:r>
          <w:instrText>PAGE   \* MERGEFORMAT</w:instrText>
        </w:r>
        <w:r>
          <w:fldChar w:fldCharType="separate"/>
        </w:r>
        <w:r>
          <w:t>2</w:t>
        </w:r>
        <w:r>
          <w:fldChar w:fldCharType="end"/>
        </w:r>
      </w:p>
    </w:sdtContent>
  </w:sdt>
  <w:p w14:paraId="5361D264" w14:textId="77777777" w:rsidR="00C70729" w:rsidRDefault="00C70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B81A4" w14:textId="77777777" w:rsidR="00B33AA8" w:rsidRDefault="00B33AA8" w:rsidP="00C70729">
      <w:pPr>
        <w:spacing w:after="0" w:line="240" w:lineRule="auto"/>
      </w:pPr>
      <w:r>
        <w:separator/>
      </w:r>
    </w:p>
  </w:footnote>
  <w:footnote w:type="continuationSeparator" w:id="0">
    <w:p w14:paraId="3B50EC14" w14:textId="77777777" w:rsidR="00B33AA8" w:rsidRDefault="00B33AA8" w:rsidP="00C707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1126511"/>
      <w:docPartObj>
        <w:docPartGallery w:val="Page Numbers (Top of Page)"/>
        <w:docPartUnique/>
      </w:docPartObj>
    </w:sdtPr>
    <w:sdtContent>
      <w:p w14:paraId="0E7AD5E1" w14:textId="6388A576" w:rsidR="00FB3855" w:rsidRDefault="00FB3855">
        <w:pPr>
          <w:pStyle w:val="Header"/>
        </w:pPr>
        <w:r>
          <w:fldChar w:fldCharType="begin"/>
        </w:r>
        <w:r>
          <w:instrText>PAGE   \* MERGEFORMAT</w:instrText>
        </w:r>
        <w:r>
          <w:fldChar w:fldCharType="separate"/>
        </w:r>
        <w:r>
          <w:t>2</w:t>
        </w:r>
        <w:r>
          <w:fldChar w:fldCharType="end"/>
        </w:r>
      </w:p>
    </w:sdtContent>
  </w:sdt>
  <w:p w14:paraId="0C85FC0B" w14:textId="77777777" w:rsidR="00C70729" w:rsidRDefault="00C707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23055"/>
    <w:multiLevelType w:val="multilevel"/>
    <w:tmpl w:val="CA20E73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3C7E2B"/>
    <w:multiLevelType w:val="multilevel"/>
    <w:tmpl w:val="365EFF5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056077"/>
    <w:multiLevelType w:val="multilevel"/>
    <w:tmpl w:val="26C0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4852C5"/>
    <w:multiLevelType w:val="multilevel"/>
    <w:tmpl w:val="407C6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1F3E99"/>
    <w:multiLevelType w:val="multilevel"/>
    <w:tmpl w:val="8574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32F93"/>
    <w:multiLevelType w:val="multilevel"/>
    <w:tmpl w:val="CD827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382903"/>
    <w:multiLevelType w:val="multilevel"/>
    <w:tmpl w:val="3C12008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3B0E46"/>
    <w:multiLevelType w:val="multilevel"/>
    <w:tmpl w:val="7C9AC71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5E1CF2"/>
    <w:multiLevelType w:val="multilevel"/>
    <w:tmpl w:val="2B8AC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635000"/>
    <w:multiLevelType w:val="multilevel"/>
    <w:tmpl w:val="CF824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F64B4F"/>
    <w:multiLevelType w:val="multilevel"/>
    <w:tmpl w:val="BE9A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A45D11"/>
    <w:multiLevelType w:val="multilevel"/>
    <w:tmpl w:val="42BA55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8B116D"/>
    <w:multiLevelType w:val="multilevel"/>
    <w:tmpl w:val="88C0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4E4455"/>
    <w:multiLevelType w:val="multilevel"/>
    <w:tmpl w:val="7272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D76CF6"/>
    <w:multiLevelType w:val="multilevel"/>
    <w:tmpl w:val="B9C659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900971"/>
    <w:multiLevelType w:val="multilevel"/>
    <w:tmpl w:val="CC42B28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B90AB2"/>
    <w:multiLevelType w:val="multilevel"/>
    <w:tmpl w:val="21E2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7C00B5"/>
    <w:multiLevelType w:val="multilevel"/>
    <w:tmpl w:val="BFB65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B44AA9"/>
    <w:multiLevelType w:val="multilevel"/>
    <w:tmpl w:val="D4B23A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E758BF"/>
    <w:multiLevelType w:val="multilevel"/>
    <w:tmpl w:val="B6127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01406E"/>
    <w:multiLevelType w:val="multilevel"/>
    <w:tmpl w:val="DB6C6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E42E48"/>
    <w:multiLevelType w:val="multilevel"/>
    <w:tmpl w:val="5E36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EE37FB"/>
    <w:multiLevelType w:val="multilevel"/>
    <w:tmpl w:val="6D16880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E70F9F"/>
    <w:multiLevelType w:val="multilevel"/>
    <w:tmpl w:val="D58AB74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D5E606B"/>
    <w:multiLevelType w:val="multilevel"/>
    <w:tmpl w:val="52A4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7595091">
    <w:abstractNumId w:val="4"/>
  </w:num>
  <w:num w:numId="2" w16cid:durableId="1192694385">
    <w:abstractNumId w:val="20"/>
  </w:num>
  <w:num w:numId="3" w16cid:durableId="809252577">
    <w:abstractNumId w:val="8"/>
  </w:num>
  <w:num w:numId="4" w16cid:durableId="1393575625">
    <w:abstractNumId w:val="5"/>
  </w:num>
  <w:num w:numId="5" w16cid:durableId="1106148175">
    <w:abstractNumId w:val="12"/>
  </w:num>
  <w:num w:numId="6" w16cid:durableId="211355433">
    <w:abstractNumId w:val="14"/>
  </w:num>
  <w:num w:numId="7" w16cid:durableId="1023289685">
    <w:abstractNumId w:val="16"/>
  </w:num>
  <w:num w:numId="8" w16cid:durableId="579869740">
    <w:abstractNumId w:val="18"/>
  </w:num>
  <w:num w:numId="9" w16cid:durableId="119501055">
    <w:abstractNumId w:val="24"/>
  </w:num>
  <w:num w:numId="10" w16cid:durableId="45692187">
    <w:abstractNumId w:val="11"/>
  </w:num>
  <w:num w:numId="11" w16cid:durableId="328363397">
    <w:abstractNumId w:val="3"/>
  </w:num>
  <w:num w:numId="12" w16cid:durableId="1962564353">
    <w:abstractNumId w:val="15"/>
  </w:num>
  <w:num w:numId="13" w16cid:durableId="209387789">
    <w:abstractNumId w:val="2"/>
  </w:num>
  <w:num w:numId="14" w16cid:durableId="879324064">
    <w:abstractNumId w:val="1"/>
  </w:num>
  <w:num w:numId="15" w16cid:durableId="2023629326">
    <w:abstractNumId w:val="9"/>
  </w:num>
  <w:num w:numId="16" w16cid:durableId="732964745">
    <w:abstractNumId w:val="6"/>
  </w:num>
  <w:num w:numId="17" w16cid:durableId="1357122988">
    <w:abstractNumId w:val="19"/>
  </w:num>
  <w:num w:numId="18" w16cid:durableId="1101991231">
    <w:abstractNumId w:val="7"/>
  </w:num>
  <w:num w:numId="19" w16cid:durableId="1536193619">
    <w:abstractNumId w:val="17"/>
  </w:num>
  <w:num w:numId="20" w16cid:durableId="287514650">
    <w:abstractNumId w:val="23"/>
  </w:num>
  <w:num w:numId="21" w16cid:durableId="892934568">
    <w:abstractNumId w:val="10"/>
  </w:num>
  <w:num w:numId="22" w16cid:durableId="1104422852">
    <w:abstractNumId w:val="0"/>
  </w:num>
  <w:num w:numId="23" w16cid:durableId="566644677">
    <w:abstractNumId w:val="13"/>
  </w:num>
  <w:num w:numId="24" w16cid:durableId="1195121966">
    <w:abstractNumId w:val="21"/>
  </w:num>
  <w:num w:numId="25" w16cid:durableId="267591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26D"/>
    <w:rsid w:val="00013E9F"/>
    <w:rsid w:val="00026AFC"/>
    <w:rsid w:val="00041773"/>
    <w:rsid w:val="000738DF"/>
    <w:rsid w:val="000D428E"/>
    <w:rsid w:val="000E3CA6"/>
    <w:rsid w:val="00191BA7"/>
    <w:rsid w:val="001E67F0"/>
    <w:rsid w:val="00201374"/>
    <w:rsid w:val="00214771"/>
    <w:rsid w:val="002239C6"/>
    <w:rsid w:val="00252AD8"/>
    <w:rsid w:val="00275C87"/>
    <w:rsid w:val="003721B8"/>
    <w:rsid w:val="004013CF"/>
    <w:rsid w:val="00427F2B"/>
    <w:rsid w:val="0048356E"/>
    <w:rsid w:val="004924C6"/>
    <w:rsid w:val="004C0696"/>
    <w:rsid w:val="004C1EB4"/>
    <w:rsid w:val="005424F4"/>
    <w:rsid w:val="0054472A"/>
    <w:rsid w:val="00570DB6"/>
    <w:rsid w:val="00586AFB"/>
    <w:rsid w:val="005A67AD"/>
    <w:rsid w:val="005E3DF5"/>
    <w:rsid w:val="00605B69"/>
    <w:rsid w:val="00632A31"/>
    <w:rsid w:val="006A0FF0"/>
    <w:rsid w:val="006B4E12"/>
    <w:rsid w:val="006C10CB"/>
    <w:rsid w:val="006F49EC"/>
    <w:rsid w:val="0070177F"/>
    <w:rsid w:val="0070571F"/>
    <w:rsid w:val="007339A0"/>
    <w:rsid w:val="007F3F6C"/>
    <w:rsid w:val="00893E65"/>
    <w:rsid w:val="008B3ADF"/>
    <w:rsid w:val="008B78A9"/>
    <w:rsid w:val="008C38A0"/>
    <w:rsid w:val="00934843"/>
    <w:rsid w:val="009573AE"/>
    <w:rsid w:val="00966BC9"/>
    <w:rsid w:val="009F4A7A"/>
    <w:rsid w:val="00A26728"/>
    <w:rsid w:val="00A56ABD"/>
    <w:rsid w:val="00AA426D"/>
    <w:rsid w:val="00B2631F"/>
    <w:rsid w:val="00B33AA8"/>
    <w:rsid w:val="00C12FF4"/>
    <w:rsid w:val="00C51BE6"/>
    <w:rsid w:val="00C70729"/>
    <w:rsid w:val="00D64DB5"/>
    <w:rsid w:val="00D713A3"/>
    <w:rsid w:val="00D8067C"/>
    <w:rsid w:val="00E17D9F"/>
    <w:rsid w:val="00E57029"/>
    <w:rsid w:val="00EE345E"/>
    <w:rsid w:val="00F33DDE"/>
    <w:rsid w:val="00F36A91"/>
    <w:rsid w:val="00F43402"/>
    <w:rsid w:val="00F47E60"/>
    <w:rsid w:val="00F774E2"/>
    <w:rsid w:val="00F86CA1"/>
    <w:rsid w:val="00FB3855"/>
    <w:rsid w:val="00FE11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AED33"/>
  <w15:chartTrackingRefBased/>
  <w15:docId w15:val="{873B4B26-351D-425E-A7E4-E8F030454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26D"/>
    <w:rPr>
      <w:rFonts w:eastAsiaTheme="majorEastAsia" w:cstheme="majorBidi"/>
      <w:color w:val="272727" w:themeColor="text1" w:themeTint="D8"/>
    </w:rPr>
  </w:style>
  <w:style w:type="paragraph" w:styleId="Title">
    <w:name w:val="Title"/>
    <w:basedOn w:val="Normal"/>
    <w:next w:val="Normal"/>
    <w:link w:val="TitleChar"/>
    <w:uiPriority w:val="10"/>
    <w:qFormat/>
    <w:rsid w:val="00AA4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26D"/>
    <w:pPr>
      <w:spacing w:before="160"/>
      <w:jc w:val="center"/>
    </w:pPr>
    <w:rPr>
      <w:i/>
      <w:iCs/>
      <w:color w:val="404040" w:themeColor="text1" w:themeTint="BF"/>
    </w:rPr>
  </w:style>
  <w:style w:type="character" w:customStyle="1" w:styleId="QuoteChar">
    <w:name w:val="Quote Char"/>
    <w:basedOn w:val="DefaultParagraphFont"/>
    <w:link w:val="Quote"/>
    <w:uiPriority w:val="29"/>
    <w:rsid w:val="00AA426D"/>
    <w:rPr>
      <w:i/>
      <w:iCs/>
      <w:color w:val="404040" w:themeColor="text1" w:themeTint="BF"/>
    </w:rPr>
  </w:style>
  <w:style w:type="paragraph" w:styleId="ListParagraph">
    <w:name w:val="List Paragraph"/>
    <w:basedOn w:val="Normal"/>
    <w:uiPriority w:val="34"/>
    <w:qFormat/>
    <w:rsid w:val="00AA426D"/>
    <w:pPr>
      <w:ind w:left="720"/>
      <w:contextualSpacing/>
    </w:pPr>
  </w:style>
  <w:style w:type="character" w:styleId="IntenseEmphasis">
    <w:name w:val="Intense Emphasis"/>
    <w:basedOn w:val="DefaultParagraphFont"/>
    <w:uiPriority w:val="21"/>
    <w:qFormat/>
    <w:rsid w:val="00AA426D"/>
    <w:rPr>
      <w:i/>
      <w:iCs/>
      <w:color w:val="0F4761" w:themeColor="accent1" w:themeShade="BF"/>
    </w:rPr>
  </w:style>
  <w:style w:type="paragraph" w:styleId="IntenseQuote">
    <w:name w:val="Intense Quote"/>
    <w:basedOn w:val="Normal"/>
    <w:next w:val="Normal"/>
    <w:link w:val="IntenseQuoteChar"/>
    <w:uiPriority w:val="30"/>
    <w:qFormat/>
    <w:rsid w:val="00AA4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26D"/>
    <w:rPr>
      <w:i/>
      <w:iCs/>
      <w:color w:val="0F4761" w:themeColor="accent1" w:themeShade="BF"/>
    </w:rPr>
  </w:style>
  <w:style w:type="character" w:styleId="IntenseReference">
    <w:name w:val="Intense Reference"/>
    <w:basedOn w:val="DefaultParagraphFont"/>
    <w:uiPriority w:val="32"/>
    <w:qFormat/>
    <w:rsid w:val="00AA426D"/>
    <w:rPr>
      <w:b/>
      <w:bCs/>
      <w:smallCaps/>
      <w:color w:val="0F4761" w:themeColor="accent1" w:themeShade="BF"/>
      <w:spacing w:val="5"/>
    </w:rPr>
  </w:style>
  <w:style w:type="paragraph" w:styleId="Header">
    <w:name w:val="header"/>
    <w:basedOn w:val="Normal"/>
    <w:link w:val="HeaderChar"/>
    <w:uiPriority w:val="99"/>
    <w:unhideWhenUsed/>
    <w:rsid w:val="00C70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29"/>
  </w:style>
  <w:style w:type="paragraph" w:styleId="Footer">
    <w:name w:val="footer"/>
    <w:basedOn w:val="Normal"/>
    <w:link w:val="FooterChar"/>
    <w:uiPriority w:val="99"/>
    <w:unhideWhenUsed/>
    <w:rsid w:val="00C70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TotalTime>
  <Pages>11</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Clarke</dc:creator>
  <cp:keywords/>
  <dc:description/>
  <cp:lastModifiedBy>Nina Clarke</cp:lastModifiedBy>
  <cp:revision>55</cp:revision>
  <dcterms:created xsi:type="dcterms:W3CDTF">2026-07-22T11:04:00Z</dcterms:created>
  <dcterms:modified xsi:type="dcterms:W3CDTF">2026-08-01T14:55:00Z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009c760e-98c9-4bc1-8f2f-25422595c9af</vt:lpwstr>
  </property>
</Properties>
</file>