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8D195AE">
      <w:pPr>
        <w:spacing w:line="360" w:lineRule="auto"/>
        <w:jc w:val="both"/>
        <w:rPr>
          <w:b/>
          <w:sz w:val="28"/>
          <w:szCs w:val="24"/>
          <w:lang w:val="en-GB"/>
        </w:rPr>
      </w:pPr>
      <w:r>
        <w:rPr>
          <w:color w:val="000000"/>
          <w:lang w:val="en-IN"/>
        </w:rPr>
        <w:drawing>
          <wp:inline distT="0" distB="0" distL="0" distR="0">
            <wp:extent cx="5288280" cy="2118360"/>
            <wp:effectExtent l="0" t="0" r="7620" b="15240"/>
            <wp:docPr id="20" name="Picture 20" descr="https://lh7-rt.googleusercontent.com/docsz/AD_4nXdrIgdI1lGsPyB57moFa2Z-S0IzI_7m8po9uhKfFvEE6QSjM8gYhewvtmTi2uNqzFVnSKXQmLaWdS7Ud12bNbJTd1Lz0PNH0Xq-_lYtkOo16LOEqfLWDWFXKsoKrxlN3ueRWM1YuA?key=-aRIQclVek25gO8brPfL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https://lh7-rt.googleusercontent.com/docsz/AD_4nXdrIgdI1lGsPyB57moFa2Z-S0IzI_7m8po9uhKfFvEE6QSjM8gYhewvtmTi2uNqzFVnSKXQmLaWdS7Ud12bNbJTd1Lz0PNH0Xq-_lYtkOo16LOEqfLWDWFXKsoKrxlN3ueRWM1YuA?key=-aRIQclVek25gO8brPfLGA"/>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288280" cy="2118360"/>
                    </a:xfrm>
                    <a:prstGeom prst="rect">
                      <a:avLst/>
                    </a:prstGeom>
                    <a:noFill/>
                    <a:ln>
                      <a:noFill/>
                    </a:ln>
                  </pic:spPr>
                </pic:pic>
              </a:graphicData>
            </a:graphic>
          </wp:inline>
        </w:drawing>
      </w:r>
    </w:p>
    <w:p w14:paraId="0BC61CD3">
      <w:pPr>
        <w:spacing w:after="240" w:line="360" w:lineRule="auto"/>
        <w:jc w:val="center"/>
        <w:rPr>
          <w:b/>
          <w:sz w:val="28"/>
          <w:szCs w:val="24"/>
          <w:lang w:val="en-GB"/>
        </w:rPr>
      </w:pPr>
      <w:r>
        <w:rPr>
          <w:b/>
          <w:sz w:val="28"/>
          <w:szCs w:val="24"/>
          <w:lang w:val="en-GB"/>
        </w:rPr>
        <w:t>Student Name: Mitwa Ghanshyamsinh Gohil</w:t>
      </w:r>
    </w:p>
    <w:p w14:paraId="3AAC18BA">
      <w:pPr>
        <w:spacing w:before="240" w:after="240" w:line="360" w:lineRule="auto"/>
        <w:jc w:val="center"/>
        <w:rPr>
          <w:b/>
          <w:sz w:val="28"/>
          <w:szCs w:val="24"/>
          <w:lang w:val="en-GB"/>
        </w:rPr>
      </w:pPr>
      <w:r>
        <w:rPr>
          <w:b/>
          <w:sz w:val="28"/>
          <w:szCs w:val="24"/>
          <w:lang w:val="en-GB"/>
        </w:rPr>
        <w:t xml:space="preserve"> Student Id: 2431076</w:t>
      </w:r>
    </w:p>
    <w:p w14:paraId="3C85282C">
      <w:pPr>
        <w:spacing w:before="240" w:after="240" w:line="360" w:lineRule="auto"/>
        <w:jc w:val="center"/>
        <w:rPr>
          <w:sz w:val="28"/>
          <w:szCs w:val="24"/>
          <w:lang w:val="en-GB"/>
        </w:rPr>
      </w:pPr>
      <w:r>
        <w:rPr>
          <w:sz w:val="28"/>
          <w:szCs w:val="24"/>
          <w:lang w:val="en-GB"/>
        </w:rPr>
        <w:t xml:space="preserve"> </w:t>
      </w:r>
    </w:p>
    <w:p w14:paraId="66703BF9">
      <w:pPr>
        <w:spacing w:before="240" w:after="240" w:line="360" w:lineRule="auto"/>
        <w:jc w:val="both"/>
        <w:rPr>
          <w:sz w:val="28"/>
          <w:szCs w:val="24"/>
          <w:lang w:val="en-GB"/>
        </w:rPr>
      </w:pPr>
    </w:p>
    <w:p w14:paraId="26C98D87">
      <w:pPr>
        <w:spacing w:before="240" w:after="240" w:line="360" w:lineRule="auto"/>
        <w:jc w:val="center"/>
        <w:rPr>
          <w:sz w:val="28"/>
          <w:szCs w:val="24"/>
          <w:lang w:val="en-GB"/>
        </w:rPr>
      </w:pPr>
      <w:r>
        <w:rPr>
          <w:sz w:val="28"/>
          <w:szCs w:val="24"/>
          <w:lang w:val="en-GB"/>
        </w:rPr>
        <w:t xml:space="preserve"> </w:t>
      </w:r>
    </w:p>
    <w:p w14:paraId="58C5E82E">
      <w:pPr>
        <w:spacing w:before="240" w:after="240" w:line="360" w:lineRule="auto"/>
        <w:jc w:val="center"/>
        <w:rPr>
          <w:b/>
          <w:sz w:val="28"/>
          <w:szCs w:val="24"/>
          <w:lang w:val="en-GB"/>
        </w:rPr>
      </w:pPr>
      <w:r>
        <w:rPr>
          <w:b/>
          <w:sz w:val="28"/>
          <w:szCs w:val="24"/>
          <w:lang w:val="en-GB"/>
        </w:rPr>
        <w:t xml:space="preserve">Module Name: </w:t>
      </w:r>
      <w:r>
        <w:rPr>
          <w:rFonts w:hint="default"/>
          <w:b/>
          <w:sz w:val="28"/>
          <w:szCs w:val="24"/>
          <w:lang w:val="en-GB"/>
        </w:rPr>
        <w:t>International Business Concepts</w:t>
      </w:r>
    </w:p>
    <w:p w14:paraId="3B80DE9C">
      <w:pPr>
        <w:spacing w:before="240" w:after="240" w:line="360" w:lineRule="auto"/>
        <w:jc w:val="center"/>
        <w:rPr>
          <w:b/>
          <w:sz w:val="28"/>
          <w:szCs w:val="24"/>
          <w:lang w:val="en-GB"/>
        </w:rPr>
      </w:pPr>
      <w:r>
        <w:rPr>
          <w:b/>
          <w:sz w:val="28"/>
          <w:szCs w:val="24"/>
          <w:lang w:val="en-GB"/>
        </w:rPr>
        <w:t xml:space="preserve"> Module Code: </w:t>
      </w:r>
      <w:r>
        <w:rPr>
          <w:rFonts w:hint="default"/>
          <w:b/>
          <w:sz w:val="28"/>
          <w:szCs w:val="24"/>
          <w:lang w:val="en-GB"/>
        </w:rPr>
        <w:t>LCMB7034</w:t>
      </w:r>
    </w:p>
    <w:p w14:paraId="400CD8CA">
      <w:pPr>
        <w:spacing w:after="240" w:line="360" w:lineRule="auto"/>
        <w:jc w:val="center"/>
        <w:rPr>
          <w:b/>
          <w:sz w:val="28"/>
          <w:szCs w:val="24"/>
          <w:lang w:val="en-GB"/>
        </w:rPr>
      </w:pPr>
      <w:r>
        <w:rPr>
          <w:b/>
          <w:sz w:val="28"/>
          <w:szCs w:val="24"/>
          <w:lang w:val="en-GB"/>
        </w:rPr>
        <w:t xml:space="preserve">Lecturer’s Name: </w:t>
      </w:r>
      <w:r>
        <w:rPr>
          <w:rFonts w:hint="default"/>
          <w:b/>
          <w:sz w:val="28"/>
          <w:szCs w:val="24"/>
          <w:lang w:val="en-GB"/>
        </w:rPr>
        <w:t>Akshay Narayanan (London)</w:t>
      </w:r>
    </w:p>
    <w:p w14:paraId="381ABD77">
      <w:pPr>
        <w:spacing w:before="240" w:after="240" w:line="360" w:lineRule="auto"/>
        <w:jc w:val="center"/>
        <w:rPr>
          <w:b/>
          <w:sz w:val="28"/>
          <w:szCs w:val="24"/>
          <w:lang w:val="en-GB"/>
        </w:rPr>
      </w:pPr>
      <w:r>
        <w:rPr>
          <w:b/>
          <w:sz w:val="28"/>
          <w:szCs w:val="24"/>
          <w:lang w:val="en-GB"/>
        </w:rPr>
        <w:t xml:space="preserve"> </w:t>
      </w:r>
    </w:p>
    <w:p w14:paraId="13CDA4E6">
      <w:pPr>
        <w:spacing w:before="240" w:after="240" w:line="360" w:lineRule="auto"/>
        <w:jc w:val="center"/>
        <w:rPr>
          <w:rFonts w:hint="default"/>
          <w:b/>
          <w:sz w:val="28"/>
          <w:szCs w:val="24"/>
          <w:lang w:val="en-US"/>
        </w:rPr>
      </w:pPr>
      <w:r>
        <w:rPr>
          <w:b/>
          <w:sz w:val="28"/>
          <w:szCs w:val="24"/>
          <w:lang w:val="en-GB"/>
        </w:rPr>
        <w:t xml:space="preserve"> Work Count: </w:t>
      </w:r>
      <w:r>
        <w:rPr>
          <w:rFonts w:hint="default"/>
          <w:b/>
          <w:sz w:val="28"/>
          <w:szCs w:val="24"/>
          <w:lang w:val="en-US"/>
        </w:rPr>
        <w:t>5465</w:t>
      </w:r>
    </w:p>
    <w:p w14:paraId="53241549">
      <w:pPr>
        <w:rPr>
          <w:b/>
          <w:sz w:val="28"/>
          <w:szCs w:val="24"/>
          <w:lang w:val="en-GB"/>
        </w:rPr>
      </w:pPr>
      <w:r>
        <w:rPr>
          <w:b/>
          <w:sz w:val="28"/>
          <w:szCs w:val="24"/>
          <w:lang w:val="en-GB"/>
        </w:rPr>
        <w:br w:type="page"/>
      </w:r>
    </w:p>
    <w:p w14:paraId="55346519">
      <w:pPr>
        <w:spacing w:before="240" w:after="240" w:line="360" w:lineRule="auto"/>
        <w:jc w:val="both"/>
        <w:rPr>
          <w:b/>
          <w:sz w:val="28"/>
          <w:szCs w:val="24"/>
          <w:lang w:val="en-GB"/>
        </w:rPr>
      </w:pPr>
    </w:p>
    <w:sdt>
      <w:sdtPr>
        <w:rPr>
          <w:rFonts w:hint="default" w:ascii="Times New Roman" w:hAnsi="Times New Roman" w:eastAsia="SimSun" w:cs="Times New Roman"/>
          <w:b/>
          <w:bCs/>
          <w:sz w:val="24"/>
          <w:szCs w:val="24"/>
          <w:lang w:val="en-US" w:eastAsia="zh-CN" w:bidi="ar-SA"/>
        </w:rPr>
        <w:id w:val="147472009"/>
        <w15:color w:val="DBDBDB"/>
        <w:docPartObj>
          <w:docPartGallery w:val="Table of Contents"/>
          <w:docPartUnique/>
        </w:docPartObj>
      </w:sdtPr>
      <w:sdtEndPr>
        <w:rPr>
          <w:rFonts w:hint="default" w:ascii="Times New Roman" w:hAnsi="Times New Roman" w:eastAsia="SimSun" w:cs="Times New Roman"/>
          <w:b/>
          <w:bCs/>
          <w:sz w:val="24"/>
          <w:szCs w:val="24"/>
          <w:lang w:val="en-US" w:eastAsia="zh-CN" w:bidi="ar-SA"/>
        </w:rPr>
      </w:sdtEndPr>
      <w:sdtContent>
        <w:p w14:paraId="68E0BF45">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lang w:val="en-US"/>
            </w:rPr>
          </w:pPr>
          <w:r>
            <w:rPr>
              <w:rFonts w:hint="default" w:ascii="Times New Roman" w:hAnsi="Times New Roman" w:eastAsia="SimSun" w:cs="Times New Roman"/>
              <w:b/>
              <w:bCs/>
              <w:sz w:val="24"/>
              <w:szCs w:val="24"/>
              <w:lang w:val="en-US"/>
            </w:rPr>
            <w:t xml:space="preserve">Contents </w:t>
          </w:r>
        </w:p>
        <w:p w14:paraId="6571C846">
          <w:pPr>
            <w:pStyle w:val="142"/>
            <w:tabs>
              <w:tab w:val="right" w:leader="dot" w:pos="8306"/>
            </w:tabs>
            <w:rPr>
              <w:rFonts w:hint="default" w:ascii="Times New Roman" w:hAnsi="Times New Roman" w:cs="Times New Roman"/>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"1-2" \h \u </w:instrText>
          </w:r>
          <w:r>
            <w:rPr>
              <w:rFonts w:hint="default" w:ascii="Times New Roman" w:hAnsi="Times New Roman" w:cs="Times New Roman"/>
              <w:sz w:val="24"/>
              <w:szCs w:val="24"/>
            </w:rPr>
            <w:fldChar w:fldCharType="separate"/>
          </w: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_Toc21289 </w:instrText>
          </w:r>
          <w:r>
            <w:rPr>
              <w:rFonts w:hint="default" w:ascii="Times New Roman" w:hAnsi="Times New Roman" w:cs="Times New Roman"/>
              <w:szCs w:val="24"/>
            </w:rPr>
            <w:fldChar w:fldCharType="separate"/>
          </w:r>
          <w:r>
            <w:rPr>
              <w:rFonts w:hint="default" w:ascii="Times New Roman" w:hAnsi="Times New Roman" w:cs="Times New Roman"/>
            </w:rPr>
            <w:t>1. Introduction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_Toc21289 \h </w:instrText>
          </w:r>
          <w:r>
            <w:rPr>
              <w:rFonts w:hint="default" w:ascii="Times New Roman" w:hAnsi="Times New Roman" w:cs="Times New Roman"/>
            </w:rPr>
            <w:fldChar w:fldCharType="separate"/>
          </w:r>
          <w:r>
            <w:rPr>
              <w:rFonts w:hint="default" w:ascii="Times New Roman" w:hAnsi="Times New Roman" w:cs="Times New Roman"/>
            </w:rPr>
            <w:t>3</w:t>
          </w:r>
          <w:r>
            <w:rPr>
              <w:rFonts w:hint="default" w:ascii="Times New Roman" w:hAnsi="Times New Roman" w:cs="Times New Roman"/>
            </w:rPr>
            <w:fldChar w:fldCharType="end"/>
          </w:r>
          <w:r>
            <w:rPr>
              <w:rFonts w:hint="default" w:ascii="Times New Roman" w:hAnsi="Times New Roman" w:cs="Times New Roman"/>
              <w:szCs w:val="24"/>
            </w:rPr>
            <w:fldChar w:fldCharType="end"/>
          </w:r>
        </w:p>
        <w:p w14:paraId="6CEF6957">
          <w:pPr>
            <w:pStyle w:val="142"/>
            <w:tabs>
              <w:tab w:val="right" w:leader="dot" w:pos="8306"/>
            </w:tabs>
            <w:rPr>
              <w:rFonts w:hint="default" w:ascii="Times New Roman" w:hAnsi="Times New Roman" w:cs="Times New Roma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_Toc31316 </w:instrText>
          </w:r>
          <w:r>
            <w:rPr>
              <w:rFonts w:hint="default" w:ascii="Times New Roman" w:hAnsi="Times New Roman" w:cs="Times New Roman"/>
              <w:szCs w:val="24"/>
            </w:rPr>
            <w:fldChar w:fldCharType="separate"/>
          </w:r>
          <w:r>
            <w:rPr>
              <w:rFonts w:hint="default" w:ascii="Times New Roman" w:hAnsi="Times New Roman" w:cs="Times New Roman"/>
            </w:rPr>
            <w:t>2. Benefits and Challenges of International Operations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_Toc31316 \h </w:instrText>
          </w:r>
          <w:r>
            <w:rPr>
              <w:rFonts w:hint="default" w:ascii="Times New Roman" w:hAnsi="Times New Roman" w:cs="Times New Roman"/>
            </w:rPr>
            <w:fldChar w:fldCharType="separate"/>
          </w:r>
          <w:r>
            <w:rPr>
              <w:rFonts w:hint="default" w:ascii="Times New Roman" w:hAnsi="Times New Roman" w:cs="Times New Roman"/>
            </w:rPr>
            <w:t>3</w:t>
          </w:r>
          <w:r>
            <w:rPr>
              <w:rFonts w:hint="default" w:ascii="Times New Roman" w:hAnsi="Times New Roman" w:cs="Times New Roman"/>
            </w:rPr>
            <w:fldChar w:fldCharType="end"/>
          </w:r>
          <w:r>
            <w:rPr>
              <w:rFonts w:hint="default" w:ascii="Times New Roman" w:hAnsi="Times New Roman" w:cs="Times New Roman"/>
              <w:szCs w:val="24"/>
            </w:rPr>
            <w:fldChar w:fldCharType="end"/>
          </w:r>
        </w:p>
        <w:p w14:paraId="0ACD1240">
          <w:pPr>
            <w:pStyle w:val="143"/>
            <w:tabs>
              <w:tab w:val="right" w:leader="dot" w:pos="8306"/>
            </w:tabs>
            <w:rPr>
              <w:rFonts w:hint="default" w:ascii="Times New Roman" w:hAnsi="Times New Roman" w:cs="Times New Roma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_Toc16513 </w:instrText>
          </w:r>
          <w:r>
            <w:rPr>
              <w:rFonts w:hint="default" w:ascii="Times New Roman" w:hAnsi="Times New Roman" w:cs="Times New Roman"/>
              <w:szCs w:val="24"/>
            </w:rPr>
            <w:fldChar w:fldCharType="separate"/>
          </w:r>
          <w:r>
            <w:rPr>
              <w:rFonts w:hint="default" w:ascii="Times New Roman" w:hAnsi="Times New Roman" w:cs="Times New Roman"/>
            </w:rPr>
            <w:t>2a. Justification of PepsiCo UK as an MNC/TNC</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_Toc16513 \h </w:instrText>
          </w:r>
          <w:r>
            <w:rPr>
              <w:rFonts w:hint="default" w:ascii="Times New Roman" w:hAnsi="Times New Roman" w:cs="Times New Roman"/>
            </w:rPr>
            <w:fldChar w:fldCharType="separate"/>
          </w:r>
          <w:r>
            <w:rPr>
              <w:rFonts w:hint="default" w:ascii="Times New Roman" w:hAnsi="Times New Roman" w:cs="Times New Roman"/>
            </w:rPr>
            <w:t>3</w:t>
          </w:r>
          <w:r>
            <w:rPr>
              <w:rFonts w:hint="default" w:ascii="Times New Roman" w:hAnsi="Times New Roman" w:cs="Times New Roman"/>
            </w:rPr>
            <w:fldChar w:fldCharType="end"/>
          </w:r>
          <w:r>
            <w:rPr>
              <w:rFonts w:hint="default" w:ascii="Times New Roman" w:hAnsi="Times New Roman" w:cs="Times New Roman"/>
              <w:szCs w:val="24"/>
            </w:rPr>
            <w:fldChar w:fldCharType="end"/>
          </w:r>
        </w:p>
        <w:p w14:paraId="48693628">
          <w:pPr>
            <w:pStyle w:val="143"/>
            <w:tabs>
              <w:tab w:val="right" w:leader="dot" w:pos="8306"/>
            </w:tabs>
            <w:rPr>
              <w:rFonts w:hint="default" w:ascii="Times New Roman" w:hAnsi="Times New Roman" w:cs="Times New Roma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_Toc30110 </w:instrText>
          </w:r>
          <w:r>
            <w:rPr>
              <w:rFonts w:hint="default" w:ascii="Times New Roman" w:hAnsi="Times New Roman" w:cs="Times New Roman"/>
              <w:szCs w:val="24"/>
            </w:rPr>
            <w:fldChar w:fldCharType="separate"/>
          </w:r>
          <w:r>
            <w:rPr>
              <w:rFonts w:hint="default" w:ascii="Times New Roman" w:hAnsi="Times New Roman" w:cs="Times New Roman"/>
            </w:rPr>
            <w:t>2b. Nature of PepsiCo’s Global Value Chain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_Toc30110 \h </w:instrText>
          </w:r>
          <w:r>
            <w:rPr>
              <w:rFonts w:hint="default" w:ascii="Times New Roman" w:hAnsi="Times New Roman" w:cs="Times New Roman"/>
            </w:rPr>
            <w:fldChar w:fldCharType="separate"/>
          </w:r>
          <w:r>
            <w:rPr>
              <w:rFonts w:hint="default" w:ascii="Times New Roman" w:hAnsi="Times New Roman" w:cs="Times New Roman"/>
            </w:rPr>
            <w:t>5</w:t>
          </w:r>
          <w:r>
            <w:rPr>
              <w:rFonts w:hint="default" w:ascii="Times New Roman" w:hAnsi="Times New Roman" w:cs="Times New Roman"/>
            </w:rPr>
            <w:fldChar w:fldCharType="end"/>
          </w:r>
          <w:r>
            <w:rPr>
              <w:rFonts w:hint="default" w:ascii="Times New Roman" w:hAnsi="Times New Roman" w:cs="Times New Roman"/>
              <w:szCs w:val="24"/>
            </w:rPr>
            <w:fldChar w:fldCharType="end"/>
          </w:r>
        </w:p>
        <w:p w14:paraId="1C4A7DD1">
          <w:pPr>
            <w:pStyle w:val="143"/>
            <w:tabs>
              <w:tab w:val="right" w:leader="dot" w:pos="8306"/>
            </w:tabs>
            <w:rPr>
              <w:rFonts w:hint="default" w:ascii="Times New Roman" w:hAnsi="Times New Roman" w:cs="Times New Roma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_Toc20301 </w:instrText>
          </w:r>
          <w:r>
            <w:rPr>
              <w:rFonts w:hint="default" w:ascii="Times New Roman" w:hAnsi="Times New Roman" w:cs="Times New Roman"/>
              <w:szCs w:val="24"/>
            </w:rPr>
            <w:fldChar w:fldCharType="separate"/>
          </w:r>
          <w:r>
            <w:rPr>
              <w:rFonts w:hint="default" w:ascii="Times New Roman" w:hAnsi="Times New Roman" w:cs="Times New Roman"/>
            </w:rPr>
            <w:t>2c. International Market Entry Modes Used by PepsiCo</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_Toc20301 \h </w:instrText>
          </w:r>
          <w:r>
            <w:rPr>
              <w:rFonts w:hint="default" w:ascii="Times New Roman" w:hAnsi="Times New Roman" w:cs="Times New Roman"/>
            </w:rPr>
            <w:fldChar w:fldCharType="separate"/>
          </w:r>
          <w:r>
            <w:rPr>
              <w:rFonts w:hint="default" w:ascii="Times New Roman" w:hAnsi="Times New Roman" w:cs="Times New Roman"/>
            </w:rPr>
            <w:t>6</w:t>
          </w:r>
          <w:r>
            <w:rPr>
              <w:rFonts w:hint="default" w:ascii="Times New Roman" w:hAnsi="Times New Roman" w:cs="Times New Roman"/>
            </w:rPr>
            <w:fldChar w:fldCharType="end"/>
          </w:r>
          <w:r>
            <w:rPr>
              <w:rFonts w:hint="default" w:ascii="Times New Roman" w:hAnsi="Times New Roman" w:cs="Times New Roman"/>
              <w:szCs w:val="24"/>
            </w:rPr>
            <w:fldChar w:fldCharType="end"/>
          </w:r>
        </w:p>
        <w:p w14:paraId="496EF24A">
          <w:pPr>
            <w:pStyle w:val="143"/>
            <w:tabs>
              <w:tab w:val="right" w:leader="dot" w:pos="8306"/>
            </w:tabs>
            <w:rPr>
              <w:rFonts w:hint="default" w:ascii="Times New Roman" w:hAnsi="Times New Roman" w:cs="Times New Roma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_Toc26461 </w:instrText>
          </w:r>
          <w:r>
            <w:rPr>
              <w:rFonts w:hint="default" w:ascii="Times New Roman" w:hAnsi="Times New Roman" w:cs="Times New Roman"/>
              <w:szCs w:val="24"/>
            </w:rPr>
            <w:fldChar w:fldCharType="separate"/>
          </w:r>
          <w:r>
            <w:rPr>
              <w:rFonts w:hint="default" w:ascii="Times New Roman" w:hAnsi="Times New Roman" w:cs="Times New Roman"/>
            </w:rPr>
            <w:t>2d. Key Benefits of International Operations for PepsiCo</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_Toc26461 \h </w:instrText>
          </w:r>
          <w:r>
            <w:rPr>
              <w:rFonts w:hint="default" w:ascii="Times New Roman" w:hAnsi="Times New Roman" w:cs="Times New Roman"/>
            </w:rPr>
            <w:fldChar w:fldCharType="separate"/>
          </w:r>
          <w:r>
            <w:rPr>
              <w:rFonts w:hint="default" w:ascii="Times New Roman" w:hAnsi="Times New Roman" w:cs="Times New Roman"/>
            </w:rPr>
            <w:t>7</w:t>
          </w:r>
          <w:r>
            <w:rPr>
              <w:rFonts w:hint="default" w:ascii="Times New Roman" w:hAnsi="Times New Roman" w:cs="Times New Roman"/>
            </w:rPr>
            <w:fldChar w:fldCharType="end"/>
          </w:r>
          <w:r>
            <w:rPr>
              <w:rFonts w:hint="default" w:ascii="Times New Roman" w:hAnsi="Times New Roman" w:cs="Times New Roman"/>
              <w:szCs w:val="24"/>
            </w:rPr>
            <w:fldChar w:fldCharType="end"/>
          </w:r>
        </w:p>
        <w:p w14:paraId="495E982D">
          <w:pPr>
            <w:pStyle w:val="142"/>
            <w:tabs>
              <w:tab w:val="right" w:leader="dot" w:pos="8306"/>
            </w:tabs>
            <w:rPr>
              <w:rFonts w:hint="default" w:ascii="Times New Roman" w:hAnsi="Times New Roman" w:cs="Times New Roma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_Toc16198 </w:instrText>
          </w:r>
          <w:r>
            <w:rPr>
              <w:rFonts w:hint="default" w:ascii="Times New Roman" w:hAnsi="Times New Roman" w:cs="Times New Roman"/>
              <w:szCs w:val="24"/>
            </w:rPr>
            <w:fldChar w:fldCharType="separate"/>
          </w:r>
          <w:r>
            <w:rPr>
              <w:rFonts w:hint="default" w:ascii="Times New Roman" w:hAnsi="Times New Roman" w:cs="Times New Roman"/>
              <w:szCs w:val="24"/>
            </w:rPr>
            <w:t>3. OLI Framework Analysis: Impact on Market Entry Mode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_Toc16198 \h </w:instrText>
          </w:r>
          <w:r>
            <w:rPr>
              <w:rFonts w:hint="default" w:ascii="Times New Roman" w:hAnsi="Times New Roman" w:cs="Times New Roman"/>
            </w:rPr>
            <w:fldChar w:fldCharType="separate"/>
          </w:r>
          <w:r>
            <w:rPr>
              <w:rFonts w:hint="default" w:ascii="Times New Roman" w:hAnsi="Times New Roman" w:cs="Times New Roman"/>
            </w:rPr>
            <w:t>8</w:t>
          </w:r>
          <w:r>
            <w:rPr>
              <w:rFonts w:hint="default" w:ascii="Times New Roman" w:hAnsi="Times New Roman" w:cs="Times New Roman"/>
            </w:rPr>
            <w:fldChar w:fldCharType="end"/>
          </w:r>
          <w:r>
            <w:rPr>
              <w:rFonts w:hint="default" w:ascii="Times New Roman" w:hAnsi="Times New Roman" w:cs="Times New Roman"/>
              <w:szCs w:val="24"/>
            </w:rPr>
            <w:fldChar w:fldCharType="end"/>
          </w:r>
        </w:p>
        <w:p w14:paraId="1CB956B0">
          <w:pPr>
            <w:pStyle w:val="142"/>
            <w:tabs>
              <w:tab w:val="right" w:leader="dot" w:pos="8306"/>
            </w:tabs>
            <w:rPr>
              <w:rFonts w:hint="default" w:ascii="Times New Roman" w:hAnsi="Times New Roman" w:cs="Times New Roma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_Toc26865 </w:instrText>
          </w:r>
          <w:r>
            <w:rPr>
              <w:rFonts w:hint="default" w:ascii="Times New Roman" w:hAnsi="Times New Roman" w:cs="Times New Roman"/>
              <w:szCs w:val="24"/>
            </w:rPr>
            <w:fldChar w:fldCharType="separate"/>
          </w:r>
          <w:r>
            <w:rPr>
              <w:rFonts w:hint="default" w:ascii="Times New Roman" w:hAnsi="Times New Roman" w:cs="Times New Roman"/>
              <w:bCs/>
              <w:szCs w:val="24"/>
            </w:rPr>
            <w:t>4. Critical Evaluation of Cultural Differences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_Toc26865 \h </w:instrText>
          </w:r>
          <w:r>
            <w:rPr>
              <w:rFonts w:hint="default" w:ascii="Times New Roman" w:hAnsi="Times New Roman" w:cs="Times New Roman"/>
            </w:rPr>
            <w:fldChar w:fldCharType="separate"/>
          </w:r>
          <w:r>
            <w:rPr>
              <w:rFonts w:hint="default" w:ascii="Times New Roman" w:hAnsi="Times New Roman" w:cs="Times New Roman"/>
            </w:rPr>
            <w:t>12</w:t>
          </w:r>
          <w:r>
            <w:rPr>
              <w:rFonts w:hint="default" w:ascii="Times New Roman" w:hAnsi="Times New Roman" w:cs="Times New Roman"/>
            </w:rPr>
            <w:fldChar w:fldCharType="end"/>
          </w:r>
          <w:r>
            <w:rPr>
              <w:rFonts w:hint="default" w:ascii="Times New Roman" w:hAnsi="Times New Roman" w:cs="Times New Roman"/>
              <w:szCs w:val="24"/>
            </w:rPr>
            <w:fldChar w:fldCharType="end"/>
          </w:r>
        </w:p>
        <w:p w14:paraId="77F46477">
          <w:pPr>
            <w:pStyle w:val="143"/>
            <w:tabs>
              <w:tab w:val="right" w:leader="dot" w:pos="8306"/>
            </w:tabs>
            <w:rPr>
              <w:rFonts w:hint="default" w:ascii="Times New Roman" w:hAnsi="Times New Roman" w:cs="Times New Roma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_Toc25260 </w:instrText>
          </w:r>
          <w:r>
            <w:rPr>
              <w:rFonts w:hint="default" w:ascii="Times New Roman" w:hAnsi="Times New Roman" w:cs="Times New Roman"/>
              <w:szCs w:val="24"/>
            </w:rPr>
            <w:fldChar w:fldCharType="separate"/>
          </w:r>
          <w:r>
            <w:rPr>
              <w:rFonts w:hint="default" w:ascii="Times New Roman" w:hAnsi="Times New Roman" w:cs="Times New Roman"/>
              <w:bCs/>
              <w:szCs w:val="24"/>
            </w:rPr>
            <w:t>Impact on Market Entry Strategy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_Toc25260 \h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szCs w:val="24"/>
            </w:rPr>
            <w:fldChar w:fldCharType="end"/>
          </w:r>
        </w:p>
        <w:p w14:paraId="341C43AF">
          <w:pPr>
            <w:pStyle w:val="143"/>
            <w:tabs>
              <w:tab w:val="right" w:leader="dot" w:pos="8306"/>
            </w:tabs>
            <w:rPr>
              <w:rFonts w:hint="default" w:ascii="Times New Roman" w:hAnsi="Times New Roman" w:cs="Times New Roma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_Toc12401 </w:instrText>
          </w:r>
          <w:r>
            <w:rPr>
              <w:rFonts w:hint="default" w:ascii="Times New Roman" w:hAnsi="Times New Roman" w:cs="Times New Roman"/>
              <w:szCs w:val="24"/>
            </w:rPr>
            <w:fldChar w:fldCharType="separate"/>
          </w:r>
          <w:r>
            <w:rPr>
              <w:rFonts w:hint="default" w:ascii="Times New Roman" w:hAnsi="Times New Roman" w:cs="Times New Roman"/>
              <w:bCs/>
              <w:szCs w:val="24"/>
            </w:rPr>
            <w:t>Impact on PepsiCo’s Potential for Success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_Toc12401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szCs w:val="24"/>
            </w:rPr>
            <w:fldChar w:fldCharType="end"/>
          </w:r>
        </w:p>
        <w:p w14:paraId="436D6E7C">
          <w:pPr>
            <w:pStyle w:val="142"/>
            <w:tabs>
              <w:tab w:val="right" w:leader="dot" w:pos="8306"/>
            </w:tabs>
            <w:rPr>
              <w:rFonts w:hint="default" w:ascii="Times New Roman" w:hAnsi="Times New Roman" w:cs="Times New Roma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_Toc30898 </w:instrText>
          </w:r>
          <w:r>
            <w:rPr>
              <w:rFonts w:hint="default" w:ascii="Times New Roman" w:hAnsi="Times New Roman" w:cs="Times New Roman"/>
              <w:szCs w:val="24"/>
            </w:rPr>
            <w:fldChar w:fldCharType="separate"/>
          </w:r>
          <w:r>
            <w:rPr>
              <w:rFonts w:hint="default" w:ascii="Times New Roman" w:hAnsi="Times New Roman" w:cs="Times New Roman"/>
            </w:rPr>
            <w:t>5. Recommendations: Adjustments to PepsiCo’s SOPs for India</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_Toc30898 \h </w:instrText>
          </w:r>
          <w:r>
            <w:rPr>
              <w:rFonts w:hint="default" w:ascii="Times New Roman" w:hAnsi="Times New Roman" w:cs="Times New Roman"/>
            </w:rPr>
            <w:fldChar w:fldCharType="separate"/>
          </w:r>
          <w:r>
            <w:rPr>
              <w:rFonts w:hint="default" w:ascii="Times New Roman" w:hAnsi="Times New Roman" w:cs="Times New Roman"/>
            </w:rPr>
            <w:t>16</w:t>
          </w:r>
          <w:r>
            <w:rPr>
              <w:rFonts w:hint="default" w:ascii="Times New Roman" w:hAnsi="Times New Roman" w:cs="Times New Roman"/>
            </w:rPr>
            <w:fldChar w:fldCharType="end"/>
          </w:r>
          <w:r>
            <w:rPr>
              <w:rFonts w:hint="default" w:ascii="Times New Roman" w:hAnsi="Times New Roman" w:cs="Times New Roman"/>
              <w:szCs w:val="24"/>
            </w:rPr>
            <w:fldChar w:fldCharType="end"/>
          </w:r>
        </w:p>
        <w:p w14:paraId="2BFFBFF2">
          <w:pPr>
            <w:pStyle w:val="143"/>
            <w:tabs>
              <w:tab w:val="right" w:leader="dot" w:pos="8306"/>
            </w:tabs>
            <w:rPr>
              <w:rFonts w:hint="default" w:ascii="Times New Roman" w:hAnsi="Times New Roman" w:cs="Times New Roma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_Toc9203 </w:instrText>
          </w:r>
          <w:r>
            <w:rPr>
              <w:rFonts w:hint="default" w:ascii="Times New Roman" w:hAnsi="Times New Roman" w:cs="Times New Roman"/>
              <w:szCs w:val="24"/>
            </w:rPr>
            <w:fldChar w:fldCharType="separate"/>
          </w:r>
          <w:r>
            <w:rPr>
              <w:rFonts w:hint="default" w:ascii="Times New Roman" w:hAnsi="Times New Roman" w:cs="Times New Roman"/>
            </w:rPr>
            <w:t>Recommendation 1: Localised Product Development SOP Adjustment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_Toc9203 \h </w:instrText>
          </w:r>
          <w:r>
            <w:rPr>
              <w:rFonts w:hint="default" w:ascii="Times New Roman" w:hAnsi="Times New Roman" w:cs="Times New Roman"/>
            </w:rPr>
            <w:fldChar w:fldCharType="separate"/>
          </w:r>
          <w:r>
            <w:rPr>
              <w:rFonts w:hint="default" w:ascii="Times New Roman" w:hAnsi="Times New Roman" w:cs="Times New Roman"/>
            </w:rPr>
            <w:t>16</w:t>
          </w:r>
          <w:r>
            <w:rPr>
              <w:rFonts w:hint="default" w:ascii="Times New Roman" w:hAnsi="Times New Roman" w:cs="Times New Roman"/>
            </w:rPr>
            <w:fldChar w:fldCharType="end"/>
          </w:r>
          <w:r>
            <w:rPr>
              <w:rFonts w:hint="default" w:ascii="Times New Roman" w:hAnsi="Times New Roman" w:cs="Times New Roman"/>
              <w:szCs w:val="24"/>
            </w:rPr>
            <w:fldChar w:fldCharType="end"/>
          </w:r>
        </w:p>
        <w:p w14:paraId="25044668">
          <w:pPr>
            <w:pStyle w:val="143"/>
            <w:tabs>
              <w:tab w:val="right" w:leader="dot" w:pos="8306"/>
            </w:tabs>
            <w:rPr>
              <w:rFonts w:hint="default" w:ascii="Times New Roman" w:hAnsi="Times New Roman" w:cs="Times New Roma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_Toc3091 </w:instrText>
          </w:r>
          <w:r>
            <w:rPr>
              <w:rFonts w:hint="default" w:ascii="Times New Roman" w:hAnsi="Times New Roman" w:cs="Times New Roman"/>
              <w:szCs w:val="24"/>
            </w:rPr>
            <w:fldChar w:fldCharType="separate"/>
          </w:r>
          <w:r>
            <w:rPr>
              <w:rFonts w:hint="default" w:ascii="Times New Roman" w:hAnsi="Times New Roman" w:cs="Times New Roman"/>
            </w:rPr>
            <w:t>Recommendation 2: Supply Chain and Sourcing SOP Enhancement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_Toc3091 \h </w:instrText>
          </w:r>
          <w:r>
            <w:rPr>
              <w:rFonts w:hint="default" w:ascii="Times New Roman" w:hAnsi="Times New Roman" w:cs="Times New Roman"/>
            </w:rPr>
            <w:fldChar w:fldCharType="separate"/>
          </w:r>
          <w:r>
            <w:rPr>
              <w:rFonts w:hint="default" w:ascii="Times New Roman" w:hAnsi="Times New Roman" w:cs="Times New Roman"/>
            </w:rPr>
            <w:t>17</w:t>
          </w:r>
          <w:r>
            <w:rPr>
              <w:rFonts w:hint="default" w:ascii="Times New Roman" w:hAnsi="Times New Roman" w:cs="Times New Roman"/>
            </w:rPr>
            <w:fldChar w:fldCharType="end"/>
          </w:r>
          <w:r>
            <w:rPr>
              <w:rFonts w:hint="default" w:ascii="Times New Roman" w:hAnsi="Times New Roman" w:cs="Times New Roman"/>
              <w:szCs w:val="24"/>
            </w:rPr>
            <w:fldChar w:fldCharType="end"/>
          </w:r>
        </w:p>
        <w:p w14:paraId="1831AC42">
          <w:pPr>
            <w:pStyle w:val="143"/>
            <w:tabs>
              <w:tab w:val="right" w:leader="dot" w:pos="8306"/>
            </w:tabs>
            <w:rPr>
              <w:rFonts w:hint="default" w:ascii="Times New Roman" w:hAnsi="Times New Roman" w:cs="Times New Roma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_Toc29757 </w:instrText>
          </w:r>
          <w:r>
            <w:rPr>
              <w:rFonts w:hint="default" w:ascii="Times New Roman" w:hAnsi="Times New Roman" w:cs="Times New Roman"/>
              <w:szCs w:val="24"/>
            </w:rPr>
            <w:fldChar w:fldCharType="separate"/>
          </w:r>
          <w:r>
            <w:rPr>
              <w:rFonts w:hint="default" w:ascii="Times New Roman" w:hAnsi="Times New Roman" w:cs="Times New Roman"/>
            </w:rPr>
            <w:t>Recommendation 3: Marketing and HR SOP Adaptations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_Toc29757 \h </w:instrText>
          </w:r>
          <w:r>
            <w:rPr>
              <w:rFonts w:hint="default" w:ascii="Times New Roman" w:hAnsi="Times New Roman" w:cs="Times New Roman"/>
            </w:rPr>
            <w:fldChar w:fldCharType="separate"/>
          </w:r>
          <w:r>
            <w:rPr>
              <w:rFonts w:hint="default" w:ascii="Times New Roman" w:hAnsi="Times New Roman" w:cs="Times New Roman"/>
            </w:rPr>
            <w:t>18</w:t>
          </w:r>
          <w:r>
            <w:rPr>
              <w:rFonts w:hint="default" w:ascii="Times New Roman" w:hAnsi="Times New Roman" w:cs="Times New Roman"/>
            </w:rPr>
            <w:fldChar w:fldCharType="end"/>
          </w:r>
          <w:r>
            <w:rPr>
              <w:rFonts w:hint="default" w:ascii="Times New Roman" w:hAnsi="Times New Roman" w:cs="Times New Roman"/>
              <w:szCs w:val="24"/>
            </w:rPr>
            <w:fldChar w:fldCharType="end"/>
          </w:r>
        </w:p>
        <w:p w14:paraId="3C8D2F62">
          <w:pPr>
            <w:pStyle w:val="142"/>
            <w:tabs>
              <w:tab w:val="right" w:leader="dot" w:pos="8306"/>
            </w:tabs>
            <w:rPr>
              <w:rFonts w:hint="default" w:ascii="Times New Roman" w:hAnsi="Times New Roman" w:cs="Times New Roma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_Toc32654 </w:instrText>
          </w:r>
          <w:r>
            <w:rPr>
              <w:rFonts w:hint="default" w:ascii="Times New Roman" w:hAnsi="Times New Roman" w:cs="Times New Roman"/>
              <w:szCs w:val="24"/>
            </w:rPr>
            <w:fldChar w:fldCharType="separate"/>
          </w:r>
          <w:r>
            <w:rPr>
              <w:rFonts w:hint="default" w:ascii="Times New Roman" w:hAnsi="Times New Roman" w:cs="Times New Roman"/>
            </w:rPr>
            <w:t>6. Conclusion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_Toc32654 \h </w:instrText>
          </w:r>
          <w:r>
            <w:rPr>
              <w:rFonts w:hint="default" w:ascii="Times New Roman" w:hAnsi="Times New Roman" w:cs="Times New Roman"/>
            </w:rPr>
            <w:fldChar w:fldCharType="separate"/>
          </w:r>
          <w:r>
            <w:rPr>
              <w:rFonts w:hint="default" w:ascii="Times New Roman" w:hAnsi="Times New Roman" w:cs="Times New Roman"/>
            </w:rPr>
            <w:t>19</w:t>
          </w:r>
          <w:r>
            <w:rPr>
              <w:rFonts w:hint="default" w:ascii="Times New Roman" w:hAnsi="Times New Roman" w:cs="Times New Roman"/>
            </w:rPr>
            <w:fldChar w:fldCharType="end"/>
          </w:r>
          <w:r>
            <w:rPr>
              <w:rFonts w:hint="default" w:ascii="Times New Roman" w:hAnsi="Times New Roman" w:cs="Times New Roman"/>
              <w:szCs w:val="24"/>
            </w:rPr>
            <w:fldChar w:fldCharType="end"/>
          </w:r>
        </w:p>
        <w:p w14:paraId="5285E530">
          <w:pPr>
            <w:pStyle w:val="142"/>
            <w:tabs>
              <w:tab w:val="right" w:leader="dot" w:pos="8306"/>
            </w:tabs>
            <w:rPr>
              <w:rFonts w:hint="default" w:ascii="Times New Roman" w:hAnsi="Times New Roman" w:cs="Times New Roma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_Toc25051 </w:instrText>
          </w:r>
          <w:r>
            <w:rPr>
              <w:rFonts w:hint="default" w:ascii="Times New Roman" w:hAnsi="Times New Roman" w:cs="Times New Roman"/>
              <w:szCs w:val="24"/>
            </w:rPr>
            <w:fldChar w:fldCharType="separate"/>
          </w:r>
          <w:r>
            <w:rPr>
              <w:rFonts w:hint="default" w:ascii="Times New Roman" w:hAnsi="Times New Roman" w:cs="Times New Roman"/>
            </w:rPr>
            <w:t>7. References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_Toc25051 \h </w:instrText>
          </w:r>
          <w:r>
            <w:rPr>
              <w:rFonts w:hint="default" w:ascii="Times New Roman" w:hAnsi="Times New Roman" w:cs="Times New Roman"/>
            </w:rPr>
            <w:fldChar w:fldCharType="separate"/>
          </w:r>
          <w:r>
            <w:rPr>
              <w:rFonts w:hint="default" w:ascii="Times New Roman" w:hAnsi="Times New Roman" w:cs="Times New Roman"/>
            </w:rPr>
            <w:t>20</w:t>
          </w:r>
          <w:r>
            <w:rPr>
              <w:rFonts w:hint="default" w:ascii="Times New Roman" w:hAnsi="Times New Roman" w:cs="Times New Roman"/>
            </w:rPr>
            <w:fldChar w:fldCharType="end"/>
          </w:r>
          <w:r>
            <w:rPr>
              <w:rFonts w:hint="default" w:ascii="Times New Roman" w:hAnsi="Times New Roman" w:cs="Times New Roman"/>
              <w:szCs w:val="24"/>
            </w:rPr>
            <w:fldChar w:fldCharType="end"/>
          </w:r>
        </w:p>
        <w:p w14:paraId="21D00B68">
          <w:pPr>
            <w:rPr>
              <w:b/>
            </w:rPr>
          </w:pPr>
          <w:r>
            <w:rPr>
              <w:rFonts w:hint="default" w:ascii="Times New Roman" w:hAnsi="Times New Roman" w:cs="Times New Roman"/>
              <w:szCs w:val="24"/>
            </w:rPr>
            <w:fldChar w:fldCharType="end"/>
          </w:r>
        </w:p>
      </w:sdtContent>
    </w:sdt>
    <w:p w14:paraId="20435866">
      <w:pPr>
        <w:rPr>
          <w:b/>
        </w:rPr>
      </w:pPr>
    </w:p>
    <w:p w14:paraId="2E13A0DB">
      <w:pPr>
        <w:rPr>
          <w:b/>
        </w:rPr>
      </w:pPr>
      <w:r>
        <w:rPr>
          <w:b/>
        </w:rPr>
        <w:br w:type="page"/>
      </w:r>
    </w:p>
    <w:p w14:paraId="0E90D5D5">
      <w:pPr>
        <w:rPr>
          <w:b/>
        </w:rPr>
      </w:pPr>
    </w:p>
    <w:p w14:paraId="1DBFAF6A">
      <w:pPr>
        <w:pStyle w:val="2"/>
      </w:pPr>
      <w:bookmarkStart w:id="0" w:name="_Toc21289"/>
      <w:r>
        <w:t>Introduction</w:t>
      </w:r>
      <w:bookmarkEnd w:id="0"/>
      <w:r>
        <w:t xml:space="preserve"> </w:t>
      </w:r>
    </w:p>
    <w:p w14:paraId="6C1A7F34">
      <w:pPr>
        <w:pStyle w:val="85"/>
        <w:spacing w:line="360" w:lineRule="auto"/>
        <w:jc w:val="both"/>
      </w:pPr>
      <w:r>
        <w:rPr>
          <w:rFonts w:hint="default"/>
        </w:rPr>
        <w:t xml:space="preserve">PepsiCo UK is a subsidiary company of PepsiCo Inc., a large international company that handles food and beverages. As a multinational organization with a presence in more than 200 countries, PepsiCo plays an important role in the global value chains and competitive processes, as well as global consumer markets </w:t>
      </w:r>
      <w:r>
        <w:rPr>
          <w:rFonts w:hint="default"/>
          <w:lang w:val="en-US"/>
        </w:rPr>
        <w:t>(</w:t>
      </w:r>
      <w:r>
        <w:rPr>
          <w:rFonts w:hint="default"/>
        </w:rPr>
        <w:t>PepsiCo</w:t>
      </w:r>
      <w:r>
        <w:rPr>
          <w:rFonts w:hint="default"/>
          <w:lang w:val="en-US"/>
        </w:rPr>
        <w:t xml:space="preserve">, </w:t>
      </w:r>
      <w:r>
        <w:rPr>
          <w:rFonts w:hint="default"/>
        </w:rPr>
        <w:t xml:space="preserve">2025). Its combined business and diversified position presents broader tendencies in the global business whereby multinational companies increasingly rely on cross-border production, market development and worldwide supply chains to keep growing </w:t>
      </w:r>
      <w:r>
        <w:rPr>
          <w:rFonts w:hint="default"/>
          <w:lang w:val="en-US"/>
        </w:rPr>
        <w:t>(</w:t>
      </w:r>
      <w:r>
        <w:rPr>
          <w:rFonts w:hint="default"/>
        </w:rPr>
        <w:t>GreyB</w:t>
      </w:r>
      <w:r>
        <w:rPr>
          <w:rFonts w:hint="default"/>
          <w:lang w:val="en-US"/>
        </w:rPr>
        <w:t xml:space="preserve">, </w:t>
      </w:r>
      <w:r>
        <w:rPr>
          <w:rFonts w:hint="default"/>
        </w:rPr>
        <w:t>2025). This consultancy report will examine the international business of PepsiCo UK with specific focus to its operations in India, which has been one dominant emerging economy with enormous market opportunities. The report draws parallels between benefits and challenges of internationalization, applies the OLI model, analyses the cultural diversities, and recommends operational changes. The framework possesses a logical progression of these notable analytical components</w:t>
      </w:r>
      <w:r>
        <w:t>.</w:t>
      </w:r>
    </w:p>
    <w:p w14:paraId="59078812">
      <w:pPr>
        <w:pStyle w:val="2"/>
      </w:pPr>
      <w:bookmarkStart w:id="1" w:name="_Toc31316"/>
      <w:r>
        <w:t>Benefits and Challenges of International Operations</w:t>
      </w:r>
      <w:bookmarkEnd w:id="1"/>
      <w:r>
        <w:t xml:space="preserve"> </w:t>
      </w:r>
    </w:p>
    <w:p w14:paraId="751F7334">
      <w:pPr>
        <w:pStyle w:val="3"/>
      </w:pPr>
      <w:bookmarkStart w:id="2" w:name="_Toc16513"/>
      <w:r>
        <w:t>2a. Justification of PepsiCo UK as an MNC/TNC</w:t>
      </w:r>
      <w:bookmarkEnd w:id="2"/>
    </w:p>
    <w:p w14:paraId="6469DF76">
      <w:pPr>
        <w:pStyle w:val="85"/>
        <w:spacing w:line="360" w:lineRule="auto"/>
        <w:jc w:val="both"/>
        <w:rPr>
          <w:rFonts w:hint="default"/>
        </w:rPr>
      </w:pPr>
      <w:r>
        <w:rPr>
          <w:rFonts w:hint="default"/>
        </w:rPr>
        <w:t xml:space="preserve">Multinational corporations (MNCs) are businesses that usually align production, marketing and distribution operations in two or more countries but remain centrally coordinated in terms of strategic framework (Dunning and Lundan, 2020). PepsiCo UK can easily be described using this definition because it is a subsidiary of a larger corporation in the food and beverages business PepsiCo Inc. which operates in over 200 countries and territories. PepsiCo earned global net revenues of 91.5 billion and had a workforce of about 318,000 employees globally in 2023, which demonstrate the size and globalization of an MNC </w:t>
      </w:r>
      <w:r>
        <w:rPr>
          <w:rFonts w:hint="default"/>
          <w:lang w:val="en-US"/>
        </w:rPr>
        <w:t>(</w:t>
      </w:r>
      <w:r>
        <w:rPr>
          <w:rFonts w:hint="default"/>
        </w:rPr>
        <w:t>PepsiCo UK</w:t>
      </w:r>
      <w:r>
        <w:rPr>
          <w:rFonts w:hint="default"/>
          <w:lang w:val="en-US"/>
        </w:rPr>
        <w:t xml:space="preserve">, </w:t>
      </w:r>
      <w:r>
        <w:rPr>
          <w:rFonts w:hint="default"/>
        </w:rPr>
        <w:t>2025).</w:t>
      </w:r>
    </w:p>
    <w:p w14:paraId="1308008A">
      <w:pPr>
        <w:pStyle w:val="85"/>
        <w:spacing w:line="360" w:lineRule="auto"/>
        <w:jc w:val="center"/>
      </w:pPr>
      <w:r>
        <w:drawing>
          <wp:inline distT="0" distB="0" distL="114300" distR="114300">
            <wp:extent cx="5267960" cy="3121025"/>
            <wp:effectExtent l="0" t="0" r="889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5"/>
                    <a:stretch>
                      <a:fillRect/>
                    </a:stretch>
                  </pic:blipFill>
                  <pic:spPr>
                    <a:xfrm>
                      <a:off x="0" y="0"/>
                      <a:ext cx="5267960" cy="3121025"/>
                    </a:xfrm>
                    <a:prstGeom prst="rect">
                      <a:avLst/>
                    </a:prstGeom>
                    <a:noFill/>
                    <a:ln>
                      <a:noFill/>
                    </a:ln>
                  </pic:spPr>
                </pic:pic>
              </a:graphicData>
            </a:graphic>
          </wp:inline>
        </w:drawing>
      </w:r>
    </w:p>
    <w:p w14:paraId="4B061AD2">
      <w:pPr>
        <w:pStyle w:val="85"/>
        <w:keepNext w:val="0"/>
        <w:keepLines w:val="0"/>
        <w:widowControl/>
        <w:suppressLineNumbers w:val="0"/>
        <w:jc w:val="center"/>
        <w:rPr>
          <w:rFonts w:hint="default"/>
          <w:lang w:val="en-US"/>
        </w:rPr>
      </w:pPr>
      <w:r>
        <w:rPr>
          <w:b w:val="0"/>
          <w:bCs w:val="0"/>
        </w:rPr>
        <w:t xml:space="preserve">Figure </w:t>
      </w:r>
      <w:r>
        <w:rPr>
          <w:b w:val="0"/>
          <w:bCs w:val="0"/>
        </w:rPr>
        <w:fldChar w:fldCharType="begin"/>
      </w:r>
      <w:r>
        <w:rPr>
          <w:b w:val="0"/>
          <w:bCs w:val="0"/>
        </w:rPr>
        <w:instrText xml:space="preserve"> SEQ Figure \* ARABIC </w:instrText>
      </w:r>
      <w:r>
        <w:rPr>
          <w:b w:val="0"/>
          <w:bCs w:val="0"/>
        </w:rPr>
        <w:fldChar w:fldCharType="separate"/>
      </w:r>
      <w:r>
        <w:rPr>
          <w:b w:val="0"/>
          <w:bCs w:val="0"/>
        </w:rPr>
        <w:t>1</w:t>
      </w:r>
      <w:r>
        <w:rPr>
          <w:b w:val="0"/>
          <w:bCs w:val="0"/>
        </w:rPr>
        <w:fldChar w:fldCharType="end"/>
      </w:r>
      <w:r>
        <w:rPr>
          <w:rFonts w:hint="default"/>
          <w:b w:val="0"/>
          <w:bCs w:val="0"/>
          <w:lang w:val="en-US"/>
        </w:rPr>
        <w:t xml:space="preserve">: </w:t>
      </w:r>
      <w:r>
        <w:rPr>
          <w:rStyle w:val="92"/>
          <w:b w:val="0"/>
          <w:bCs w:val="0"/>
        </w:rPr>
        <w:t>PepsiCo Global and UK Operational Indicators</w:t>
      </w:r>
    </w:p>
    <w:p w14:paraId="661B8E9F">
      <w:pPr>
        <w:pStyle w:val="85"/>
        <w:spacing w:line="360" w:lineRule="auto"/>
        <w:jc w:val="both"/>
        <w:rPr>
          <w:rFonts w:hint="default"/>
        </w:rPr>
      </w:pPr>
      <w:r>
        <w:rPr>
          <w:rFonts w:hint="default"/>
        </w:rPr>
        <w:t>PepsiCo UK is a strategically significant part of PepsiCo in Europe. The subsidiary operates 13 UK-based manufacturing plants, utilizes more than 4,000 human resources directly, and promotes approximately 13,500 opportunities via its value chain (PepsiCo UK, 202</w:t>
      </w:r>
      <w:r>
        <w:rPr>
          <w:rFonts w:hint="default"/>
          <w:lang w:val="en-US"/>
        </w:rPr>
        <w:t>5</w:t>
      </w:r>
      <w:r>
        <w:rPr>
          <w:rFonts w:hint="default"/>
        </w:rPr>
        <w:t xml:space="preserve">). It is a major overseer of production and marketing of major international and regional brands including Walkers, Pepsi-Cola, Doritos and Quaker Oats. The UK crisps market is dominated by Walkers which makes up about 56 percent of the market, underscoring the popularity of the subsidiary in the local market in addition to leveraging world renown brands </w:t>
      </w:r>
      <w:r>
        <w:rPr>
          <w:rFonts w:hint="default"/>
          <w:lang w:val="en-US"/>
        </w:rPr>
        <w:t>(</w:t>
      </w:r>
      <w:r>
        <w:rPr>
          <w:rFonts w:hint="default"/>
        </w:rPr>
        <w:t xml:space="preserve">Robinson, 2024). </w:t>
      </w:r>
    </w:p>
    <w:p w14:paraId="2D890B11">
      <w:pPr>
        <w:pStyle w:val="85"/>
        <w:spacing w:line="360" w:lineRule="auto"/>
        <w:jc w:val="both"/>
      </w:pPr>
      <w:r>
        <w:t>PepsiCo UK is closely connected to the global systems of PepsiCo, such as shared research and development through over 20 global innovation centres, centralised procurement using an estimated annual purchase of raw materials of about 45 billion, and online platforms contributing to e-commerce sales of 11 billion in 2023 (PepsiCo, 202</w:t>
      </w:r>
      <w:r>
        <w:rPr>
          <w:rFonts w:hint="default"/>
          <w:lang w:val="en-US"/>
        </w:rPr>
        <w:t>5</w:t>
      </w:r>
      <w:r>
        <w:t>).</w:t>
      </w:r>
      <w:r>
        <w:rPr>
          <w:rFonts w:hint="default"/>
        </w:rPr>
        <w:t xml:space="preserve"> Other sustainability projects like the PepsiCo Positive (pep+) programme that aims at achieving net-zero by 2040 continually demonstrate the integration of strategic goals across the borders (PepsiCo, 2025). The multinational integrated approach to value creation can be seen in the case of PepsiCo UK and in its supply chain operations. With more than 350 farmers across the UK, the subsidiary purchases approximately 130,000 tonnes of British potatoes every year and enjoys global brand equity worth up to 18.2 billion, by itself the Pepsi brand </w:t>
      </w:r>
      <w:r>
        <w:rPr>
          <w:rFonts w:hint="default"/>
          <w:lang w:val="en-US"/>
        </w:rPr>
        <w:t>(</w:t>
      </w:r>
      <w:r>
        <w:rPr>
          <w:rFonts w:hint="default"/>
        </w:rPr>
        <w:t>PotatoPro</w:t>
      </w:r>
      <w:r>
        <w:rPr>
          <w:rFonts w:hint="default"/>
          <w:lang w:val="en-US"/>
        </w:rPr>
        <w:t xml:space="preserve">, </w:t>
      </w:r>
      <w:r>
        <w:rPr>
          <w:rFonts w:hint="default"/>
        </w:rPr>
        <w:t>2025). Altogether, the example of PepsiCo UK illustrates how the concept of transnational subsidiaries can be used to create a local responsiveness with global efficiency, which proves their classification as a part of a complex multinationals</w:t>
      </w:r>
      <w:r>
        <w:t>.</w:t>
      </w:r>
    </w:p>
    <w:p w14:paraId="2548E124">
      <w:pPr>
        <w:pStyle w:val="3"/>
        <w:rPr>
          <w:rFonts w:hint="default"/>
        </w:rPr>
      </w:pPr>
      <w:bookmarkStart w:id="3" w:name="_Toc30110"/>
      <w:r>
        <w:t>2b. Nature of PepsiCo’s Global Value Chain</w:t>
      </w:r>
      <w:bookmarkEnd w:id="3"/>
    </w:p>
    <w:p w14:paraId="34579328">
      <w:pPr>
        <w:pStyle w:val="85"/>
        <w:spacing w:line="360" w:lineRule="auto"/>
        <w:jc w:val="both"/>
        <w:rPr>
          <w:rFonts w:hint="default"/>
        </w:rPr>
      </w:pPr>
      <w:r>
        <w:rPr>
          <w:rFonts w:hint="default"/>
        </w:rPr>
        <w:t>The global value chain of PepsiCo is an integrated network that includes research and development, sourcing material, manufacturing, marketing, distribution and financial coordination. The company operates in 200+ countries and has 600+ manufacturing plants, employs 318,000 individuals and earned 91.5 billion revenue in 2023, which makes it efficient, risk-diverse and responsive to local markets (PepsiCo Annual Report, 202</w:t>
      </w:r>
      <w:r>
        <w:rPr>
          <w:rFonts w:hint="default"/>
          <w:lang w:val="en-US"/>
        </w:rPr>
        <w:t>5</w:t>
      </w:r>
      <w:r>
        <w:rPr>
          <w:rFonts w:hint="default"/>
        </w:rPr>
        <w:t>).</w:t>
      </w:r>
    </w:p>
    <w:p w14:paraId="277BD692">
      <w:pPr>
        <w:pStyle w:val="85"/>
        <w:spacing w:line="360" w:lineRule="auto"/>
        <w:jc w:val="both"/>
      </w:pPr>
      <w:r>
        <w:drawing>
          <wp:inline distT="0" distB="0" distL="114300" distR="114300">
            <wp:extent cx="5271135" cy="2756535"/>
            <wp:effectExtent l="0" t="0" r="571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6"/>
                    <a:stretch>
                      <a:fillRect/>
                    </a:stretch>
                  </pic:blipFill>
                  <pic:spPr>
                    <a:xfrm>
                      <a:off x="0" y="0"/>
                      <a:ext cx="5271135" cy="2756535"/>
                    </a:xfrm>
                    <a:prstGeom prst="rect">
                      <a:avLst/>
                    </a:prstGeom>
                    <a:noFill/>
                    <a:ln>
                      <a:noFill/>
                    </a:ln>
                  </pic:spPr>
                </pic:pic>
              </a:graphicData>
            </a:graphic>
          </wp:inline>
        </w:drawing>
      </w:r>
    </w:p>
    <w:p w14:paraId="05EA6FE5">
      <w:pPr>
        <w:pStyle w:val="23"/>
        <w:spacing w:line="360" w:lineRule="auto"/>
        <w:jc w:val="center"/>
        <w:rPr>
          <w:rFonts w:hint="default"/>
          <w:lang w:val="en-US"/>
        </w:rPr>
      </w:pPr>
      <w:r>
        <w:t xml:space="preserve">Figure </w:t>
      </w:r>
      <w:r>
        <w:fldChar w:fldCharType="begin"/>
      </w:r>
      <w:r>
        <w:instrText xml:space="preserve"> SEQ Figure \* ARABIC </w:instrText>
      </w:r>
      <w:r>
        <w:fldChar w:fldCharType="separate"/>
      </w:r>
      <w:r>
        <w:t>2</w:t>
      </w:r>
      <w:r>
        <w:fldChar w:fldCharType="end"/>
      </w:r>
      <w:r>
        <w:rPr>
          <w:rFonts w:hint="default"/>
          <w:lang w:val="en-US"/>
        </w:rPr>
        <w:t>: PEPSICO Segments</w:t>
      </w:r>
    </w:p>
    <w:p w14:paraId="743A5A5A">
      <w:pPr>
        <w:pStyle w:val="85"/>
        <w:spacing w:line="360" w:lineRule="auto"/>
        <w:jc w:val="both"/>
        <w:rPr>
          <w:rFonts w:hint="default"/>
        </w:rPr>
      </w:pPr>
      <w:r>
        <w:rPr>
          <w:rFonts w:hint="default"/>
        </w:rPr>
        <w:t>Innovation is consisted of 20+ R&amp;D centres worldwide with approximately 5000 experts, with annual R&amp;D expenditure of $850 million. The centres facilitate the localisation process, with the example of India-based exploration of the Lay Magic Masala and Kurkure that generate over 1,200 crores</w:t>
      </w:r>
      <w:r>
        <w:rPr>
          <w:rFonts w:hint="default"/>
          <w:lang w:val="en-US"/>
        </w:rPr>
        <w:t xml:space="preserve"> INR </w:t>
      </w:r>
      <w:r>
        <w:rPr>
          <w:rFonts w:hint="default"/>
        </w:rPr>
        <w:t xml:space="preserve">(144 million) per year combined </w:t>
      </w:r>
      <w:r>
        <w:rPr>
          <w:rFonts w:hint="default"/>
          <w:lang w:val="en-US"/>
        </w:rPr>
        <w:t>(</w:t>
      </w:r>
      <w:r>
        <w:rPr>
          <w:rFonts w:hint="default"/>
        </w:rPr>
        <w:t>Hoferer, 2024). Supplies are procured in 60 countries where PepsiCo has 100,000 or more farmers, and they spend a total of 45 billion buying raw materials annually, making inputs volatile less important and supply more resilient (PepsiCo Sustainability Report, 202</w:t>
      </w:r>
      <w:r>
        <w:rPr>
          <w:rFonts w:hint="default"/>
          <w:lang w:val="en-US"/>
        </w:rPr>
        <w:t>5</w:t>
      </w:r>
      <w:r>
        <w:rPr>
          <w:rFonts w:hint="default"/>
        </w:rPr>
        <w:t>).</w:t>
      </w:r>
    </w:p>
    <w:p w14:paraId="69C2A292">
      <w:pPr>
        <w:pStyle w:val="85"/>
        <w:spacing w:line="360" w:lineRule="auto"/>
        <w:jc w:val="both"/>
      </w:pPr>
      <w:r>
        <w:rPr>
          <w:rFonts w:hint="default"/>
        </w:rPr>
        <w:t>The geographical placement of manufacturing activities, the presence of Indian plants close to agricultural areas, allow cutting logistics costs with up to 18 percent, making the manufacturing process more responsive (Economic Times, 2022).</w:t>
      </w:r>
      <w:r>
        <w:rPr>
          <w:rFonts w:hint="default"/>
          <w:lang w:val="en-US"/>
        </w:rPr>
        <w:t xml:space="preserve"> </w:t>
      </w:r>
      <w:r>
        <w:rPr>
          <w:rFonts w:hint="default"/>
        </w:rPr>
        <w:t xml:space="preserve">Distribution combines international logistical operations with local distribution, serving 3.7 million retail stores globally, half a million in India plus, supported by digital route optimisation that saved the company 22% in costs of delivery (PwC India, 2023). Centralised treasury, access to global capital and access to currency hedge plays an additional role in efficiency. </w:t>
      </w:r>
    </w:p>
    <w:p w14:paraId="4E06F947">
      <w:pPr>
        <w:pStyle w:val="3"/>
      </w:pPr>
      <w:bookmarkStart w:id="4" w:name="_Toc20301"/>
      <w:r>
        <w:t>2c. International Market Entry Modes Used by PepsiCo</w:t>
      </w:r>
      <w:bookmarkEnd w:id="4"/>
    </w:p>
    <w:p w14:paraId="1FB9A26A">
      <w:pPr>
        <w:pStyle w:val="85"/>
        <w:spacing w:line="360" w:lineRule="auto"/>
        <w:jc w:val="both"/>
        <w:rPr>
          <w:rFonts w:hint="default"/>
        </w:rPr>
      </w:pPr>
      <w:r>
        <w:rPr>
          <w:rFonts w:hint="default"/>
        </w:rPr>
        <w:t>PepsiCo international expansion strategy involves joint ventures, fully owned subsidiaries, franchising and strategic alliance, flexible approach depending on the institutes. According to the academic literature, MNCs tend to use various entry modes based on the regulatory restrictions, market uncertainty and resource endowment, and this model fits perfectly PepsiCo strategy</w:t>
      </w:r>
      <w:r>
        <w:rPr>
          <w:rFonts w:hint="default"/>
          <w:lang w:val="en-US"/>
        </w:rPr>
        <w:t xml:space="preserve"> (</w:t>
      </w:r>
      <w:r>
        <w:rPr>
          <w:rFonts w:hint="default"/>
        </w:rPr>
        <w:t>LiveWell</w:t>
      </w:r>
      <w:r>
        <w:rPr>
          <w:rFonts w:hint="default"/>
          <w:lang w:val="en-US"/>
        </w:rPr>
        <w:t xml:space="preserve">, </w:t>
      </w:r>
      <w:r>
        <w:rPr>
          <w:rFonts w:hint="default"/>
        </w:rPr>
        <w:t>2024).</w:t>
      </w:r>
    </w:p>
    <w:p w14:paraId="110ADB68">
      <w:pPr>
        <w:pStyle w:val="85"/>
        <w:spacing w:line="360" w:lineRule="auto"/>
        <w:jc w:val="both"/>
        <w:rPr>
          <w:rFonts w:ascii="SimSun" w:hAnsi="SimSun" w:eastAsia="SimSun" w:cs="SimSun"/>
          <w:sz w:val="24"/>
          <w:szCs w:val="24"/>
        </w:rPr>
      </w:pPr>
      <w:r>
        <w:rPr>
          <w:rFonts w:ascii="SimSun" w:hAnsi="SimSun" w:eastAsia="SimSun" w:cs="SimSun"/>
          <w:sz w:val="24"/>
          <w:szCs w:val="24"/>
        </w:rPr>
        <w:drawing>
          <wp:inline distT="0" distB="0" distL="114300" distR="114300">
            <wp:extent cx="4290060" cy="2889250"/>
            <wp:effectExtent l="0" t="0" r="15240" b="6350"/>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7"/>
                    <a:stretch>
                      <a:fillRect/>
                    </a:stretch>
                  </pic:blipFill>
                  <pic:spPr>
                    <a:xfrm>
                      <a:off x="0" y="0"/>
                      <a:ext cx="4290060" cy="2889250"/>
                    </a:xfrm>
                    <a:prstGeom prst="rect">
                      <a:avLst/>
                    </a:prstGeom>
                    <a:noFill/>
                    <a:ln w="9525">
                      <a:noFill/>
                    </a:ln>
                  </pic:spPr>
                </pic:pic>
              </a:graphicData>
            </a:graphic>
          </wp:inline>
        </w:drawing>
      </w:r>
    </w:p>
    <w:p w14:paraId="33F0F65B">
      <w:pPr>
        <w:pStyle w:val="23"/>
        <w:spacing w:line="360" w:lineRule="auto"/>
        <w:jc w:val="center"/>
        <w:rPr>
          <w:rFonts w:hint="default" w:ascii="SimSun" w:hAnsi="SimSun" w:eastAsia="SimSun" w:cs="SimSun"/>
          <w:b/>
          <w:bCs/>
          <w:sz w:val="24"/>
          <w:szCs w:val="24"/>
          <w:lang w:val="en-US"/>
        </w:rPr>
      </w:pPr>
      <w:r>
        <w:rPr>
          <w:b/>
          <w:bCs/>
        </w:rPr>
        <w:t xml:space="preserve">Figure </w:t>
      </w:r>
      <w:r>
        <w:rPr>
          <w:b/>
          <w:bCs/>
        </w:rPr>
        <w:fldChar w:fldCharType="begin"/>
      </w:r>
      <w:r>
        <w:rPr>
          <w:b/>
          <w:bCs/>
        </w:rPr>
        <w:instrText xml:space="preserve"> SEQ Figure \* ARABIC </w:instrText>
      </w:r>
      <w:r>
        <w:rPr>
          <w:b/>
          <w:bCs/>
        </w:rPr>
        <w:fldChar w:fldCharType="separate"/>
      </w:r>
      <w:r>
        <w:rPr>
          <w:b/>
          <w:bCs/>
        </w:rPr>
        <w:t>3</w:t>
      </w:r>
      <w:r>
        <w:rPr>
          <w:b/>
          <w:bCs/>
        </w:rPr>
        <w:fldChar w:fldCharType="end"/>
      </w:r>
      <w:r>
        <w:rPr>
          <w:rFonts w:hint="default"/>
          <w:b/>
          <w:bCs/>
          <w:lang w:val="en-US"/>
        </w:rPr>
        <w:t>: PepsiCo’s International Market Entry Modes in India</w:t>
      </w:r>
    </w:p>
    <w:p w14:paraId="72F5F4A5">
      <w:pPr>
        <w:pStyle w:val="85"/>
        <w:spacing w:line="360" w:lineRule="auto"/>
        <w:jc w:val="both"/>
        <w:rPr>
          <w:rFonts w:hint="default"/>
        </w:rPr>
      </w:pPr>
      <w:r>
        <w:rPr>
          <w:rFonts w:hint="default"/>
        </w:rPr>
        <w:t xml:space="preserve">The first entry of the firm into India was a joint venture with Voltas and Punjab Agro in 1989, when ownership restrictions limited foreign equity to 40 percent, which illustrates how regulatory requirements influence the strategies of entry </w:t>
      </w:r>
      <w:r>
        <w:rPr>
          <w:rFonts w:hint="default"/>
          <w:lang w:val="en-US"/>
        </w:rPr>
        <w:t>(</w:t>
      </w:r>
      <w:r>
        <w:rPr>
          <w:rFonts w:hint="default"/>
        </w:rPr>
        <w:t>Voltas Limited and Arçelik</w:t>
      </w:r>
      <w:r>
        <w:rPr>
          <w:rFonts w:hint="default"/>
          <w:lang w:val="en-US"/>
        </w:rPr>
        <w:t>,</w:t>
      </w:r>
      <w:r>
        <w:rPr>
          <w:rFonts w:hint="default"/>
        </w:rPr>
        <w:t>2017</w:t>
      </w:r>
      <w:r>
        <w:rPr>
          <w:rFonts w:hint="default"/>
          <w:lang w:val="en-US"/>
        </w:rPr>
        <w:t>)</w:t>
      </w:r>
      <w:r>
        <w:rPr>
          <w:rFonts w:hint="default"/>
        </w:rPr>
        <w:t>. In the 1990s, as India began liberalising the policies regarding foreign direct investment, it will allow 100 percent foreign ownership in food processing by 2001 in which case PepsiCo stepped in and has grown over the years through the establishment of wholly owned subsidiaries especially in the snack industry which is currently run by Frito-Lay India which has 41 manufacturing units throughout India (PepsiCo India, 2023).</w:t>
      </w:r>
    </w:p>
    <w:p w14:paraId="397D2A85">
      <w:pPr>
        <w:pStyle w:val="85"/>
        <w:spacing w:line="360" w:lineRule="auto"/>
        <w:jc w:val="both"/>
      </w:pPr>
      <w:r>
        <w:rPr>
          <w:rFonts w:hint="default"/>
        </w:rPr>
        <w:t xml:space="preserve">In the meantime, its beverage business shifted to long-term franchise deals with domestic bottlers, most famously Varun Beverages, which has 27 bottling plants, providing the company access to local distribution knowledge at a lower capital investment cost </w:t>
      </w:r>
      <w:r>
        <w:rPr>
          <w:rFonts w:hint="default"/>
          <w:lang w:val="en-US"/>
        </w:rPr>
        <w:t>(</w:t>
      </w:r>
      <w:r>
        <w:rPr>
          <w:rFonts w:hint="default"/>
        </w:rPr>
        <w:t>Caballero,</w:t>
      </w:r>
      <w:r>
        <w:rPr>
          <w:rFonts w:hint="default"/>
          <w:lang w:val="en-US"/>
        </w:rPr>
        <w:t xml:space="preserve"> </w:t>
      </w:r>
      <w:r>
        <w:rPr>
          <w:rFonts w:hint="default"/>
        </w:rPr>
        <w:t>2025). This hybrid business model, in which wholly owned snack businesses are complemented with franchise bottling of the drinks, explains the adaptive nature of PepsiCo towards the changing market conditions and the institutional reformation</w:t>
      </w:r>
      <w:r>
        <w:t>.</w:t>
      </w:r>
    </w:p>
    <w:p w14:paraId="4D55D0E0">
      <w:pPr>
        <w:pStyle w:val="3"/>
      </w:pPr>
      <w:bookmarkStart w:id="5" w:name="_Toc26461"/>
      <w:r>
        <w:t>2d. Key Benefits of International Operations for PepsiCo</w:t>
      </w:r>
      <w:bookmarkEnd w:id="5"/>
    </w:p>
    <w:p w14:paraId="605F0D04">
      <w:pPr>
        <w:pStyle w:val="85"/>
        <w:spacing w:line="360" w:lineRule="auto"/>
        <w:jc w:val="both"/>
        <w:rPr>
          <w:rFonts w:hint="default"/>
        </w:rPr>
      </w:pPr>
      <w:r>
        <w:rPr>
          <w:rFonts w:hint="default"/>
        </w:rPr>
        <w:t>Global experiences present PepsiCo with considerable strategic and financial opportunities, which enhances its competitiveness in the long run as the second largest global food and beverage enterprise. Having presence in more than 200 countries, in 2023 PepsiCo earned revenue as large as 91.5 billion dollars, of which 40 percent is from markets not located in North America, which makes the role of internationalisation in the company overall performance both significant and justifiable (PepsiCo Annual Report, 2023).</w:t>
      </w:r>
    </w:p>
    <w:p w14:paraId="2347F992">
      <w:pPr>
        <w:pStyle w:val="85"/>
        <w:spacing w:line="360" w:lineRule="auto"/>
        <w:jc w:val="center"/>
        <w:rPr>
          <w:rFonts w:ascii="SimSun" w:hAnsi="SimSun" w:eastAsia="SimSun" w:cs="SimSun"/>
          <w:sz w:val="24"/>
          <w:szCs w:val="24"/>
        </w:rPr>
      </w:pPr>
      <w:bookmarkStart w:id="16" w:name="_GoBack"/>
      <w:r>
        <w:rPr>
          <w:rFonts w:ascii="SimSun" w:hAnsi="SimSun" w:eastAsia="SimSun" w:cs="SimSun"/>
          <w:sz w:val="24"/>
          <w:szCs w:val="24"/>
        </w:rPr>
        <w:drawing>
          <wp:inline distT="0" distB="0" distL="114300" distR="114300">
            <wp:extent cx="3259455" cy="1960245"/>
            <wp:effectExtent l="0" t="0" r="17145" b="1905"/>
            <wp:docPr id="4"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IMG_256"/>
                    <pic:cNvPicPr>
                      <a:picLocks noChangeAspect="1"/>
                    </pic:cNvPicPr>
                  </pic:nvPicPr>
                  <pic:blipFill>
                    <a:blip r:embed="rId8"/>
                    <a:stretch>
                      <a:fillRect/>
                    </a:stretch>
                  </pic:blipFill>
                  <pic:spPr>
                    <a:xfrm>
                      <a:off x="0" y="0"/>
                      <a:ext cx="3259455" cy="1960245"/>
                    </a:xfrm>
                    <a:prstGeom prst="rect">
                      <a:avLst/>
                    </a:prstGeom>
                    <a:noFill/>
                    <a:ln w="9525">
                      <a:noFill/>
                    </a:ln>
                  </pic:spPr>
                </pic:pic>
              </a:graphicData>
            </a:graphic>
          </wp:inline>
        </w:drawing>
      </w:r>
      <w:bookmarkEnd w:id="16"/>
    </w:p>
    <w:p w14:paraId="253EF3B2">
      <w:pPr>
        <w:pStyle w:val="23"/>
        <w:spacing w:line="360" w:lineRule="auto"/>
        <w:jc w:val="center"/>
        <w:rPr>
          <w:rFonts w:hint="default" w:ascii="SimSun" w:hAnsi="SimSun" w:eastAsia="SimSun" w:cs="SimSun"/>
          <w:sz w:val="24"/>
          <w:szCs w:val="24"/>
          <w:lang w:val="en-US"/>
        </w:rPr>
      </w:pPr>
      <w:r>
        <w:t xml:space="preserve">Figure </w:t>
      </w:r>
      <w:r>
        <w:fldChar w:fldCharType="begin"/>
      </w:r>
      <w:r>
        <w:instrText xml:space="preserve"> SEQ Figure \* ARABIC </w:instrText>
      </w:r>
      <w:r>
        <w:fldChar w:fldCharType="separate"/>
      </w:r>
      <w:r>
        <w:t>4</w:t>
      </w:r>
      <w:r>
        <w:fldChar w:fldCharType="end"/>
      </w:r>
      <w:r>
        <w:rPr>
          <w:rFonts w:hint="default"/>
          <w:lang w:val="en-US"/>
        </w:rPr>
        <w:t>: Key Benefits of PepsiCo’s International Operations</w:t>
      </w:r>
    </w:p>
    <w:p w14:paraId="6B18786C">
      <w:pPr>
        <w:pStyle w:val="85"/>
        <w:spacing w:line="360" w:lineRule="auto"/>
        <w:jc w:val="both"/>
        <w:rPr>
          <w:rFonts w:hint="default"/>
        </w:rPr>
      </w:pPr>
      <w:r>
        <w:rPr>
          <w:rFonts w:hint="default"/>
        </w:rPr>
        <w:t>The driving force is the ability to enjoy economies of scale in the areas of procurement, manufacturing and marketing. The global procurement programme (45 billion dollars) of PepsiCo allows them to enter into volume-based contracts, which saves the price of raw materials by 18-24 percent, and standardised production (600 and more plants) saves the cost of unit production by 12-16 percent in comparison with small competitors (PepsiCo Sustainability Report, 2023). Equally, the ability to carry out cost-per-impression campaigns around the globe at 40 percent of that spent on localised advertising means that a global advertising plan will enable PepsiCo to operate campaigns on a global scale more cheaply, which only add to the brand uniformity and effectiveness (Nielsen, 2023).</w:t>
      </w:r>
    </w:p>
    <w:p w14:paraId="693F1710">
      <w:pPr>
        <w:pStyle w:val="85"/>
        <w:spacing w:line="360" w:lineRule="auto"/>
        <w:jc w:val="both"/>
        <w:rPr>
          <w:rFonts w:hint="default"/>
        </w:rPr>
      </w:pPr>
      <w:r>
        <w:rPr>
          <w:rFonts w:hint="default"/>
        </w:rPr>
        <w:t>Market diversification and risk management through the international operations are also available. Upon 3% North American beverage volumes reducing in 2023, international markets rose by 7% with India (14-percent) and Mexico (9-percent) recording top gains which facilitated PepsiCo to attain overall revenue growth of 5.5 percent (PepsiCo Quarterly Reports, 2023). Earnings are stabilized with this geographic diversification eliminating regional economic shocks.</w:t>
      </w:r>
    </w:p>
    <w:p w14:paraId="5FC157DC">
      <w:pPr>
        <w:pStyle w:val="85"/>
        <w:spacing w:line="360" w:lineRule="auto"/>
        <w:jc w:val="both"/>
      </w:pPr>
      <w:r>
        <w:rPr>
          <w:rFonts w:hint="default"/>
        </w:rPr>
        <w:t>Lastly, internationalisation also allows access to resources and transfer of innovation. Indian markets have lower costs of production through lower agricultural and labour expenses, whereas cross-border innovation has created products like Kurkure and baked Lay's, which come at a cost of over 1.6 billion global revenues (PepsiCo Innovation Report, 2023). All these advantages led to a high international operating margin of 19.9% compared to North America of 17.8% of PepsiCo international operations and the international business being a strategic business (PepsiCo Annual Report, 2023)</w:t>
      </w:r>
      <w:r>
        <w:t>.</w:t>
      </w:r>
    </w:p>
    <w:p w14:paraId="639D24EC">
      <w:pPr>
        <w:pStyle w:val="2"/>
        <w:spacing w:line="360" w:lineRule="auto"/>
        <w:jc w:val="both"/>
        <w:rPr>
          <w:rFonts w:hint="default" w:ascii="Times New Roman" w:hAnsi="Times New Roman" w:cs="Times New Roman"/>
          <w:sz w:val="24"/>
          <w:szCs w:val="24"/>
        </w:rPr>
      </w:pPr>
      <w:bookmarkStart w:id="6" w:name="_Toc16198"/>
      <w:r>
        <w:rPr>
          <w:rFonts w:hint="default" w:ascii="Times New Roman" w:hAnsi="Times New Roman" w:cs="Times New Roman"/>
          <w:sz w:val="24"/>
          <w:szCs w:val="24"/>
        </w:rPr>
        <w:t>OLI Framework Analysis: Impact on Market Entry Mode</w:t>
      </w:r>
      <w:bookmarkEnd w:id="6"/>
      <w:r>
        <w:rPr>
          <w:rFonts w:hint="default" w:ascii="Times New Roman" w:hAnsi="Times New Roman" w:cs="Times New Roman"/>
          <w:sz w:val="24"/>
          <w:szCs w:val="24"/>
        </w:rPr>
        <w:t xml:space="preserve"> </w:t>
      </w:r>
    </w:p>
    <w:p w14:paraId="3D3D3C31">
      <w:pPr>
        <w:pStyle w:val="4"/>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Ownership Advantages</w:t>
      </w:r>
    </w:p>
    <w:p w14:paraId="4EFD9C4B">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sz w:val="24"/>
          <w:szCs w:val="24"/>
        </w:rPr>
      </w:pPr>
      <w:r>
        <w:rPr>
          <w:rFonts w:hint="default" w:ascii="Times New Roman" w:hAnsi="Times New Roman"/>
          <w:sz w:val="24"/>
          <w:szCs w:val="24"/>
        </w:rPr>
        <w:t>Ownership advantages can be defined as the firm-specific advantage that can be applied by a multinational enterprise when it operates internationally and PepsiCo proves to have these advantages in the Indian market</w:t>
      </w:r>
      <w:r>
        <w:rPr>
          <w:rFonts w:hint="default"/>
          <w:sz w:val="24"/>
          <w:szCs w:val="24"/>
          <w:lang w:val="en-US"/>
        </w:rPr>
        <w:t xml:space="preserve">  (</w:t>
      </w:r>
      <w:r>
        <w:rPr>
          <w:rFonts w:hint="default" w:ascii="Times New Roman" w:hAnsi="Times New Roman"/>
          <w:sz w:val="24"/>
          <w:szCs w:val="24"/>
        </w:rPr>
        <w:t>Adarkwah</w:t>
      </w:r>
      <w:r>
        <w:rPr>
          <w:rFonts w:hint="default"/>
          <w:sz w:val="24"/>
          <w:szCs w:val="24"/>
          <w:lang w:val="en-US"/>
        </w:rPr>
        <w:t xml:space="preserve"> </w:t>
      </w:r>
      <w:r>
        <w:rPr>
          <w:rFonts w:hint="default" w:ascii="Times New Roman" w:hAnsi="Times New Roman"/>
          <w:sz w:val="24"/>
          <w:szCs w:val="24"/>
        </w:rPr>
        <w:t>and Malonæs, 2022). The firm has a robust brand equity globally considering its globally recognised product lines, such as Pepsi and Lay, Doritos, Gatorade and Quaker. D’Souza. (2025) presents the brand portfolio of PepsiCo with a score of 18.2 billion on the Pepsi brand alone, and it has remained in the top group of highly valued brands in the food and beverage industry in the world. This brand strength helps create consumer confidence and penetration in the market, which is accurate in the definition by Dunning and Lundan (2008), which posits that assets relating to brand are focal in ownership benefits when operating multinationally.</w:t>
      </w:r>
    </w:p>
    <w:p w14:paraId="718450D6">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sz w:val="24"/>
          <w:szCs w:val="24"/>
        </w:rPr>
      </w:pPr>
      <w:r>
        <w:rPr>
          <w:rFonts w:hint="default" w:ascii="Times New Roman" w:hAnsi="Times New Roman"/>
          <w:sz w:val="24"/>
          <w:szCs w:val="24"/>
        </w:rPr>
        <w:t xml:space="preserve">PepsiCo also enjoys the advantage of proprietary technologies to enhance flavours development, processing systems, and packaging innovation, which enable the company to adapt the products to the tastes of different regions, without compromising the quality of global standards </w:t>
      </w:r>
      <w:r>
        <w:rPr>
          <w:rFonts w:hint="default"/>
          <w:sz w:val="24"/>
          <w:szCs w:val="24"/>
          <w:lang w:val="en-US"/>
        </w:rPr>
        <w:t>(</w:t>
      </w:r>
      <w:r>
        <w:rPr>
          <w:rFonts w:hint="default" w:ascii="Times New Roman" w:hAnsi="Times New Roman"/>
          <w:sz w:val="24"/>
          <w:szCs w:val="24"/>
        </w:rPr>
        <w:t xml:space="preserve">Kell, 2024). In India, this is especially critical, where consumers are being increasingly attracted to flavour customisation as seen in the success of such products as the Lay Magic Masala that takes up about 35% of the sales made by Lay in India </w:t>
      </w:r>
      <w:r>
        <w:rPr>
          <w:rFonts w:hint="default"/>
          <w:sz w:val="24"/>
          <w:szCs w:val="24"/>
          <w:lang w:val="en-US"/>
        </w:rPr>
        <w:t>(</w:t>
      </w:r>
      <w:r>
        <w:rPr>
          <w:rFonts w:hint="default" w:ascii="Times New Roman" w:hAnsi="Times New Roman"/>
          <w:sz w:val="24"/>
          <w:szCs w:val="24"/>
        </w:rPr>
        <w:t>Innova Market Insights</w:t>
      </w:r>
      <w:r>
        <w:rPr>
          <w:rFonts w:hint="default"/>
          <w:sz w:val="24"/>
          <w:szCs w:val="24"/>
          <w:lang w:val="en-US"/>
        </w:rPr>
        <w:t xml:space="preserve">, </w:t>
      </w:r>
      <w:r>
        <w:rPr>
          <w:rFonts w:hint="default" w:ascii="Times New Roman" w:hAnsi="Times New Roman"/>
          <w:sz w:val="24"/>
          <w:szCs w:val="24"/>
        </w:rPr>
        <w:t>2025</w:t>
      </w:r>
      <w:r>
        <w:rPr>
          <w:rFonts w:hint="default"/>
          <w:sz w:val="24"/>
          <w:szCs w:val="24"/>
          <w:lang w:val="en-US"/>
        </w:rPr>
        <w:t>)</w:t>
      </w:r>
      <w:r>
        <w:rPr>
          <w:rFonts w:hint="default" w:ascii="Times New Roman" w:hAnsi="Times New Roman"/>
          <w:sz w:val="24"/>
          <w:szCs w:val="24"/>
        </w:rPr>
        <w:t>. Moreover, PepsiCo has years of managerial experience in organizing massive distribution systems, web logistics and retail alliance in foreign markets, a resource base that greatly raises the performance in tricky new economic markets (Buckley, 2020). The fact that the firm spends $850 million every year on its global research and development efforts shows that it has an interest in keeping up with technological leaders and being able to innovate its product lines (PepsiCo Annual Report, 202</w:t>
      </w:r>
      <w:r>
        <w:rPr>
          <w:rFonts w:hint="default"/>
          <w:sz w:val="24"/>
          <w:szCs w:val="24"/>
          <w:lang w:val="en-US"/>
        </w:rPr>
        <w:t>5</w:t>
      </w:r>
      <w:r>
        <w:rPr>
          <w:rFonts w:hint="default" w:ascii="Times New Roman" w:hAnsi="Times New Roman"/>
          <w:sz w:val="24"/>
          <w:szCs w:val="24"/>
        </w:rPr>
        <w:t>)</w:t>
      </w:r>
      <w:r>
        <w:rPr>
          <w:rFonts w:hint="default" w:ascii="Times New Roman" w:hAnsi="Times New Roman" w:cs="Times New Roman"/>
          <w:sz w:val="24"/>
          <w:szCs w:val="24"/>
        </w:rPr>
        <w:t>.</w:t>
      </w:r>
    </w:p>
    <w:p w14:paraId="60B50EBA">
      <w:pPr>
        <w:pStyle w:val="4"/>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Location Advantages</w:t>
      </w:r>
    </w:p>
    <w:p w14:paraId="1AE66247">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sz w:val="24"/>
          <w:szCs w:val="24"/>
        </w:rPr>
      </w:pPr>
      <w:r>
        <w:rPr>
          <w:rFonts w:hint="default" w:ascii="Times New Roman" w:hAnsi="Times New Roman"/>
          <w:sz w:val="24"/>
          <w:szCs w:val="24"/>
        </w:rPr>
        <w:t>India offers a broad scope of location specific benefits perpetrating that it is a favorable place to run business activities of PepsiCo especially when it comes to consumer demands, agricultural supplies and institutional reformations. A young population of 65 percent aged between 0 and 35 years totals to a population of 1.4 billion people, and is a fast growing consumer base of beverages and savoury snacks; growing urbanisation has put more pressure on convenient packaged foods (UNFPA</w:t>
      </w:r>
      <w:r>
        <w:rPr>
          <w:rFonts w:hint="default"/>
          <w:sz w:val="24"/>
          <w:szCs w:val="24"/>
          <w:lang w:val="en-US"/>
        </w:rPr>
        <w:t>, 2025</w:t>
      </w:r>
      <w:r>
        <w:rPr>
          <w:rFonts w:hint="default" w:ascii="Times New Roman" w:hAnsi="Times New Roman"/>
          <w:sz w:val="24"/>
          <w:szCs w:val="24"/>
        </w:rPr>
        <w:t>). The FMCG industry in India has been expanding with a compound annual growth rate (CAGR) of 13.8 hence it is one of fastest growing markets in the world therefore justifying the claim of Porter (1990) in its argument that market size and potential growth is one of the key location advantages of multinational enterprise.</w:t>
      </w:r>
    </w:p>
    <w:p w14:paraId="4ADE1CB7">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sz w:val="24"/>
          <w:szCs w:val="24"/>
        </w:rPr>
      </w:pPr>
      <w:r>
        <w:rPr>
          <w:rFonts w:hint="default" w:ascii="Times New Roman" w:hAnsi="Times New Roman"/>
          <w:sz w:val="24"/>
          <w:szCs w:val="24"/>
        </w:rPr>
        <w:t>Resource wise, India has friendly climate that benefits production of potatoes, corn and sugar which are among the key components in the product list of PepsiCo. PepsiCo has succeeded in attaining raw materials of high quality locally at 20-30 per cent lower costs than its international market equivalents and also help rural economies to grow and enhance their farming activities through its contract farming agreements with more than 24,000 farmers (Business Standard, 2023). Costs of labour and production in India are relatively cheap with production wages as much as 40 percent of those in developed market, allowing an easy large scale production and competitive prices, which international business literature cites as a major factor in determining the location choice of MNCs (Dunning and Lundan, 2008).</w:t>
      </w:r>
    </w:p>
    <w:p w14:paraId="14521C6E">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sz w:val="24"/>
          <w:szCs w:val="24"/>
        </w:rPr>
      </w:pPr>
    </w:p>
    <w:p w14:paraId="741A7C60">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sz w:val="24"/>
          <w:szCs w:val="24"/>
        </w:rPr>
      </w:pPr>
    </w:p>
    <w:p w14:paraId="0E781BC4">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sz w:val="24"/>
          <w:szCs w:val="24"/>
        </w:rPr>
      </w:pPr>
      <w:r>
        <w:rPr>
          <w:rFonts w:hint="default" w:ascii="Times New Roman" w:hAnsi="Times New Roman"/>
          <w:sz w:val="24"/>
          <w:szCs w:val="24"/>
        </w:rPr>
        <w:t>Moreover, the country has increasingly liberalised its foreign direct investment (FDI) since the economic reforms in 1991, and as such, global firms like PepsiCo can now expand their operations, reshape ownership and seek new opportunities because the regulatory environment is increasingly open (UNCTAD, 2023). The introduction of the Goods and Services Tax (GST) in 2017 also made interstate business smoother, and minimized the logistical hassles that monitored the effectiveness of the supply chains in the past (PwC India, 2023). These integration factors of location, including demographic disadvantages, resources, and cost competitiveness and institutional reforms greatly contributed to the attractiveness of India by PepsiCo and explain the reason why the company opted to expand its operations by investing in manufacturing plants as well as partnering with other entities</w:t>
      </w:r>
      <w:r>
        <w:rPr>
          <w:rFonts w:hint="default" w:ascii="Times New Roman" w:hAnsi="Times New Roman" w:cs="Times New Roman"/>
          <w:sz w:val="24"/>
          <w:szCs w:val="24"/>
        </w:rPr>
        <w:t>.</w:t>
      </w:r>
    </w:p>
    <w:p w14:paraId="0E677446">
      <w:pPr>
        <w:pStyle w:val="4"/>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Internalisation Advantages</w:t>
      </w:r>
    </w:p>
    <w:p w14:paraId="695A75A8">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sz w:val="24"/>
          <w:szCs w:val="24"/>
        </w:rPr>
      </w:pPr>
      <w:r>
        <w:rPr>
          <w:rFonts w:hint="default" w:ascii="Times New Roman" w:hAnsi="Times New Roman" w:cs="Times New Roman"/>
          <w:sz w:val="24"/>
          <w:szCs w:val="24"/>
        </w:rPr>
        <w:t xml:space="preserve">The benefits of internalisation have been necessitated by the requirement of firms to have the capacity to possess major activities within an organisational environment in order to ensure that they have control over the process, minimisation of uncertainties and preservation of proprietary knowledge. In the case of PepsiCo, internalisation plays a critical role in ensuring uniform quality of the products, branding, as well as safeguarding its technological operations and even in markets where the external partners might not be of similar calibers. According to international business researchers, companies internalise operations in case the markets in the countries involve high transaction costs, institutional uncertainty or knowledge leaks </w:t>
      </w:r>
      <w:r>
        <w:rPr>
          <w:rFonts w:hint="default" w:cs="Times New Roman"/>
          <w:sz w:val="24"/>
          <w:szCs w:val="24"/>
          <w:lang w:val="en-US"/>
        </w:rPr>
        <w:t>(</w:t>
      </w:r>
      <w:r>
        <w:rPr>
          <w:rFonts w:hint="default" w:ascii="Times New Roman" w:hAnsi="Times New Roman"/>
          <w:sz w:val="24"/>
          <w:szCs w:val="24"/>
        </w:rPr>
        <w:t>Buckley,</w:t>
      </w:r>
      <w:r>
        <w:rPr>
          <w:rFonts w:hint="default"/>
          <w:sz w:val="24"/>
          <w:szCs w:val="24"/>
          <w:lang w:val="en-US"/>
        </w:rPr>
        <w:t xml:space="preserve"> </w:t>
      </w:r>
      <w:r>
        <w:rPr>
          <w:rFonts w:hint="default" w:ascii="Times New Roman" w:hAnsi="Times New Roman"/>
          <w:sz w:val="24"/>
          <w:szCs w:val="24"/>
        </w:rPr>
        <w:t>2016)</w:t>
      </w:r>
      <w:r>
        <w:rPr>
          <w:rFonts w:hint="default" w:ascii="Times New Roman" w:hAnsi="Times New Roman" w:cs="Times New Roman"/>
          <w:sz w:val="24"/>
          <w:szCs w:val="24"/>
        </w:rPr>
        <w:t xml:space="preserve">. In India, the choice by PepsiCo to internalise the snack manufacturing, with 41 manufacturing plants operating in the country, indicates the interest of securing its flavouring technologies and production techniques and quality assurance systems (PepsiCo India, 2023). The production control also means that PepsiCo has easy access to maintaining global standards in a market that can be described as one with disparities in infrastructure and different stringency of regulations applied by states </w:t>
      </w:r>
      <w:r>
        <w:rPr>
          <w:rFonts w:hint="default" w:cs="Times New Roman"/>
          <w:sz w:val="24"/>
          <w:szCs w:val="24"/>
          <w:lang w:val="en-US"/>
        </w:rPr>
        <w:t>(</w:t>
      </w:r>
      <w:r>
        <w:rPr>
          <w:rFonts w:hint="default" w:ascii="Times New Roman" w:hAnsi="Times New Roman"/>
          <w:sz w:val="24"/>
          <w:szCs w:val="24"/>
        </w:rPr>
        <w:t>PepsiCo</w:t>
      </w:r>
      <w:r>
        <w:rPr>
          <w:rFonts w:hint="default"/>
          <w:sz w:val="24"/>
          <w:szCs w:val="24"/>
          <w:lang w:val="en-US"/>
        </w:rPr>
        <w:t>, 2025</w:t>
      </w:r>
      <w:r>
        <w:rPr>
          <w:rFonts w:hint="default" w:ascii="Times New Roman" w:hAnsi="Times New Roman"/>
          <w:sz w:val="24"/>
          <w:szCs w:val="24"/>
        </w:rPr>
        <w:t>)</w:t>
      </w:r>
      <w:r>
        <w:rPr>
          <w:rFonts w:hint="default" w:ascii="Times New Roman" w:hAnsi="Times New Roman" w:cs="Times New Roman"/>
          <w:sz w:val="24"/>
          <w:szCs w:val="24"/>
        </w:rPr>
        <w:t>. Internalisation also improves the capacity by PepsiCo to integrate R&amp;D, marketing adaptation and supply chain decision making that is vital in responding appropriately to the individual regional tastes in India. As an example of the benefits of internal control of innovation processes, the company has created more than 50 localised flavours types specifically oriented on the Indian market at the Gurgaon R&amp;D facility (KPMG India, 2022).</w:t>
      </w:r>
    </w:p>
    <w:p w14:paraId="2F72BC7C">
      <w:pPr>
        <w:pStyle w:val="4"/>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Linking OLI Factors to PepsiCo's Market Entry into India</w:t>
      </w:r>
    </w:p>
    <w:p w14:paraId="10D4A101">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sz w:val="24"/>
          <w:szCs w:val="24"/>
        </w:rPr>
      </w:pPr>
      <w:r>
        <w:rPr>
          <w:rFonts w:hint="default" w:ascii="Times New Roman" w:hAnsi="Times New Roman"/>
          <w:sz w:val="24"/>
          <w:szCs w:val="24"/>
        </w:rPr>
        <w:t>The sum of the effect of ownership, location and internalisation advantages is that PepsiCo chose certain modes of entry in India and changing of existing modes as the market environment was varied. The restrictive regulatory environment at the time of entry did not allow foreign investors in 1989 to solely engage in joint ventures with Indian companies under the food and beverage industry, and the foreign equity limit was at 40 percent. Consequently, PepsiCo ventured into the US via a joint venture with Voltas and Punjab Agro, which showed that location-specific institutional features dictated the entry mode that could be implemented (Dunning and Lundan, 2008).</w:t>
      </w:r>
    </w:p>
    <w:p w14:paraId="5FE58DC1">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sz w:val="24"/>
          <w:szCs w:val="24"/>
        </w:rPr>
      </w:pPr>
      <w:r>
        <w:rPr>
          <w:rFonts w:hint="default" w:ascii="Times New Roman" w:hAnsi="Times New Roman"/>
          <w:sz w:val="24"/>
          <w:szCs w:val="24"/>
        </w:rPr>
        <w:t>With the liberalisation of the FDI policies in India in the 90s which slowly raised the foreign ownership ceiling to 100 percent in the food processing industry by 2001, PepsiCo used the benefits of ownership such as capital strength, managerial knowledge and technological skills to grab a larger share of the equity and shifted to wholly owned subsidiary in the snack industry (Government of India, 2001). This shift reflects the observation of Meyer and Peng (2016) that MNCs tend to alter the entry modes with the changing institutional characteristics and the decrease in uncertainty. Simultaneously, PepsiCo used to outsource the bottling of its beverages by qualifying as a long-term relationship with firms like Varun Beverages that have a profound understanding of the disjointed retail system that is comprised of over 12 million small retails and logistical complexity in India (Economic Times, 2023).</w:t>
      </w:r>
    </w:p>
    <w:p w14:paraId="446C5222">
      <w:pPr>
        <w:pStyle w:val="85"/>
        <w:keepNext w:val="0"/>
        <w:keepLines w:val="0"/>
        <w:widowControl/>
        <w:suppressLineNumbers w:val="0"/>
        <w:spacing w:before="0" w:beforeAutospacing="1" w:after="0" w:afterAutospacing="1" w:line="360" w:lineRule="auto"/>
        <w:ind w:left="0" w:right="0"/>
        <w:jc w:val="both"/>
      </w:pPr>
      <w:r>
        <w:rPr>
          <w:rFonts w:hint="default" w:ascii="Times New Roman" w:hAnsi="Times New Roman"/>
          <w:sz w:val="24"/>
          <w:szCs w:val="24"/>
        </w:rPr>
        <w:t>This mixed mode of entry about the balance of control and flexibility in the emerging market evidences an argument put forth by Gereffi (2018) that companies tend to mix internalisation and external networks. The attractive agricultural factors, low costs and growing consumerism in India balanced the location advantage of PepsiCo and the institutional reforms through the introduction of GST in 2017 and digitalisation of the supply chain made the operations easy (PwC India, 2023). Such a situation was also supported by cultural reasons such as the tendency to consume spicy and bold flavours in large quantities, where an internalised R&amp;D coordination would allow PepsiCo to quickly develop products that catered to the preferences of the Indian population, as was evident to region-specific products such as Kurkure and Lay redesigned as a local product (KPMG India, 2022)</w:t>
      </w:r>
      <w:r>
        <w:rPr>
          <w:rFonts w:hint="default" w:ascii="Times New Roman" w:hAnsi="Times New Roman" w:cs="Times New Roman"/>
          <w:sz w:val="24"/>
          <w:szCs w:val="24"/>
        </w:rPr>
        <w:t>.</w:t>
      </w:r>
    </w:p>
    <w:p w14:paraId="4194DA3C">
      <w:pPr>
        <w:pStyle w:val="2"/>
        <w:numPr>
          <w:ilvl w:val="0"/>
          <w:numId w:val="0"/>
        </w:numPr>
        <w:spacing w:line="360" w:lineRule="auto"/>
        <w:rPr>
          <w:sz w:val="24"/>
          <w:szCs w:val="24"/>
        </w:rPr>
      </w:pPr>
      <w:bookmarkStart w:id="7" w:name="_Toc26865"/>
      <w:r>
        <w:rPr>
          <w:rStyle w:val="92"/>
          <w:b/>
          <w:bCs/>
          <w:sz w:val="24"/>
          <w:szCs w:val="24"/>
        </w:rPr>
        <w:t>4. Critical Evaluation of Cultural Differences</w:t>
      </w:r>
      <w:bookmarkEnd w:id="7"/>
      <w:r>
        <w:rPr>
          <w:rStyle w:val="92"/>
          <w:b/>
          <w:bCs/>
          <w:sz w:val="24"/>
          <w:szCs w:val="24"/>
        </w:rPr>
        <w:t xml:space="preserve"> </w:t>
      </w:r>
    </w:p>
    <w:p w14:paraId="65F01641">
      <w:r>
        <w:drawing>
          <wp:inline distT="0" distB="0" distL="114300" distR="114300">
            <wp:extent cx="5269230" cy="3175635"/>
            <wp:effectExtent l="0" t="0" r="762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9"/>
                    <a:stretch>
                      <a:fillRect/>
                    </a:stretch>
                  </pic:blipFill>
                  <pic:spPr>
                    <a:xfrm>
                      <a:off x="0" y="0"/>
                      <a:ext cx="5269230" cy="3175635"/>
                    </a:xfrm>
                    <a:prstGeom prst="rect">
                      <a:avLst/>
                    </a:prstGeom>
                    <a:noFill/>
                    <a:ln>
                      <a:noFill/>
                    </a:ln>
                  </pic:spPr>
                </pic:pic>
              </a:graphicData>
            </a:graphic>
          </wp:inline>
        </w:drawing>
      </w:r>
    </w:p>
    <w:p w14:paraId="09F231AB">
      <w:pPr>
        <w:pStyle w:val="23"/>
        <w:jc w:val="center"/>
        <w:rPr>
          <w:rFonts w:hint="default"/>
          <w:lang w:val="en-US"/>
        </w:rPr>
      </w:pPr>
      <w:r>
        <w:t xml:space="preserve">Figure </w:t>
      </w:r>
      <w:r>
        <w:fldChar w:fldCharType="begin"/>
      </w:r>
      <w:r>
        <w:instrText xml:space="preserve"> SEQ Figure \* ARABIC </w:instrText>
      </w:r>
      <w:r>
        <w:fldChar w:fldCharType="separate"/>
      </w:r>
      <w:r>
        <w:t>5</w:t>
      </w:r>
      <w:r>
        <w:fldChar w:fldCharType="end"/>
      </w:r>
      <w:r>
        <w:rPr>
          <w:rFonts w:hint="default"/>
          <w:lang w:val="en-US"/>
        </w:rPr>
        <w:t>: Comparison of UK and India Cultural Dimensions</w:t>
      </w:r>
    </w:p>
    <w:p w14:paraId="1341153F">
      <w:pPr>
        <w:pStyle w:val="23"/>
        <w:rPr>
          <w:rFonts w:hint="default"/>
          <w:lang w:val="en-US"/>
        </w:rPr>
      </w:pPr>
    </w:p>
    <w:p w14:paraId="7F18F16D">
      <w:pPr>
        <w:pStyle w:val="85"/>
        <w:spacing w:line="360" w:lineRule="auto"/>
        <w:jc w:val="both"/>
        <w:rPr>
          <w:rFonts w:hint="default"/>
        </w:rPr>
      </w:pPr>
      <w:r>
        <w:rPr>
          <w:rFonts w:hint="default"/>
        </w:rPr>
        <w:t>The business practices, consumer behaviour and organisational structure are all aspects of culture which influence India and the United Kingdom and, therefore, are key factors that any multinational company like PepsiCo must take into account. Using the cultural dimensions proposed by Hofstede, it becomes quite noticeable that there are distinct differences that should be considered through a strategic adjustment within operations, marketing and human resource management.</w:t>
      </w:r>
    </w:p>
    <w:p w14:paraId="33687A99">
      <w:pPr>
        <w:pStyle w:val="85"/>
        <w:spacing w:line="360" w:lineRule="auto"/>
        <w:jc w:val="both"/>
        <w:rPr>
          <w:rFonts w:hint="default"/>
          <w:lang w:val="en-US"/>
        </w:rPr>
      </w:pPr>
      <w:r>
        <w:rPr>
          <w:rFonts w:hint="default"/>
        </w:rPr>
        <w:t>India has a high power distance score (77) implying that people believe in hierarchy and centralised power, whereas the UK has a score of 35 and people prefer egalitarianism and decentralised decision-making (Hofstede Insights, 2024). Consequently, PepsiCo India has formal organisational hierarchies and senior endorsements, whereas PepsiCo UK has flatter organisational structures that enable brand managers to have more freedom. This difference also affects the relationship with suppliers, where Indian suppliers cannot feel that they are treated legitimately without senior executive being involved, as opposed to UK suppliers that would be happy to be engaged by the procurement managers alone (Budhwar and Varma, 2011; Kumar and Sethi, 2016)</w:t>
      </w:r>
      <w:r>
        <w:rPr>
          <w:rFonts w:hint="default"/>
          <w:lang w:val="en-US"/>
        </w:rPr>
        <w:t>.</w:t>
      </w:r>
    </w:p>
    <w:p w14:paraId="61D1ADA0">
      <w:pPr>
        <w:pStyle w:val="85"/>
        <w:spacing w:line="360" w:lineRule="auto"/>
        <w:jc w:val="both"/>
        <w:rPr>
          <w:rFonts w:hint="default"/>
        </w:rPr>
      </w:pPr>
      <w:r>
        <w:rPr>
          <w:rFonts w:hint="default"/>
        </w:rPr>
        <w:t>The individualism versus collectivism is especially sharp. Individualism in the UK has a score of 89, and that is compared to the collectivist score of 48 in India, which determines consumption habits and working behaviors (Hofstede Insights, 2024). This is because in India, 72% of consumers consult the family members in advance before trying new snack brands, versus 31% in the UK (Kantar IMRB, 2023). Indian marketing of PepsiCo therefore prioritises consumption by a family, mutual occasions and the values of the community, and brand recall at group-oriented processes reached 68% (Nielsen India, 2023). Walkers Do Us a Flavour and other campaigns in the US are performed to attract users to their personal choice and individual inventiveness (Marketing Week, 2022). On the one hand, PepsiCo India values team incentives, and on the other hand, operations in the UK rely on individual incentives (PepsiCo HR Report, 2023).</w:t>
      </w:r>
    </w:p>
    <w:p w14:paraId="1AC8B0A7">
      <w:pPr>
        <w:pStyle w:val="85"/>
        <w:spacing w:line="360" w:lineRule="auto"/>
        <w:jc w:val="both"/>
        <w:rPr>
          <w:rFonts w:hint="default"/>
        </w:rPr>
      </w:pPr>
      <w:r>
        <w:rPr>
          <w:rFonts w:hint="default"/>
        </w:rPr>
        <w:t>These cultural differences are further amplified by religion and language. The high level of vegetarianism in India (an estimated 38 percent of the population) and religious diversity need strict vegetarian adherence, halal consideration, and labeling of products according to the FSSAI policy, which determine the product formulations and package of PepsiCo (FSSAI, 2023; Business Standard, 2023). Also, the 22 officially recognised languages of India require the massive localisation of advertising, whereas the UK advertising is conducted to a large extent within one linguistic group.</w:t>
      </w:r>
    </w:p>
    <w:p w14:paraId="5A32564E">
      <w:pPr>
        <w:pStyle w:val="85"/>
        <w:spacing w:line="360" w:lineRule="auto"/>
        <w:jc w:val="both"/>
      </w:pPr>
      <w:r>
        <w:rPr>
          <w:rFonts w:hint="default"/>
        </w:rPr>
        <w:t>Lastly, India has a low score of 26 on indulgence, which encourages the demand in small and less expensive packs, which comprise 65 percent of snack-sales and indicates conservative consumption habits. Conversely, the demand of premium and sharing formats are in line with the higher indulgence of the UK with a 69 (Euromonitor India, 2023; Kantar Worldpanel UK, 2023)</w:t>
      </w:r>
      <w:r>
        <w:t>.</w:t>
      </w:r>
    </w:p>
    <w:p w14:paraId="34203F5E">
      <w:pPr>
        <w:pStyle w:val="3"/>
        <w:spacing w:line="360" w:lineRule="auto"/>
        <w:rPr>
          <w:szCs w:val="24"/>
        </w:rPr>
      </w:pPr>
      <w:bookmarkStart w:id="8" w:name="_Toc25260"/>
      <w:r>
        <w:rPr>
          <w:rStyle w:val="92"/>
          <w:b/>
          <w:bCs/>
          <w:szCs w:val="24"/>
        </w:rPr>
        <w:t>Impact on Market Entry Strategy</w:t>
      </w:r>
      <w:bookmarkEnd w:id="8"/>
    </w:p>
    <w:p w14:paraId="22F2622A">
      <w:pPr>
        <w:pStyle w:val="85"/>
        <w:spacing w:line="360" w:lineRule="auto"/>
        <w:jc w:val="both"/>
        <w:rPr>
          <w:rFonts w:hint="default"/>
        </w:rPr>
      </w:pPr>
      <w:r>
        <w:rPr>
          <w:rFonts w:hint="default"/>
        </w:rPr>
        <w:t>The foreign culture between the UK and India also determined the market entry strategy of PepsiCo, whereby all aspects were affected such as product adaptation and marketing communication. The preference of bold, spicy, and locally resonant flavours by the Indian consumers is markedly different as compared to the less bold flavour preferences by the UK consumers. Realising the success of such culturally defined product locals, PepsiCo has localised its brands and created new products, including Lay Magic Masala, Chilli Lemon, India Magic and Kurkure Magic Munch, that cater to specific Indian tastes and contribute a significant portion of the firm's snack revenues in India (NielsenIQ, 2024). This localisation shows that the connection between the cultural demands and the entry strategies is established because international standardisation in itself would not have worked in a culturally diverse market. The packaging also needed to be adjusted, and the UK consumed larger packs that could be consumed individually, whereas the Indian consumed small and affordable sachets (INR 5 to INR 10), which allows differentiating products as affordable to consumers with the middle and lower income. (Euromonitor, 2024). These types of packaging enabled PepsiCo to enter the large rural market in India where the affordability and portion control factors carry the utmost importance.</w:t>
      </w:r>
    </w:p>
    <w:p w14:paraId="277AD71F">
      <w:pPr>
        <w:pStyle w:val="85"/>
        <w:spacing w:line="360" w:lineRule="auto"/>
        <w:jc w:val="both"/>
      </w:pPr>
      <w:r>
        <w:rPr>
          <w:rFonts w:hint="default"/>
        </w:rPr>
        <w:t>Advertising tactics to enter PepsiCo were also affected by cultural differences. British market is guided by subtle sense of humour, sparse style, and individualistic communication, and India is much more responsive to celebrity recommendations, emotional narratives, and family-related storytelling. PepsiCo used the influence of Bollywood movie stars like Salman Khan and Ranbir Kapoor and sport celebrities like MS Dhoni and Virat Kohli to design culturally relevant campaigns. It has also been found that the use of celebrity-endorsed advertising in India generates brand recall of up to 30 percent as compared to non-celebrity advertising (Kantar India, 2023). This dependence on cultural symbolism is obligatory to an environment where it is collectivist and consumers need social affirmation and identity requirements by association with brand name. Moreover, the relationship-oriented business culture prevalent in India demanded that PepsiCo should choose to establish proper partnership with the bottlers, farmers and state-based distributors, as this framework is congruent with the model by Johanson and Vahlne (2021) that highlighted network-building as the key to achieving successful market penetration. Old ties with the contract farmers and the local distributors are not only reliable in the supply chain, but also, it improves brand credibility in the local communities</w:t>
      </w:r>
      <w:r>
        <w:t>.</w:t>
      </w:r>
    </w:p>
    <w:p w14:paraId="07FEE715">
      <w:pPr>
        <w:pStyle w:val="3"/>
        <w:spacing w:line="360" w:lineRule="auto"/>
        <w:rPr>
          <w:szCs w:val="24"/>
        </w:rPr>
      </w:pPr>
      <w:bookmarkStart w:id="9" w:name="_Toc12401"/>
      <w:r>
        <w:rPr>
          <w:rStyle w:val="92"/>
          <w:b/>
          <w:bCs/>
          <w:szCs w:val="24"/>
        </w:rPr>
        <w:t>Impact on PepsiCo’s Potential for Success</w:t>
      </w:r>
      <w:bookmarkEnd w:id="9"/>
    </w:p>
    <w:p w14:paraId="7F272EAF">
      <w:pPr>
        <w:pStyle w:val="85"/>
        <w:spacing w:line="360" w:lineRule="auto"/>
        <w:jc w:val="both"/>
        <w:rPr>
          <w:rFonts w:hint="default"/>
        </w:rPr>
      </w:pPr>
      <w:r>
        <w:rPr>
          <w:rFonts w:hint="default"/>
        </w:rPr>
        <w:t>The cultural differences also have influenced the potential of PepsiCo to succeed long term in India because it has spurred product development, operational changed and strategic decisions. India has a high preference towards old fashioned, spicy and tangy flavour profiles; this has formed one of the most significant cultural influences to influence PepsiCo to introduce highly localised product lines. Kurkure was a snack specifically created in India, which is one of the highest selling brands in the company and developed flavours like Green Chutney, Masala Munch and Hyderabadi Hungama to suit the local taste (PepsiCo India, 2023). Indian flavours of Lays have also performed better compared to global flavours and Magic Masala is the most selling flavour of potato chips in the country. These cases ensure that cultural adaptation is necessary not just in entry, but also in long market dominance. The localisation of the products of PepsiCo confirms the thesis by Kotler (2021) that culturally appropriate products have a substantial positive effect on consumer acceptance of the products in a new market.</w:t>
      </w:r>
    </w:p>
    <w:p w14:paraId="6ECCA0A3">
      <w:pPr>
        <w:pStyle w:val="85"/>
        <w:spacing w:line="360" w:lineRule="auto"/>
        <w:jc w:val="both"/>
        <w:rPr>
          <w:rFonts w:hint="default"/>
        </w:rPr>
      </w:pPr>
      <w:r>
        <w:rPr>
          <w:rFonts w:hint="default"/>
        </w:rPr>
        <w:t>Religious, ethical issues also have significant role to play in the operations of PepsiCo. Many members of the Indian population adhere to the so-called vegetarian diets, and the packaged foods must bear a green dot to mark it as a vegetarian product provided by the Food Safety and Standards Authority of India (FSSAI). PepsiCo fitted with the products that are vegetarian-friendly clearly labeled and reformulated some products to fit the Indian dietary standards. Halal compliance also plays a key role in ensuring consumer trust in areas where the majorities are Muslims especially in drinks and flavoured snacks. These adaptations are not as pertinent in a more varied diet and society in the UK that does not have a strong requirement of food symbolism mandates. This emphasizes the level that PepsiCo needs to employ religious and cultural sensitivity in designing and supply chain management of its products to retain brand favor in India.</w:t>
      </w:r>
    </w:p>
    <w:p w14:paraId="6E088344">
      <w:pPr>
        <w:pStyle w:val="85"/>
        <w:spacing w:line="360" w:lineRule="auto"/>
        <w:jc w:val="both"/>
        <w:rPr>
          <w:rFonts w:hint="default"/>
        </w:rPr>
      </w:pPr>
      <w:r>
        <w:rPr>
          <w:rFonts w:hint="default"/>
        </w:rPr>
        <w:t>The other aspect of cultural differences that affect organisational practices, workforce management, and leadership styles in the Indian business of PepsiCo are also related to this aspect. Power distance in India is very high and the leadership style that takes into consideration hierarchy, seniority and formal decision making structures are necessary. Flat hierarchies and employee-friendly work cultures typical of Britain are also not effective in this situation since employees in India tend to need more directive leadership style, organized feedback and recognizable power (Hofstede Insights, 2024). PepsiCo has been forced to adapt to this change by providing better reporting lines, systematic systems of performance and communication systems that are culturally sensitive. Indian society is collectivist as well, which impacts the teamwork and motivation of the employees; people in India prefer to experience the group unity, the feeling of belongingness to the society, and relational harmony with their interaction members rather than in personal success. According to the HR research conducted at an international level, the motivation strategies in India are more effective when they focus on the team-based rewards, group development and relationship building (Budhwar, 2022). Such HR changes have improved the talent reception and retention capability of the PepsiCo in the competitive FMCGs labour market.</w:t>
      </w:r>
    </w:p>
    <w:p w14:paraId="5224B02E">
      <w:pPr>
        <w:pStyle w:val="2"/>
        <w:numPr>
          <w:ilvl w:val="0"/>
          <w:numId w:val="0"/>
        </w:numPr>
        <w:bidi w:val="0"/>
        <w:rPr>
          <w:rFonts w:hint="default"/>
        </w:rPr>
      </w:pPr>
      <w:bookmarkStart w:id="10" w:name="_Toc30898"/>
      <w:r>
        <w:rPr>
          <w:rFonts w:hint="default"/>
        </w:rPr>
        <w:t>5. Recommendations: Adjustments to PepsiCo’s SOPs for India</w:t>
      </w:r>
      <w:bookmarkEnd w:id="10"/>
      <w:r>
        <w:rPr>
          <w:rFonts w:hint="default"/>
        </w:rPr>
        <w:t xml:space="preserve"> </w:t>
      </w:r>
    </w:p>
    <w:p w14:paraId="6CEA05EF">
      <w:pPr>
        <w:pStyle w:val="8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sz w:val="24"/>
          <w:szCs w:val="24"/>
        </w:rPr>
        <w:t>In order to reinforce its performance in India, PepsiCo ought to revise its Standard Operating Procedures (SOPs) to incorporate local consumer preferences, supply chain conditions and cultural dynamics. Even though PepsiCo has had a good growth in Indian market, the formalisation of localisation in SOPs will lead to a greater consistency in its operation, less strategic risk and facilitate the competitive advantage of the business in one of the fastest growing foreign market</w:t>
      </w:r>
      <w:r>
        <w:rPr>
          <w:rFonts w:hint="default" w:ascii="Times New Roman" w:hAnsi="Times New Roman" w:cs="Times New Roman"/>
          <w:sz w:val="24"/>
          <w:szCs w:val="24"/>
        </w:rPr>
        <w:t>.</w:t>
      </w:r>
    </w:p>
    <w:p w14:paraId="4017D3F5">
      <w:pPr>
        <w:pStyle w:val="3"/>
        <w:bidi w:val="0"/>
        <w:rPr>
          <w:rFonts w:hint="default"/>
        </w:rPr>
      </w:pPr>
      <w:bookmarkStart w:id="11" w:name="_Toc9203"/>
      <w:r>
        <w:rPr>
          <w:rFonts w:hint="default"/>
        </w:rPr>
        <w:t>Recommendation 1: Localised Product Development SOP Adjustment</w:t>
      </w:r>
      <w:bookmarkEnd w:id="11"/>
    </w:p>
    <w:p w14:paraId="46B79D18">
      <w:pPr>
        <w:pStyle w:val="85"/>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The product development SOPs at PepsiCo need to make localisation part of requirements related to operations instead of being a strategy of choice. Bold, spicy and familiar flavours in Indian culture are considered to be very popular among Indian consumers, which is whyLay Magic Masala is a successful product, which brings in 35 percent of the sale of Lay in India, and other products like Kurkure Masala Munch (Nielsen India, 2023). The key message of this performance is the need to be systematically adapted in the lifecycle of innovation.</w:t>
      </w:r>
    </w:p>
    <w:p w14:paraId="0B8E61F6">
      <w:pPr>
        <w:pStyle w:val="85"/>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The revised SOPs must mandate organized studies in consumer immersion in at least five regions in India (North, South, East, West and Central) to ensure that regions diversity in taste is represented. Furthermore, a minimum of three months local test must also be done on all new product concepts before it goes national. According to existing studies, the sensory and cultural adaptation can be considered a deeper task, which needs to be conducted so that the product can be accepted and demanded thus remaining to be an important issue in the emerging markets (Kumar and Steenkamp, 2013). The institutionalisation of these processes allows ensuring that localisation is a practised organisational activity, as opposed to a reaction of the organisation to market feedback.</w:t>
      </w:r>
    </w:p>
    <w:p w14:paraId="06926552">
      <w:pPr>
        <w:pStyle w:val="85"/>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Such an advice is in concurrence with the framework of Ownership-Location-Internalisation (OLI) especially the utilisation of both place and internalisation benefits. A geographic-specific opportunity of snack innovation in India can be found in its demographic profile where the population consists of 65 percent of people younger than 35 years old, and the population of India is estimated to be approximately 1.4 billion (World Bank, 2024). PepsiCo ought to demand that 40 percent of the new product concepts be developed by the India-based R&amp;D to allow local understanding and ensure that local competitors like Haldirams and Parle cannot copy the renowned proprietary formulae (Narula, 2014).</w:t>
      </w:r>
    </w:p>
    <w:p w14:paraId="20B328B8">
      <w:pPr>
        <w:pStyle w:val="8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sz w:val="24"/>
          <w:szCs w:val="24"/>
        </w:rPr>
        <w:t>An increase in health consciousness also compliments the argument in favor of SOP reform. 58 percent of urban Indian consumers are currently demanding healthier snack options, and the Indian snack market is expected to grow by 11.2 percent/year to reach $6.8 billion by 2027 (KPMG, 2022; Euromonitor, 2024). Based on this, the quarterly flavour trend evaluations and annual regional preference audit reviews must be institutionalised in the product development SOPs to remain pertinent and expand.</w:t>
      </w:r>
      <w:r>
        <w:rPr>
          <w:rFonts w:hint="default" w:ascii="Times New Roman" w:hAnsi="Times New Roman" w:cs="Times New Roman"/>
          <w:sz w:val="24"/>
          <w:szCs w:val="24"/>
        </w:rPr>
        <w:t>.</w:t>
      </w:r>
    </w:p>
    <w:p w14:paraId="0325745F">
      <w:pPr>
        <w:pStyle w:val="3"/>
        <w:bidi w:val="0"/>
        <w:rPr>
          <w:rFonts w:hint="default"/>
        </w:rPr>
      </w:pPr>
      <w:bookmarkStart w:id="12" w:name="_Toc3091"/>
      <w:r>
        <w:rPr>
          <w:rFonts w:hint="default"/>
        </w:rPr>
        <w:t>Recommendation 2: Supply Chain and Sourcing SOP Enhancement</w:t>
      </w:r>
      <w:bookmarkEnd w:id="12"/>
    </w:p>
    <w:p w14:paraId="54C9554E">
      <w:pPr>
        <w:pStyle w:val="85"/>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The agricultural foundation and cost, as well as scale advantages afforded to PepsiCo by India, require greater regulatory oversight and increased climate uncertainty are compelling the firm to implement more resilient supply chain SOPs. At present, PepsiCo buys around 400,000 tonnes of potatoes each year in 24,000 Indian farms, but more theoretical attention is to be paid to an operation that can guarantee the reliability of supplies (Business Standard, 2023).</w:t>
      </w:r>
    </w:p>
    <w:p w14:paraId="2DAF0552">
      <w:pPr>
        <w:pStyle w:val="85"/>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First, all Tier 1 suppliers must be required to conduct sustainability and labour audits at least twice a year, as the focus on the importance of water usage, emissions, and ethical labour standards is becoming a leading regulatory trend (Ministry of Environment, 2023). Second, institutionalisation of digital traceability, e.g., farm-to-factory tracking that runs on blockchain to increase transparency and quality assurance, should be introduced as the continuation of the successful practice applied in European operations (PepsiCo Sustainability Report, 2023). Third, the climate-resilience policies are to demand sourcing to a minimum of three geographical locations and reducing risks based on the variability of monsoons, which have grown by 23 percent in the past ten years (India Meteorological Department, 2023).</w:t>
      </w:r>
    </w:p>
    <w:p w14:paraId="53FFA321">
      <w:pPr>
        <w:pStyle w:val="85"/>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These changes align with the internalisation concept of the OLI model that recommends companies to internalize essential operations in case the market environment is disjointed or unreliable (Buckley and Casson, 2020). The productivity of Indian agriculture differs as much as 40 percent across states, which confirms the imperative of direct control (FAO, 2023). SOPs must hence have quarterly supplier performance reviews, annual agronomic training programmes to farmers and investment in drought resistant crop varieties which have been developed as part of its global R&amp;D network at PepsiCo.</w:t>
      </w:r>
    </w:p>
    <w:p w14:paraId="7264CE4A">
      <w:pPr>
        <w:pStyle w:val="8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sz w:val="24"/>
          <w:szCs w:val="24"/>
        </w:rPr>
        <w:t>Beyond operational advantages, the measures also help PepsiCo achieve its pep+ strategy, headquartered towards net-zero emissions by 2040, as well as toward consumers who are increasingly environmentally conscious, with 42% of Indian consumers even using sustainability in their purchasing behavior (Nielsen, 2023)</w:t>
      </w:r>
      <w:r>
        <w:rPr>
          <w:rFonts w:hint="default" w:ascii="Times New Roman" w:hAnsi="Times New Roman" w:cs="Times New Roman"/>
          <w:sz w:val="24"/>
          <w:szCs w:val="24"/>
        </w:rPr>
        <w:t>.</w:t>
      </w:r>
    </w:p>
    <w:p w14:paraId="78D34D21">
      <w:pPr>
        <w:pStyle w:val="3"/>
        <w:bidi w:val="0"/>
        <w:rPr>
          <w:rFonts w:hint="default"/>
        </w:rPr>
      </w:pPr>
      <w:bookmarkStart w:id="13" w:name="_Toc29757"/>
      <w:r>
        <w:rPr>
          <w:rFonts w:hint="default"/>
        </w:rPr>
        <w:t>Recommendation 3: Marketing and HR SOP Adaptations</w:t>
      </w:r>
      <w:bookmarkEnd w:id="13"/>
    </w:p>
    <w:p w14:paraId="728E611C">
      <w:pPr>
        <w:pStyle w:val="85"/>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Marketing and human resource SOPs should be tailored to the cultural context of India, which is characterized by a high power distance rating (77) and a collectivist orientation (48), unlike the UK (Hofstede Insights, 2024).</w:t>
      </w:r>
    </w:p>
    <w:p w14:paraId="6BE7F9F3">
      <w:pPr>
        <w:pStyle w:val="85"/>
        <w:keepNext w:val="0"/>
        <w:keepLines w:val="0"/>
        <w:widowControl/>
        <w:suppressLineNumbers w:val="0"/>
        <w:spacing w:line="360" w:lineRule="auto"/>
        <w:jc w:val="both"/>
        <w:rPr>
          <w:rFonts w:hint="default" w:ascii="Times New Roman" w:hAnsi="Times New Roman"/>
          <w:sz w:val="24"/>
          <w:szCs w:val="24"/>
        </w:rPr>
      </w:pPr>
      <w:r>
        <w:rPr>
          <w:rFonts w:hint="default" w:ascii="Times New Roman" w:hAnsi="Times New Roman"/>
          <w:sz w:val="24"/>
          <w:szCs w:val="24"/>
        </w:rPr>
        <w:t xml:space="preserve">Marketing SOPs must include the provision that any advertising campaign going on must be first subjected to local cultural scrutiny before it is granted approval to ensure that it is in tandem with Indian values which revolve around family, tradition and community. It is necessary to align with cultural values because the preference of Indian consumers to family-based messaging is 72 compared to 31 in the UK (Kantar IMRB, 2023). </w:t>
      </w:r>
    </w:p>
    <w:p w14:paraId="5D108EA9">
      <w:pPr>
        <w:pStyle w:val="85"/>
        <w:keepNext w:val="0"/>
        <w:keepLines w:val="0"/>
        <w:widowControl/>
        <w:suppressLineNumbers w:val="0"/>
        <w:spacing w:line="360" w:lineRule="auto"/>
        <w:jc w:val="both"/>
      </w:pPr>
      <w:r>
        <w:rPr>
          <w:rFonts w:hint="default" w:ascii="Times New Roman" w:hAnsi="Times New Roman"/>
          <w:sz w:val="24"/>
          <w:szCs w:val="24"/>
        </w:rPr>
        <w:t>HR SOPs must also be modified to consider cultural anticipations through the establishment of clear hierarchical reporting relationships, formal channels of communication and directive leadership habits that concur with high power distance expectations (Budhwar and Varma, 2011). The cross-cultural training programmes are mandatory and require four weeks of training before expatriate managers can assign Indian missions</w:t>
      </w:r>
      <w:r>
        <w:rPr>
          <w:rFonts w:hint="default" w:ascii="Times New Roman" w:hAnsi="Times New Roman" w:cs="Times New Roman"/>
          <w:sz w:val="24"/>
          <w:szCs w:val="24"/>
        </w:rPr>
        <w:t>.</w:t>
      </w:r>
    </w:p>
    <w:p w14:paraId="12912FDD">
      <w:pPr>
        <w:pStyle w:val="2"/>
        <w:numPr>
          <w:ilvl w:val="0"/>
          <w:numId w:val="0"/>
        </w:numPr>
        <w:spacing w:line="360" w:lineRule="auto"/>
      </w:pPr>
      <w:bookmarkStart w:id="14" w:name="_Toc32654"/>
      <w:r>
        <w:t>6. Conclusion</w:t>
      </w:r>
      <w:bookmarkEnd w:id="14"/>
      <w:r>
        <w:t xml:space="preserve"> </w:t>
      </w:r>
    </w:p>
    <w:p w14:paraId="72FFB625">
      <w:pPr>
        <w:pStyle w:val="85"/>
        <w:spacing w:line="360" w:lineRule="auto"/>
        <w:jc w:val="both"/>
      </w:pPr>
      <w:r>
        <w:rPr>
          <w:rFonts w:hint="default"/>
        </w:rPr>
        <w:t>The consultancy report has revealed that the internationalization of PepsiCo UK to India is influenced by a blend of strategic benefits, market intricacies and deeply rooted consumer behaviours. The analysis revealed that the world ownership resources of the company comprising of its brand portfolio, proprietary technologies and managerial skills give it a high base of international competitiveness. The country-specific benefits of India are also in the very fact that being a country with a high level of poor young people, developing FMCG industry and favourable conditions of agriculture, the country supports the strategic importance of India in the global network of PepsiCo. Nevertheless, another point of the report emphasized the fact that the differences of cultures between UK and India are the dominant factors in choosing the markets to enter, consumer attitudes and labor relations. Models like Hofstede dimensions depicted how the collectivism, high power distance and intense flavour preferences of the Indians necessitate further localisation in product development, marketing and organisational administration. The suggested SOP changes applicable to the R and D, supply chain governance, marketing localisation and HR practices are thus necessary in ensuring congruence to strategic focus on OLI factors as well as the cultural knowledge. Such transformations will help to improve operational consistency, guard quality standards, improve the relationship between stakeholders and the responsiveness to the market. Finally, the consultancy solution underlines that PepsiCo UK should institutionalise localisation, strengthen its internal strengths in India and go culturally intelligent in its operating procedures. These measures will not only maintain the competitive edge of PepsiCo but will also guarantee long-term, robust success in one of the most rapidly developing emerging markets in the world</w:t>
      </w:r>
      <w:r>
        <w:t>.</w:t>
      </w:r>
    </w:p>
    <w:p w14:paraId="10A5118B">
      <w:r>
        <w:br w:type="page"/>
      </w:r>
    </w:p>
    <w:p w14:paraId="51FD79EF">
      <w:pPr>
        <w:pStyle w:val="2"/>
        <w:numPr>
          <w:ilvl w:val="0"/>
          <w:numId w:val="12"/>
        </w:numPr>
      </w:pPr>
      <w:bookmarkStart w:id="15" w:name="_Toc25051"/>
      <w:r>
        <w:t>References</w:t>
      </w:r>
      <w:bookmarkEnd w:id="15"/>
    </w:p>
    <w:p w14:paraId="5683005C">
      <w:pPr>
        <w:pStyle w:val="85"/>
        <w:keepNext w:val="0"/>
        <w:keepLines w:val="0"/>
        <w:widowControl/>
        <w:suppressLineNumbers w:val="0"/>
        <w:spacing w:line="360" w:lineRule="auto"/>
        <w:jc w:val="both"/>
        <w:rPr>
          <w:rFonts w:hint="default" w:ascii="Times New Roman" w:hAnsi="Times New Roman" w:cs="Times New Roman"/>
          <w:b w:val="0"/>
          <w:bCs w:val="0"/>
        </w:rPr>
      </w:pPr>
      <w:r>
        <w:rPr>
          <w:rStyle w:val="92"/>
          <w:rFonts w:hint="default" w:ascii="Times New Roman" w:hAnsi="Times New Roman" w:cs="Times New Roman"/>
          <w:b w:val="0"/>
          <w:bCs w:val="0"/>
        </w:rPr>
        <w:t>Ambwani, M. V. (2025)</w:t>
      </w:r>
      <w:r>
        <w:rPr>
          <w:rFonts w:hint="default" w:ascii="Times New Roman" w:hAnsi="Times New Roman" w:cs="Times New Roman"/>
          <w:b w:val="0"/>
          <w:bCs w:val="0"/>
        </w:rPr>
        <w:t xml:space="preserve"> </w:t>
      </w:r>
      <w:r>
        <w:rPr>
          <w:rStyle w:val="31"/>
          <w:rFonts w:hint="default" w:ascii="Times New Roman" w:hAnsi="Times New Roman" w:cs="Times New Roman"/>
          <w:b w:val="0"/>
          <w:bCs w:val="0"/>
        </w:rPr>
        <w:t>PepsiCo says India among key markets that led growth for international business in Q1</w:t>
      </w:r>
      <w:r>
        <w:rPr>
          <w:rFonts w:hint="default" w:ascii="Times New Roman" w:hAnsi="Times New Roman" w:cs="Times New Roman"/>
          <w:b w:val="0"/>
          <w:bCs w:val="0"/>
        </w:rPr>
        <w:t xml:space="preserve">. </w:t>
      </w:r>
      <w:r>
        <w:rPr>
          <w:rStyle w:val="31"/>
          <w:rFonts w:hint="default" w:ascii="Times New Roman" w:hAnsi="Times New Roman" w:cs="Times New Roman"/>
          <w:b w:val="0"/>
          <w:bCs w:val="0"/>
        </w:rPr>
        <w:t>The Hindu BusinessLine</w:t>
      </w:r>
      <w:r>
        <w:rPr>
          <w:rFonts w:hint="default" w:ascii="Times New Roman" w:hAnsi="Times New Roman" w:cs="Times New Roman"/>
          <w:b w:val="0"/>
          <w:bCs w:val="0"/>
        </w:rPr>
        <w:t xml:space="preserve">, 24 April.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"https://www.thehindubusinessline.com/companies/pepsico-says-india-among-key-markets-that-led-growth-for-international-biz-in-q1/article69487576.ece"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https://www.thehindubusinessline.com/companies/pepsico-says-india-among-key-markets-that-led-growth-for-international-biz-in-q1/article69487576.ece</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743BBEA1">
      <w:pPr>
        <w:pStyle w:val="85"/>
        <w:keepNext w:val="0"/>
        <w:keepLines w:val="0"/>
        <w:widowControl/>
        <w:suppressLineNumbers w:val="0"/>
        <w:spacing w:line="360" w:lineRule="auto"/>
        <w:rPr>
          <w:rFonts w:hint="default" w:ascii="Times New Roman" w:hAnsi="Times New Roman" w:cs="Times New Roman"/>
          <w:b w:val="0"/>
          <w:bCs w:val="0"/>
        </w:rPr>
      </w:pPr>
      <w:r>
        <w:rPr>
          <w:rFonts w:hint="default" w:ascii="Times New Roman" w:hAnsi="Times New Roman" w:cs="Times New Roman"/>
          <w:b w:val="0"/>
          <w:bCs w:val="0"/>
        </w:rPr>
        <w:t xml:space="preserve">Adarkwah, G.K. and Malonæs, T.P. (2022) ‘Firm-specific advantages: a comprehensive review with a focus on emerging markets’, </w:t>
      </w:r>
      <w:r>
        <w:rPr>
          <w:rStyle w:val="31"/>
          <w:rFonts w:hint="default" w:ascii="Times New Roman" w:hAnsi="Times New Roman" w:cs="Times New Roman"/>
          <w:b w:val="0"/>
          <w:bCs w:val="0"/>
        </w:rPr>
        <w:t>Asia Pacific Journal of Management</w:t>
      </w:r>
      <w:r>
        <w:rPr>
          <w:rFonts w:hint="default" w:ascii="Times New Roman" w:hAnsi="Times New Roman" w:cs="Times New Roman"/>
          <w:b w:val="0"/>
          <w:bCs w:val="0"/>
        </w:rPr>
        <w:t xml:space="preserve">, 39, pp. 539–585.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"https://doi.org/10.1007/s10490-020-09737-7"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https://doi.org/10.1007/s10490-020-09737-7</w:t>
      </w:r>
      <w:r>
        <w:rPr>
          <w:rFonts w:hint="default" w:ascii="Times New Roman" w:hAnsi="Times New Roman" w:cs="Times New Roman"/>
          <w:b w:val="0"/>
          <w:bCs w:val="0"/>
        </w:rPr>
        <w:fldChar w:fldCharType="end"/>
      </w:r>
    </w:p>
    <w:p w14:paraId="4A192A1F">
      <w:pPr>
        <w:pStyle w:val="85"/>
        <w:keepNext w:val="0"/>
        <w:keepLines w:val="0"/>
        <w:widowControl/>
        <w:suppressLineNumbers w:val="0"/>
        <w:spacing w:line="360" w:lineRule="auto"/>
        <w:rPr>
          <w:rFonts w:hint="default" w:ascii="Times New Roman" w:hAnsi="Times New Roman" w:cs="Times New Roman"/>
          <w:b w:val="0"/>
          <w:bCs w:val="0"/>
        </w:rPr>
      </w:pPr>
      <w:r>
        <w:rPr>
          <w:rFonts w:hint="default" w:ascii="Times New Roman" w:hAnsi="Times New Roman" w:cs="Times New Roman"/>
          <w:b w:val="0"/>
          <w:bCs w:val="0"/>
        </w:rPr>
        <w:t xml:space="preserve">Buckley, P.J. (2016) ‘The contribution of internalisation theory to international business: New realities and unanswered questions’, </w:t>
      </w:r>
      <w:r>
        <w:rPr>
          <w:rStyle w:val="31"/>
          <w:rFonts w:hint="default" w:ascii="Times New Roman" w:hAnsi="Times New Roman" w:cs="Times New Roman"/>
          <w:b w:val="0"/>
          <w:bCs w:val="0"/>
        </w:rPr>
        <w:t>Journal of World Business</w:t>
      </w:r>
      <w:r>
        <w:rPr>
          <w:rFonts w:hint="default" w:ascii="Times New Roman" w:hAnsi="Times New Roman" w:cs="Times New Roman"/>
          <w:b w:val="0"/>
          <w:bCs w:val="0"/>
        </w:rPr>
        <w:t xml:space="preserve">, 51(1), pp. 74–82.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"https://doi.org/10.1016/j.jwb.2015.08.012"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https://doi.org/10.1016/j.jwb.2015.08.012</w:t>
      </w:r>
      <w:r>
        <w:rPr>
          <w:rFonts w:hint="default" w:ascii="Times New Roman" w:hAnsi="Times New Roman" w:cs="Times New Roman"/>
          <w:b w:val="0"/>
          <w:bCs w:val="0"/>
        </w:rPr>
        <w:fldChar w:fldCharType="end"/>
      </w:r>
    </w:p>
    <w:p w14:paraId="5B10CC9B">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Bloomberg Agriculture (2023) </w:t>
      </w:r>
      <w:r>
        <w:rPr>
          <w:rStyle w:val="31"/>
          <w:rFonts w:hint="default" w:ascii="Times New Roman" w:hAnsi="Times New Roman" w:cs="Times New Roman"/>
          <w:b w:val="0"/>
          <w:bCs w:val="0"/>
        </w:rPr>
        <w:t>Global commodity pricing and agricultural markets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"https://www.bloomberg.com/markets/commodities/futures/agriculture"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https://www.bloomberg.com/markets/commodities/futures/agriculture</w:t>
      </w:r>
      <w:r>
        <w:rPr>
          <w:rFonts w:hint="default" w:ascii="Times New Roman" w:hAnsi="Times New Roman" w:cs="Times New Roman"/>
          <w:b w:val="0"/>
          <w:bCs w:val="0"/>
        </w:rPr>
        <w:fldChar w:fldCharType="end"/>
      </w:r>
      <w:r>
        <w:rPr>
          <w:rFonts w:hint="default" w:ascii="Times New Roman" w:hAnsi="Times New Roman" w:cs="Times New Roman"/>
          <w:b w:val="0"/>
          <w:bCs w:val="0"/>
          <w:lang w:val="en-US"/>
        </w:rPr>
        <w:t xml:space="preserve"> </w:t>
      </w:r>
      <w:r>
        <w:rPr>
          <w:rFonts w:hint="default" w:ascii="Times New Roman" w:hAnsi="Times New Roman" w:cs="Times New Roman"/>
          <w:b w:val="0"/>
          <w:bCs w:val="0"/>
        </w:rPr>
        <w:t>(Accessed: 13 December 2025).</w:t>
      </w:r>
    </w:p>
    <w:p w14:paraId="51646593">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Brand Finance (2023) </w:t>
      </w:r>
      <w:r>
        <w:rPr>
          <w:rStyle w:val="31"/>
          <w:rFonts w:hint="default" w:ascii="Times New Roman" w:hAnsi="Times New Roman" w:cs="Times New Roman"/>
          <w:b w:val="0"/>
          <w:bCs w:val="0"/>
        </w:rPr>
        <w:t>Global 500 2023: The annual report on the world's most valuable brands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"https://brandfinance.com/insights/global-500-2023-report-published"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https://brandfinance.com/insights/global-500-2023-report-published</w:t>
      </w:r>
      <w:r>
        <w:rPr>
          <w:rFonts w:hint="default" w:ascii="Times New Roman" w:hAnsi="Times New Roman" w:cs="Times New Roman"/>
          <w:b w:val="0"/>
          <w:bCs w:val="0"/>
        </w:rPr>
        <w:fldChar w:fldCharType="end"/>
      </w:r>
      <w:r>
        <w:rPr>
          <w:rFonts w:hint="default" w:ascii="Times New Roman" w:hAnsi="Times New Roman" w:cs="Times New Roman"/>
          <w:b w:val="0"/>
          <w:bCs w:val="0"/>
          <w:lang w:val="en-US"/>
        </w:rPr>
        <w:t xml:space="preserve"> </w:t>
      </w:r>
      <w:r>
        <w:rPr>
          <w:rFonts w:hint="default" w:ascii="Times New Roman" w:hAnsi="Times New Roman" w:cs="Times New Roman"/>
          <w:b w:val="0"/>
          <w:bCs w:val="0"/>
        </w:rPr>
        <w:t>(Accessed: 13 December 2025).</w:t>
      </w:r>
    </w:p>
    <w:p w14:paraId="085F4914">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Buckley, P.J. (2020) 'The theory and empirics of the structural reshaping of globalization', </w:t>
      </w:r>
      <w:r>
        <w:rPr>
          <w:rStyle w:val="31"/>
          <w:rFonts w:hint="default" w:ascii="Times New Roman" w:hAnsi="Times New Roman" w:cs="Times New Roman"/>
          <w:b w:val="0"/>
          <w:bCs w:val="0"/>
        </w:rPr>
        <w:t>Journal of International Business Studies</w:t>
      </w:r>
      <w:r>
        <w:rPr>
          <w:rFonts w:hint="default" w:ascii="Times New Roman" w:hAnsi="Times New Roman" w:cs="Times New Roman"/>
          <w:b w:val="0"/>
          <w:bCs w:val="0"/>
        </w:rPr>
        <w:t xml:space="preserve">, 51(9), pp. 1580-1592.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"https://eprints.whiterose.ac.uk/id/eprint/162892/3/JIBS%20paper%20text%20THE%20THEORY.pdf"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https://eprints.whiterose.ac.uk/id/eprint/162892/3/JIBS%20paper%20text%20THE%20THEORY.pdf</w:t>
      </w:r>
      <w:r>
        <w:rPr>
          <w:rFonts w:hint="default" w:ascii="Times New Roman" w:hAnsi="Times New Roman" w:cs="Times New Roman"/>
          <w:b w:val="0"/>
          <w:bCs w:val="0"/>
        </w:rPr>
        <w:fldChar w:fldCharType="end"/>
      </w:r>
      <w:r>
        <w:rPr>
          <w:rFonts w:hint="default" w:ascii="Times New Roman" w:hAnsi="Times New Roman" w:cs="Times New Roman"/>
          <w:b w:val="0"/>
          <w:bCs w:val="0"/>
          <w:lang w:val="en-US"/>
        </w:rPr>
        <w:t xml:space="preserve"> </w:t>
      </w:r>
      <w:r>
        <w:rPr>
          <w:rFonts w:hint="default" w:ascii="Times New Roman" w:hAnsi="Times New Roman" w:cs="Times New Roman"/>
          <w:b w:val="0"/>
          <w:bCs w:val="0"/>
        </w:rPr>
        <w:t>(Accessed: 13 December 2025).</w:t>
      </w:r>
    </w:p>
    <w:p w14:paraId="47703778">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Buckley, P.J. and Casson, M. (2020) 'The internalisation theory of the multinational enterprise: Past, present and future', </w:t>
      </w:r>
      <w:r>
        <w:rPr>
          <w:rStyle w:val="31"/>
          <w:rFonts w:hint="default" w:ascii="Times New Roman" w:hAnsi="Times New Roman" w:cs="Times New Roman"/>
          <w:b w:val="0"/>
          <w:bCs w:val="0"/>
        </w:rPr>
        <w:t>British Journal of Management</w:t>
      </w:r>
      <w:r>
        <w:rPr>
          <w:rFonts w:hint="default" w:ascii="Times New Roman" w:hAnsi="Times New Roman" w:cs="Times New Roman"/>
          <w:b w:val="0"/>
          <w:bCs w:val="0"/>
        </w:rPr>
        <w:t xml:space="preserve">, 31(2), pp. 239-252.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"https://onlinelibrary.wiley.com/doi/10.1111/1467-8551.12344" </w:instrText>
      </w:r>
      <w:r>
        <w:rPr>
          <w:rFonts w:hint="default" w:ascii="Times New Roman" w:hAnsi="Times New Roman" w:cs="Times New Roman"/>
          <w:b w:val="0"/>
          <w:bCs w:val="0"/>
        </w:rPr>
        <w:fldChar w:fldCharType="separate"/>
      </w:r>
      <w:r>
        <w:rPr>
          <w:rStyle w:val="36"/>
          <w:rFonts w:hint="default" w:ascii="Times New Roman" w:hAnsi="Times New Roman" w:cs="Times New Roman"/>
          <w:b w:val="0"/>
          <w:bCs w:val="0"/>
        </w:rPr>
        <w:t>https://onlinelibrary.wiley.com/doi/10.1111/1467-8551.12344</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3797CDDC">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Budhwar, P. (2022) </w:t>
      </w:r>
      <w:r>
        <w:rPr>
          <w:rStyle w:val="31"/>
          <w:rFonts w:hint="default" w:ascii="Times New Roman" w:hAnsi="Times New Roman" w:cs="Times New Roman"/>
          <w:b w:val="0"/>
          <w:bCs w:val="0"/>
        </w:rPr>
        <w:t>Human resource management in India: Trends and emerging practices</w:t>
      </w:r>
      <w:r>
        <w:rPr>
          <w:rFonts w:hint="default" w:ascii="Times New Roman" w:hAnsi="Times New Roman" w:cs="Times New Roman"/>
          <w:b w:val="0"/>
          <w:bCs w:val="0"/>
        </w:rPr>
        <w:t>. London: Routledge.</w:t>
      </w:r>
    </w:p>
    <w:p w14:paraId="03EBAA80">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Budhwar, P. and Varma, A. (2011) 'Emerging HR management trends in India and the way forward', </w:t>
      </w:r>
      <w:r>
        <w:rPr>
          <w:rStyle w:val="31"/>
          <w:rFonts w:hint="default" w:ascii="Times New Roman" w:hAnsi="Times New Roman" w:cs="Times New Roman"/>
          <w:b w:val="0"/>
          <w:bCs w:val="0"/>
        </w:rPr>
        <w:t>Organizational Dynamics</w:t>
      </w:r>
      <w:r>
        <w:rPr>
          <w:rFonts w:hint="default" w:ascii="Times New Roman" w:hAnsi="Times New Roman" w:cs="Times New Roman"/>
          <w:b w:val="0"/>
          <w:bCs w:val="0"/>
        </w:rPr>
        <w:t xml:space="preserve">, 40(4), pp. 317-325.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"https://www.sciencedirect.com/science/article/pii/S0090261611000759" </w:instrText>
      </w:r>
      <w:r>
        <w:rPr>
          <w:rFonts w:hint="default" w:ascii="Times New Roman" w:hAnsi="Times New Roman" w:cs="Times New Roman"/>
          <w:b w:val="0"/>
          <w:bCs w:val="0"/>
        </w:rPr>
        <w:fldChar w:fldCharType="separate"/>
      </w:r>
      <w:r>
        <w:rPr>
          <w:rStyle w:val="36"/>
          <w:rFonts w:hint="default" w:ascii="Times New Roman" w:hAnsi="Times New Roman" w:cs="Times New Roman"/>
          <w:b w:val="0"/>
          <w:bCs w:val="0"/>
        </w:rPr>
        <w:t>https://www.sciencedirect.com/science/article/pii/S0090261611000759</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46530397">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Business Standard (2023) </w:t>
      </w:r>
      <w:r>
        <w:rPr>
          <w:rStyle w:val="31"/>
          <w:rFonts w:hint="default" w:ascii="Times New Roman" w:hAnsi="Times New Roman" w:cs="Times New Roman"/>
          <w:b w:val="0"/>
          <w:bCs w:val="0"/>
        </w:rPr>
        <w:t>PepsiCo India's sustainable farming programme boosts yields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"https://www.business-standard.com/companies/news/pepsico-india-sustainable-farming" </w:instrText>
      </w:r>
      <w:r>
        <w:rPr>
          <w:rFonts w:hint="default" w:ascii="Times New Roman" w:hAnsi="Times New Roman" w:cs="Times New Roman"/>
          <w:b w:val="0"/>
          <w:bCs w:val="0"/>
        </w:rPr>
        <w:fldChar w:fldCharType="separate"/>
      </w:r>
      <w:r>
        <w:rPr>
          <w:rStyle w:val="36"/>
          <w:rFonts w:hint="default" w:ascii="Times New Roman" w:hAnsi="Times New Roman" w:cs="Times New Roman"/>
          <w:b w:val="0"/>
          <w:bCs w:val="0"/>
        </w:rPr>
        <w:t>https://www.business-standard.com/companies/news/pepsico-india-sustainable-farming</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2CECD27A">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Census of India (2023) </w:t>
      </w:r>
      <w:r>
        <w:rPr>
          <w:rStyle w:val="31"/>
          <w:rFonts w:hint="default" w:ascii="Times New Roman" w:hAnsi="Times New Roman" w:cs="Times New Roman"/>
          <w:b w:val="0"/>
          <w:bCs w:val="0"/>
        </w:rPr>
        <w:t>Urban population statistics and migration patterns</w:t>
      </w:r>
      <w:r>
        <w:rPr>
          <w:rFonts w:hint="default" w:ascii="Times New Roman" w:hAnsi="Times New Roman" w:cs="Times New Roman"/>
          <w:b w:val="0"/>
          <w:bCs w:val="0"/>
        </w:rPr>
        <w:t>. Available at: https://censusindia.gov.in/census.website/en/data (Accessed: 13 December 2025).</w:t>
      </w:r>
    </w:p>
    <w:p w14:paraId="0CBB5839">
      <w:pPr>
        <w:pStyle w:val="85"/>
        <w:keepNext w:val="0"/>
        <w:keepLines w:val="0"/>
        <w:widowControl/>
        <w:suppressLineNumbers w:val="0"/>
        <w:spacing w:line="360" w:lineRule="auto"/>
        <w:jc w:val="both"/>
        <w:rPr>
          <w:rFonts w:hint="default" w:ascii="Times New Roman" w:hAnsi="Times New Roman" w:cs="Times New Roman"/>
          <w:b w:val="0"/>
          <w:bCs w:val="0"/>
        </w:rPr>
      </w:pPr>
      <w:r>
        <w:rPr>
          <w:rStyle w:val="92"/>
          <w:rFonts w:hint="default" w:ascii="Times New Roman" w:hAnsi="Times New Roman" w:cs="Times New Roman"/>
          <w:b w:val="0"/>
          <w:bCs w:val="0"/>
        </w:rPr>
        <w:t>Caballero, M. (2025)</w:t>
      </w:r>
      <w:r>
        <w:rPr>
          <w:rFonts w:hint="default" w:ascii="Times New Roman" w:hAnsi="Times New Roman" w:cs="Times New Roman"/>
          <w:b w:val="0"/>
          <w:bCs w:val="0"/>
        </w:rPr>
        <w:t xml:space="preserve"> </w:t>
      </w:r>
      <w:r>
        <w:rPr>
          <w:rStyle w:val="31"/>
          <w:rFonts w:hint="default" w:ascii="Times New Roman" w:hAnsi="Times New Roman" w:cs="Times New Roman"/>
          <w:b w:val="0"/>
          <w:bCs w:val="0"/>
        </w:rPr>
        <w:t>PepsiCo’s $4B investor pushes for change, refranchising indie bottlers</w:t>
      </w:r>
      <w:r>
        <w:rPr>
          <w:rFonts w:hint="default" w:ascii="Times New Roman" w:hAnsi="Times New Roman" w:cs="Times New Roman"/>
          <w:b w:val="0"/>
          <w:bCs w:val="0"/>
        </w:rPr>
        <w:t xml:space="preserve">. </w:t>
      </w:r>
      <w:r>
        <w:rPr>
          <w:rStyle w:val="31"/>
          <w:rFonts w:hint="default" w:ascii="Times New Roman" w:hAnsi="Times New Roman" w:cs="Times New Roman"/>
          <w:b w:val="0"/>
          <w:bCs w:val="0"/>
        </w:rPr>
        <w:t>BevNET</w:t>
      </w:r>
      <w:r>
        <w:rPr>
          <w:rFonts w:hint="default" w:ascii="Times New Roman" w:hAnsi="Times New Roman" w:cs="Times New Roman"/>
          <w:b w:val="0"/>
          <w:bCs w:val="0"/>
        </w:rPr>
        <w:t xml:space="preserve">, 2 September.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"https://www.bevnet.com/news/2025/pepsicos-4b-investor-pushes-for-change-refranchising-indie-bottlers"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https://www.bevnet.com/news/2025/pepsicos-4b-investor-pushes-for-change-refranchising-indie-bottlers</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313CDF3F">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Deloitte (2023) </w:t>
      </w:r>
      <w:r>
        <w:rPr>
          <w:rStyle w:val="31"/>
          <w:rFonts w:hint="default" w:ascii="Times New Roman" w:hAnsi="Times New Roman" w:cs="Times New Roman"/>
          <w:b w:val="0"/>
          <w:bCs w:val="0"/>
        </w:rPr>
        <w:t>Global manufacturing cost competitiveness analysis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"https://www2.deloitte.com/global/en/pages/manufacturing/articles/global-manufacturing-competitiveness-index.html"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https://www2.deloitte.com/global/en/pages/manufacturing/articles/global-manufacturing-competitiveness-index.html</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37695157">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Dunning, J.H. and Lundan, S.M. (2008) </w:t>
      </w:r>
      <w:r>
        <w:rPr>
          <w:rStyle w:val="31"/>
          <w:rFonts w:hint="default" w:ascii="Times New Roman" w:hAnsi="Times New Roman" w:cs="Times New Roman"/>
          <w:b w:val="0"/>
          <w:bCs w:val="0"/>
        </w:rPr>
        <w:t>Multinational enterprises and the global economy</w:t>
      </w:r>
      <w:r>
        <w:rPr>
          <w:rFonts w:hint="default" w:ascii="Times New Roman" w:hAnsi="Times New Roman" w:cs="Times New Roman"/>
          <w:b w:val="0"/>
          <w:bCs w:val="0"/>
        </w:rPr>
        <w:t>. 2nd edn. Cheltenham: Edward Elgar Publishing.</w:t>
      </w:r>
    </w:p>
    <w:p w14:paraId="2A786AFF">
      <w:pPr>
        <w:pStyle w:val="85"/>
        <w:keepNext w:val="0"/>
        <w:keepLines w:val="0"/>
        <w:widowControl/>
        <w:suppressLineNumbers w:val="0"/>
        <w:spacing w:line="360" w:lineRule="auto"/>
        <w:rPr>
          <w:rFonts w:hint="default" w:ascii="Times New Roman" w:hAnsi="Times New Roman" w:cs="Times New Roman"/>
          <w:b w:val="0"/>
          <w:bCs w:val="0"/>
        </w:rPr>
      </w:pPr>
      <w:r>
        <w:rPr>
          <w:rFonts w:hint="default" w:ascii="Times New Roman" w:hAnsi="Times New Roman" w:cs="Times New Roman"/>
          <w:b w:val="0"/>
          <w:bCs w:val="0"/>
        </w:rPr>
        <w:t xml:space="preserve">D’Souza, J. (2025) </w:t>
      </w:r>
      <w:r>
        <w:rPr>
          <w:rStyle w:val="31"/>
          <w:rFonts w:hint="default" w:ascii="Times New Roman" w:hAnsi="Times New Roman" w:cs="Times New Roman"/>
          <w:b w:val="0"/>
          <w:bCs w:val="0"/>
        </w:rPr>
        <w:t>PepsiCo statistics by revenue, product, advertising and marketing (2025)</w:t>
      </w:r>
      <w:r>
        <w:rPr>
          <w:rFonts w:hint="default" w:ascii="Times New Roman" w:hAnsi="Times New Roman" w:cs="Times New Roman"/>
          <w:b w:val="0"/>
          <w:bCs w:val="0"/>
        </w:rPr>
        <w:t xml:space="preserve">. Sci-Tech Today.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"https://www.sci-tech-today.com/stats/pepsico-statistics/"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https://www.sci-tech-today.com/stats/pepsico-statistics/</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207EAF39">
      <w:pPr>
        <w:pStyle w:val="85"/>
        <w:keepNext w:val="0"/>
        <w:keepLines w:val="0"/>
        <w:widowControl/>
        <w:suppressLineNumbers w:val="0"/>
        <w:spacing w:line="360" w:lineRule="auto"/>
        <w:rPr>
          <w:rFonts w:hint="default" w:ascii="Times New Roman" w:hAnsi="Times New Roman" w:cs="Times New Roman"/>
          <w:b w:val="0"/>
          <w:bCs w:val="0"/>
        </w:rPr>
      </w:pPr>
      <w:r>
        <w:rPr>
          <w:rFonts w:hint="default" w:ascii="Times New Roman" w:hAnsi="Times New Roman" w:cs="Times New Roman"/>
          <w:b w:val="0"/>
          <w:bCs w:val="0"/>
        </w:rPr>
        <w:t xml:space="preserve">Innova Market Insights (2025) </w:t>
      </w:r>
      <w:r>
        <w:rPr>
          <w:rStyle w:val="31"/>
          <w:rFonts w:hint="default" w:ascii="Times New Roman" w:hAnsi="Times New Roman" w:cs="Times New Roman"/>
          <w:b w:val="0"/>
          <w:bCs w:val="0"/>
        </w:rPr>
        <w:t>Food industry in India: Consumer insights and preferences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"https://www.innovamarketinsights.com/trends/food-industry-in-india/?utm_source=chatgpt.com"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https://www.innovamarketinsights.com/trends/food-industry-in-india/</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5A7B0B07">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Economic Times (2022) </w:t>
      </w:r>
      <w:r>
        <w:rPr>
          <w:rStyle w:val="31"/>
          <w:rFonts w:hint="default" w:ascii="Times New Roman" w:hAnsi="Times New Roman" w:cs="Times New Roman"/>
          <w:b w:val="0"/>
          <w:bCs w:val="0"/>
        </w:rPr>
        <w:t>PepsiCo's supply chain innovations reduce costs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"https://economictimes.indiatimes.com/news/international/business/pepsico-to-cut-prices-eliminate-products-as-part-of-a-deal-with-elliott-management/articleshow/125854719.cms"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https://economictimes.indiatimes.com/news/international/business/pepsico-to-cut-prices-eliminate-products-as-part-of-a-deal-with-elliott-management/articleshow/125854719.cms</w:t>
      </w:r>
      <w:r>
        <w:rPr>
          <w:rFonts w:hint="default" w:ascii="Times New Roman" w:hAnsi="Times New Roman" w:cs="Times New Roman"/>
          <w:b w:val="0"/>
          <w:bCs w:val="0"/>
        </w:rPr>
        <w:fldChar w:fldCharType="end"/>
      </w:r>
      <w:r>
        <w:rPr>
          <w:rFonts w:hint="default" w:ascii="Times New Roman" w:hAnsi="Times New Roman" w:cs="Times New Roman"/>
          <w:b w:val="0"/>
          <w:bCs w:val="0"/>
          <w:lang w:val="en-US"/>
        </w:rPr>
        <w:t xml:space="preserve"> </w:t>
      </w:r>
      <w:r>
        <w:rPr>
          <w:rFonts w:hint="default" w:ascii="Times New Roman" w:hAnsi="Times New Roman" w:cs="Times New Roman"/>
          <w:b w:val="0"/>
          <w:bCs w:val="0"/>
        </w:rPr>
        <w:t>(Accessed: 13 December 2025).</w:t>
      </w:r>
    </w:p>
    <w:p w14:paraId="00ED8D5F">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Euromonitor (2024) </w:t>
      </w:r>
      <w:r>
        <w:rPr>
          <w:rStyle w:val="31"/>
          <w:rFonts w:hint="default" w:ascii="Times New Roman" w:hAnsi="Times New Roman" w:cs="Times New Roman"/>
          <w:b w:val="0"/>
          <w:bCs w:val="0"/>
        </w:rPr>
        <w:t>Packaged food in India: Country report</w:t>
      </w:r>
      <w:r>
        <w:rPr>
          <w:rFonts w:hint="default" w:ascii="Times New Roman" w:hAnsi="Times New Roman" w:cs="Times New Roman"/>
          <w:b w:val="0"/>
          <w:bCs w:val="0"/>
        </w:rPr>
        <w:t>. Available at: https://www.orklaindia.com/wp-content/uploads/sites/3/2025/06/Industry_Report.pdf (Accessed: 13 December 2025).</w:t>
      </w:r>
    </w:p>
    <w:p w14:paraId="3D4D4187">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EY Analysis (2023) </w:t>
      </w:r>
      <w:r>
        <w:rPr>
          <w:rStyle w:val="31"/>
          <w:rFonts w:hint="default" w:ascii="Times New Roman" w:hAnsi="Times New Roman" w:cs="Times New Roman"/>
          <w:b w:val="0"/>
          <w:bCs w:val="0"/>
        </w:rPr>
        <w:t>India consumer products market growth trends</w:t>
      </w:r>
      <w:r>
        <w:rPr>
          <w:rFonts w:hint="default" w:ascii="Times New Roman" w:hAnsi="Times New Roman" w:cs="Times New Roman"/>
          <w:b w:val="0"/>
          <w:bCs w:val="0"/>
        </w:rPr>
        <w:t>. Available at: https://www.ey.com/en_in/insights (Accessed: 13 December 2025).</w:t>
      </w:r>
    </w:p>
    <w:p w14:paraId="30D573C0">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FAO (2023) </w:t>
      </w:r>
      <w:r>
        <w:rPr>
          <w:rStyle w:val="31"/>
          <w:rFonts w:hint="default" w:ascii="Times New Roman" w:hAnsi="Times New Roman" w:cs="Times New Roman"/>
          <w:b w:val="0"/>
          <w:bCs w:val="0"/>
        </w:rPr>
        <w:t>Sustainable agricultural practices in global value chains</w:t>
      </w:r>
      <w:r>
        <w:rPr>
          <w:rFonts w:hint="default" w:ascii="Times New Roman" w:hAnsi="Times New Roman" w:cs="Times New Roman"/>
          <w:b w:val="0"/>
          <w:bCs w:val="0"/>
        </w:rPr>
        <w:t>. Food and Agriculture Organization of the United Nations. Available at: https://www.fao.org/agrifood-economics/publications/detail/en/c/1661488/ (Accessed: 13 December 2025).</w:t>
      </w:r>
    </w:p>
    <w:p w14:paraId="19868F1D">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Financial Times (2023) </w:t>
      </w:r>
      <w:r>
        <w:rPr>
          <w:rStyle w:val="31"/>
          <w:rFonts w:hint="default" w:ascii="Times New Roman" w:hAnsi="Times New Roman" w:cs="Times New Roman"/>
          <w:b w:val="0"/>
          <w:bCs w:val="0"/>
        </w:rPr>
        <w:t>European energy crisis impact on manufacturing sector</w:t>
      </w:r>
      <w:r>
        <w:rPr>
          <w:rFonts w:hint="default" w:ascii="Times New Roman" w:hAnsi="Times New Roman" w:cs="Times New Roman"/>
          <w:b w:val="0"/>
          <w:bCs w:val="0"/>
        </w:rPr>
        <w:t>. Available at: https://www.ft.com/energy-crisis(Accessed: 13 December 2025).</w:t>
      </w:r>
    </w:p>
    <w:p w14:paraId="3F32D8E3">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Fitch Ratings (2024) </w:t>
      </w:r>
      <w:r>
        <w:rPr>
          <w:rStyle w:val="31"/>
          <w:rFonts w:hint="default" w:ascii="Times New Roman" w:hAnsi="Times New Roman" w:cs="Times New Roman"/>
          <w:b w:val="0"/>
          <w:bCs w:val="0"/>
        </w:rPr>
        <w:t>PepsiCo Inc. credit rating and analysis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"https://www.fitchratings.com/entity/pepsico-80442090" </w:instrText>
      </w:r>
      <w:r>
        <w:rPr>
          <w:rFonts w:hint="default" w:ascii="Times New Roman" w:hAnsi="Times New Roman" w:cs="Times New Roman"/>
          <w:b w:val="0"/>
          <w:bCs w:val="0"/>
        </w:rPr>
        <w:fldChar w:fldCharType="separate"/>
      </w:r>
      <w:r>
        <w:rPr>
          <w:rStyle w:val="36"/>
          <w:rFonts w:hint="default" w:ascii="Times New Roman" w:hAnsi="Times New Roman" w:cs="Times New Roman"/>
          <w:b w:val="0"/>
          <w:bCs w:val="0"/>
        </w:rPr>
        <w:t>https://www.fitchratings.com/entity/pepsico-80442090</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52357DFF">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Food Manufacture UK (2023) </w:t>
      </w:r>
      <w:r>
        <w:rPr>
          <w:rStyle w:val="31"/>
          <w:rFonts w:hint="default" w:ascii="Times New Roman" w:hAnsi="Times New Roman" w:cs="Times New Roman"/>
          <w:b w:val="0"/>
          <w:bCs w:val="0"/>
        </w:rPr>
        <w:t>Supplier relationship management in UK food sector</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"https://www.foodmanufacture.co.uk/supplier-relationships"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https://www.foodmanufacture.co.uk/supplier-relationships</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2E7AB5A2">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FSSAI (2023) </w:t>
      </w:r>
      <w:r>
        <w:rPr>
          <w:rStyle w:val="31"/>
          <w:rFonts w:hint="default" w:ascii="Times New Roman" w:hAnsi="Times New Roman" w:cs="Times New Roman"/>
          <w:b w:val="0"/>
          <w:bCs w:val="0"/>
        </w:rPr>
        <w:t>Food labelling regulations and vegetarian symbols</w:t>
      </w:r>
      <w:r>
        <w:rPr>
          <w:rFonts w:hint="default" w:ascii="Times New Roman" w:hAnsi="Times New Roman" w:cs="Times New Roman"/>
          <w:b w:val="0"/>
          <w:bCs w:val="0"/>
        </w:rPr>
        <w:t xml:space="preserve">. Food Safety and Standards Authority of India.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"https://www.fssai.gov.in/labelling.php"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https://www.fssai.gov.in/labelling.php</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4713F823">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Gereffi, G. (2018) </w:t>
      </w:r>
      <w:r>
        <w:rPr>
          <w:rStyle w:val="31"/>
          <w:rFonts w:hint="default" w:ascii="Times New Roman" w:hAnsi="Times New Roman" w:cs="Times New Roman"/>
          <w:b w:val="0"/>
          <w:bCs w:val="0"/>
        </w:rPr>
        <w:t>Global value chains and development: Redefining the contours of 21st century capitalism</w:t>
      </w:r>
      <w:r>
        <w:rPr>
          <w:rFonts w:hint="default" w:ascii="Times New Roman" w:hAnsi="Times New Roman" w:cs="Times New Roman"/>
          <w:b w:val="0"/>
          <w:bCs w:val="0"/>
        </w:rPr>
        <w:t>. Cambridge: Cambridge University Press.</w:t>
      </w:r>
    </w:p>
    <w:p w14:paraId="5CCEB87A">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Gereffi, G. (2020) 'What does the COVID-19 pandemic teach us about global value chains?', </w:t>
      </w:r>
      <w:r>
        <w:rPr>
          <w:rStyle w:val="31"/>
          <w:rFonts w:hint="default" w:ascii="Times New Roman" w:hAnsi="Times New Roman" w:cs="Times New Roman"/>
          <w:b w:val="0"/>
          <w:bCs w:val="0"/>
        </w:rPr>
        <w:t>Journal of International Business Policy</w:t>
      </w:r>
      <w:r>
        <w:rPr>
          <w:rFonts w:hint="default" w:ascii="Times New Roman" w:hAnsi="Times New Roman" w:cs="Times New Roman"/>
          <w:b w:val="0"/>
          <w:bCs w:val="0"/>
        </w:rPr>
        <w:t xml:space="preserve">, 3(3), pp. 287-301.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"https://link.springer.com/article/10.1057/s42214-020-00062-w" </w:instrText>
      </w:r>
      <w:r>
        <w:rPr>
          <w:rFonts w:hint="default" w:ascii="Times New Roman" w:hAnsi="Times New Roman" w:cs="Times New Roman"/>
          <w:b w:val="0"/>
          <w:bCs w:val="0"/>
        </w:rPr>
        <w:fldChar w:fldCharType="separate"/>
      </w:r>
      <w:r>
        <w:rPr>
          <w:rStyle w:val="36"/>
          <w:rFonts w:hint="default" w:ascii="Times New Roman" w:hAnsi="Times New Roman" w:cs="Times New Roman"/>
          <w:b w:val="0"/>
          <w:bCs w:val="0"/>
        </w:rPr>
        <w:t>https://link.springer.com/article/10.1057/s42214-020-00062-w</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205641FC">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Ghemawat, P. (2018) 'The new global road map: Enduring strategies for turbulent times', </w:t>
      </w:r>
      <w:r>
        <w:rPr>
          <w:rStyle w:val="31"/>
          <w:rFonts w:hint="default" w:ascii="Times New Roman" w:hAnsi="Times New Roman" w:cs="Times New Roman"/>
          <w:b w:val="0"/>
          <w:bCs w:val="0"/>
        </w:rPr>
        <w:t>Harvard Business Review</w:t>
      </w:r>
      <w:r>
        <w:rPr>
          <w:rFonts w:hint="default" w:ascii="Times New Roman" w:hAnsi="Times New Roman" w:cs="Times New Roman"/>
          <w:b w:val="0"/>
          <w:bCs w:val="0"/>
        </w:rPr>
        <w:t xml:space="preserve">, 96(2), pp. 76-84.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"https://hbr.org/2018/03/the-new-global-road-map"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https://hbr.org/2018/03/the-new-global-road-map</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3AD93ADB">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Ghemawat, P. (2021) 'The new global road map: Enduring strategies for turbulent times', </w:t>
      </w:r>
      <w:r>
        <w:rPr>
          <w:rStyle w:val="31"/>
          <w:rFonts w:hint="default" w:ascii="Times New Roman" w:hAnsi="Times New Roman" w:cs="Times New Roman"/>
          <w:b w:val="0"/>
          <w:bCs w:val="0"/>
        </w:rPr>
        <w:t>Harvard Business Review</w:t>
      </w:r>
      <w:r>
        <w:rPr>
          <w:rFonts w:hint="default" w:ascii="Times New Roman" w:hAnsi="Times New Roman" w:cs="Times New Roman"/>
          <w:b w:val="0"/>
          <w:bCs w:val="0"/>
        </w:rPr>
        <w:t xml:space="preserve">, 99(2), pp. 78-89.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"https://hbr.org/2021/03/the-new-global-road-map"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https://hbr.org/2021/03/the-new-global-road-map</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5EB11E21">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Government of India (2001) </w:t>
      </w:r>
      <w:r>
        <w:rPr>
          <w:rStyle w:val="31"/>
          <w:rFonts w:hint="default" w:ascii="Times New Roman" w:hAnsi="Times New Roman" w:cs="Times New Roman"/>
          <w:b w:val="0"/>
          <w:bCs w:val="0"/>
        </w:rPr>
        <w:t>Press Note No. 4 (2001 Series): Review of the policy on Foreign Direct Investment</w:t>
      </w:r>
      <w:r>
        <w:rPr>
          <w:rFonts w:hint="default" w:ascii="Times New Roman" w:hAnsi="Times New Roman" w:cs="Times New Roman"/>
          <w:b w:val="0"/>
          <w:bCs w:val="0"/>
        </w:rPr>
        <w:t xml:space="preserve">. Ministry of Commerce and Industry, Department of Industrial Policy and Promotion.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"https://dipp.gov.in/policies-rules-and-acts/press-notes"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https://dipp.gov.in/policies-rules-and-acts/press-notes</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7DEDD5A4">
      <w:pPr>
        <w:pStyle w:val="85"/>
        <w:keepNext w:val="0"/>
        <w:keepLines w:val="0"/>
        <w:widowControl/>
        <w:suppressLineNumbers w:val="0"/>
        <w:spacing w:line="360" w:lineRule="auto"/>
        <w:jc w:val="both"/>
        <w:rPr>
          <w:rFonts w:hint="default" w:ascii="Times New Roman" w:hAnsi="Times New Roman" w:cs="Times New Roman"/>
          <w:b w:val="0"/>
          <w:bCs w:val="0"/>
        </w:rPr>
      </w:pPr>
      <w:r>
        <w:rPr>
          <w:rStyle w:val="92"/>
          <w:rFonts w:hint="default" w:ascii="Times New Roman" w:hAnsi="Times New Roman" w:cs="Times New Roman"/>
          <w:b w:val="0"/>
          <w:bCs w:val="0"/>
        </w:rPr>
        <w:t>GreyB (2025)</w:t>
      </w:r>
      <w:r>
        <w:rPr>
          <w:rFonts w:hint="default" w:ascii="Times New Roman" w:hAnsi="Times New Roman" w:cs="Times New Roman"/>
          <w:b w:val="0"/>
          <w:bCs w:val="0"/>
        </w:rPr>
        <w:t xml:space="preserve"> </w:t>
      </w:r>
      <w:r>
        <w:rPr>
          <w:rStyle w:val="31"/>
          <w:rFonts w:hint="default" w:ascii="Times New Roman" w:hAnsi="Times New Roman" w:cs="Times New Roman"/>
          <w:b w:val="0"/>
          <w:bCs w:val="0"/>
        </w:rPr>
        <w:t>PepsiCo subsidiaries and acquisitions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"https://insights.greyb.com/pepsico-subsidiaries-and-acquisitions/"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https://insights.greyb.com/pepsico-subsidiaries-and-acquisitions/</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0</w:t>
      </w:r>
      <w:r>
        <w:rPr>
          <w:rFonts w:hint="default" w:ascii="Times New Roman" w:hAnsi="Times New Roman" w:cs="Times New Roman"/>
          <w:b w:val="0"/>
          <w:bCs w:val="0"/>
        </w:rPr>
        <w:t xml:space="preserve"> December 2025).</w:t>
      </w:r>
    </w:p>
    <w:p w14:paraId="772A100F">
      <w:pPr>
        <w:pStyle w:val="85"/>
        <w:keepNext w:val="0"/>
        <w:keepLines w:val="0"/>
        <w:widowControl/>
        <w:suppressLineNumbers w:val="0"/>
        <w:spacing w:line="360" w:lineRule="auto"/>
        <w:jc w:val="both"/>
        <w:rPr>
          <w:rFonts w:hint="default" w:ascii="Times New Roman" w:hAnsi="Times New Roman" w:cs="Times New Roman"/>
          <w:b w:val="0"/>
          <w:bCs w:val="0"/>
        </w:rPr>
      </w:pPr>
      <w:r>
        <w:rPr>
          <w:rStyle w:val="92"/>
          <w:rFonts w:hint="default" w:ascii="Times New Roman" w:hAnsi="Times New Roman" w:cs="Times New Roman"/>
          <w:b w:val="0"/>
          <w:bCs w:val="0"/>
        </w:rPr>
        <w:t>Hoferer, S. (2024)</w:t>
      </w:r>
      <w:r>
        <w:rPr>
          <w:rFonts w:hint="default" w:ascii="Times New Roman" w:hAnsi="Times New Roman" w:cs="Times New Roman"/>
          <w:b w:val="0"/>
          <w:bCs w:val="0"/>
        </w:rPr>
        <w:t xml:space="preserve"> </w:t>
      </w:r>
      <w:r>
        <w:rPr>
          <w:rStyle w:val="31"/>
          <w:rFonts w:hint="default" w:ascii="Times New Roman" w:hAnsi="Times New Roman" w:cs="Times New Roman"/>
          <w:b w:val="0"/>
          <w:bCs w:val="0"/>
        </w:rPr>
        <w:t>Innovation at PepsiCo: Shaping the future of the food industry</w:t>
      </w:r>
      <w:r>
        <w:rPr>
          <w:rFonts w:hint="default" w:ascii="Times New Roman" w:hAnsi="Times New Roman" w:cs="Times New Roman"/>
          <w:b w:val="0"/>
          <w:bCs w:val="0"/>
        </w:rPr>
        <w:t xml:space="preserve">. ITONICS Innovation.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"https://www.itonics-innovation.com/blog/pepsico-innovation?utm_source=chatgpt.com"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https://www.itonics-innovation.com/blog/pepsico-innovation</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2</w:t>
      </w:r>
      <w:r>
        <w:rPr>
          <w:rFonts w:hint="default" w:ascii="Times New Roman" w:hAnsi="Times New Roman" w:cs="Times New Roman"/>
          <w:b w:val="0"/>
          <w:bCs w:val="0"/>
        </w:rPr>
        <w:t xml:space="preserve"> December 2025).</w:t>
      </w:r>
    </w:p>
    <w:p w14:paraId="2F57EC48">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Hitt, M.A., Li, D. and Xu, K. (2020) 'International strategy: From local to global and beyond', </w:t>
      </w:r>
      <w:r>
        <w:rPr>
          <w:rStyle w:val="31"/>
          <w:rFonts w:hint="default" w:ascii="Times New Roman" w:hAnsi="Times New Roman" w:cs="Times New Roman"/>
          <w:b w:val="0"/>
          <w:bCs w:val="0"/>
        </w:rPr>
        <w:t>Journal of World Business</w:t>
      </w:r>
      <w:r>
        <w:rPr>
          <w:rFonts w:hint="default" w:ascii="Times New Roman" w:hAnsi="Times New Roman" w:cs="Times New Roman"/>
          <w:b w:val="0"/>
          <w:bCs w:val="0"/>
        </w:rPr>
        <w:t xml:space="preserve">, 55(4), pp. 1-14.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"https://www.sciencedirect.com/science/article/pii/S1090951619301822"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https://www.sciencedirect.com/science/article/pii/S1090951619301822</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2</w:t>
      </w:r>
      <w:r>
        <w:rPr>
          <w:rFonts w:hint="default" w:ascii="Times New Roman" w:hAnsi="Times New Roman" w:cs="Times New Roman"/>
          <w:b w:val="0"/>
          <w:bCs w:val="0"/>
        </w:rPr>
        <w:t xml:space="preserve"> December 2025).</w:t>
      </w:r>
    </w:p>
    <w:p w14:paraId="5881A5C4">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Hofstede Insights (2024) </w:t>
      </w:r>
      <w:r>
        <w:rPr>
          <w:rStyle w:val="31"/>
          <w:rFonts w:hint="default" w:ascii="Times New Roman" w:hAnsi="Times New Roman" w:cs="Times New Roman"/>
          <w:b w:val="0"/>
          <w:bCs w:val="0"/>
        </w:rPr>
        <w:t>Country comparison: India and United Kingdom</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"https://www.hofstede-insights.com/country-comparison/india,the-uk/"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https://www.hofstede-insights.com/country-comparison/india,the-uk/</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677371B4">
      <w:pPr>
        <w:pStyle w:val="85"/>
        <w:keepNext w:val="0"/>
        <w:keepLines w:val="0"/>
        <w:widowControl/>
        <w:suppressLineNumbers w:val="0"/>
        <w:spacing w:line="360" w:lineRule="auto"/>
        <w:rPr>
          <w:rFonts w:hint="default" w:ascii="Times New Roman" w:hAnsi="Times New Roman" w:cs="Times New Roman"/>
          <w:b w:val="0"/>
          <w:bCs w:val="0"/>
        </w:rPr>
      </w:pPr>
      <w:r>
        <w:rPr>
          <w:rFonts w:hint="default" w:ascii="Times New Roman" w:hAnsi="Times New Roman" w:cs="Times New Roman"/>
          <w:b w:val="0"/>
          <w:bCs w:val="0"/>
        </w:rPr>
        <w:t xml:space="preserve">Kell, J. (2024) </w:t>
      </w:r>
      <w:r>
        <w:rPr>
          <w:rStyle w:val="31"/>
          <w:rFonts w:hint="default" w:ascii="Times New Roman" w:hAnsi="Times New Roman" w:cs="Times New Roman"/>
          <w:b w:val="0"/>
          <w:bCs w:val="0"/>
        </w:rPr>
        <w:t>PepsiCo is using robotics and AI-powered crop planning to transform its supply chain</w:t>
      </w:r>
      <w:r>
        <w:rPr>
          <w:rFonts w:hint="default" w:ascii="Times New Roman" w:hAnsi="Times New Roman" w:cs="Times New Roman"/>
          <w:b w:val="0"/>
          <w:bCs w:val="0"/>
        </w:rPr>
        <w:t xml:space="preserve">. Business Insider.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"https://www.businessinsider.com/pepsi-supply-chain-robotics-ai-package-snacks-more-efficiently-2024-7"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https://www.businessinsider.com/pepsi-supply-chain-robotics-ai-package-snacks-more-efficiently-2024-7</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33E842CD">
      <w:pPr>
        <w:pStyle w:val="85"/>
        <w:keepNext w:val="0"/>
        <w:keepLines w:val="0"/>
        <w:widowControl/>
        <w:suppressLineNumbers w:val="0"/>
        <w:spacing w:line="360" w:lineRule="auto"/>
        <w:rPr>
          <w:rFonts w:hint="default" w:ascii="Times New Roman" w:hAnsi="Times New Roman" w:cs="Times New Roman"/>
          <w:b w:val="0"/>
          <w:bCs w:val="0"/>
        </w:rPr>
      </w:pPr>
      <w:r>
        <w:rPr>
          <w:rFonts w:hint="default" w:ascii="Times New Roman" w:hAnsi="Times New Roman" w:cs="Times New Roman"/>
          <w:b w:val="0"/>
          <w:bCs w:val="0"/>
        </w:rPr>
        <w:t xml:space="preserve">PepsiCo (n.d.) </w:t>
      </w:r>
      <w:r>
        <w:rPr>
          <w:rStyle w:val="31"/>
          <w:rFonts w:hint="default" w:ascii="Times New Roman" w:hAnsi="Times New Roman" w:cs="Times New Roman"/>
          <w:b w:val="0"/>
          <w:bCs w:val="0"/>
        </w:rPr>
        <w:t>Product safety and quality</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"https://www.pepsico.com/esg-topics/product-safety-and-quality"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https://www.pepsico.com/esg-topics/product-safety-and-quality</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131A9C5B">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IBEF (2024) </w:t>
      </w:r>
      <w:r>
        <w:rPr>
          <w:rStyle w:val="31"/>
          <w:rFonts w:hint="default" w:ascii="Times New Roman" w:hAnsi="Times New Roman" w:cs="Times New Roman"/>
          <w:b w:val="0"/>
          <w:bCs w:val="0"/>
        </w:rPr>
        <w:t>Food processing industry in India</w:t>
      </w:r>
      <w:r>
        <w:rPr>
          <w:rFonts w:hint="default" w:ascii="Times New Roman" w:hAnsi="Times New Roman" w:cs="Times New Roman"/>
          <w:b w:val="0"/>
          <w:bCs w:val="0"/>
        </w:rPr>
        <w:t xml:space="preserve">. India Brand Equity Foundation.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"https://www.ibef.org/industry/food-processing-india"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https://www.ibef.org/industry/food-processing-india</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w:t>
      </w:r>
      <w:r>
        <w:rPr>
          <w:rFonts w:hint="default" w:ascii="Times New Roman" w:hAnsi="Times New Roman" w:cs="Times New Roman"/>
          <w:b w:val="0"/>
          <w:bCs w:val="0"/>
          <w:lang w:val="en-US"/>
        </w:rPr>
        <w:t>04</w:t>
      </w:r>
      <w:r>
        <w:rPr>
          <w:rFonts w:hint="default" w:ascii="Times New Roman" w:hAnsi="Times New Roman" w:cs="Times New Roman"/>
          <w:b w:val="0"/>
          <w:bCs w:val="0"/>
        </w:rPr>
        <w:t xml:space="preserve"> December 2025).</w:t>
      </w:r>
    </w:p>
    <w:p w14:paraId="6F1F6854">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IGD Retail Analysis (2023) </w:t>
      </w:r>
      <w:r>
        <w:rPr>
          <w:rStyle w:val="31"/>
          <w:rFonts w:hint="default" w:ascii="Times New Roman" w:hAnsi="Times New Roman" w:cs="Times New Roman"/>
          <w:b w:val="0"/>
          <w:bCs w:val="0"/>
        </w:rPr>
        <w:t>UK grocery retail trends and category management</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"https://www.igd.com/research/retail/uk-grocery-retailing"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https://www.igd.com/research/retail/uk-grocery-retailing</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w:t>
      </w:r>
      <w:r>
        <w:rPr>
          <w:rFonts w:hint="default" w:ascii="Times New Roman" w:hAnsi="Times New Roman" w:cs="Times New Roman"/>
          <w:b w:val="0"/>
          <w:bCs w:val="0"/>
          <w:lang w:val="en-US"/>
        </w:rPr>
        <w:t>05</w:t>
      </w:r>
      <w:r>
        <w:rPr>
          <w:rFonts w:hint="default" w:ascii="Times New Roman" w:hAnsi="Times New Roman" w:cs="Times New Roman"/>
          <w:b w:val="0"/>
          <w:bCs w:val="0"/>
        </w:rPr>
        <w:t xml:space="preserve"> December 2025).</w:t>
      </w:r>
    </w:p>
    <w:p w14:paraId="36430F86">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India Meteorological Department (2023) </w:t>
      </w:r>
      <w:r>
        <w:rPr>
          <w:rStyle w:val="31"/>
          <w:rFonts w:hint="default" w:ascii="Times New Roman" w:hAnsi="Times New Roman" w:cs="Times New Roman"/>
          <w:b w:val="0"/>
          <w:bCs w:val="0"/>
        </w:rPr>
        <w:t>Monsoon variability and climate patterns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"https://www.imd.gov.in"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https://www.imd.gov.in</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0</w:t>
      </w:r>
      <w:r>
        <w:rPr>
          <w:rFonts w:hint="default" w:ascii="Times New Roman" w:hAnsi="Times New Roman" w:cs="Times New Roman"/>
          <w:b w:val="0"/>
          <w:bCs w:val="0"/>
        </w:rPr>
        <w:t xml:space="preserve"> December 2025).</w:t>
      </w:r>
    </w:p>
    <w:p w14:paraId="26636F2B">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International Labour Organization (2023) </w:t>
      </w:r>
      <w:r>
        <w:rPr>
          <w:rStyle w:val="31"/>
          <w:rFonts w:hint="default" w:ascii="Times New Roman" w:hAnsi="Times New Roman" w:cs="Times New Roman"/>
          <w:b w:val="0"/>
          <w:bCs w:val="0"/>
        </w:rPr>
        <w:t>Global wage report and labour cost comparisons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"https://www.ilo.org/global/research/global-reports/global-wage-report/lang--en/index.htm"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https://www.ilo.org/global/research/global-reports/global-wage-report/lang--en/index.htm</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0</w:t>
      </w:r>
      <w:r>
        <w:rPr>
          <w:rFonts w:hint="default" w:ascii="Times New Roman" w:hAnsi="Times New Roman" w:cs="Times New Roman"/>
          <w:b w:val="0"/>
          <w:bCs w:val="0"/>
        </w:rPr>
        <w:t xml:space="preserve"> December 2025).</w:t>
      </w:r>
    </w:p>
    <w:p w14:paraId="058F5B93">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Johanson, J. and Vahlne, J.E. (2009) 'The Uppsala internationalization process model revisited: From liability of foreignness to liability of outsidership', </w:t>
      </w:r>
      <w:r>
        <w:rPr>
          <w:rStyle w:val="31"/>
          <w:rFonts w:hint="default" w:ascii="Times New Roman" w:hAnsi="Times New Roman" w:cs="Times New Roman"/>
          <w:b w:val="0"/>
          <w:bCs w:val="0"/>
        </w:rPr>
        <w:t>Journal of International Business Studies</w:t>
      </w:r>
      <w:r>
        <w:rPr>
          <w:rFonts w:hint="default" w:ascii="Times New Roman" w:hAnsi="Times New Roman" w:cs="Times New Roman"/>
          <w:b w:val="0"/>
          <w:bCs w:val="0"/>
        </w:rPr>
        <w:t xml:space="preserve">, 40(9), pp. 1411-1431.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"https://link.springer.com/article/10.1057/jibs.2009.24"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https://link.springer.com/article/10.1057/jibs.2009.24</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1</w:t>
      </w:r>
      <w:r>
        <w:rPr>
          <w:rFonts w:hint="default" w:ascii="Times New Roman" w:hAnsi="Times New Roman" w:cs="Times New Roman"/>
          <w:b w:val="0"/>
          <w:bCs w:val="0"/>
        </w:rPr>
        <w:t xml:space="preserve"> December 2025).</w:t>
      </w:r>
    </w:p>
    <w:p w14:paraId="5A9CC7CE">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Johanson, J. and Vahlne, J.E. (2021) 'The Uppsala internationalization process model revisited: From liability of foreignness to liability of outsidership', </w:t>
      </w:r>
      <w:r>
        <w:rPr>
          <w:rStyle w:val="31"/>
          <w:rFonts w:hint="default" w:ascii="Times New Roman" w:hAnsi="Times New Roman" w:cs="Times New Roman"/>
          <w:b w:val="0"/>
          <w:bCs w:val="0"/>
        </w:rPr>
        <w:t>Journal of International Business Studies</w:t>
      </w:r>
      <w:r>
        <w:rPr>
          <w:rFonts w:hint="default" w:ascii="Times New Roman" w:hAnsi="Times New Roman" w:cs="Times New Roman"/>
          <w:b w:val="0"/>
          <w:bCs w:val="0"/>
        </w:rPr>
        <w:t xml:space="preserve">, 52(6), pp. 1022-1038.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"https://link.springer.com/article/10.1057/s41262-021-00242-6"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https://link.springer.com/article/10.1057/s41262-021-00242-6</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0</w:t>
      </w:r>
      <w:r>
        <w:rPr>
          <w:rFonts w:hint="default" w:ascii="Times New Roman" w:hAnsi="Times New Roman" w:cs="Times New Roman"/>
          <w:b w:val="0"/>
          <w:bCs w:val="0"/>
        </w:rPr>
        <w:t xml:space="preserve"> December 2025).</w:t>
      </w:r>
    </w:p>
    <w:p w14:paraId="2D8C5CAD">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Kantar India (2023) </w:t>
      </w:r>
      <w:r>
        <w:rPr>
          <w:rStyle w:val="31"/>
          <w:rFonts w:hint="default" w:ascii="Times New Roman" w:hAnsi="Times New Roman" w:cs="Times New Roman"/>
          <w:b w:val="0"/>
          <w:bCs w:val="0"/>
        </w:rPr>
        <w:t>Brand footprint report: India's most chosen FMCG brands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"https://www.kantar.com/inspiration/fmcg/brand-footprint-india"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https://www.kantar.com/inspiration/fmcg/brand-footprint-india</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0</w:t>
      </w:r>
      <w:r>
        <w:rPr>
          <w:rFonts w:hint="default" w:ascii="Times New Roman" w:hAnsi="Times New Roman" w:cs="Times New Roman"/>
          <w:b w:val="0"/>
          <w:bCs w:val="0"/>
        </w:rPr>
        <w:t xml:space="preserve"> December 2025).</w:t>
      </w:r>
    </w:p>
    <w:p w14:paraId="10DC94AD">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Kantar IMRB (2023) </w:t>
      </w:r>
      <w:r>
        <w:rPr>
          <w:rStyle w:val="31"/>
          <w:rFonts w:hint="default" w:ascii="Times New Roman" w:hAnsi="Times New Roman" w:cs="Times New Roman"/>
          <w:b w:val="0"/>
          <w:bCs w:val="0"/>
        </w:rPr>
        <w:t>Consumer decision-making and purchase influences in India</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"https://www.kantar.com/inspiration/consumer-insights/india-consumer-trends"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https://www.kantar.com/inspiration/consumer-insights/india-consumer-trends</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0</w:t>
      </w:r>
      <w:r>
        <w:rPr>
          <w:rFonts w:hint="default" w:ascii="Times New Roman" w:hAnsi="Times New Roman" w:cs="Times New Roman"/>
          <w:b w:val="0"/>
          <w:bCs w:val="0"/>
        </w:rPr>
        <w:t xml:space="preserve"> December 2025).</w:t>
      </w:r>
    </w:p>
    <w:p w14:paraId="7DC2D129">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Kantar Worldpanel (2023) </w:t>
      </w:r>
      <w:r>
        <w:rPr>
          <w:rStyle w:val="31"/>
          <w:rFonts w:hint="default" w:ascii="Times New Roman" w:hAnsi="Times New Roman" w:cs="Times New Roman"/>
          <w:b w:val="0"/>
          <w:bCs w:val="0"/>
        </w:rPr>
        <w:t>UK snacks market share analysis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"https://www.kantarworldpanel.com/en/grocery-market-share/great-britain"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https://www.kantarworldpanel.com/en/grocery-market-share/great-britain</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2</w:t>
      </w:r>
      <w:r>
        <w:rPr>
          <w:rFonts w:hint="default" w:ascii="Times New Roman" w:hAnsi="Times New Roman" w:cs="Times New Roman"/>
          <w:b w:val="0"/>
          <w:bCs w:val="0"/>
        </w:rPr>
        <w:t xml:space="preserve"> December 2025).</w:t>
      </w:r>
    </w:p>
    <w:p w14:paraId="1F20E6F1">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Kantar Worldpanel UK (2023) </w:t>
      </w:r>
      <w:r>
        <w:rPr>
          <w:rStyle w:val="31"/>
          <w:rFonts w:hint="default" w:ascii="Times New Roman" w:hAnsi="Times New Roman" w:cs="Times New Roman"/>
          <w:b w:val="0"/>
          <w:bCs w:val="0"/>
        </w:rPr>
        <w:t>Snacks consumption patterns in Great Britain</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"https://www.kantarworldpanel.com/en/grocery-market-share/great-britain/snapshot"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https://www.kantarworldpanel.com/en/grocery-market-share/great-britain/snapshot</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30837343">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Kotler, P. (2021) </w:t>
      </w:r>
      <w:r>
        <w:rPr>
          <w:rStyle w:val="31"/>
          <w:rFonts w:hint="default" w:ascii="Times New Roman" w:hAnsi="Times New Roman" w:cs="Times New Roman"/>
          <w:b w:val="0"/>
          <w:bCs w:val="0"/>
        </w:rPr>
        <w:t>Marketing management</w:t>
      </w:r>
      <w:r>
        <w:rPr>
          <w:rFonts w:hint="default" w:ascii="Times New Roman" w:hAnsi="Times New Roman" w:cs="Times New Roman"/>
          <w:b w:val="0"/>
          <w:bCs w:val="0"/>
        </w:rPr>
        <w:t>. 16th edn. Harlow: Pearson Education.</w:t>
      </w:r>
    </w:p>
    <w:p w14:paraId="3F287BA0">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KPMG India (2022) </w:t>
      </w:r>
      <w:r>
        <w:rPr>
          <w:rStyle w:val="31"/>
          <w:rFonts w:hint="default" w:ascii="Times New Roman" w:hAnsi="Times New Roman" w:cs="Times New Roman"/>
          <w:b w:val="0"/>
          <w:bCs w:val="0"/>
        </w:rPr>
        <w:t>India's consumer market: The trillion-dollar opportunity</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"https://assets.kpmg.com/content/dam/kpmg/in/pdf/2022/india-consumer-market.pdf"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https://assets.kpmg.com/content/dam/kpmg/in/pdf/2022/india-consumer-market.pdf</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50A52356">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Kumar, N. and Steenkamp, J.B. (2013) </w:t>
      </w:r>
      <w:r>
        <w:rPr>
          <w:rStyle w:val="31"/>
          <w:rFonts w:hint="default" w:ascii="Times New Roman" w:hAnsi="Times New Roman" w:cs="Times New Roman"/>
          <w:b w:val="0"/>
          <w:bCs w:val="0"/>
        </w:rPr>
        <w:t>Brand breakout: How emerging market brands will go global</w:t>
      </w:r>
      <w:r>
        <w:rPr>
          <w:rFonts w:hint="default" w:ascii="Times New Roman" w:hAnsi="Times New Roman" w:cs="Times New Roman"/>
          <w:b w:val="0"/>
          <w:bCs w:val="0"/>
        </w:rPr>
        <w:t>. New York: Palgrave Macmillan.</w:t>
      </w:r>
    </w:p>
    <w:p w14:paraId="2667BE59">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Kumar, V. and Sethi, A.K. (2016) 'Doing business in India: Cross-cultural issues in managing human resources', </w:t>
      </w:r>
      <w:r>
        <w:rPr>
          <w:rStyle w:val="31"/>
          <w:rFonts w:hint="default" w:ascii="Times New Roman" w:hAnsi="Times New Roman" w:cs="Times New Roman"/>
          <w:b w:val="0"/>
          <w:bCs w:val="0"/>
        </w:rPr>
        <w:t>Cross Cultural &amp; Strategic Management</w:t>
      </w:r>
      <w:r>
        <w:rPr>
          <w:rFonts w:hint="default" w:ascii="Times New Roman" w:hAnsi="Times New Roman" w:cs="Times New Roman"/>
          <w:b w:val="0"/>
          <w:bCs w:val="0"/>
        </w:rPr>
        <w:t xml:space="preserve">, 23(1), pp. 184-204.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"https://www.emerald.com/insight/content/doi/10.1108/CCSM-11-2013-0174"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https://www.emerald.com/insight/content/doi/10.1108/CCSM-11-2013-0174</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4073E939">
      <w:pPr>
        <w:pStyle w:val="85"/>
        <w:keepNext w:val="0"/>
        <w:keepLines w:val="0"/>
        <w:widowControl/>
        <w:suppressLineNumbers w:val="0"/>
        <w:spacing w:line="360" w:lineRule="auto"/>
        <w:jc w:val="both"/>
        <w:rPr>
          <w:rFonts w:hint="default" w:ascii="Times New Roman" w:hAnsi="Times New Roman" w:cs="Times New Roman"/>
          <w:b w:val="0"/>
          <w:bCs w:val="0"/>
        </w:rPr>
      </w:pPr>
      <w:r>
        <w:rPr>
          <w:rStyle w:val="92"/>
          <w:rFonts w:hint="default" w:ascii="Times New Roman" w:hAnsi="Times New Roman" w:cs="Times New Roman"/>
          <w:b w:val="0"/>
          <w:bCs w:val="0"/>
        </w:rPr>
        <w:t>LiveWell (2024)</w:t>
      </w:r>
      <w:r>
        <w:rPr>
          <w:rFonts w:hint="default" w:ascii="Times New Roman" w:hAnsi="Times New Roman" w:cs="Times New Roman"/>
          <w:b w:val="0"/>
          <w:bCs w:val="0"/>
        </w:rPr>
        <w:t xml:space="preserve"> </w:t>
      </w:r>
      <w:r>
        <w:rPr>
          <w:rStyle w:val="31"/>
          <w:rFonts w:hint="default" w:ascii="Times New Roman" w:hAnsi="Times New Roman" w:cs="Times New Roman"/>
          <w:b w:val="0"/>
          <w:bCs w:val="0"/>
        </w:rPr>
        <w:t>Why was PepsiCo’s direct foreign investment primarily in joint ventures?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"https://livewell.com/finance/why-was-pepsicos-direct-foreign-investment-primarily-in-joint-ventures/"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https://livewell.com/finance/why-was-pepsicos-direct-foreign-investment-primarily-in-joint-ventures/</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3E950014">
      <w:pPr>
        <w:pStyle w:val="85"/>
        <w:keepNext w:val="0"/>
        <w:keepLines w:val="0"/>
        <w:widowControl/>
        <w:suppressLineNumbers w:val="0"/>
        <w:spacing w:line="360" w:lineRule="auto"/>
        <w:jc w:val="both"/>
        <w:rPr>
          <w:rFonts w:hint="default" w:ascii="Times New Roman" w:hAnsi="Times New Roman" w:cs="Times New Roman"/>
          <w:b w:val="0"/>
          <w:bCs w:val="0"/>
        </w:rPr>
      </w:pPr>
      <w:r>
        <w:rPr>
          <w:rStyle w:val="92"/>
          <w:rFonts w:hint="default" w:ascii="Times New Roman" w:hAnsi="Times New Roman" w:cs="Times New Roman"/>
          <w:b w:val="0"/>
          <w:bCs w:val="0"/>
        </w:rPr>
        <w:t>PepsiCo (2025)</w:t>
      </w:r>
      <w:r>
        <w:rPr>
          <w:rFonts w:hint="default" w:ascii="Times New Roman" w:hAnsi="Times New Roman" w:cs="Times New Roman"/>
          <w:b w:val="0"/>
          <w:bCs w:val="0"/>
        </w:rPr>
        <w:t xml:space="preserve"> </w:t>
      </w:r>
      <w:r>
        <w:rPr>
          <w:rStyle w:val="31"/>
          <w:rFonts w:hint="default" w:ascii="Times New Roman" w:hAnsi="Times New Roman" w:cs="Times New Roman"/>
          <w:b w:val="0"/>
          <w:bCs w:val="0"/>
        </w:rPr>
        <w:t>About PepsiCo</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"https://www.pepsico.com/about?utm_source=chatgpt.com"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https://www.pepsico.com/about</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459C450A">
      <w:pPr>
        <w:pStyle w:val="85"/>
        <w:keepNext w:val="0"/>
        <w:keepLines w:val="0"/>
        <w:widowControl/>
        <w:suppressLineNumbers w:val="0"/>
        <w:spacing w:line="360" w:lineRule="auto"/>
        <w:jc w:val="both"/>
        <w:rPr>
          <w:rFonts w:hint="default" w:ascii="Times New Roman" w:hAnsi="Times New Roman" w:cs="Times New Roman"/>
          <w:b w:val="0"/>
          <w:bCs w:val="0"/>
        </w:rPr>
      </w:pPr>
      <w:r>
        <w:rPr>
          <w:rStyle w:val="92"/>
          <w:rFonts w:hint="default" w:ascii="Times New Roman" w:hAnsi="Times New Roman" w:cs="Times New Roman"/>
          <w:b w:val="0"/>
          <w:bCs w:val="0"/>
        </w:rPr>
        <w:t>PepsiCo (2025)</w:t>
      </w:r>
      <w:r>
        <w:rPr>
          <w:rFonts w:hint="default" w:ascii="Times New Roman" w:hAnsi="Times New Roman" w:cs="Times New Roman"/>
          <w:b w:val="0"/>
          <w:bCs w:val="0"/>
        </w:rPr>
        <w:t xml:space="preserve"> </w:t>
      </w:r>
      <w:r>
        <w:rPr>
          <w:rStyle w:val="31"/>
          <w:rFonts w:hint="default" w:ascii="Times New Roman" w:hAnsi="Times New Roman" w:cs="Times New Roman"/>
          <w:b w:val="0"/>
          <w:bCs w:val="0"/>
        </w:rPr>
        <w:t>Sustainability at PepsiCo</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"https://www.pepsico.com/sustainability?utm_source=chatgpt.com"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https://www.pepsico.com/sustainability</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4CF593FE">
      <w:pPr>
        <w:pStyle w:val="85"/>
        <w:keepNext w:val="0"/>
        <w:keepLines w:val="0"/>
        <w:widowControl/>
        <w:suppressLineNumbers w:val="0"/>
        <w:spacing w:line="360" w:lineRule="auto"/>
        <w:jc w:val="both"/>
        <w:rPr>
          <w:rFonts w:hint="default" w:ascii="Times New Roman" w:hAnsi="Times New Roman" w:cs="Times New Roman"/>
          <w:b w:val="0"/>
          <w:bCs w:val="0"/>
        </w:rPr>
      </w:pPr>
      <w:r>
        <w:rPr>
          <w:rStyle w:val="92"/>
          <w:rFonts w:hint="default" w:ascii="Times New Roman" w:hAnsi="Times New Roman" w:cs="Times New Roman"/>
          <w:b w:val="0"/>
          <w:bCs w:val="0"/>
        </w:rPr>
        <w:t>PepsiCo UK (2025)</w:t>
      </w:r>
      <w:r>
        <w:rPr>
          <w:rFonts w:hint="default" w:ascii="Times New Roman" w:hAnsi="Times New Roman" w:cs="Times New Roman"/>
          <w:b w:val="0"/>
          <w:bCs w:val="0"/>
        </w:rPr>
        <w:t xml:space="preserve"> </w:t>
      </w:r>
      <w:r>
        <w:rPr>
          <w:rStyle w:val="31"/>
          <w:rFonts w:hint="default" w:ascii="Times New Roman" w:hAnsi="Times New Roman" w:cs="Times New Roman"/>
          <w:b w:val="0"/>
          <w:bCs w:val="0"/>
        </w:rPr>
        <w:t>About PepsiCo in the UK</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"https://www.pepsico.co.uk/who-we-are/about-pepsico-in-the-uk"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https://www.pepsico.co.uk/who-we-are/about-pepsico-in-the-uk</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0</w:t>
      </w:r>
      <w:r>
        <w:rPr>
          <w:rFonts w:hint="default" w:ascii="Times New Roman" w:hAnsi="Times New Roman" w:cs="Times New Roman"/>
          <w:b w:val="0"/>
          <w:bCs w:val="0"/>
        </w:rPr>
        <w:t xml:space="preserve"> December 2025).</w:t>
      </w:r>
    </w:p>
    <w:p w14:paraId="2639F61A">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Marketing Week (2022) </w:t>
      </w:r>
      <w:r>
        <w:rPr>
          <w:rStyle w:val="31"/>
          <w:rFonts w:hint="default" w:ascii="Times New Roman" w:hAnsi="Times New Roman" w:cs="Times New Roman"/>
          <w:b w:val="0"/>
          <w:bCs w:val="0"/>
        </w:rPr>
        <w:t>Walkers 'Do Us a Flavour' campaign analysis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"https://www.marketingweek.com/walkers-flavour-campaign/"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https://www.marketingweek.com/walkers-flavour-campaign/</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0</w:t>
      </w:r>
      <w:r>
        <w:rPr>
          <w:rFonts w:hint="default" w:ascii="Times New Roman" w:hAnsi="Times New Roman" w:cs="Times New Roman"/>
          <w:b w:val="0"/>
          <w:bCs w:val="0"/>
        </w:rPr>
        <w:t xml:space="preserve"> December 2025).</w:t>
      </w:r>
    </w:p>
    <w:p w14:paraId="08605937">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McKinsey (2023) </w:t>
      </w:r>
      <w:r>
        <w:rPr>
          <w:rStyle w:val="31"/>
          <w:rFonts w:hint="default" w:ascii="Times New Roman" w:hAnsi="Times New Roman" w:cs="Times New Roman"/>
          <w:b w:val="0"/>
          <w:bCs w:val="0"/>
        </w:rPr>
        <w:t>Digital transformation in consumer goods: PepsiCo case study</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"https://www.mckinsey.com/industries/consumer-packaged-goods/our-insights/digital-transformation"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https://www.mckinsey.com/industries/consumer-packaged-goods/our-insights/digital-transformation</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w:t>
      </w:r>
      <w:r>
        <w:rPr>
          <w:rFonts w:hint="default" w:ascii="Times New Roman" w:hAnsi="Times New Roman" w:cs="Times New Roman"/>
          <w:b w:val="0"/>
          <w:bCs w:val="0"/>
          <w:lang w:val="en-US"/>
        </w:rPr>
        <w:t>05</w:t>
      </w:r>
      <w:r>
        <w:rPr>
          <w:rFonts w:hint="default" w:ascii="Times New Roman" w:hAnsi="Times New Roman" w:cs="Times New Roman"/>
          <w:b w:val="0"/>
          <w:bCs w:val="0"/>
        </w:rPr>
        <w:t xml:space="preserve"> December 2025).</w:t>
      </w:r>
    </w:p>
    <w:p w14:paraId="54AE907D">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McKinsey Digital (2023) </w:t>
      </w:r>
      <w:r>
        <w:rPr>
          <w:rStyle w:val="31"/>
          <w:rFonts w:hint="default" w:ascii="Times New Roman" w:hAnsi="Times New Roman" w:cs="Times New Roman"/>
          <w:b w:val="0"/>
          <w:bCs w:val="0"/>
        </w:rPr>
        <w:t>AI and predictive analytics in supply chain management</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"https://www.mckinsey.com/capabilities/operations/our-insights/supply-chain-40"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https://www.mckinsey.com/capabilities/operations/our-insights/supply-chain-40</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w:t>
      </w:r>
      <w:r>
        <w:rPr>
          <w:rFonts w:hint="default" w:ascii="Times New Roman" w:hAnsi="Times New Roman" w:cs="Times New Roman"/>
          <w:b w:val="0"/>
          <w:bCs w:val="0"/>
          <w:lang w:val="en-US"/>
        </w:rPr>
        <w:t>02</w:t>
      </w:r>
      <w:r>
        <w:rPr>
          <w:rFonts w:hint="default" w:ascii="Times New Roman" w:hAnsi="Times New Roman" w:cs="Times New Roman"/>
          <w:b w:val="0"/>
          <w:bCs w:val="0"/>
        </w:rPr>
        <w:t xml:space="preserve"> December 2025).</w:t>
      </w:r>
    </w:p>
    <w:p w14:paraId="30466C55">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Meyer, K.E. and Peng, M.W. (2016) 'Theoretical foundations of emerging economy business research', </w:t>
      </w:r>
      <w:r>
        <w:rPr>
          <w:rStyle w:val="31"/>
          <w:rFonts w:hint="default" w:ascii="Times New Roman" w:hAnsi="Times New Roman" w:cs="Times New Roman"/>
          <w:b w:val="0"/>
          <w:bCs w:val="0"/>
        </w:rPr>
        <w:t>Journal of International Business Studies</w:t>
      </w:r>
      <w:r>
        <w:rPr>
          <w:rFonts w:hint="default" w:ascii="Times New Roman" w:hAnsi="Times New Roman" w:cs="Times New Roman"/>
          <w:b w:val="0"/>
          <w:bCs w:val="0"/>
        </w:rPr>
        <w:t xml:space="preserve">, 47(1), pp. 3-22.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"https://link.springer.com/article/10.1057/jibs.2015.34"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https://link.springer.com/article/10.1057/jibs.2015.34</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w:t>
      </w:r>
      <w:r>
        <w:rPr>
          <w:rFonts w:hint="default" w:ascii="Times New Roman" w:hAnsi="Times New Roman" w:cs="Times New Roman"/>
          <w:b w:val="0"/>
          <w:bCs w:val="0"/>
          <w:lang w:val="en-US"/>
        </w:rPr>
        <w:t>02</w:t>
      </w:r>
      <w:r>
        <w:rPr>
          <w:rFonts w:hint="default" w:ascii="Times New Roman" w:hAnsi="Times New Roman" w:cs="Times New Roman"/>
          <w:b w:val="0"/>
          <w:bCs w:val="0"/>
        </w:rPr>
        <w:t xml:space="preserve"> December 2025).</w:t>
      </w:r>
    </w:p>
    <w:p w14:paraId="251B9014">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Meyer, K.E. and Peng, M.W. (2020) 'Theoretical foundations of emerging economy business research', </w:t>
      </w:r>
      <w:r>
        <w:rPr>
          <w:rStyle w:val="31"/>
          <w:rFonts w:hint="default" w:ascii="Times New Roman" w:hAnsi="Times New Roman" w:cs="Times New Roman"/>
          <w:b w:val="0"/>
          <w:bCs w:val="0"/>
        </w:rPr>
        <w:t>Journal of International Business Studies</w:t>
      </w:r>
      <w:r>
        <w:rPr>
          <w:rFonts w:hint="default" w:ascii="Times New Roman" w:hAnsi="Times New Roman" w:cs="Times New Roman"/>
          <w:b w:val="0"/>
          <w:bCs w:val="0"/>
        </w:rPr>
        <w:t xml:space="preserve">, 51(3), pp. 415-438.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"https://link.springer.com/article/10.1057/s41262-020-00139-6"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https://link.springer.com/article/10.1057/s41262-020-00139-6</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w:t>
      </w:r>
      <w:r>
        <w:rPr>
          <w:rFonts w:hint="default" w:ascii="Times New Roman" w:hAnsi="Times New Roman" w:cs="Times New Roman"/>
          <w:b w:val="0"/>
          <w:bCs w:val="0"/>
          <w:lang w:val="en-US"/>
        </w:rPr>
        <w:t>02</w:t>
      </w:r>
      <w:r>
        <w:rPr>
          <w:rFonts w:hint="default" w:ascii="Times New Roman" w:hAnsi="Times New Roman" w:cs="Times New Roman"/>
          <w:b w:val="0"/>
          <w:bCs w:val="0"/>
        </w:rPr>
        <w:t xml:space="preserve"> December 2025).</w:t>
      </w:r>
    </w:p>
    <w:p w14:paraId="65C067B3">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Ministry of Environment (2023) </w:t>
      </w:r>
      <w:r>
        <w:rPr>
          <w:rStyle w:val="31"/>
          <w:rFonts w:hint="default" w:ascii="Times New Roman" w:hAnsi="Times New Roman" w:cs="Times New Roman"/>
          <w:b w:val="0"/>
          <w:bCs w:val="0"/>
        </w:rPr>
        <w:t>Environmental compliance guidelines for food processing</w:t>
      </w:r>
      <w:r>
        <w:rPr>
          <w:rFonts w:hint="default" w:ascii="Times New Roman" w:hAnsi="Times New Roman" w:cs="Times New Roman"/>
          <w:b w:val="0"/>
          <w:bCs w:val="0"/>
        </w:rPr>
        <w:t xml:space="preserve">. Government of India.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"https://www.moef.gov.in"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https://www.moef.gov.in</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w:t>
      </w:r>
      <w:r>
        <w:rPr>
          <w:rFonts w:hint="default" w:ascii="Times New Roman" w:hAnsi="Times New Roman" w:cs="Times New Roman"/>
          <w:b w:val="0"/>
          <w:bCs w:val="0"/>
          <w:lang w:val="en-US"/>
        </w:rPr>
        <w:t>05</w:t>
      </w:r>
      <w:r>
        <w:rPr>
          <w:rFonts w:hint="default" w:ascii="Times New Roman" w:hAnsi="Times New Roman" w:cs="Times New Roman"/>
          <w:b w:val="0"/>
          <w:bCs w:val="0"/>
        </w:rPr>
        <w:t xml:space="preserve"> December 2025).</w:t>
      </w:r>
    </w:p>
    <w:p w14:paraId="1DCB29E6">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Mintel UK (2023) </w:t>
      </w:r>
      <w:r>
        <w:rPr>
          <w:rStyle w:val="31"/>
          <w:rFonts w:hint="default" w:ascii="Times New Roman" w:hAnsi="Times New Roman" w:cs="Times New Roman"/>
          <w:b w:val="0"/>
          <w:bCs w:val="0"/>
        </w:rPr>
        <w:t>Crisps, savoury snacks and nuts UK market report</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"https://procuria.net/news/article/market-update-savoury-snacks-nuts"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https://procuria.net/news/article/market-update-savoury-snacks-nuts</w:t>
      </w:r>
      <w:r>
        <w:rPr>
          <w:rFonts w:hint="default" w:ascii="Times New Roman" w:hAnsi="Times New Roman" w:cs="Times New Roman"/>
          <w:b w:val="0"/>
          <w:bCs w:val="0"/>
        </w:rPr>
        <w:fldChar w:fldCharType="end"/>
      </w:r>
      <w:r>
        <w:rPr>
          <w:rFonts w:hint="default" w:ascii="Times New Roman" w:hAnsi="Times New Roman" w:cs="Times New Roman"/>
          <w:b w:val="0"/>
          <w:bCs w:val="0"/>
          <w:lang w:val="en-US"/>
        </w:rPr>
        <w:t xml:space="preserve"> </w:t>
      </w:r>
      <w:r>
        <w:rPr>
          <w:rFonts w:hint="default" w:ascii="Times New Roman" w:hAnsi="Times New Roman" w:cs="Times New Roman"/>
          <w:b w:val="0"/>
          <w:bCs w:val="0"/>
        </w:rPr>
        <w:t>(Accessed: 13 December 2025).</w:t>
      </w:r>
    </w:p>
    <w:p w14:paraId="25A560E3">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Morgan Stanley (2023) </w:t>
      </w:r>
      <w:r>
        <w:rPr>
          <w:rStyle w:val="31"/>
          <w:rFonts w:hint="default" w:ascii="Times New Roman" w:hAnsi="Times New Roman" w:cs="Times New Roman"/>
          <w:b w:val="0"/>
          <w:bCs w:val="0"/>
        </w:rPr>
        <w:t>Emerging markets growth forecasts and investment trends</w:t>
      </w:r>
      <w:r>
        <w:rPr>
          <w:rFonts w:hint="default" w:ascii="Times New Roman" w:hAnsi="Times New Roman" w:cs="Times New Roman"/>
          <w:b w:val="0"/>
          <w:bCs w:val="0"/>
        </w:rPr>
        <w:t>. Available at: https://www.morganstanley.com/ideas/global-investment-strategy-outlook-2023 (Accessed: 13 December 2025).</w:t>
      </w:r>
    </w:p>
    <w:p w14:paraId="4958ED71">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Narula, R. (2014) </w:t>
      </w:r>
      <w:r>
        <w:rPr>
          <w:rStyle w:val="31"/>
          <w:rFonts w:hint="default" w:ascii="Times New Roman" w:hAnsi="Times New Roman" w:cs="Times New Roman"/>
          <w:b w:val="0"/>
          <w:bCs w:val="0"/>
        </w:rPr>
        <w:t>Globalization and technology: Interdependence, innovation systems and industrial policy</w:t>
      </w:r>
      <w:r>
        <w:rPr>
          <w:rFonts w:hint="default" w:ascii="Times New Roman" w:hAnsi="Times New Roman" w:cs="Times New Roman"/>
          <w:b w:val="0"/>
          <w:bCs w:val="0"/>
        </w:rPr>
        <w:t>. Cambridge: Polity Press.</w:t>
      </w:r>
    </w:p>
    <w:p w14:paraId="41C07EBE">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Narula, R. (2022) 'Multinational enterprises and global value chains: Location and innovation in a post-pandemic world', </w:t>
      </w:r>
      <w:r>
        <w:rPr>
          <w:rStyle w:val="31"/>
          <w:rFonts w:hint="default" w:ascii="Times New Roman" w:hAnsi="Times New Roman" w:cs="Times New Roman"/>
          <w:b w:val="0"/>
          <w:bCs w:val="0"/>
        </w:rPr>
        <w:t>International Business Review</w:t>
      </w:r>
      <w:r>
        <w:rPr>
          <w:rFonts w:hint="default" w:ascii="Times New Roman" w:hAnsi="Times New Roman" w:cs="Times New Roman"/>
          <w:b w:val="0"/>
          <w:bCs w:val="0"/>
        </w:rPr>
        <w:t xml:space="preserve">, 31(2), pp. 1-15.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"https://www.sciencedirect.com/science/article/pii/S0969593121001408"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https://www.sciencedirect.com/science/article/pii/S0969593121001408</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0</w:t>
      </w:r>
      <w:r>
        <w:rPr>
          <w:rFonts w:hint="default" w:ascii="Times New Roman" w:hAnsi="Times New Roman" w:cs="Times New Roman"/>
          <w:b w:val="0"/>
          <w:bCs w:val="0"/>
        </w:rPr>
        <w:t xml:space="preserve"> December 2025).</w:t>
      </w:r>
    </w:p>
    <w:p w14:paraId="6CDE3ED3">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Nielsen (2023) </w:t>
      </w:r>
      <w:r>
        <w:rPr>
          <w:rStyle w:val="31"/>
          <w:rFonts w:hint="default" w:ascii="Times New Roman" w:hAnsi="Times New Roman" w:cs="Times New Roman"/>
          <w:b w:val="0"/>
          <w:bCs w:val="0"/>
        </w:rPr>
        <w:t>Global advertising effectiveness and cost-per-impression analysis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"https://www.nielsen.com/wp-content/uploads/sites/2/2023/04/2023-report-annual-marketing-en.pdf?trk=public_post_comment-text"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https://www.nielsen.com/wp-content/uploads/sites/2/2023/04/2023-report-annual-marketing-en.pdf?trk=public_post_comment-text</w:t>
      </w:r>
      <w:r>
        <w:rPr>
          <w:rFonts w:hint="default" w:ascii="Times New Roman" w:hAnsi="Times New Roman" w:cs="Times New Roman"/>
          <w:b w:val="0"/>
          <w:bCs w:val="0"/>
        </w:rPr>
        <w:fldChar w:fldCharType="end"/>
      </w:r>
      <w:r>
        <w:rPr>
          <w:rFonts w:hint="default" w:ascii="Times New Roman" w:hAnsi="Times New Roman" w:cs="Times New Roman"/>
          <w:b w:val="0"/>
          <w:bCs w:val="0"/>
          <w:lang w:val="en-US"/>
        </w:rPr>
        <w:t xml:space="preserve"> </w:t>
      </w:r>
      <w:r>
        <w:rPr>
          <w:rFonts w:hint="default" w:ascii="Times New Roman" w:hAnsi="Times New Roman" w:cs="Times New Roman"/>
          <w:b w:val="0"/>
          <w:bCs w:val="0"/>
        </w:rPr>
        <w:t>(Accessed: 1</w:t>
      </w:r>
      <w:r>
        <w:rPr>
          <w:rFonts w:hint="default" w:ascii="Times New Roman" w:hAnsi="Times New Roman" w:cs="Times New Roman"/>
          <w:b w:val="0"/>
          <w:bCs w:val="0"/>
          <w:lang w:val="en-US"/>
        </w:rPr>
        <w:t>0</w:t>
      </w:r>
      <w:r>
        <w:rPr>
          <w:rFonts w:hint="default" w:ascii="Times New Roman" w:hAnsi="Times New Roman" w:cs="Times New Roman"/>
          <w:b w:val="0"/>
          <w:bCs w:val="0"/>
        </w:rPr>
        <w:t xml:space="preserve"> December 2025).</w:t>
      </w:r>
    </w:p>
    <w:p w14:paraId="010597F3">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Nielsen India (2023) </w:t>
      </w:r>
      <w:r>
        <w:rPr>
          <w:rStyle w:val="31"/>
          <w:rFonts w:hint="default" w:ascii="Times New Roman" w:hAnsi="Times New Roman" w:cs="Times New Roman"/>
          <w:b w:val="0"/>
          <w:bCs w:val="0"/>
        </w:rPr>
        <w:t>Snack foods market dynamics in India</w:t>
      </w:r>
      <w:r>
        <w:rPr>
          <w:rFonts w:hint="default" w:ascii="Times New Roman" w:hAnsi="Times New Roman" w:cs="Times New Roman"/>
          <w:b w:val="0"/>
          <w:bCs w:val="0"/>
        </w:rPr>
        <w:t>. Available at: https://nielseniq.com/global/en/insights/analysis/2023/indias-fmcg-industry-continues-to-grow-on-the-back-of-higher-consumption/ (Accessed: 13 December 2025).</w:t>
      </w:r>
    </w:p>
    <w:p w14:paraId="468A5B87">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Office for National Statistics UK (2023) </w:t>
      </w:r>
      <w:r>
        <w:rPr>
          <w:rStyle w:val="31"/>
          <w:rFonts w:hint="default" w:ascii="Times New Roman" w:hAnsi="Times New Roman" w:cs="Times New Roman"/>
          <w:b w:val="0"/>
          <w:bCs w:val="0"/>
        </w:rPr>
        <w:t>Labour market statistics and wage data</w:t>
      </w:r>
      <w:r>
        <w:rPr>
          <w:rFonts w:hint="default" w:ascii="Times New Roman" w:hAnsi="Times New Roman" w:cs="Times New Roman"/>
          <w:b w:val="0"/>
          <w:bCs w:val="0"/>
        </w:rPr>
        <w:t>. Available at: https://www.ons.gov.uk/releases/uklabourmarketdecember2023 (Accessed: 13 December 2025).</w:t>
      </w:r>
    </w:p>
    <w:p w14:paraId="0D394830">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(2023) </w:t>
      </w:r>
      <w:r>
        <w:rPr>
          <w:rStyle w:val="31"/>
          <w:rFonts w:hint="default" w:ascii="Times New Roman" w:hAnsi="Times New Roman" w:cs="Times New Roman"/>
          <w:b w:val="0"/>
          <w:bCs w:val="0"/>
        </w:rPr>
        <w:t>Annual report 2023</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"https://www.sec.gov/Archives/edgar/data/77476/000130817924000261/pep4309521-ars.pdf" </w:instrText>
      </w:r>
      <w:r>
        <w:rPr>
          <w:rFonts w:hint="default" w:ascii="Times New Roman" w:hAnsi="Times New Roman" w:cs="Times New Roman"/>
          <w:b w:val="0"/>
          <w:bCs w:val="0"/>
        </w:rPr>
        <w:fldChar w:fldCharType="separate"/>
      </w:r>
      <w:r>
        <w:rPr>
          <w:rFonts w:hint="default" w:ascii="Times New Roman" w:hAnsi="Times New Roman" w:cs="Times New Roman"/>
          <w:b w:val="0"/>
          <w:bCs w:val="0"/>
        </w:rPr>
        <w:t>sec.gov/Archives/edgar/data/77476/000130817924000261/pep4309521-ars.pdf</w:t>
      </w:r>
      <w:r>
        <w:rPr>
          <w:rFonts w:hint="default" w:ascii="Times New Roman" w:hAnsi="Times New Roman" w:cs="Times New Roman"/>
          <w:b w:val="0"/>
          <w:bCs w:val="0"/>
        </w:rPr>
        <w:fldChar w:fldCharType="end"/>
      </w:r>
      <w:r>
        <w:rPr>
          <w:rFonts w:hint="default" w:ascii="Times New Roman" w:hAnsi="Times New Roman" w:cs="Times New Roman"/>
          <w:b w:val="0"/>
          <w:bCs w:val="0"/>
          <w:lang w:val="en-US"/>
        </w:rPr>
        <w:t xml:space="preserve"> </w:t>
      </w:r>
      <w:r>
        <w:rPr>
          <w:rFonts w:hint="default" w:ascii="Times New Roman" w:hAnsi="Times New Roman" w:cs="Times New Roman"/>
          <w:b w:val="0"/>
          <w:bCs w:val="0"/>
        </w:rPr>
        <w:t xml:space="preserve"> (Accessed: 13 December 2025).</w:t>
      </w:r>
    </w:p>
    <w:p w14:paraId="0C0B4CA7">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(2023) </w:t>
      </w:r>
      <w:r>
        <w:rPr>
          <w:rStyle w:val="31"/>
          <w:rFonts w:hint="default" w:ascii="Times New Roman" w:hAnsi="Times New Roman" w:cs="Times New Roman"/>
          <w:b w:val="0"/>
          <w:bCs w:val="0"/>
        </w:rPr>
        <w:t>Innovation report 2023</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"https://www.pepsico.com/our-impact/innovation"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https://www.pepsico.com/our-impact/innovation</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609842C2">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Annual Report (2023) </w:t>
      </w:r>
      <w:r>
        <w:rPr>
          <w:rStyle w:val="31"/>
          <w:rFonts w:hint="default" w:ascii="Times New Roman" w:hAnsi="Times New Roman" w:cs="Times New Roman"/>
          <w:b w:val="0"/>
          <w:bCs w:val="0"/>
        </w:rPr>
        <w:t>Annual report and financial statements 2023</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"https://www.pepsico.com/investors/financial-information/annual-reports"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https://www.pepsico.com/investors/financial-information/annual-reports</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00420DD1">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ESG Report (2023) </w:t>
      </w:r>
      <w:r>
        <w:rPr>
          <w:rStyle w:val="31"/>
          <w:rFonts w:hint="default" w:ascii="Times New Roman" w:hAnsi="Times New Roman" w:cs="Times New Roman"/>
          <w:b w:val="0"/>
          <w:bCs w:val="0"/>
        </w:rPr>
        <w:t>Environmental, social and governance report 2023</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"https://www.pepsico.com/esg"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https://www.pepsico.com/esg</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0</w:t>
      </w:r>
      <w:r>
        <w:rPr>
          <w:rFonts w:hint="default" w:ascii="Times New Roman" w:hAnsi="Times New Roman" w:cs="Times New Roman"/>
          <w:b w:val="0"/>
          <w:bCs w:val="0"/>
        </w:rPr>
        <w:t xml:space="preserve"> December 2025).</w:t>
      </w:r>
    </w:p>
    <w:p w14:paraId="06E070C3">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ESG Report (2024) </w:t>
      </w:r>
      <w:r>
        <w:rPr>
          <w:rStyle w:val="31"/>
          <w:rFonts w:hint="default" w:ascii="Times New Roman" w:hAnsi="Times New Roman" w:cs="Times New Roman"/>
          <w:b w:val="0"/>
          <w:bCs w:val="0"/>
        </w:rPr>
        <w:t>Environmental, social and governance report 2024</w:t>
      </w:r>
      <w:r>
        <w:rPr>
          <w:rFonts w:hint="default" w:ascii="Times New Roman" w:hAnsi="Times New Roman" w:cs="Times New Roman"/>
          <w:b w:val="0"/>
          <w:bCs w:val="0"/>
        </w:rPr>
        <w:t>. Available at: https://www.pepsico.com/sustainability/report-downloads(Accessed: 13 December 2025).</w:t>
      </w:r>
    </w:p>
    <w:p w14:paraId="433182F5">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HR Report (2023) </w:t>
      </w:r>
      <w:r>
        <w:rPr>
          <w:rStyle w:val="31"/>
          <w:rFonts w:hint="default" w:ascii="Times New Roman" w:hAnsi="Times New Roman" w:cs="Times New Roman"/>
          <w:b w:val="0"/>
          <w:bCs w:val="0"/>
        </w:rPr>
        <w:t>Global human resources practices and employee engagement</w:t>
      </w:r>
      <w:r>
        <w:rPr>
          <w:rFonts w:hint="default" w:ascii="Times New Roman" w:hAnsi="Times New Roman" w:cs="Times New Roman"/>
          <w:b w:val="0"/>
          <w:bCs w:val="0"/>
        </w:rPr>
        <w:t>. Internal document.</w:t>
      </w:r>
    </w:p>
    <w:p w14:paraId="35155DAD">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India (2023) </w:t>
      </w:r>
      <w:r>
        <w:rPr>
          <w:rStyle w:val="31"/>
          <w:rFonts w:hint="default" w:ascii="Times New Roman" w:hAnsi="Times New Roman" w:cs="Times New Roman"/>
          <w:b w:val="0"/>
          <w:bCs w:val="0"/>
        </w:rPr>
        <w:t>India agriculture report 2023</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"https://www.pepsicoindia.co.in/sustainability/agriculture"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https://www.pepsicoindia.co.in/sustainability/agriculture</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2</w:t>
      </w:r>
      <w:r>
        <w:rPr>
          <w:rFonts w:hint="default" w:ascii="Times New Roman" w:hAnsi="Times New Roman" w:cs="Times New Roman"/>
          <w:b w:val="0"/>
          <w:bCs w:val="0"/>
        </w:rPr>
        <w:t xml:space="preserve"> December 2025).</w:t>
      </w:r>
    </w:p>
    <w:p w14:paraId="2AE6978C">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India (2023) </w:t>
      </w:r>
      <w:r>
        <w:rPr>
          <w:rStyle w:val="31"/>
          <w:rFonts w:hint="default" w:ascii="Times New Roman" w:hAnsi="Times New Roman" w:cs="Times New Roman"/>
          <w:b w:val="0"/>
          <w:bCs w:val="0"/>
        </w:rPr>
        <w:t>Marketing and brand performance overview</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"https://www.pepsicoindia.co.in/brands"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https://www.pepsicoindia.co.in/brands</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4</w:t>
      </w:r>
      <w:r>
        <w:rPr>
          <w:rFonts w:hint="default" w:ascii="Times New Roman" w:hAnsi="Times New Roman" w:cs="Times New Roman"/>
          <w:b w:val="0"/>
          <w:bCs w:val="0"/>
        </w:rPr>
        <w:t xml:space="preserve"> December 2025).</w:t>
      </w:r>
    </w:p>
    <w:p w14:paraId="385FCD52">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India (2023) </w:t>
      </w:r>
      <w:r>
        <w:rPr>
          <w:rStyle w:val="31"/>
          <w:rFonts w:hint="default" w:ascii="Times New Roman" w:hAnsi="Times New Roman" w:cs="Times New Roman"/>
          <w:b w:val="0"/>
          <w:bCs w:val="0"/>
        </w:rPr>
        <w:t>Operations and sustainability overview</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"https://www.pepsicoindia.co.in"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https://www.pepsicoindia.co.in</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430BB3C6">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Innovation Report (2023) </w:t>
      </w:r>
      <w:r>
        <w:rPr>
          <w:rStyle w:val="31"/>
          <w:rFonts w:hint="default" w:ascii="Times New Roman" w:hAnsi="Times New Roman" w:cs="Times New Roman"/>
          <w:b w:val="0"/>
          <w:bCs w:val="0"/>
        </w:rPr>
        <w:t>Global product innovation and R&amp;D investments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"https://www.pepsico.com/our-impact/innovation"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https://www.pepsico.com/our-impact/innovation</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2</w:t>
      </w:r>
      <w:r>
        <w:rPr>
          <w:rFonts w:hint="default" w:ascii="Times New Roman" w:hAnsi="Times New Roman" w:cs="Times New Roman"/>
          <w:b w:val="0"/>
          <w:bCs w:val="0"/>
        </w:rPr>
        <w:t xml:space="preserve"> December 2025).</w:t>
      </w:r>
    </w:p>
    <w:p w14:paraId="693CC503">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Internal Communications (2023) </w:t>
      </w:r>
      <w:r>
        <w:rPr>
          <w:rStyle w:val="31"/>
          <w:rFonts w:hint="default" w:ascii="Times New Roman" w:hAnsi="Times New Roman" w:cs="Times New Roman"/>
          <w:b w:val="0"/>
          <w:bCs w:val="0"/>
        </w:rPr>
        <w:t>Organizational structure and governance frameworks</w:t>
      </w:r>
      <w:r>
        <w:rPr>
          <w:rFonts w:hint="default" w:ascii="Times New Roman" w:hAnsi="Times New Roman" w:cs="Times New Roman"/>
          <w:b w:val="0"/>
          <w:bCs w:val="0"/>
        </w:rPr>
        <w:t>. Internal document.</w:t>
      </w:r>
    </w:p>
    <w:p w14:paraId="11DF44C4">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Investor Presentation (2023) </w:t>
      </w:r>
      <w:r>
        <w:rPr>
          <w:rStyle w:val="31"/>
          <w:rFonts w:hint="default" w:ascii="Times New Roman" w:hAnsi="Times New Roman" w:cs="Times New Roman"/>
          <w:b w:val="0"/>
          <w:bCs w:val="0"/>
        </w:rPr>
        <w:t>Strategic priorities and financial performance</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"https://www.pepsico.com/investors/investor-presentations"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https://www.pepsico.com/investors/investor-presentations</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49C3E31E">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Quarterly Reports (2023) </w:t>
      </w:r>
      <w:r>
        <w:rPr>
          <w:rStyle w:val="31"/>
          <w:rFonts w:hint="default" w:ascii="Times New Roman" w:hAnsi="Times New Roman" w:cs="Times New Roman"/>
          <w:b w:val="0"/>
          <w:bCs w:val="0"/>
        </w:rPr>
        <w:t>Quarterly earnings and segment performance 2023</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"https://www.pepsico.com/investors/financial-information/quarterly-earnings"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https://www.pepsico.com/investors/financial-information/quarterly-earnings</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w:t>
      </w:r>
      <w:r>
        <w:rPr>
          <w:rFonts w:hint="default" w:ascii="Times New Roman" w:hAnsi="Times New Roman" w:cs="Times New Roman"/>
          <w:b w:val="0"/>
          <w:bCs w:val="0"/>
          <w:lang w:val="en-US"/>
        </w:rPr>
        <w:t xml:space="preserve">10 </w:t>
      </w:r>
      <w:r>
        <w:rPr>
          <w:rFonts w:hint="default" w:ascii="Times New Roman" w:hAnsi="Times New Roman" w:cs="Times New Roman"/>
          <w:b w:val="0"/>
          <w:bCs w:val="0"/>
        </w:rPr>
        <w:t>December 2025).</w:t>
      </w:r>
    </w:p>
    <w:p w14:paraId="47F7511E">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Segment Reporting (2023) </w:t>
      </w:r>
      <w:r>
        <w:rPr>
          <w:rStyle w:val="31"/>
          <w:rFonts w:hint="default" w:ascii="Times New Roman" w:hAnsi="Times New Roman" w:cs="Times New Roman"/>
          <w:b w:val="0"/>
          <w:bCs w:val="0"/>
        </w:rPr>
        <w:t>Geographic and product segment financial analysis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"https://www.pepsico.com/investors"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https://www.pepsico.com/investors</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2</w:t>
      </w:r>
      <w:r>
        <w:rPr>
          <w:rFonts w:hint="default" w:ascii="Times New Roman" w:hAnsi="Times New Roman" w:cs="Times New Roman"/>
          <w:b w:val="0"/>
          <w:bCs w:val="0"/>
        </w:rPr>
        <w:t xml:space="preserve"> December 2025).</w:t>
      </w:r>
    </w:p>
    <w:p w14:paraId="26720A26">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Strategy Presentation (2024) </w:t>
      </w:r>
      <w:r>
        <w:rPr>
          <w:rStyle w:val="31"/>
          <w:rFonts w:hint="default" w:ascii="Times New Roman" w:hAnsi="Times New Roman" w:cs="Times New Roman"/>
          <w:b w:val="0"/>
          <w:bCs w:val="0"/>
        </w:rPr>
        <w:t>Long-term growth strategy and market outlook</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"https://www.pepsico.com/investors/investor-presentations"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https://www.pepsico.com/investors/investor-presentations</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1C0E6C34">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Sustainability Report (2023) </w:t>
      </w:r>
      <w:r>
        <w:rPr>
          <w:rStyle w:val="31"/>
          <w:rFonts w:hint="default" w:ascii="Times New Roman" w:hAnsi="Times New Roman" w:cs="Times New Roman"/>
          <w:b w:val="0"/>
          <w:bCs w:val="0"/>
        </w:rPr>
        <w:t>pep+ transformation and environmental goals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"https://www.pepsico.com/our-impact/sustainability/pepsico-positive"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https://www.pepsico.com/our-impact/sustainability/pepsico-positive</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6A7F0D60">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UK (2023) </w:t>
      </w:r>
      <w:r>
        <w:rPr>
          <w:rStyle w:val="31"/>
          <w:rFonts w:hint="default" w:ascii="Times New Roman" w:hAnsi="Times New Roman" w:cs="Times New Roman"/>
          <w:b w:val="0"/>
          <w:bCs w:val="0"/>
        </w:rPr>
        <w:t>UK operations and economic impact report</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"https://www.pepsico.co.uk/about/uk-operations"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https://www.pepsico.co.uk/about/uk-operations</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5D4A6DBB">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PepsiCo Water Report (2023) </w:t>
      </w:r>
      <w:r>
        <w:rPr>
          <w:rStyle w:val="31"/>
          <w:rFonts w:hint="default" w:ascii="Times New Roman" w:hAnsi="Times New Roman" w:cs="Times New Roman"/>
          <w:b w:val="0"/>
          <w:bCs w:val="0"/>
        </w:rPr>
        <w:t>Global water stewardship and conservation initiatives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"https://www.pepsico.com/our-impact/sustainability/water"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https://www.pepsico.com/our-impact/sustainability/water</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1A525BA0">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Porter, M.E. (1990) </w:t>
      </w:r>
      <w:r>
        <w:rPr>
          <w:rStyle w:val="31"/>
          <w:rFonts w:hint="default" w:ascii="Times New Roman" w:hAnsi="Times New Roman" w:cs="Times New Roman"/>
          <w:b w:val="0"/>
          <w:bCs w:val="0"/>
        </w:rPr>
        <w:t>The competitive advantage of nations</w:t>
      </w:r>
      <w:r>
        <w:rPr>
          <w:rFonts w:hint="default" w:ascii="Times New Roman" w:hAnsi="Times New Roman" w:cs="Times New Roman"/>
          <w:b w:val="0"/>
          <w:bCs w:val="0"/>
        </w:rPr>
        <w:t>. New York: Free Press.</w:t>
      </w:r>
    </w:p>
    <w:p w14:paraId="0D186F86">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PwC India (2023) </w:t>
      </w:r>
      <w:r>
        <w:rPr>
          <w:rStyle w:val="31"/>
          <w:rFonts w:hint="default" w:ascii="Times New Roman" w:hAnsi="Times New Roman" w:cs="Times New Roman"/>
          <w:b w:val="0"/>
          <w:bCs w:val="0"/>
        </w:rPr>
        <w:t>Supply chain and logistics optimization in Indian FMCG</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"https://www.pwc.in/industries/consumer-markets/fmcg/supply-chain-logistics.html"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https://www.pwc.in/industries/consumer-markets/fmcg/supply-chain-logistics.html</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21E0DA29">
      <w:pPr>
        <w:pStyle w:val="85"/>
        <w:keepNext w:val="0"/>
        <w:keepLines w:val="0"/>
        <w:widowControl/>
        <w:suppressLineNumbers w:val="0"/>
        <w:spacing w:line="360" w:lineRule="auto"/>
        <w:jc w:val="both"/>
        <w:rPr>
          <w:rFonts w:hint="default" w:ascii="Times New Roman" w:hAnsi="Times New Roman" w:cs="Times New Roman"/>
          <w:b w:val="0"/>
          <w:bCs w:val="0"/>
        </w:rPr>
      </w:pPr>
      <w:r>
        <w:rPr>
          <w:rStyle w:val="92"/>
          <w:rFonts w:hint="default" w:ascii="Times New Roman" w:hAnsi="Times New Roman" w:cs="Times New Roman"/>
          <w:b w:val="0"/>
          <w:bCs w:val="0"/>
        </w:rPr>
        <w:t>PotatoPro (2025)</w:t>
      </w:r>
      <w:r>
        <w:rPr>
          <w:rFonts w:hint="default" w:ascii="Times New Roman" w:hAnsi="Times New Roman" w:cs="Times New Roman"/>
          <w:b w:val="0"/>
          <w:bCs w:val="0"/>
        </w:rPr>
        <w:t xml:space="preserve"> </w:t>
      </w:r>
      <w:r>
        <w:rPr>
          <w:rStyle w:val="31"/>
          <w:rFonts w:hint="default" w:ascii="Times New Roman" w:hAnsi="Times New Roman" w:cs="Times New Roman"/>
          <w:b w:val="0"/>
          <w:bCs w:val="0"/>
        </w:rPr>
        <w:t>PepsiCo UK – Coventry</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"https://www.potatopro.com/companies/pepsico-uk-coventry"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https://www.potatopro.com/companies/pepsico-uk-coventry</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5201F1AB">
      <w:pPr>
        <w:pStyle w:val="85"/>
        <w:keepNext w:val="0"/>
        <w:keepLines w:val="0"/>
        <w:widowControl/>
        <w:suppressLineNumbers w:val="0"/>
        <w:spacing w:line="360" w:lineRule="auto"/>
        <w:jc w:val="both"/>
        <w:rPr>
          <w:rFonts w:hint="default" w:ascii="Times New Roman" w:hAnsi="Times New Roman" w:cs="Times New Roman"/>
          <w:b w:val="0"/>
          <w:bCs w:val="0"/>
        </w:rPr>
      </w:pPr>
      <w:r>
        <w:rPr>
          <w:rStyle w:val="92"/>
          <w:rFonts w:hint="default" w:ascii="Times New Roman" w:hAnsi="Times New Roman" w:cs="Times New Roman"/>
          <w:b w:val="0"/>
          <w:bCs w:val="0"/>
        </w:rPr>
        <w:t>Robinson, J. (2024)</w:t>
      </w:r>
      <w:r>
        <w:rPr>
          <w:rFonts w:hint="default" w:ascii="Times New Roman" w:hAnsi="Times New Roman" w:cs="Times New Roman"/>
          <w:b w:val="0"/>
          <w:bCs w:val="0"/>
        </w:rPr>
        <w:t xml:space="preserve"> </w:t>
      </w:r>
      <w:r>
        <w:rPr>
          <w:rStyle w:val="31"/>
          <w:rFonts w:hint="default" w:ascii="Times New Roman" w:hAnsi="Times New Roman" w:cs="Times New Roman"/>
          <w:b w:val="0"/>
          <w:bCs w:val="0"/>
        </w:rPr>
        <w:t>Owner of UK’s favourite crisps brand sees monster sales surge</w:t>
      </w:r>
      <w:r>
        <w:rPr>
          <w:rFonts w:hint="default" w:ascii="Times New Roman" w:hAnsi="Times New Roman" w:cs="Times New Roman"/>
          <w:b w:val="0"/>
          <w:bCs w:val="0"/>
        </w:rPr>
        <w:t xml:space="preserve">. </w:t>
      </w:r>
      <w:r>
        <w:rPr>
          <w:rStyle w:val="31"/>
          <w:rFonts w:hint="default" w:ascii="Times New Roman" w:hAnsi="Times New Roman" w:cs="Times New Roman"/>
          <w:b w:val="0"/>
          <w:bCs w:val="0"/>
        </w:rPr>
        <w:t>Business Live</w:t>
      </w:r>
      <w:r>
        <w:rPr>
          <w:rFonts w:hint="default" w:ascii="Times New Roman" w:hAnsi="Times New Roman" w:cs="Times New Roman"/>
          <w:b w:val="0"/>
          <w:bCs w:val="0"/>
        </w:rPr>
        <w:t xml:space="preserve">, 16 December.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"https://www.business-live.co.uk/retail-consumer/owner-uks-favourite-crisps-brand-30594531"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https://www.business-live.co.uk/retail-consumer/owner-uks-favourite-crisps-brand-30594531</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066C9852">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Retail Association of India (2023) </w:t>
      </w:r>
      <w:r>
        <w:rPr>
          <w:rStyle w:val="31"/>
          <w:rFonts w:hint="default" w:ascii="Times New Roman" w:hAnsi="Times New Roman" w:cs="Times New Roman"/>
          <w:b w:val="0"/>
          <w:bCs w:val="0"/>
        </w:rPr>
        <w:t>Traditional retail dynamics and modern trade growth</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"https://www.rai.net.in/research/retail-india"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https://www.rai.net.in/research/retail-india</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5EC97068">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Rugman, A.M. (2010) 'Reconciling internalization theory and the eclectic paradigm', </w:t>
      </w:r>
      <w:r>
        <w:rPr>
          <w:rStyle w:val="31"/>
          <w:rFonts w:hint="default" w:ascii="Times New Roman" w:hAnsi="Times New Roman" w:cs="Times New Roman"/>
          <w:b w:val="0"/>
          <w:bCs w:val="0"/>
        </w:rPr>
        <w:t>Multinational Business Review</w:t>
      </w:r>
      <w:r>
        <w:rPr>
          <w:rFonts w:hint="default" w:ascii="Times New Roman" w:hAnsi="Times New Roman" w:cs="Times New Roman"/>
          <w:b w:val="0"/>
          <w:bCs w:val="0"/>
        </w:rPr>
        <w:t xml:space="preserve">, 18(2), pp. 1-12.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"https://www.emerald.com/insight/content/doi/10.1108/1525383X201000007"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https://www.emerald.com/insight/content/doi/10.1108/1525383X201000007</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575CDA90">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SportsPro (2023) </w:t>
      </w:r>
      <w:r>
        <w:rPr>
          <w:rStyle w:val="31"/>
          <w:rFonts w:hint="default" w:ascii="Times New Roman" w:hAnsi="Times New Roman" w:cs="Times New Roman"/>
          <w:b w:val="0"/>
          <w:bCs w:val="0"/>
        </w:rPr>
        <w:t>Global sports sponsorship valuations and brand partnerships</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"https://www.sportspromedia.com"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https://www.sportspromedia.com</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45F7CD7C">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The Grocer (2022) </w:t>
      </w:r>
      <w:r>
        <w:rPr>
          <w:rStyle w:val="31"/>
          <w:rFonts w:hint="default" w:ascii="Times New Roman" w:hAnsi="Times New Roman" w:cs="Times New Roman"/>
          <w:b w:val="0"/>
          <w:bCs w:val="0"/>
        </w:rPr>
        <w:t>PepsiCo invests £85m in Coventry plant expansion</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"https://www.thegrocer.co.uk/pepsico/pepsico-invests-85m-in-coventry-plant"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https://www.thegrocer.co.uk/pepsico/pepsico-invests-85m-in-coventry-plant</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3ED5C64E">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UK Food Standards Agency (2023) </w:t>
      </w:r>
      <w:r>
        <w:rPr>
          <w:rStyle w:val="31"/>
          <w:rFonts w:hint="default" w:ascii="Times New Roman" w:hAnsi="Times New Roman" w:cs="Times New Roman"/>
          <w:b w:val="0"/>
          <w:bCs w:val="0"/>
        </w:rPr>
        <w:t>Food labelling and allergen guidance</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"https://www.food.gov.uk/business-guidance/food-labelling"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https://www.food.gov.uk/business-guidance/food-labelling</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3627257B">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United Nations Population Fund (UNFPA) (n.d.) One pager on youth demographics.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"https://unfpa.org/sites/default/files/resource-pdf/One pager on youth demographics GF.pdf" \t "_new" </w:instrText>
      </w:r>
      <w:r>
        <w:rPr>
          <w:rFonts w:hint="default" w:ascii="Times New Roman" w:hAnsi="Times New Roman" w:cs="Times New Roman"/>
          <w:b w:val="0"/>
          <w:bCs w:val="0"/>
        </w:rPr>
        <w:fldChar w:fldCharType="separate"/>
      </w:r>
      <w:r>
        <w:rPr>
          <w:rFonts w:hint="default" w:ascii="Times New Roman" w:hAnsi="Times New Roman" w:cs="Times New Roman"/>
          <w:b w:val="0"/>
          <w:bCs w:val="0"/>
        </w:rPr>
        <w:t>https://unfpa.org/sites/default/files/resource-pdf/One%20pager%20on%20youth%20demographics%20GF.pdf</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4FE6C426">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UN Population Division (2023) </w:t>
      </w:r>
      <w:r>
        <w:rPr>
          <w:rStyle w:val="31"/>
          <w:rFonts w:hint="default" w:ascii="Times New Roman" w:hAnsi="Times New Roman" w:cs="Times New Roman"/>
          <w:b w:val="0"/>
          <w:bCs w:val="0"/>
        </w:rPr>
        <w:t>World population prospects: Demographic data by age and region</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"https://population.un.org/wpp/"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https://population.un.org/wpp/</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13 December 2025).</w:t>
      </w:r>
    </w:p>
    <w:p w14:paraId="5FFBA5F9">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UNCTAD (2023) </w:t>
      </w:r>
      <w:r>
        <w:rPr>
          <w:rStyle w:val="31"/>
          <w:rFonts w:hint="default" w:ascii="Times New Roman" w:hAnsi="Times New Roman" w:cs="Times New Roman"/>
          <w:b w:val="0"/>
          <w:bCs w:val="0"/>
        </w:rPr>
        <w:t>World investment report 2023: Investing in sustainable energy for all</w:t>
      </w:r>
      <w:r>
        <w:rPr>
          <w:rFonts w:hint="default" w:ascii="Times New Roman" w:hAnsi="Times New Roman" w:cs="Times New Roman"/>
          <w:b w:val="0"/>
          <w:bCs w:val="0"/>
        </w:rPr>
        <w:t xml:space="preserve">. United Nations Conference on Trade and Development.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"https://unctad.org/webflyer/world-investment-report-2023"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https://unctad.org/webflyer/world-investment-report-2023</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0</w:t>
      </w:r>
      <w:r>
        <w:rPr>
          <w:rFonts w:hint="default" w:ascii="Times New Roman" w:hAnsi="Times New Roman" w:cs="Times New Roman"/>
          <w:b w:val="0"/>
          <w:bCs w:val="0"/>
        </w:rPr>
        <w:t xml:space="preserve"> December 2025).</w:t>
      </w:r>
    </w:p>
    <w:p w14:paraId="04632053">
      <w:pPr>
        <w:pStyle w:val="85"/>
        <w:keepNext w:val="0"/>
        <w:keepLines w:val="0"/>
        <w:widowControl/>
        <w:suppressLineNumbers w:val="0"/>
        <w:spacing w:line="360" w:lineRule="auto"/>
        <w:jc w:val="both"/>
        <w:rPr>
          <w:rFonts w:hint="default" w:ascii="Times New Roman" w:hAnsi="Times New Roman" w:cs="Times New Roman"/>
          <w:b w:val="0"/>
          <w:bCs w:val="0"/>
        </w:rPr>
      </w:pPr>
      <w:r>
        <w:rPr>
          <w:rStyle w:val="92"/>
          <w:rFonts w:hint="default" w:ascii="Times New Roman" w:hAnsi="Times New Roman" w:cs="Times New Roman"/>
          <w:b w:val="0"/>
          <w:bCs w:val="0"/>
        </w:rPr>
        <w:t>Voltas Limited and Arçelik A.Ş. (2017)</w:t>
      </w:r>
      <w:r>
        <w:rPr>
          <w:rFonts w:hint="default" w:ascii="Times New Roman" w:hAnsi="Times New Roman" w:cs="Times New Roman"/>
          <w:b w:val="0"/>
          <w:bCs w:val="0"/>
        </w:rPr>
        <w:t xml:space="preserve"> </w:t>
      </w:r>
      <w:r>
        <w:rPr>
          <w:rStyle w:val="31"/>
          <w:rFonts w:hint="default" w:ascii="Times New Roman" w:hAnsi="Times New Roman" w:cs="Times New Roman"/>
          <w:b w:val="0"/>
          <w:bCs w:val="0"/>
        </w:rPr>
        <w:t>Voltas Limited and Arçelik A.Ş. join forces in India</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"https://www.voltasbeko.com/media/23.5.17-Voltas-Limited-and-Arcelik-A.S.-join-forces-in-India.pdf.pdf" \t "_new"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https://www.voltasbeko.com/media/23.5.17-Voltas-Limited-and-Arcelik-A.S.-join-forces-in-India.pdf.pdf</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0</w:t>
      </w:r>
      <w:r>
        <w:rPr>
          <w:rFonts w:hint="default" w:ascii="Times New Roman" w:hAnsi="Times New Roman" w:cs="Times New Roman"/>
          <w:b w:val="0"/>
          <w:bCs w:val="0"/>
        </w:rPr>
        <w:t xml:space="preserve"> December 2025).</w:t>
      </w:r>
    </w:p>
    <w:p w14:paraId="08E7B52F">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Varun Beverages Annual Report (2023) </w:t>
      </w:r>
      <w:r>
        <w:rPr>
          <w:rStyle w:val="31"/>
          <w:rFonts w:hint="default" w:ascii="Times New Roman" w:hAnsi="Times New Roman" w:cs="Times New Roman"/>
          <w:b w:val="0"/>
          <w:bCs w:val="0"/>
        </w:rPr>
        <w:t>Annual report and financial statements 2023</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"https://www.varunbeverages.com/investors/annual-reports" </w:instrText>
      </w:r>
      <w:r>
        <w:rPr>
          <w:rFonts w:hint="default" w:ascii="Times New Roman" w:hAnsi="Times New Roman" w:cs="Times New Roman"/>
          <w:b w:val="0"/>
          <w:bCs w:val="0"/>
        </w:rPr>
        <w:fldChar w:fldCharType="separate"/>
      </w:r>
      <w:r>
        <w:rPr>
          <w:rStyle w:val="36"/>
          <w:rFonts w:hint="default" w:ascii="Times New Roman" w:hAnsi="Times New Roman" w:cs="Times New Roman"/>
          <w:b w:val="0"/>
          <w:bCs w:val="0"/>
        </w:rPr>
        <w:t>https://www.varunbeverages.com/investors/annual-reports</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w:t>
      </w:r>
      <w:r>
        <w:rPr>
          <w:rFonts w:hint="default" w:ascii="Times New Roman" w:hAnsi="Times New Roman" w:cs="Times New Roman"/>
          <w:b w:val="0"/>
          <w:bCs w:val="0"/>
          <w:lang w:val="en-US"/>
        </w:rPr>
        <w:t>02</w:t>
      </w:r>
      <w:r>
        <w:rPr>
          <w:rFonts w:hint="default" w:ascii="Times New Roman" w:hAnsi="Times New Roman" w:cs="Times New Roman"/>
          <w:b w:val="0"/>
          <w:bCs w:val="0"/>
        </w:rPr>
        <w:t xml:space="preserve"> December 2025).</w:t>
      </w:r>
    </w:p>
    <w:p w14:paraId="325E245A">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Walkers (2023) </w:t>
      </w:r>
      <w:r>
        <w:rPr>
          <w:rStyle w:val="31"/>
          <w:rFonts w:hint="default" w:ascii="Times New Roman" w:hAnsi="Times New Roman" w:cs="Times New Roman"/>
          <w:b w:val="0"/>
          <w:bCs w:val="0"/>
        </w:rPr>
        <w:t>About our Leicester factory</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"https://www.walkers.co.uk/about-us/our-facilities"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https://www.walkers.co.uk/about-us/our-facilities</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01</w:t>
      </w:r>
      <w:r>
        <w:rPr>
          <w:rFonts w:hint="default" w:ascii="Times New Roman" w:hAnsi="Times New Roman" w:cs="Times New Roman"/>
          <w:b w:val="0"/>
          <w:bCs w:val="0"/>
        </w:rPr>
        <w:t xml:space="preserve"> December 2025).</w:t>
      </w:r>
    </w:p>
    <w:p w14:paraId="50FFA45C">
      <w:pPr>
        <w:pStyle w:val="85"/>
        <w:keepNext w:val="0"/>
        <w:keepLines w:val="0"/>
        <w:widowControl/>
        <w:suppressLineNumbers w:val="0"/>
        <w:spacing w:before="0" w:beforeAutospacing="1" w:after="0" w:afterAutospacing="1" w:line="360" w:lineRule="auto"/>
        <w:ind w:left="0" w:right="0"/>
        <w:jc w:val="both"/>
        <w:rPr>
          <w:rFonts w:hint="default" w:ascii="Times New Roman" w:hAnsi="Times New Roman" w:cs="Times New Roman"/>
          <w:b w:val="0"/>
          <w:bCs w:val="0"/>
        </w:rPr>
      </w:pPr>
      <w:r>
        <w:rPr>
          <w:rFonts w:hint="default" w:ascii="Times New Roman" w:hAnsi="Times New Roman" w:cs="Times New Roman"/>
          <w:b w:val="0"/>
          <w:bCs w:val="0"/>
        </w:rPr>
        <w:t xml:space="preserve">World Bank (2024) </w:t>
      </w:r>
      <w:r>
        <w:rPr>
          <w:rStyle w:val="31"/>
          <w:rFonts w:hint="default" w:ascii="Times New Roman" w:hAnsi="Times New Roman" w:cs="Times New Roman"/>
          <w:b w:val="0"/>
          <w:bCs w:val="0"/>
        </w:rPr>
        <w:t>India development update</w:t>
      </w:r>
      <w:r>
        <w:rPr>
          <w:rFonts w:hint="default" w:ascii="Times New Roman" w:hAnsi="Times New Roman" w:cs="Times New Roman"/>
          <w:b w:val="0"/>
          <w:bCs w:val="0"/>
        </w:rPr>
        <w:t xml:space="preserve">. Available at: </w:t>
      </w:r>
      <w:r>
        <w:rPr>
          <w:rFonts w:hint="default" w:ascii="Times New Roman" w:hAnsi="Times New Roman" w:cs="Times New Roman"/>
          <w:b w:val="0"/>
          <w:bCs w:val="0"/>
        </w:rPr>
        <w:fldChar w:fldCharType="begin"/>
      </w:r>
      <w:r>
        <w:rPr>
          <w:rFonts w:hint="default" w:ascii="Times New Roman" w:hAnsi="Times New Roman" w:cs="Times New Roman"/>
          <w:b w:val="0"/>
          <w:bCs w:val="0"/>
        </w:rPr>
        <w:instrText xml:space="preserve"> HYPERLINK "https://www.worldbank.org/en/country/india" </w:instrText>
      </w:r>
      <w:r>
        <w:rPr>
          <w:rFonts w:hint="default" w:ascii="Times New Roman" w:hAnsi="Times New Roman" w:cs="Times New Roman"/>
          <w:b w:val="0"/>
          <w:bCs w:val="0"/>
        </w:rPr>
        <w:fldChar w:fldCharType="separate"/>
      </w:r>
      <w:r>
        <w:rPr>
          <w:rStyle w:val="51"/>
          <w:rFonts w:hint="default" w:ascii="Times New Roman" w:hAnsi="Times New Roman" w:cs="Times New Roman"/>
          <w:b w:val="0"/>
          <w:bCs w:val="0"/>
        </w:rPr>
        <w:t>https://www.worldbank.org/en/country/india</w:t>
      </w:r>
      <w:r>
        <w:rPr>
          <w:rFonts w:hint="default" w:ascii="Times New Roman" w:hAnsi="Times New Roman" w:cs="Times New Roman"/>
          <w:b w:val="0"/>
          <w:bCs w:val="0"/>
        </w:rPr>
        <w:fldChar w:fldCharType="end"/>
      </w:r>
      <w:r>
        <w:rPr>
          <w:rFonts w:hint="default" w:ascii="Times New Roman" w:hAnsi="Times New Roman" w:cs="Times New Roman"/>
          <w:b w:val="0"/>
          <w:bCs w:val="0"/>
        </w:rPr>
        <w:t xml:space="preserve"> (Accessed: 1</w:t>
      </w:r>
      <w:r>
        <w:rPr>
          <w:rFonts w:hint="default" w:ascii="Times New Roman" w:hAnsi="Times New Roman" w:cs="Times New Roman"/>
          <w:b w:val="0"/>
          <w:bCs w:val="0"/>
          <w:lang w:val="en-US"/>
        </w:rPr>
        <w:t>0</w:t>
      </w:r>
      <w:r>
        <w:rPr>
          <w:rFonts w:hint="default" w:ascii="Times New Roman" w:hAnsi="Times New Roman" w:cs="Times New Roman"/>
          <w:b w:val="0"/>
          <w:bCs w:val="0"/>
        </w:rPr>
        <w:t xml:space="preserve"> December 2025).</w:t>
      </w:r>
    </w:p>
    <w:p w14:paraId="6EDAB663">
      <w:pPr>
        <w:rPr>
          <w:rFonts w:ascii="Times New Roman" w:hAnsi="Times New Roman" w:cs="Times New Roman"/>
          <w:sz w:val="24"/>
          <w:szCs w:val="24"/>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imHei">
    <w:altName w:val="SimSun"/>
    <w:panose1 w:val="02010600030101010101"/>
    <w:charset w:val="86"/>
    <w:family w:val="auto"/>
    <w:pitch w:val="default"/>
    <w:sig w:usb0="00000000" w:usb1="00000000" w:usb2="00000010" w:usb3="00000000" w:csb0="00040000"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24DD3A0"/>
    <w:multiLevelType w:val="singleLevel"/>
    <w:tmpl w:val="C24DD3A0"/>
    <w:lvl w:ilvl="0" w:tentative="0">
      <w:start w:val="1"/>
      <w:numFmt w:val="decimal"/>
      <w:pStyle w:val="2"/>
      <w:suff w:val="space"/>
      <w:lvlText w:val="%1."/>
      <w:lvlJc w:val="left"/>
    </w:lvl>
  </w:abstractNum>
  <w:abstractNum w:abstractNumId="1">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2">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3">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4">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5">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6">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7">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8">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9">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10">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abstractNum w:abstractNumId="11">
    <w:nsid w:val="036DFAC2"/>
    <w:multiLevelType w:val="singleLevel"/>
    <w:tmpl w:val="036DFAC2"/>
    <w:lvl w:ilvl="0" w:tentative="0">
      <w:start w:val="7"/>
      <w:numFmt w:val="decimal"/>
      <w:suff w:val="space"/>
      <w:lvlText w:val="%1."/>
      <w:lvlJc w:val="left"/>
    </w:lvl>
  </w:abstractNum>
  <w:num w:numId="1">
    <w:abstractNumId w:val="0"/>
  </w:num>
  <w:num w:numId="2">
    <w:abstractNumId w:val="10"/>
  </w:num>
  <w:num w:numId="3">
    <w:abstractNumId w:val="8"/>
  </w:num>
  <w:num w:numId="4">
    <w:abstractNumId w:val="7"/>
  </w:num>
  <w:num w:numId="5">
    <w:abstractNumId w:val="6"/>
  </w:num>
  <w:num w:numId="6">
    <w:abstractNumId w:val="5"/>
  </w:num>
  <w:num w:numId="7">
    <w:abstractNumId w:val="9"/>
  </w:num>
  <w:num w:numId="8">
    <w:abstractNumId w:val="4"/>
  </w:num>
  <w:num w:numId="9">
    <w:abstractNumId w:val="3"/>
  </w:num>
  <w:num w:numId="10">
    <w:abstractNumId w:val="2"/>
  </w:num>
  <w:num w:numId="11">
    <w:abstractNumId w:val="1"/>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0"/>
  <w:displayBackgroundShape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693ED9"/>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80EEF"/>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66BF8"/>
    <w:rsid w:val="00892712"/>
    <w:rsid w:val="008A680A"/>
    <w:rsid w:val="008B0BB0"/>
    <w:rsid w:val="008E6C4B"/>
    <w:rsid w:val="008F18C0"/>
    <w:rsid w:val="008F5D9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2CFF"/>
    <w:rsid w:val="00CC78AC"/>
    <w:rsid w:val="00CF7953"/>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0A693ED9"/>
    <w:rsid w:val="0CD02B2F"/>
    <w:rsid w:val="30BC67EA"/>
    <w:rsid w:val="446A706E"/>
    <w:rsid w:val="531E01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qFormat="1" w:unhideWhenUsed="0" w:uiPriority="0" w:semiHidden="0" w:name="index 1"/>
    <w:lsdException w:qFormat="1" w:unhideWhenUsed="0" w:uiPriority="0" w:semiHidden="0" w:name="index 2"/>
    <w:lsdException w:qFormat="1" w:unhideWhenUsed="0" w:uiPriority="0" w:semiHidden="0" w:name="index 3"/>
    <w:lsdException w:qFormat="1" w:unhideWhenUsed="0" w:uiPriority="0" w:semiHidden="0" w:name="index 4"/>
    <w:lsdException w:unhideWhenUsed="0" w:uiPriority="0" w:semiHidden="0" w:name="index 5"/>
    <w:lsdException w:qFormat="1" w:unhideWhenUsed="0" w:uiPriority="0" w:semiHidden="0" w:name="index 6"/>
    <w:lsdException w:qFormat="1" w:unhideWhenUsed="0" w:uiPriority="0" w:semiHidden="0" w:name="index 7"/>
    <w:lsdException w:qFormat="1" w:unhideWhenUsed="0" w:uiPriority="0" w:semiHidden="0" w:name="index 8"/>
    <w:lsdException w:qFormat="1"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qFormat="1" w:unhideWhenUsed="0" w:uiPriority="0" w:semiHidden="0" w:name="toc 5"/>
    <w:lsdException w:qFormat="1" w:unhideWhenUsed="0" w:uiPriority="0" w:semiHidden="0" w:name="toc 6"/>
    <w:lsdException w:qFormat="1" w:unhideWhenUsed="0" w:uiPriority="0" w:semiHidden="0" w:name="toc 7"/>
    <w:lsdException w:qFormat="1" w:unhideWhenUsed="0" w:uiPriority="0" w:semiHidden="0" w:name="toc 8"/>
    <w:lsdException w:qFormat="1" w:unhideWhenUsed="0" w:uiPriority="0" w:semiHidden="0" w:name="toc 9"/>
    <w:lsdException w:qFormat="1" w:unhideWhenUsed="0" w:uiPriority="0" w:semiHidden="0" w:name="Normal Indent"/>
    <w:lsdException w:qFormat="1" w:unhideWhenUsed="0" w:uiPriority="0" w:semiHidden="0" w:name="footnote text"/>
    <w:lsdException w:qFormat="1" w:unhideWhenUsed="0" w:uiPriority="0" w:semiHidden="0" w:name="annotation text"/>
    <w:lsdException w:unhideWhenUsed="0" w:uiPriority="0" w:semiHidden="0" w:name="header"/>
    <w:lsdException w:qFormat="1" w:unhideWhenUsed="0" w:uiPriority="0" w:semiHidden="0" w:name="footer"/>
    <w:lsdException w:qFormat="1" w:unhideWhenUsed="0" w:uiPriority="0" w:semiHidden="0" w:name="index heading"/>
    <w:lsdException w:qFormat="1" w:uiPriority="0" w:name="caption"/>
    <w:lsdException w:qFormat="1" w:unhideWhenUsed="0" w:uiPriority="0" w:semiHidden="0" w:name="table of figures"/>
    <w:lsdException w:qFormat="1" w:unhideWhenUsed="0" w:uiPriority="0" w:semiHidden="0" w:name="envelope address"/>
    <w:lsdException w:qFormat="1" w:unhideWhenUsed="0" w:uiPriority="0" w:semiHidden="0" w:name="envelope return"/>
    <w:lsdException w:qFormat="1" w:unhideWhenUsed="0" w:uiPriority="0" w:semiHidden="0" w:name="footnote reference"/>
    <w:lsdException w:qFormat="1" w:unhideWhenUsed="0" w:uiPriority="0" w:semiHidden="0" w:name="annotation reference"/>
    <w:lsdException w:qFormat="1" w:unhideWhenUsed="0" w:uiPriority="0" w:semiHidden="0" w:name="line number"/>
    <w:lsdException w:qFormat="1" w:unhideWhenUsed="0" w:uiPriority="0" w:semiHidden="0" w:name="page number"/>
    <w:lsdException w:qFormat="1" w:unhideWhenUsed="0" w:uiPriority="0" w:semiHidden="0" w:name="endnote reference"/>
    <w:lsdException w:qFormat="1" w:unhideWhenUsed="0" w:uiPriority="0" w:semiHidden="0" w:name="endnote text"/>
    <w:lsdException w:unhideWhenUsed="0" w:uiPriority="0" w:semiHidden="0" w:name="table of authorities"/>
    <w:lsdException w:qFormat="1" w:unhideWhenUsed="0" w:uiPriority="0" w:semiHidden="0" w:name="macro"/>
    <w:lsdException w:unhideWhenUsed="0" w:uiPriority="0" w:semiHidden="0" w:name="toa heading"/>
    <w:lsdException w:qFormat="1" w:unhideWhenUsed="0" w:uiPriority="0" w:semiHidden="0" w:name="List"/>
    <w:lsdException w:qFormat="1" w:unhideWhenUsed="0" w:uiPriority="0" w:semiHidden="0" w:name="List Bullet"/>
    <w:lsdException w:qFormat="1" w:unhideWhenUsed="0" w:uiPriority="0" w:semiHidden="0" w:name="List Number"/>
    <w:lsdException w:qFormat="1" w:unhideWhenUsed="0" w:uiPriority="0" w:semiHidden="0" w:name="List 2"/>
    <w:lsdException w:qFormat="1" w:unhideWhenUsed="0" w:uiPriority="0" w:semiHidden="0" w:name="List 3"/>
    <w:lsdException w:qFormat="1" w:unhideWhenUsed="0" w:uiPriority="0" w:semiHidden="0" w:name="List 4"/>
    <w:lsdException w:qFormat="1" w:unhideWhenUsed="0" w:uiPriority="0" w:semiHidden="0" w:name="List 5"/>
    <w:lsdException w:qFormat="1" w:unhideWhenUsed="0" w:uiPriority="0" w:semiHidden="0" w:name="List Bullet 2"/>
    <w:lsdException w:qFormat="1" w:unhideWhenUsed="0" w:uiPriority="0" w:semiHidden="0" w:name="List Bullet 3"/>
    <w:lsdException w:qFormat="1" w:unhideWhenUsed="0" w:uiPriority="0" w:semiHidden="0" w:name="List Bullet 4"/>
    <w:lsdException w:qFormat="1" w:unhideWhenUsed="0" w:uiPriority="0" w:semiHidden="0" w:name="List Bullet 5"/>
    <w:lsdException w:qFormat="1" w:unhideWhenUsed="0" w:uiPriority="0" w:semiHidden="0" w:name="List Number 2"/>
    <w:lsdException w:qFormat="1" w:unhideWhenUsed="0" w:uiPriority="0" w:semiHidden="0" w:name="List Number 3"/>
    <w:lsdException w:qFormat="1" w:unhideWhenUsed="0" w:uiPriority="0" w:semiHidden="0" w:name="List Number 4"/>
    <w:lsdException w:qFormat="1" w:unhideWhenUsed="0" w:uiPriority="0" w:semiHidden="0" w:name="List Number 5"/>
    <w:lsdException w:qFormat="1" w:unhideWhenUsed="0" w:uiPriority="0" w:semiHidden="0" w:name="Title"/>
    <w:lsdException w:qFormat="1" w:unhideWhenUsed="0" w:uiPriority="0" w:semiHidden="0" w:name="Closing"/>
    <w:lsdException w:qFormat="1" w:unhideWhenUsed="0" w:uiPriority="0" w:semiHidden="0" w:name="Signature"/>
    <w:lsdException w:qFormat="1" w:uiPriority="1" w:name="Default Paragraph Font"/>
    <w:lsdException w:qFormat="1" w:unhideWhenUsed="0" w:uiPriority="0" w:semiHidden="0" w:name="Body Text"/>
    <w:lsdException w:unhideWhenUsed="0" w:uiPriority="0" w:semiHidden="0" w:name="Body Text Indent"/>
    <w:lsdException w:qFormat="1" w:unhideWhenUsed="0" w:uiPriority="0" w:semiHidden="0" w:name="List Continue"/>
    <w:lsdException w:qFormat="1" w:unhideWhenUsed="0" w:uiPriority="0" w:semiHidden="0" w:name="List Continue 2"/>
    <w:lsdException w:qFormat="1" w:unhideWhenUsed="0" w:uiPriority="0" w:semiHidden="0" w:name="List Continue 3"/>
    <w:lsdException w:qFormat="1" w:unhideWhenUsed="0" w:uiPriority="0" w:semiHidden="0" w:name="List Continue 4"/>
    <w:lsdException w:qFormat="1" w:unhideWhenUsed="0" w:uiPriority="0" w:semiHidden="0" w:name="List Continue 5"/>
    <w:lsdException w:unhideWhenUsed="0" w:uiPriority="0" w:semiHidden="0" w:name="Message Header"/>
    <w:lsdException w:qFormat="1" w:unhideWhenUsed="0" w:uiPriority="0" w:semiHidden="0" w:name="Subtitle"/>
    <w:lsdException w:qFormat="1" w:unhideWhenUsed="0" w:uiPriority="0" w:semiHidden="0" w:name="Salutation"/>
    <w:lsdException w:qFormat="1" w:unhideWhenUsed="0" w:uiPriority="0" w:semiHidden="0" w:name="Date"/>
    <w:lsdException w:qFormat="1" w:unhideWhenUsed="0" w:uiPriority="0" w:semiHidden="0" w:name="Body Text First Indent"/>
    <w:lsdException w:qFormat="1" w:unhideWhenUsed="0" w:uiPriority="0" w:semiHidden="0" w:name="Body Text First Indent 2"/>
    <w:lsdException w:qFormat="1" w:unhideWhenUsed="0" w:uiPriority="0" w:semiHidden="0" w:name="Note Heading"/>
    <w:lsdException w:qFormat="1" w:unhideWhenUsed="0" w:uiPriority="0" w:semiHidden="0" w:name="Body Text 2"/>
    <w:lsdException w:qFormat="1" w:unhideWhenUsed="0" w:uiPriority="0" w:semiHidden="0" w:name="Body Text 3"/>
    <w:lsdException w:qFormat="1" w:unhideWhenUsed="0" w:uiPriority="0" w:semiHidden="0" w:name="Body Text Indent 2"/>
    <w:lsdException w:unhideWhenUsed="0" w:uiPriority="0" w:semiHidden="0" w:name="Body Text Indent 3"/>
    <w:lsdException w:qFormat="1"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qFormat="1" w:unhideWhenUsed="0" w:uiPriority="0" w:semiHidden="0" w:name="Document Map"/>
    <w:lsdException w:qFormat="1" w:unhideWhenUsed="0" w:uiPriority="0" w:semiHidden="0" w:name="Plain Text"/>
    <w:lsdException w:qFormat="1" w:unhideWhenUsed="0" w:uiPriority="0" w:semiHidden="0" w:name="E-mail Signature"/>
    <w:lsdException w:qFormat="1" w:unhideWhenUsed="0" w:uiPriority="0" w:semiHidden="0" w:name="Normal (Web)"/>
    <w:lsdException w:unhideWhenUsed="0" w:uiPriority="0" w:semiHidden="0" w:name="HTML Acronym"/>
    <w:lsdException w:qFormat="1" w:unhideWhenUsed="0" w:uiPriority="0" w:semiHidden="0" w:name="HTML Address"/>
    <w:lsdException w:qFormat="1" w:unhideWhenUsed="0" w:uiPriority="0" w:semiHidden="0" w:name="HTML Cite"/>
    <w:lsdException w:unhideWhenUsed="0" w:uiPriority="0" w:semiHidden="0" w:name="HTML Code"/>
    <w:lsdException w:qFormat="1" w:unhideWhenUsed="0" w:uiPriority="0" w:semiHidden="0" w:name="HTML Definition"/>
    <w:lsdException w:unhideWhenUsed="0" w:uiPriority="0" w:semiHidden="0" w:name="HTML Keyboard"/>
    <w:lsdException w:qFormat="1" w:unhideWhenUsed="0" w:uiPriority="0" w:semiHidden="0" w:name="HTML Preformatted"/>
    <w:lsdException w:qFormat="1" w:unhideWhenUsed="0" w:uiPriority="0" w:semiHidden="0" w:name="HTML Sample"/>
    <w:lsdException w:qFormat="1" w:unhideWhenUsed="0" w:uiPriority="0" w:semiHidden="0" w:name="HTML Typewriter"/>
    <w:lsdException w:qFormat="1" w:unhideWhenUsed="0" w:uiPriority="0" w:semiHidden="0" w:name="HTML Variable"/>
    <w:lsdException w:qFormat="1" w:uiPriority="99" w:name="Normal Table"/>
    <w:lsdException w:unhideWhenUsed="0" w:uiPriority="0" w:semiHidden="0" w:name="annotation subject"/>
    <w:lsdException w:unhideWhenUsed="0" w:uiPriority="0" w:semiHidden="0" w:name="Table Simple 1"/>
    <w:lsdException w:qFormat="1" w:unhideWhenUsed="0" w:uiPriority="0" w:semiHidden="0" w:name="Table Simple 2"/>
    <w:lsdException w:unhideWhenUsed="0" w:uiPriority="0" w:semiHidden="0" w:name="Table Simple 3"/>
    <w:lsdException w:qFormat="1" w:unhideWhenUsed="0" w:uiPriority="0" w:semiHidden="0" w:name="Table Classic 1"/>
    <w:lsdException w:unhideWhenUsed="0" w:uiPriority="0" w:semiHidden="0" w:name="Table Classic 2"/>
    <w:lsdException w:qFormat="1" w:unhideWhenUsed="0" w:uiPriority="0" w:semiHidden="0" w:name="Table Classic 3"/>
    <w:lsdException w:qFormat="1" w:unhideWhenUsed="0" w:uiPriority="0" w:semiHidden="0" w:name="Table Classic 4"/>
    <w:lsdException w:qFormat="1" w:unhideWhenUsed="0" w:uiPriority="0" w:semiHidden="0" w:name="Table Colorful 1"/>
    <w:lsdException w:qFormat="1" w:unhideWhenUsed="0" w:uiPriority="0" w:semiHidden="0" w:name="Table Colorful 2"/>
    <w:lsdException w:qFormat="1" w:unhideWhenUsed="0" w:uiPriority="0" w:semiHidden="0" w:name="Table Colorful 3"/>
    <w:lsdException w:qFormat="1" w:unhideWhenUsed="0" w:uiPriority="0" w:semiHidden="0" w:name="Table Columns 1"/>
    <w:lsdException w:qFormat="1" w:unhideWhenUsed="0" w:uiPriority="0" w:semiHidden="0" w:name="Table Columns 2"/>
    <w:lsdException w:qFormat="1" w:unhideWhenUsed="0" w:uiPriority="0" w:semiHidden="0" w:name="Table Columns 3"/>
    <w:lsdException w:qFormat="1" w:unhideWhenUsed="0" w:uiPriority="0" w:semiHidden="0" w:name="Table Columns 4"/>
    <w:lsdException w:qFormat="1" w:unhideWhenUsed="0" w:uiPriority="0" w:semiHidden="0" w:name="Table Columns 5"/>
    <w:lsdException w:unhideWhenUsed="0" w:uiPriority="0" w:semiHidden="0" w:name="Table Grid 1"/>
    <w:lsdException w:qFormat="1" w:unhideWhenUsed="0" w:uiPriority="0" w:semiHidden="0" w:name="Table Grid 2"/>
    <w:lsdException w:qFormat="1" w:unhideWhenUsed="0" w:uiPriority="0" w:semiHidden="0" w:name="Table Grid 3"/>
    <w:lsdException w:qFormat="1" w:unhideWhenUsed="0" w:uiPriority="0" w:semiHidden="0" w:name="Table Grid 4"/>
    <w:lsdException w:qFormat="1" w:unhideWhenUsed="0" w:uiPriority="0" w:semiHidden="0" w:name="Table Grid 5"/>
    <w:lsdException w:qFormat="1" w:unhideWhenUsed="0" w:uiPriority="0" w:semiHidden="0" w:name="Table Grid 6"/>
    <w:lsdException w:qFormat="1" w:unhideWhenUsed="0" w:uiPriority="0" w:semiHidden="0" w:name="Table Grid 7"/>
    <w:lsdException w:qFormat="1" w:unhideWhenUsed="0" w:uiPriority="0" w:semiHidden="0" w:name="Table Grid 8"/>
    <w:lsdException w:unhideWhenUsed="0" w:uiPriority="0" w:semiHidden="0" w:name="Table List 1"/>
    <w:lsdException w:qFormat="1" w:unhideWhenUsed="0" w:uiPriority="0" w:semiHidden="0" w:name="Table List 2"/>
    <w:lsdException w:qFormat="1" w:unhideWhenUsed="0" w:uiPriority="0" w:semiHidden="0" w:name="Table List 3"/>
    <w:lsdException w:qFormat="1" w:unhideWhenUsed="0" w:uiPriority="0" w:semiHidden="0" w:name="Table List 4"/>
    <w:lsdException w:qFormat="1" w:unhideWhenUsed="0" w:uiPriority="0" w:semiHidden="0" w:name="Table List 5"/>
    <w:lsdException w:qFormat="1" w:unhideWhenUsed="0" w:uiPriority="0" w:semiHidden="0" w:name="Table List 6"/>
    <w:lsdException w:qFormat="1" w:unhideWhenUsed="0" w:uiPriority="0" w:semiHidden="0" w:name="Table List 7"/>
    <w:lsdException w:qFormat="1" w:unhideWhenUsed="0" w:uiPriority="0" w:semiHidden="0" w:name="Table List 8"/>
    <w:lsdException w:qFormat="1" w:unhideWhenUsed="0" w:uiPriority="0" w:semiHidden="0" w:name="Table 3D effects 1"/>
    <w:lsdException w:qFormat="1" w:unhideWhenUsed="0" w:uiPriority="0" w:semiHidden="0" w:name="Table 3D effects 2"/>
    <w:lsdException w:qFormat="1" w:unhideWhenUsed="0" w:uiPriority="0" w:semiHidden="0" w:name="Table 3D effects 3"/>
    <w:lsdException w:qFormat="1" w:unhideWhenUsed="0" w:uiPriority="0" w:semiHidden="0" w:name="Table Contemporary"/>
    <w:lsdException w:qFormat="1" w:unhideWhenUsed="0" w:uiPriority="0" w:semiHidden="0" w:name="Table Elegant"/>
    <w:lsdException w:qFormat="1" w:unhideWhenUsed="0" w:uiPriority="0" w:semiHidden="0" w:name="Table Professional"/>
    <w:lsdException w:qFormat="1" w:unhideWhenUsed="0" w:uiPriority="0" w:semiHidden="0" w:name="Table Subtle 1"/>
    <w:lsdException w:qFormat="1" w:unhideWhenUsed="0" w:uiPriority="0" w:semiHidden="0" w:name="Table Subtle 2"/>
    <w:lsdException w:unhideWhenUsed="0" w:uiPriority="0" w:semiHidden="0" w:name="Table Web 1"/>
    <w:lsdException w:unhideWhenUsed="0" w:uiPriority="0" w:semiHidden="0" w:name="Table Web 2"/>
    <w:lsdException w:qFormat="1" w:unhideWhenUsed="0" w:uiPriority="0" w:semiHidden="0" w:name="Table Web 3"/>
    <w:lsdException w:qFormat="1" w:unhideWhenUsed="0" w:uiPriority="0" w:semiHidden="0" w:name="Balloon Text"/>
    <w:lsdException w:qFormat="1" w:unhideWhenUsed="0" w:uiPriority="0" w:semiHidden="0" w:name="Table Grid"/>
    <w:lsdException w:qFormat="1" w:unhideWhenUsed="0" w:uiPriority="0" w:semiHidden="0" w:name="Table Theme"/>
    <w:lsdException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qFormat="1" w:unhideWhenUsed="0" w:uiPriority="68" w:semiHidden="0" w:name="Medium Grid 2"/>
    <w:lsdException w:qFormat="1" w:unhideWhenUsed="0" w:uiPriority="69" w:semiHidden="0" w:name="Medium Grid 3"/>
    <w:lsdException w:qFormat="1"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unhideWhenUsed="0" w:uiPriority="60" w:semiHidden="0" w:name="Light Shading Accent 1"/>
    <w:lsdException w:qFormat="1"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qFormat="1" w:unhideWhenUsed="0" w:uiPriority="65" w:semiHidden="0" w:name="Medium List 1 Accent 1"/>
    <w:lsdException w:qFormat="1" w:unhideWhenUsed="0" w:uiPriority="66" w:semiHidden="0" w:name="Medium List 2 Accent 1"/>
    <w:lsdException w:qFormat="1" w:unhideWhenUsed="0" w:uiPriority="67" w:semiHidden="0" w:name="Medium Grid 1 Accent 1"/>
    <w:lsdException w:qFormat="1" w:unhideWhenUsed="0" w:uiPriority="68" w:semiHidden="0" w:name="Medium Grid 2 Accent 1"/>
    <w:lsdException w:unhideWhenUsed="0" w:uiPriority="69" w:semiHidden="0" w:name="Medium Grid 3 Accent 1"/>
    <w:lsdException w:qFormat="1" w:unhideWhenUsed="0" w:uiPriority="70" w:semiHidden="0" w:name="Dark List Accent 1"/>
    <w:lsdException w:qFormat="1" w:unhideWhenUsed="0" w:uiPriority="71" w:semiHidden="0" w:name="Colorful Shading Accent 1"/>
    <w:lsdException w:qFormat="1" w:unhideWhenUsed="0" w:uiPriority="72" w:semiHidden="0" w:name="Colorful List Accent 1"/>
    <w:lsdException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qFormat="1" w:unhideWhenUsed="0" w:uiPriority="68" w:semiHidden="0" w:name="Medium Grid 2 Accent 2"/>
    <w:lsdException w:qFormat="1" w:unhideWhenUsed="0" w:uiPriority="69" w:semiHidden="0" w:name="Medium Grid 3 Accent 2"/>
    <w:lsdException w:unhideWhenUsed="0" w:uiPriority="70" w:semiHidden="0" w:name="Dark List Accent 2"/>
    <w:lsdException w:qFormat="1" w:unhideWhenUsed="0" w:uiPriority="71" w:semiHidden="0" w:name="Colorful Shading Accent 2"/>
    <w:lsdException w:unhideWhenUsed="0" w:uiPriority="72" w:semiHidden="0" w:name="Colorful List Accent 2"/>
    <w:lsdException w:qFormat="1" w:unhideWhenUsed="0" w:uiPriority="73" w:semiHidden="0" w:name="Colorful Grid Accent 2"/>
    <w:lsdException w:unhideWhenUsed="0" w:uiPriority="60" w:semiHidden="0" w:name="Light Shading Accent 3"/>
    <w:lsdException w:qFormat="1" w:unhideWhenUsed="0" w:uiPriority="61" w:semiHidden="0" w:name="Light List Accent 3"/>
    <w:lsdException w:unhideWhenUsed="0" w:uiPriority="62" w:semiHidden="0" w:name="Light Grid Accent 3"/>
    <w:lsdException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qFormat="1" w:unhideWhenUsed="0" w:uiPriority="69" w:semiHidden="0" w:name="Medium Grid 3 Accent 4"/>
    <w:lsdException w:qFormat="1" w:unhideWhenUsed="0" w:uiPriority="70" w:semiHidden="0" w:name="Dark List Accent 4"/>
    <w:lsdException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unhideWhenUsed="0" w:uiPriority="65" w:semiHidden="0" w:name="Medium List 1 Accent 5"/>
    <w:lsdException w:qFormat="1" w:unhideWhenUsed="0" w:uiPriority="66" w:semiHidden="0" w:name="Medium List 2 Accent 5"/>
    <w:lsdException w:qFormat="1" w:unhideWhenUsed="0" w:uiPriority="67" w:semiHidden="0" w:name="Medium Grid 1 Accent 5"/>
    <w:lsdException w:qFormat="1" w:unhideWhenUsed="0" w:uiPriority="68" w:semiHidden="0" w:name="Medium Grid 2 Accent 5"/>
    <w:lsdException w:unhideWhenUsed="0" w:uiPriority="69" w:semiHidden="0" w:name="Medium Grid 3 Accent 5"/>
    <w:lsdException w:qFormat="1" w:unhideWhenUsed="0" w:uiPriority="70" w:semiHidden="0" w:name="Dark List Accent 5"/>
    <w:lsdException w:qFormat="1" w:unhideWhenUsed="0" w:uiPriority="71" w:semiHidden="0" w:name="Colorful Shading Accent 5"/>
    <w:lsdException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unhideWhenUsed="0" w:uiPriority="65" w:semiHidden="0" w:name="Medium List 1 Accent 6"/>
    <w:lsdException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unhideWhenUsed="0" w:uiPriority="69" w:semiHidden="0" w:name="Medium Grid 3 Accent 6"/>
    <w:lsdException w:qFormat="1" w:unhideWhenUsed="0" w:uiPriority="70" w:semiHidden="0" w:name="Dark List Accent 6"/>
    <w:lsdException w:qFormat="1"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link w:val="249"/>
    <w:qFormat/>
    <w:uiPriority w:val="0"/>
    <w:pPr>
      <w:numPr>
        <w:ilvl w:val="0"/>
        <w:numId w:val="1"/>
      </w:numPr>
      <w:pBdr>
        <w:top w:val="none" w:color="auto" w:sz="0" w:space="1"/>
        <w:left w:val="none" w:color="auto" w:sz="0" w:space="4"/>
        <w:bottom w:val="none" w:color="auto" w:sz="0" w:space="1"/>
        <w:right w:val="none" w:color="auto" w:sz="0" w:space="4"/>
      </w:pBdr>
      <w:jc w:val="both"/>
      <w:outlineLvl w:val="0"/>
    </w:pPr>
    <w:rPr>
      <w:rFonts w:ascii="Times New Roman" w:hAnsi="Times New Roman" w:eastAsia="SimSun" w:cs="Times New Roman"/>
      <w:b/>
      <w:bCs/>
      <w:kern w:val="44"/>
      <w:sz w:val="28"/>
      <w:szCs w:val="48"/>
    </w:rPr>
  </w:style>
  <w:style w:type="paragraph" w:styleId="3">
    <w:name w:val="heading 2"/>
    <w:next w:val="1"/>
    <w:unhideWhenUsed/>
    <w:qFormat/>
    <w:uiPriority w:val="0"/>
    <w:pPr>
      <w:spacing w:beforeAutospacing="1" w:afterAutospacing="1"/>
      <w:jc w:val="both"/>
      <w:outlineLvl w:val="1"/>
    </w:pPr>
    <w:rPr>
      <w:rFonts w:ascii="Times New Roman" w:hAnsi="Times New Roman" w:eastAsia="SimSun" w:cs="Times New Roman"/>
      <w:b/>
      <w:bCs/>
      <w:sz w:val="24"/>
      <w:szCs w:val="36"/>
      <w:lang w:val="en-US" w:eastAsia="zh-CN" w:bidi="ar-SA"/>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5">
    <w:name w:val="heading 4"/>
    <w:next w:val="1"/>
    <w:semiHidden/>
    <w:unhideWhenUsed/>
    <w:qFormat/>
    <w:uiPriority w:val="0"/>
    <w:pPr>
      <w:spacing w:before="0" w:beforeAutospacing="1" w:after="0" w:afterAutospacing="1"/>
      <w:jc w:val="left"/>
    </w:pPr>
    <w:rPr>
      <w:rFonts w:hint="eastAsia" w:ascii="SimSun" w:hAnsi="SimSun" w:eastAsia="SimSun" w:cs="SimSun"/>
      <w:b/>
      <w:bCs/>
      <w:kern w:val="0"/>
      <w:sz w:val="24"/>
      <w:szCs w:val="24"/>
      <w:lang w:val="en-US" w:eastAsia="zh-CN" w:bidi="ar"/>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alloon Text"/>
    <w:basedOn w:val="1"/>
    <w:qFormat/>
    <w:uiPriority w:val="0"/>
    <w:rPr>
      <w:sz w:val="16"/>
      <w:szCs w:val="16"/>
    </w:rPr>
  </w:style>
  <w:style w:type="paragraph" w:styleId="14">
    <w:name w:val="Block Text"/>
    <w:basedOn w:val="1"/>
    <w:qFormat/>
    <w:uiPriority w:val="0"/>
    <w:pPr>
      <w:spacing w:after="120"/>
      <w:ind w:left="1440" w:leftChars="700" w:right="1440" w:rightChars="700"/>
    </w:pPr>
  </w:style>
  <w:style w:type="paragraph" w:styleId="15">
    <w:name w:val="Body Text"/>
    <w:basedOn w:val="1"/>
    <w:qFormat/>
    <w:uiPriority w:val="0"/>
    <w:pPr>
      <w:spacing w:after="120"/>
    </w:pPr>
  </w:style>
  <w:style w:type="paragraph" w:styleId="16">
    <w:name w:val="Body Text 2"/>
    <w:basedOn w:val="1"/>
    <w:qFormat/>
    <w:uiPriority w:val="0"/>
    <w:pPr>
      <w:spacing w:after="120" w:line="480" w:lineRule="auto"/>
    </w:pPr>
  </w:style>
  <w:style w:type="paragraph" w:styleId="17">
    <w:name w:val="Body Text 3"/>
    <w:basedOn w:val="1"/>
    <w:qFormat/>
    <w:uiPriority w:val="0"/>
    <w:pPr>
      <w:spacing w:after="120"/>
    </w:pPr>
    <w:rPr>
      <w:sz w:val="16"/>
      <w:szCs w:val="16"/>
    </w:rPr>
  </w:style>
  <w:style w:type="paragraph" w:styleId="18">
    <w:name w:val="Body Text First Indent"/>
    <w:basedOn w:val="15"/>
    <w:qFormat/>
    <w:uiPriority w:val="0"/>
    <w:pPr>
      <w:ind w:firstLine="420" w:firstLineChars="100"/>
    </w:pPr>
  </w:style>
  <w:style w:type="paragraph" w:styleId="19">
    <w:name w:val="Body Text Indent"/>
    <w:basedOn w:val="1"/>
    <w:uiPriority w:val="0"/>
    <w:pPr>
      <w:spacing w:after="120"/>
      <w:ind w:left="420" w:leftChars="200"/>
    </w:pPr>
  </w:style>
  <w:style w:type="paragraph" w:styleId="20">
    <w:name w:val="Body Text First Indent 2"/>
    <w:basedOn w:val="19"/>
    <w:qFormat/>
    <w:uiPriority w:val="0"/>
    <w:pPr>
      <w:ind w:firstLine="420" w:firstLineChars="200"/>
    </w:pPr>
  </w:style>
  <w:style w:type="paragraph" w:styleId="21">
    <w:name w:val="Body Text Indent 2"/>
    <w:basedOn w:val="1"/>
    <w:qFormat/>
    <w:uiPriority w:val="0"/>
    <w:pPr>
      <w:spacing w:after="120" w:line="480" w:lineRule="auto"/>
      <w:ind w:left="420" w:leftChars="200"/>
    </w:pPr>
  </w:style>
  <w:style w:type="paragraph" w:styleId="22">
    <w:name w:val="Body Text Indent 3"/>
    <w:basedOn w:val="1"/>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SimHei" w:cs="Arial"/>
    </w:rPr>
  </w:style>
  <w:style w:type="paragraph" w:styleId="24">
    <w:name w:val="Closing"/>
    <w:basedOn w:val="1"/>
    <w:qFormat/>
    <w:uiPriority w:val="0"/>
    <w:pPr>
      <w:ind w:left="100" w:leftChars="2100"/>
    </w:pPr>
  </w:style>
  <w:style w:type="character" w:styleId="25">
    <w:name w:val="annotation reference"/>
    <w:basedOn w:val="11"/>
    <w:qFormat/>
    <w:uiPriority w:val="0"/>
    <w:rPr>
      <w:sz w:val="21"/>
      <w:szCs w:val="21"/>
    </w:rPr>
  </w:style>
  <w:style w:type="paragraph" w:styleId="26">
    <w:name w:val="annotation text"/>
    <w:basedOn w:val="1"/>
    <w:qFormat/>
    <w:uiPriority w:val="0"/>
  </w:style>
  <w:style w:type="paragraph" w:styleId="27">
    <w:name w:val="annotation subject"/>
    <w:basedOn w:val="26"/>
    <w:next w:val="26"/>
    <w:uiPriority w:val="0"/>
    <w:rPr>
      <w:b/>
      <w:bCs/>
    </w:rPr>
  </w:style>
  <w:style w:type="paragraph" w:styleId="28">
    <w:name w:val="Date"/>
    <w:basedOn w:val="1"/>
    <w:next w:val="1"/>
    <w:qFormat/>
    <w:uiPriority w:val="0"/>
    <w:pPr>
      <w:ind w:left="100" w:leftChars="2500"/>
    </w:pPr>
  </w:style>
  <w:style w:type="paragraph" w:styleId="29">
    <w:name w:val="Document Map"/>
    <w:basedOn w:val="1"/>
    <w:qFormat/>
    <w:uiPriority w:val="0"/>
    <w:pPr>
      <w:shd w:val="clear" w:color="auto" w:fill="000080"/>
    </w:pPr>
  </w:style>
  <w:style w:type="paragraph" w:styleId="30">
    <w:name w:val="E-mail Signature"/>
    <w:basedOn w:val="1"/>
    <w:qFormat/>
    <w:uiPriority w:val="0"/>
  </w:style>
  <w:style w:type="character" w:styleId="31">
    <w:name w:val="Emphasis"/>
    <w:basedOn w:val="11"/>
    <w:qFormat/>
    <w:uiPriority w:val="0"/>
    <w:rPr>
      <w:i/>
      <w:iCs/>
    </w:rPr>
  </w:style>
  <w:style w:type="character" w:styleId="32">
    <w:name w:val="endnote reference"/>
    <w:basedOn w:val="11"/>
    <w:qFormat/>
    <w:uiPriority w:val="0"/>
    <w:rPr>
      <w:vertAlign w:val="superscript"/>
    </w:rPr>
  </w:style>
  <w:style w:type="paragraph" w:styleId="33">
    <w:name w:val="endnote text"/>
    <w:basedOn w:val="1"/>
    <w:qFormat/>
    <w:uiPriority w:val="0"/>
    <w:pPr>
      <w:snapToGrid w:val="0"/>
    </w:pPr>
  </w:style>
  <w:style w:type="paragraph" w:styleId="34">
    <w:name w:val="envelope address"/>
    <w:basedOn w:val="1"/>
    <w:qFormat/>
    <w:uiPriority w:val="0"/>
    <w:pPr>
      <w:framePr w:w="7920" w:h="1980" w:hRule="exact" w:hSpace="180" w:wrap="auto" w:vAnchor="margin" w:hAnchor="page" w:xAlign="center" w:yAlign="bottom"/>
      <w:snapToGrid w:val="0"/>
      <w:ind w:left="100" w:leftChars="1400"/>
    </w:pPr>
    <w:rPr>
      <w:rFonts w:ascii="Arial" w:hAnsi="Arial" w:cs="Arial"/>
      <w:sz w:val="24"/>
      <w:szCs w:val="24"/>
    </w:rPr>
  </w:style>
  <w:style w:type="paragraph" w:styleId="35">
    <w:name w:val="envelope return"/>
    <w:basedOn w:val="1"/>
    <w:qFormat/>
    <w:uiPriority w:val="0"/>
    <w:pPr>
      <w:snapToGrid w:val="0"/>
    </w:pPr>
    <w:rPr>
      <w:rFonts w:ascii="Arial" w:hAnsi="Arial" w:cs="Arial"/>
    </w:rPr>
  </w:style>
  <w:style w:type="character" w:styleId="36">
    <w:name w:val="FollowedHyperlink"/>
    <w:basedOn w:val="11"/>
    <w:qFormat/>
    <w:uiPriority w:val="0"/>
    <w:rPr>
      <w:color w:val="800080"/>
      <w:u w:val="single"/>
    </w:rPr>
  </w:style>
  <w:style w:type="paragraph" w:styleId="37">
    <w:name w:val="footer"/>
    <w:basedOn w:val="1"/>
    <w:qFormat/>
    <w:uiPriority w:val="0"/>
    <w:pPr>
      <w:tabs>
        <w:tab w:val="center" w:pos="4153"/>
        <w:tab w:val="right" w:pos="8306"/>
      </w:tabs>
      <w:snapToGrid w:val="0"/>
    </w:pPr>
    <w:rPr>
      <w:sz w:val="18"/>
      <w:szCs w:val="18"/>
    </w:rPr>
  </w:style>
  <w:style w:type="character" w:styleId="38">
    <w:name w:val="footnote reference"/>
    <w:basedOn w:val="11"/>
    <w:qFormat/>
    <w:uiPriority w:val="0"/>
    <w:rPr>
      <w:vertAlign w:val="superscript"/>
    </w:rPr>
  </w:style>
  <w:style w:type="paragraph" w:styleId="39">
    <w:name w:val="footnote text"/>
    <w:basedOn w:val="1"/>
    <w:qFormat/>
    <w:uiPriority w:val="0"/>
    <w:pPr>
      <w:snapToGrid w:val="0"/>
    </w:pPr>
    <w:rPr>
      <w:sz w:val="18"/>
      <w:szCs w:val="18"/>
    </w:rPr>
  </w:style>
  <w:style w:type="paragraph" w:styleId="40">
    <w:name w:val="header"/>
    <w:basedOn w:val="1"/>
    <w:uiPriority w:val="0"/>
    <w:pPr>
      <w:tabs>
        <w:tab w:val="center" w:pos="4153"/>
        <w:tab w:val="right" w:pos="8306"/>
      </w:tabs>
      <w:snapToGrid w:val="0"/>
    </w:pPr>
    <w:rPr>
      <w:sz w:val="18"/>
      <w:szCs w:val="18"/>
    </w:rPr>
  </w:style>
  <w:style w:type="character" w:styleId="41">
    <w:name w:val="HTML Acronym"/>
    <w:basedOn w:val="11"/>
    <w:uiPriority w:val="0"/>
  </w:style>
  <w:style w:type="paragraph" w:styleId="42">
    <w:name w:val="HTML Address"/>
    <w:basedOn w:val="1"/>
    <w:qFormat/>
    <w:uiPriority w:val="0"/>
    <w:rPr>
      <w:i/>
      <w:iCs/>
    </w:rPr>
  </w:style>
  <w:style w:type="character" w:styleId="43">
    <w:name w:val="HTML Cite"/>
    <w:basedOn w:val="11"/>
    <w:qFormat/>
    <w:uiPriority w:val="0"/>
    <w:rPr>
      <w:i/>
      <w:iCs/>
    </w:rPr>
  </w:style>
  <w:style w:type="character" w:styleId="44">
    <w:name w:val="HTML Code"/>
    <w:basedOn w:val="11"/>
    <w:uiPriority w:val="0"/>
    <w:rPr>
      <w:rFonts w:ascii="Courier New" w:hAnsi="Courier New" w:cs="Courier New"/>
      <w:sz w:val="20"/>
      <w:szCs w:val="20"/>
    </w:rPr>
  </w:style>
  <w:style w:type="character" w:styleId="45">
    <w:name w:val="HTML Definition"/>
    <w:basedOn w:val="11"/>
    <w:qFormat/>
    <w:uiPriority w:val="0"/>
    <w:rPr>
      <w:i/>
      <w:iCs/>
    </w:rPr>
  </w:style>
  <w:style w:type="character" w:styleId="46">
    <w:name w:val="HTML Keyboard"/>
    <w:basedOn w:val="11"/>
    <w:uiPriority w:val="0"/>
    <w:rPr>
      <w:rFonts w:ascii="Courier New" w:hAnsi="Courier New" w:cs="Courier New"/>
      <w:sz w:val="20"/>
      <w:szCs w:val="20"/>
    </w:rPr>
  </w:style>
  <w:style w:type="paragraph" w:styleId="47">
    <w:name w:val="HTML Preformatted"/>
    <w:basedOn w:val="1"/>
    <w:qFormat/>
    <w:uiPriority w:val="0"/>
    <w:rPr>
      <w:rFonts w:ascii="Courier New" w:hAnsi="Courier New" w:cs="Courier New"/>
    </w:rPr>
  </w:style>
  <w:style w:type="character" w:styleId="48">
    <w:name w:val="HTML Sample"/>
    <w:basedOn w:val="11"/>
    <w:qFormat/>
    <w:uiPriority w:val="0"/>
    <w:rPr>
      <w:rFonts w:ascii="Courier New" w:hAnsi="Courier New" w:cs="Courier New"/>
    </w:rPr>
  </w:style>
  <w:style w:type="character" w:styleId="49">
    <w:name w:val="HTML Typewriter"/>
    <w:basedOn w:val="11"/>
    <w:qFormat/>
    <w:uiPriority w:val="0"/>
    <w:rPr>
      <w:rFonts w:ascii="Courier New" w:hAnsi="Courier New" w:cs="Courier New"/>
      <w:sz w:val="20"/>
      <w:szCs w:val="20"/>
    </w:rPr>
  </w:style>
  <w:style w:type="character" w:styleId="50">
    <w:name w:val="HTML Variable"/>
    <w:basedOn w:val="11"/>
    <w:qFormat/>
    <w:uiPriority w:val="0"/>
    <w:rPr>
      <w:i/>
      <w:iCs/>
    </w:rPr>
  </w:style>
  <w:style w:type="character" w:styleId="51">
    <w:name w:val="Hyperlink"/>
    <w:basedOn w:val="11"/>
    <w:qFormat/>
    <w:uiPriority w:val="0"/>
    <w:rPr>
      <w:color w:val="0000FF"/>
      <w:u w:val="single"/>
    </w:rPr>
  </w:style>
  <w:style w:type="paragraph" w:styleId="52">
    <w:name w:val="index 1"/>
    <w:basedOn w:val="1"/>
    <w:next w:val="1"/>
    <w:qFormat/>
    <w:uiPriority w:val="0"/>
  </w:style>
  <w:style w:type="paragraph" w:styleId="53">
    <w:name w:val="index 2"/>
    <w:basedOn w:val="1"/>
    <w:next w:val="1"/>
    <w:qFormat/>
    <w:uiPriority w:val="0"/>
    <w:pPr>
      <w:ind w:left="200" w:leftChars="200"/>
    </w:pPr>
  </w:style>
  <w:style w:type="paragraph" w:styleId="54">
    <w:name w:val="index 3"/>
    <w:basedOn w:val="1"/>
    <w:next w:val="1"/>
    <w:qFormat/>
    <w:uiPriority w:val="0"/>
    <w:pPr>
      <w:ind w:left="400" w:leftChars="400"/>
    </w:pPr>
  </w:style>
  <w:style w:type="paragraph" w:styleId="55">
    <w:name w:val="index 4"/>
    <w:basedOn w:val="1"/>
    <w:next w:val="1"/>
    <w:qFormat/>
    <w:uiPriority w:val="0"/>
    <w:pPr>
      <w:ind w:left="600" w:leftChars="600"/>
    </w:pPr>
  </w:style>
  <w:style w:type="paragraph" w:styleId="56">
    <w:name w:val="index 5"/>
    <w:basedOn w:val="1"/>
    <w:next w:val="1"/>
    <w:uiPriority w:val="0"/>
    <w:pPr>
      <w:ind w:left="800" w:leftChars="800"/>
    </w:pPr>
  </w:style>
  <w:style w:type="paragraph" w:styleId="57">
    <w:name w:val="index 6"/>
    <w:basedOn w:val="1"/>
    <w:next w:val="1"/>
    <w:qFormat/>
    <w:uiPriority w:val="0"/>
    <w:pPr>
      <w:ind w:left="1000" w:leftChars="1000"/>
    </w:pPr>
  </w:style>
  <w:style w:type="paragraph" w:styleId="58">
    <w:name w:val="index 7"/>
    <w:basedOn w:val="1"/>
    <w:next w:val="1"/>
    <w:qFormat/>
    <w:uiPriority w:val="0"/>
    <w:pPr>
      <w:ind w:left="1200" w:leftChars="1200"/>
    </w:pPr>
  </w:style>
  <w:style w:type="paragraph" w:styleId="59">
    <w:name w:val="index 8"/>
    <w:basedOn w:val="1"/>
    <w:next w:val="1"/>
    <w:qFormat/>
    <w:uiPriority w:val="0"/>
    <w:pPr>
      <w:ind w:left="1400" w:leftChars="1400"/>
    </w:pPr>
  </w:style>
  <w:style w:type="paragraph" w:styleId="60">
    <w:name w:val="index 9"/>
    <w:basedOn w:val="1"/>
    <w:next w:val="1"/>
    <w:qFormat/>
    <w:uiPriority w:val="0"/>
    <w:pPr>
      <w:ind w:left="1600" w:leftChars="1600"/>
    </w:pPr>
  </w:style>
  <w:style w:type="paragraph" w:styleId="61">
    <w:name w:val="index heading"/>
    <w:basedOn w:val="1"/>
    <w:next w:val="52"/>
    <w:qFormat/>
    <w:uiPriority w:val="0"/>
    <w:rPr>
      <w:rFonts w:ascii="Arial" w:hAnsi="Arial" w:cs="Arial"/>
      <w:b/>
      <w:bCs/>
    </w:rPr>
  </w:style>
  <w:style w:type="character" w:styleId="62">
    <w:name w:val="line number"/>
    <w:basedOn w:val="11"/>
    <w:qFormat/>
    <w:uiPriority w:val="0"/>
  </w:style>
  <w:style w:type="paragraph" w:styleId="63">
    <w:name w:val="List"/>
    <w:basedOn w:val="1"/>
    <w:qFormat/>
    <w:uiPriority w:val="0"/>
    <w:pPr>
      <w:ind w:left="200" w:hanging="200" w:hangingChars="200"/>
    </w:pPr>
  </w:style>
  <w:style w:type="paragraph" w:styleId="64">
    <w:name w:val="List 2"/>
    <w:basedOn w:val="1"/>
    <w:qFormat/>
    <w:uiPriority w:val="0"/>
    <w:pPr>
      <w:ind w:left="100" w:leftChars="200" w:hanging="200" w:hangingChars="200"/>
    </w:pPr>
  </w:style>
  <w:style w:type="paragraph" w:styleId="65">
    <w:name w:val="List 3"/>
    <w:basedOn w:val="1"/>
    <w:qFormat/>
    <w:uiPriority w:val="0"/>
    <w:pPr>
      <w:ind w:left="100" w:leftChars="400" w:hanging="200" w:hangingChars="200"/>
    </w:pPr>
  </w:style>
  <w:style w:type="paragraph" w:styleId="66">
    <w:name w:val="List 4"/>
    <w:basedOn w:val="1"/>
    <w:qFormat/>
    <w:uiPriority w:val="0"/>
    <w:pPr>
      <w:ind w:left="100" w:leftChars="600" w:hanging="200" w:hangingChars="200"/>
    </w:pPr>
  </w:style>
  <w:style w:type="paragraph" w:styleId="67">
    <w:name w:val="List 5"/>
    <w:basedOn w:val="1"/>
    <w:qFormat/>
    <w:uiPriority w:val="0"/>
    <w:pPr>
      <w:ind w:left="100" w:leftChars="800" w:hanging="200" w:hangingChars="200"/>
    </w:pPr>
  </w:style>
  <w:style w:type="paragraph" w:styleId="68">
    <w:name w:val="List Bullet"/>
    <w:basedOn w:val="1"/>
    <w:qFormat/>
    <w:uiPriority w:val="0"/>
    <w:pPr>
      <w:numPr>
        <w:ilvl w:val="0"/>
        <w:numId w:val="2"/>
      </w:numPr>
    </w:pPr>
  </w:style>
  <w:style w:type="paragraph" w:styleId="69">
    <w:name w:val="List Bullet 2"/>
    <w:basedOn w:val="1"/>
    <w:qFormat/>
    <w:uiPriority w:val="0"/>
    <w:pPr>
      <w:numPr>
        <w:ilvl w:val="0"/>
        <w:numId w:val="3"/>
      </w:numPr>
    </w:pPr>
  </w:style>
  <w:style w:type="paragraph" w:styleId="70">
    <w:name w:val="List Bullet 3"/>
    <w:basedOn w:val="1"/>
    <w:qFormat/>
    <w:uiPriority w:val="0"/>
    <w:pPr>
      <w:numPr>
        <w:ilvl w:val="0"/>
        <w:numId w:val="4"/>
      </w:numPr>
    </w:pPr>
  </w:style>
  <w:style w:type="paragraph" w:styleId="71">
    <w:name w:val="List Bullet 4"/>
    <w:basedOn w:val="1"/>
    <w:qFormat/>
    <w:uiPriority w:val="0"/>
    <w:pPr>
      <w:numPr>
        <w:ilvl w:val="0"/>
        <w:numId w:val="5"/>
      </w:numPr>
    </w:pPr>
  </w:style>
  <w:style w:type="paragraph" w:styleId="72">
    <w:name w:val="List Bullet 5"/>
    <w:basedOn w:val="1"/>
    <w:qFormat/>
    <w:uiPriority w:val="0"/>
    <w:pPr>
      <w:numPr>
        <w:ilvl w:val="0"/>
        <w:numId w:val="6"/>
      </w:numPr>
    </w:pPr>
  </w:style>
  <w:style w:type="paragraph" w:styleId="73">
    <w:name w:val="List Continue"/>
    <w:basedOn w:val="1"/>
    <w:qFormat/>
    <w:uiPriority w:val="0"/>
    <w:pPr>
      <w:spacing w:after="120"/>
      <w:ind w:left="420" w:leftChars="200"/>
    </w:pPr>
  </w:style>
  <w:style w:type="paragraph" w:styleId="74">
    <w:name w:val="List Continue 2"/>
    <w:basedOn w:val="1"/>
    <w:qFormat/>
    <w:uiPriority w:val="0"/>
    <w:pPr>
      <w:spacing w:after="120"/>
      <w:ind w:left="840" w:leftChars="400"/>
    </w:pPr>
  </w:style>
  <w:style w:type="paragraph" w:styleId="75">
    <w:name w:val="List Continue 3"/>
    <w:basedOn w:val="1"/>
    <w:qFormat/>
    <w:uiPriority w:val="0"/>
    <w:pPr>
      <w:spacing w:after="120"/>
      <w:ind w:left="1260" w:leftChars="600"/>
    </w:pPr>
  </w:style>
  <w:style w:type="paragraph" w:styleId="76">
    <w:name w:val="List Continue 4"/>
    <w:basedOn w:val="1"/>
    <w:qFormat/>
    <w:uiPriority w:val="0"/>
    <w:pPr>
      <w:spacing w:after="120"/>
      <w:ind w:left="1680" w:leftChars="800"/>
    </w:pPr>
  </w:style>
  <w:style w:type="paragraph" w:styleId="77">
    <w:name w:val="List Continue 5"/>
    <w:basedOn w:val="1"/>
    <w:qFormat/>
    <w:uiPriority w:val="0"/>
    <w:pPr>
      <w:spacing w:after="120"/>
      <w:ind w:left="2100" w:leftChars="1000"/>
    </w:pPr>
  </w:style>
  <w:style w:type="paragraph" w:styleId="78">
    <w:name w:val="List Number"/>
    <w:basedOn w:val="1"/>
    <w:qFormat/>
    <w:uiPriority w:val="0"/>
    <w:pPr>
      <w:numPr>
        <w:ilvl w:val="0"/>
        <w:numId w:val="7"/>
      </w:numPr>
    </w:pPr>
  </w:style>
  <w:style w:type="paragraph" w:styleId="79">
    <w:name w:val="List Number 2"/>
    <w:basedOn w:val="1"/>
    <w:qFormat/>
    <w:uiPriority w:val="0"/>
    <w:pPr>
      <w:numPr>
        <w:ilvl w:val="0"/>
        <w:numId w:val="8"/>
      </w:numPr>
    </w:pPr>
  </w:style>
  <w:style w:type="paragraph" w:styleId="80">
    <w:name w:val="List Number 3"/>
    <w:basedOn w:val="1"/>
    <w:qFormat/>
    <w:uiPriority w:val="0"/>
    <w:pPr>
      <w:numPr>
        <w:ilvl w:val="0"/>
        <w:numId w:val="9"/>
      </w:numPr>
    </w:pPr>
  </w:style>
  <w:style w:type="paragraph" w:styleId="81">
    <w:name w:val="List Number 4"/>
    <w:basedOn w:val="1"/>
    <w:qFormat/>
    <w:uiPriority w:val="0"/>
    <w:pPr>
      <w:numPr>
        <w:ilvl w:val="0"/>
        <w:numId w:val="10"/>
      </w:numPr>
    </w:pPr>
  </w:style>
  <w:style w:type="paragraph" w:styleId="82">
    <w:name w:val="List Number 5"/>
    <w:basedOn w:val="1"/>
    <w:qFormat/>
    <w:uiPriority w:val="0"/>
    <w:pPr>
      <w:numPr>
        <w:ilvl w:val="0"/>
        <w:numId w:val="11"/>
      </w:numPr>
    </w:pPr>
  </w:style>
  <w:style w:type="paragraph" w:styleId="83">
    <w:name w:val="macro"/>
    <w:qFormat/>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qFormat/>
    <w:uiPriority w:val="0"/>
    <w:pPr>
      <w:spacing w:beforeAutospacing="1" w:afterAutospacing="1"/>
    </w:pPr>
    <w:rPr>
      <w:rFonts w:ascii="Times New Roman" w:hAnsi="Times New Roman" w:eastAsia="SimSun" w:cs="Times New Roman"/>
      <w:sz w:val="24"/>
      <w:szCs w:val="24"/>
      <w:lang w:val="en-US" w:eastAsia="zh-CN" w:bidi="ar-SA"/>
    </w:rPr>
  </w:style>
  <w:style w:type="paragraph" w:styleId="86">
    <w:name w:val="Normal Indent"/>
    <w:basedOn w:val="1"/>
    <w:qFormat/>
    <w:uiPriority w:val="0"/>
    <w:pPr>
      <w:ind w:firstLine="420" w:firstLineChars="200"/>
    </w:pPr>
  </w:style>
  <w:style w:type="paragraph" w:styleId="87">
    <w:name w:val="Note Heading"/>
    <w:basedOn w:val="1"/>
    <w:next w:val="1"/>
    <w:qFormat/>
    <w:uiPriority w:val="0"/>
    <w:pPr>
      <w:jc w:val="center"/>
    </w:pPr>
  </w:style>
  <w:style w:type="character" w:styleId="88">
    <w:name w:val="page number"/>
    <w:basedOn w:val="11"/>
    <w:qFormat/>
    <w:uiPriority w:val="0"/>
  </w:style>
  <w:style w:type="paragraph" w:styleId="89">
    <w:name w:val="Plain Text"/>
    <w:basedOn w:val="1"/>
    <w:qFormat/>
    <w:uiPriority w:val="0"/>
    <w:rPr>
      <w:rFonts w:ascii="SimSun" w:hAnsi="Courier New" w:cs="Courier New"/>
      <w:szCs w:val="21"/>
    </w:rPr>
  </w:style>
  <w:style w:type="paragraph" w:styleId="90">
    <w:name w:val="Salutation"/>
    <w:basedOn w:val="1"/>
    <w:next w:val="1"/>
    <w:qFormat/>
    <w:uiPriority w:val="0"/>
  </w:style>
  <w:style w:type="paragraph" w:styleId="91">
    <w:name w:val="Signature"/>
    <w:basedOn w:val="1"/>
    <w:qFormat/>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qFormat/>
    <w:uiPriority w:val="0"/>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qFormat/>
    <w:uiPriority w:val="0"/>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qFormat/>
    <w:uiPriority w:val="0"/>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uiPriority w:val="0"/>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qFormat/>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qFormat/>
    <w:uiPriority w:val="0"/>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qFormat/>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qFormat/>
    <w:uiPriority w:val="0"/>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qFormat/>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qFormat/>
    <w:uiPriority w:val="0"/>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qFormat/>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qFormat/>
    <w:uiPriority w:val="0"/>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qFormat/>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qFormat/>
    <w:uiPriority w:val="0"/>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qFormat/>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11">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12">
    <w:name w:val="Table Grid 1"/>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qFormat/>
    <w:uiPriority w:val="0"/>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qFormat/>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qFormat/>
    <w:uiPriority w:val="0"/>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qFormat/>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uiPriority w:val="0"/>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qFormat/>
    <w:uiPriority w:val="0"/>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qFormat/>
    <w:uiPriority w:val="0"/>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qFormat/>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uiPriority w:val="0"/>
    <w:pPr>
      <w:ind w:left="420" w:leftChars="200"/>
    </w:pPr>
  </w:style>
  <w:style w:type="paragraph" w:styleId="129">
    <w:name w:val="table of figures"/>
    <w:basedOn w:val="1"/>
    <w:next w:val="1"/>
    <w:qFormat/>
    <w:uiPriority w:val="0"/>
    <w:pPr>
      <w:ind w:left="200" w:leftChars="200" w:hanging="200" w:hangingChars="200"/>
    </w:pPr>
  </w:style>
  <w:style w:type="table" w:styleId="130">
    <w:name w:val="Table Professional"/>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uiPriority w:val="0"/>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qFormat/>
    <w:uiPriority w:val="0"/>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uiPriority w:val="0"/>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qFormat/>
    <w:uiPriority w:val="0"/>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qFormat/>
    <w:uiPriority w:val="0"/>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7">
    <w:name w:val="Table Web 1"/>
    <w:basedOn w:val="12"/>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qFormat/>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uiPriority w:val="0"/>
    <w:pPr>
      <w:spacing w:before="120"/>
    </w:pPr>
    <w:rPr>
      <w:rFonts w:ascii="Arial" w:hAnsi="Arial" w:cs="Arial"/>
      <w:sz w:val="24"/>
      <w:szCs w:val="24"/>
    </w:rPr>
  </w:style>
  <w:style w:type="paragraph" w:styleId="142">
    <w:name w:val="toc 1"/>
    <w:basedOn w:val="1"/>
    <w:next w:val="1"/>
    <w:qFormat/>
    <w:uiPriority w:val="0"/>
  </w:style>
  <w:style w:type="paragraph" w:styleId="143">
    <w:name w:val="toc 2"/>
    <w:basedOn w:val="1"/>
    <w:next w:val="1"/>
    <w:qFormat/>
    <w:uiPriority w:val="0"/>
    <w:pPr>
      <w:ind w:left="420" w:leftChars="200"/>
    </w:pPr>
  </w:style>
  <w:style w:type="paragraph" w:styleId="144">
    <w:name w:val="toc 3"/>
    <w:basedOn w:val="1"/>
    <w:next w:val="1"/>
    <w:qFormat/>
    <w:uiPriority w:val="0"/>
    <w:pPr>
      <w:ind w:left="840" w:leftChars="400"/>
    </w:pPr>
  </w:style>
  <w:style w:type="paragraph" w:styleId="145">
    <w:name w:val="toc 4"/>
    <w:basedOn w:val="1"/>
    <w:next w:val="1"/>
    <w:uiPriority w:val="0"/>
    <w:pPr>
      <w:ind w:left="1260" w:leftChars="600"/>
    </w:pPr>
  </w:style>
  <w:style w:type="paragraph" w:styleId="146">
    <w:name w:val="toc 5"/>
    <w:basedOn w:val="1"/>
    <w:next w:val="1"/>
    <w:qFormat/>
    <w:uiPriority w:val="0"/>
    <w:pPr>
      <w:ind w:left="1680" w:leftChars="800"/>
    </w:pPr>
  </w:style>
  <w:style w:type="paragraph" w:styleId="147">
    <w:name w:val="toc 6"/>
    <w:basedOn w:val="1"/>
    <w:next w:val="1"/>
    <w:qFormat/>
    <w:uiPriority w:val="0"/>
    <w:pPr>
      <w:ind w:left="2100" w:leftChars="1000"/>
    </w:pPr>
  </w:style>
  <w:style w:type="paragraph" w:styleId="148">
    <w:name w:val="toc 7"/>
    <w:basedOn w:val="1"/>
    <w:next w:val="1"/>
    <w:qFormat/>
    <w:uiPriority w:val="0"/>
    <w:pPr>
      <w:ind w:left="2520" w:leftChars="1200"/>
    </w:pPr>
  </w:style>
  <w:style w:type="paragraph" w:styleId="149">
    <w:name w:val="toc 8"/>
    <w:basedOn w:val="1"/>
    <w:next w:val="1"/>
    <w:qFormat/>
    <w:uiPriority w:val="0"/>
    <w:pPr>
      <w:ind w:left="2940" w:leftChars="1400"/>
    </w:pPr>
  </w:style>
  <w:style w:type="paragraph" w:styleId="150">
    <w:name w:val="toc 9"/>
    <w:basedOn w:val="1"/>
    <w:next w:val="1"/>
    <w:qFormat/>
    <w:uiPriority w:val="0"/>
    <w:pPr>
      <w:ind w:left="3360" w:leftChars="1600"/>
    </w:pPr>
  </w:style>
  <w:style w:type="table" w:styleId="151">
    <w:name w:val="Light Shading"/>
    <w:basedOn w:val="12"/>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qFormat/>
    <w:uiPriority w:val="60"/>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uiPriority w:val="60"/>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qFormat/>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qFormat/>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qFormat/>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qFormat/>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qFormat/>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qFormat/>
    <w:uiPriority w:val="61"/>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qFormat/>
    <w:uiPriority w:val="61"/>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qFormat/>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qFormat/>
    <w:uiPriority w:val="61"/>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qFormat/>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qFormat/>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qFormat/>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qFormat/>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qFormat/>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qFormat/>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qFormat/>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uiPriority w:val="63"/>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qFormat/>
    <w:uiPriority w:val="63"/>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uiPriority w:val="63"/>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qFormat/>
    <w:uiPriority w:val="63"/>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qFormat/>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qFormat/>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qFormat/>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qFormat/>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qFormat/>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uiPriority w:val="65"/>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uiPriority w:val="66"/>
    <w:rPr>
      <w:rFonts w:ascii="SimSun" w:hAnsi="SimSun" w:eastAsia="Courier New"/>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qFormat/>
    <w:uiPriority w:val="66"/>
    <w:rPr>
      <w:rFonts w:ascii="SimSun" w:hAnsi="SimSun" w:eastAsia="Courier New"/>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qFormat/>
    <w:uiPriority w:val="66"/>
    <w:rPr>
      <w:rFonts w:ascii="SimSun" w:hAnsi="SimSun" w:eastAsia="Courier New"/>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qFormat/>
    <w:uiPriority w:val="66"/>
    <w:rPr>
      <w:rFonts w:ascii="SimSun" w:hAnsi="SimSun" w:eastAsia="Courier New"/>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qFormat/>
    <w:uiPriority w:val="66"/>
    <w:rPr>
      <w:rFonts w:ascii="SimSun" w:hAnsi="SimSun" w:eastAsia="Courier New"/>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qFormat/>
    <w:uiPriority w:val="66"/>
    <w:rPr>
      <w:rFonts w:ascii="SimSun" w:hAnsi="SimSun" w:eastAsia="Courier New"/>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uiPriority w:val="66"/>
    <w:rPr>
      <w:rFonts w:ascii="SimSun" w:hAnsi="SimSun" w:eastAsia="Courier New"/>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qFormat/>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qFormat/>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qFormat/>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qFormat/>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qFormat/>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qFormat/>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qFormat/>
    <w:uiPriority w:val="68"/>
    <w:rPr>
      <w:rFonts w:ascii="SimSun" w:hAnsi="SimSun" w:eastAsia="Courier New"/>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qFormat/>
    <w:uiPriority w:val="68"/>
    <w:rPr>
      <w:rFonts w:ascii="SimSun" w:hAnsi="SimSun" w:eastAsia="Courier New"/>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qFormat/>
    <w:uiPriority w:val="68"/>
    <w:rPr>
      <w:rFonts w:ascii="SimSun" w:hAnsi="SimSun" w:eastAsia="Courier New"/>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uiPriority w:val="68"/>
    <w:rPr>
      <w:rFonts w:ascii="SimSun" w:hAnsi="SimSun" w:eastAsia="Courier New"/>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qFormat/>
    <w:uiPriority w:val="68"/>
    <w:rPr>
      <w:rFonts w:ascii="SimSun" w:hAnsi="SimSun" w:eastAsia="Courier New"/>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qFormat/>
    <w:uiPriority w:val="68"/>
    <w:rPr>
      <w:rFonts w:ascii="SimSun" w:hAnsi="SimSun" w:eastAsia="Courier New"/>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qFormat/>
    <w:uiPriority w:val="68"/>
    <w:rPr>
      <w:rFonts w:ascii="SimSun" w:hAnsi="SimSun" w:eastAsia="Courier New"/>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qFormat/>
    <w:uiPriority w:val="70"/>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qFormat/>
    <w:uiPriority w:val="70"/>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uiPriority w:val="70"/>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qFormat/>
    <w:uiPriority w:val="70"/>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qFormat/>
    <w:uiPriority w:val="70"/>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qFormat/>
    <w:uiPriority w:val="70"/>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qFormat/>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qFormat/>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qFormat/>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qFormat/>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qFormat/>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qFormat/>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qFormat/>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qFormat/>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qFormat/>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uiPriority w:val="72"/>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qFormat/>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qFormat/>
    <w:uiPriority w:val="72"/>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uiPriority w:val="72"/>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qFormat/>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uiPriority w:val="73"/>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qFormat/>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qFormat/>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qFormat/>
    <w:uiPriority w:val="73"/>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249">
    <w:name w:val="Heading 1 Char"/>
    <w:link w:val="2"/>
    <w:qFormat/>
    <w:uiPriority w:val="0"/>
    <w:rPr>
      <w:rFonts w:ascii="Times New Roman" w:hAnsi="Times New Roman" w:eastAsia="SimSun" w:cs="SimSun"/>
      <w:b/>
      <w:bCs/>
      <w:kern w:val="44"/>
      <w:sz w:val="28"/>
      <w:szCs w:val="48"/>
      <w:lang w:val="en-US" w:eastAsia="zh-CN" w:bidi="ar"/>
    </w:rPr>
  </w:style>
  <w:style w:type="paragraph" w:customStyle="1" w:styleId="250">
    <w:name w:val="WPSOffice手动目录 1"/>
    <w:uiPriority w:val="0"/>
    <w:rPr>
      <w:rFonts w:ascii="Times New Roman" w:hAnsi="Times New Roman" w:eastAsia="SimSun" w:cs="Times New Roman"/>
      <w:lang w:val="en-GB" w:eastAsia="zh-CN" w:bidi="ar-SA"/>
    </w:rPr>
  </w:style>
  <w:style w:type="paragraph" w:customStyle="1" w:styleId="251">
    <w:name w:val="WPSOffice手动目录 2"/>
    <w:uiPriority w:val="0"/>
    <w:pPr>
      <w:ind w:left="200" w:leftChars="200"/>
    </w:pPr>
    <w:rPr>
      <w:rFonts w:ascii="Times New Roman" w:hAnsi="Times New Roman" w:eastAsia="SimSun" w:cs="Times New Roman"/>
      <w:lang w:val="en-GB" w:eastAsia="zh-CN"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32</Pages>
  <Words>5721</Words>
  <Characters>32610</Characters>
  <Lines>271</Lines>
  <Paragraphs>76</Paragraphs>
  <TotalTime>13</TotalTime>
  <ScaleCrop>false</ScaleCrop>
  <LinksUpToDate>false</LinksUpToDate>
  <CharactersWithSpaces>38255</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2025-12-09T11:40:00Z</dcterms:created>
  <dc:creator>Talal Rashid</dc:creator>
  <cp:lastModifiedBy>Talal Rashid</cp:lastModifiedBy>
  <dcterms:modified xsi:type="dcterms:W3CDTF">2025-12-13T19:42:26Z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D8B42AC74E8D4708A4CE60C95459117D_13</vt:lpwstr>
  </property>
</Properties>
</file>