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B9BF9" w14:textId="7BB8AA5C" w:rsidR="00C13420" w:rsidRDefault="00A33E39" w:rsidP="00A33E39">
      <w:pPr>
        <w:jc w:val="center"/>
      </w:pPr>
      <w:proofErr w:type="spellStart"/>
      <w:r>
        <w:t>Trawsieithu</w:t>
      </w:r>
      <w:proofErr w:type="spellEnd"/>
    </w:p>
    <w:p w14:paraId="766C845A" w14:textId="5EF71CE3" w:rsidR="00A33E39" w:rsidRDefault="00A33E39" w:rsidP="00A33E39">
      <w:pPr>
        <w:jc w:val="center"/>
      </w:pPr>
    </w:p>
    <w:p w14:paraId="491C0CDA" w14:textId="002C0BC5" w:rsidR="00A33E39" w:rsidRDefault="00A33E39" w:rsidP="00A33E39">
      <w:proofErr w:type="spellStart"/>
      <w:r>
        <w:t>Dyma’r</w:t>
      </w:r>
      <w:proofErr w:type="spellEnd"/>
      <w:r>
        <w:t xml:space="preserve"> </w:t>
      </w:r>
      <w:proofErr w:type="spellStart"/>
      <w:r>
        <w:t>linc</w:t>
      </w:r>
      <w:proofErr w:type="spellEnd"/>
      <w:r>
        <w:t xml:space="preserve"> </w:t>
      </w:r>
      <w:proofErr w:type="spellStart"/>
      <w:r>
        <w:t>i</w:t>
      </w:r>
      <w:proofErr w:type="spellEnd"/>
      <w:r>
        <w:t xml:space="preserve"> </w:t>
      </w:r>
      <w:proofErr w:type="spellStart"/>
      <w:r>
        <w:t>wylio</w:t>
      </w:r>
      <w:proofErr w:type="spellEnd"/>
      <w:r>
        <w:t xml:space="preserve"> 5 </w:t>
      </w:r>
      <w:proofErr w:type="spellStart"/>
      <w:r>
        <w:t>munud</w:t>
      </w:r>
      <w:proofErr w:type="spellEnd"/>
      <w:r>
        <w:t xml:space="preserve"> a </w:t>
      </w:r>
      <w:proofErr w:type="spellStart"/>
      <w:r>
        <w:t>hanner</w:t>
      </w:r>
      <w:proofErr w:type="spellEnd"/>
      <w:r>
        <w:t xml:space="preserve"> </w:t>
      </w:r>
      <w:proofErr w:type="spellStart"/>
      <w:r>
        <w:t>agoriadol</w:t>
      </w:r>
      <w:proofErr w:type="spellEnd"/>
      <w:r>
        <w:t xml:space="preserve"> ‘The Story of Wales’ </w:t>
      </w:r>
      <w:proofErr w:type="spellStart"/>
      <w:r>
        <w:t>gyda</w:t>
      </w:r>
      <w:proofErr w:type="spellEnd"/>
      <w:r>
        <w:t xml:space="preserve"> Huw Edwards a </w:t>
      </w:r>
      <w:proofErr w:type="spellStart"/>
      <w:r>
        <w:t>thrawsieithu’r</w:t>
      </w:r>
      <w:proofErr w:type="spellEnd"/>
      <w:r>
        <w:t xml:space="preserve"> </w:t>
      </w:r>
      <w:proofErr w:type="spellStart"/>
      <w:r>
        <w:t>cynnwys</w:t>
      </w:r>
      <w:proofErr w:type="spellEnd"/>
      <w:r>
        <w:t xml:space="preserve"> </w:t>
      </w:r>
      <w:proofErr w:type="spellStart"/>
      <w:r>
        <w:t>i</w:t>
      </w:r>
      <w:proofErr w:type="spellEnd"/>
      <w:r>
        <w:t xml:space="preserve"> </w:t>
      </w:r>
      <w:proofErr w:type="spellStart"/>
      <w:r>
        <w:t>lai</w:t>
      </w:r>
      <w:proofErr w:type="spellEnd"/>
      <w:r>
        <w:t xml:space="preserve"> </w:t>
      </w:r>
      <w:proofErr w:type="spellStart"/>
      <w:r>
        <w:t>na</w:t>
      </w:r>
      <w:proofErr w:type="spellEnd"/>
      <w:r>
        <w:t xml:space="preserve"> 200 gair.</w:t>
      </w:r>
    </w:p>
    <w:p w14:paraId="34CC27EF" w14:textId="77777777" w:rsidR="00A33E39" w:rsidRDefault="00A33E39" w:rsidP="00A33E39"/>
    <w:p w14:paraId="77DAEDEB" w14:textId="3027F3AD" w:rsidR="00A33E39" w:rsidRDefault="00A33E39" w:rsidP="00A33E39">
      <w:hyperlink r:id="rId4" w:history="1">
        <w:r w:rsidRPr="00572367">
          <w:rPr>
            <w:rStyle w:val="Hyperlink"/>
          </w:rPr>
          <w:t>https://www.youtube.com/watch?v=NtMDbdIC2VE</w:t>
        </w:r>
      </w:hyperlink>
    </w:p>
    <w:p w14:paraId="799ECC67" w14:textId="07BC0466" w:rsidR="00A33E39" w:rsidRDefault="00A33E39" w:rsidP="00A33E39"/>
    <w:p w14:paraId="53017AA5" w14:textId="20091531" w:rsidR="00A33E39" w:rsidRDefault="00A33E39" w:rsidP="00A33E39">
      <w:r>
        <w:t xml:space="preserve">A </w:t>
      </w:r>
      <w:proofErr w:type="spellStart"/>
      <w:r>
        <w:t>Dyma’r</w:t>
      </w:r>
      <w:proofErr w:type="spellEnd"/>
      <w:r>
        <w:t xml:space="preserve"> darn a </w:t>
      </w:r>
      <w:proofErr w:type="spellStart"/>
      <w:r>
        <w:t>gyflwynwyd</w:t>
      </w:r>
      <w:proofErr w:type="spellEnd"/>
      <w:r>
        <w:t xml:space="preserve"> </w:t>
      </w:r>
      <w:proofErr w:type="spellStart"/>
      <w:r>
        <w:t>yn</w:t>
      </w:r>
      <w:proofErr w:type="spellEnd"/>
      <w:r>
        <w:t xml:space="preserve"> y </w:t>
      </w:r>
      <w:proofErr w:type="spellStart"/>
      <w:r>
        <w:t>dosbarth</w:t>
      </w:r>
      <w:proofErr w:type="spellEnd"/>
      <w:r>
        <w:t xml:space="preserve"> </w:t>
      </w:r>
      <w:proofErr w:type="spellStart"/>
      <w:r>
        <w:t>yn</w:t>
      </w:r>
      <w:proofErr w:type="spellEnd"/>
      <w:r>
        <w:t xml:space="preserve"> </w:t>
      </w:r>
      <w:proofErr w:type="spellStart"/>
      <w:r>
        <w:t>esbonio</w:t>
      </w:r>
      <w:proofErr w:type="spellEnd"/>
      <w:r>
        <w:t xml:space="preserve"> </w:t>
      </w:r>
      <w:proofErr w:type="spellStart"/>
      <w:r>
        <w:t>gwreiddiau’r</w:t>
      </w:r>
      <w:proofErr w:type="spellEnd"/>
      <w:r>
        <w:t xml:space="preserve"> term ‘</w:t>
      </w:r>
      <w:proofErr w:type="spellStart"/>
      <w:r>
        <w:t>trawsieithu</w:t>
      </w:r>
      <w:proofErr w:type="spellEnd"/>
      <w:r>
        <w:t>’ (</w:t>
      </w:r>
      <w:proofErr w:type="spellStart"/>
      <w:r>
        <w:t>Translanguaging</w:t>
      </w:r>
      <w:proofErr w:type="spellEnd"/>
      <w:r>
        <w:t>):</w:t>
      </w:r>
    </w:p>
    <w:p w14:paraId="3D34D00B" w14:textId="2E1DFA2F" w:rsidR="00A33E39" w:rsidRDefault="00A33E39" w:rsidP="00A33E39"/>
    <w:p w14:paraId="4F139BCA" w14:textId="155E302F" w:rsidR="00A33E39" w:rsidRDefault="00A33E39" w:rsidP="00A33E39"/>
    <w:p w14:paraId="37FE3BC7" w14:textId="77777777" w:rsidR="00A33E39" w:rsidRDefault="00A33E39" w:rsidP="00A33E39">
      <w:pPr>
        <w:pStyle w:val="NormalWeb"/>
        <w:spacing w:before="120" w:beforeAutospacing="0" w:after="120" w:afterAutospacing="0"/>
        <w:rPr>
          <w:rFonts w:ascii="Arial" w:hAnsi="Arial" w:cs="Arial"/>
          <w:color w:val="202122"/>
          <w:sz w:val="21"/>
          <w:szCs w:val="21"/>
        </w:rPr>
      </w:pPr>
      <w:proofErr w:type="spellStart"/>
      <w:r>
        <w:rPr>
          <w:rFonts w:ascii="Arial" w:hAnsi="Arial" w:cs="Arial"/>
          <w:b/>
          <w:bCs/>
          <w:color w:val="202122"/>
          <w:sz w:val="21"/>
          <w:szCs w:val="21"/>
        </w:rPr>
        <w:t>Translanguaging</w:t>
      </w:r>
      <w:proofErr w:type="spellEnd"/>
      <w:r>
        <w:rPr>
          <w:rStyle w:val="apple-converted-space"/>
          <w:rFonts w:ascii="Arial" w:hAnsi="Arial" w:cs="Arial"/>
          <w:color w:val="202122"/>
          <w:sz w:val="21"/>
          <w:szCs w:val="21"/>
        </w:rPr>
        <w:t> </w:t>
      </w:r>
      <w:r>
        <w:rPr>
          <w:rFonts w:ascii="Arial" w:hAnsi="Arial" w:cs="Arial"/>
          <w:color w:val="202122"/>
          <w:sz w:val="21"/>
          <w:szCs w:val="21"/>
        </w:rPr>
        <w:t>can refer to a pedagogical process of utilizing more than one language within a classroom lesson or it can be used to describe the way bilinguals use their linguistic resources to make sense of and interact with the world around them.</w:t>
      </w:r>
      <w:hyperlink r:id="rId5" w:anchor="cite_note-1" w:history="1">
        <w:r>
          <w:rPr>
            <w:rStyle w:val="Hyperlink"/>
            <w:rFonts w:ascii="Arial" w:hAnsi="Arial" w:cs="Arial"/>
            <w:color w:val="795CB2"/>
            <w:sz w:val="17"/>
            <w:szCs w:val="17"/>
            <w:vertAlign w:val="superscript"/>
          </w:rPr>
          <w:t>[1]</w:t>
        </w:r>
      </w:hyperlink>
      <w:r>
        <w:rPr>
          <w:rStyle w:val="apple-converted-space"/>
          <w:rFonts w:ascii="Arial" w:hAnsi="Arial" w:cs="Arial"/>
          <w:color w:val="202122"/>
          <w:sz w:val="21"/>
          <w:szCs w:val="21"/>
        </w:rPr>
        <w:t> </w:t>
      </w:r>
      <w:r>
        <w:rPr>
          <w:rFonts w:ascii="Arial" w:hAnsi="Arial" w:cs="Arial"/>
          <w:color w:val="202122"/>
          <w:sz w:val="21"/>
          <w:szCs w:val="21"/>
        </w:rPr>
        <w:t>The term "</w:t>
      </w:r>
      <w:proofErr w:type="spellStart"/>
      <w:r>
        <w:rPr>
          <w:rFonts w:ascii="Arial" w:hAnsi="Arial" w:cs="Arial"/>
          <w:color w:val="202122"/>
          <w:sz w:val="21"/>
          <w:szCs w:val="21"/>
        </w:rPr>
        <w:t>translanguaging</w:t>
      </w:r>
      <w:proofErr w:type="spellEnd"/>
      <w:r>
        <w:rPr>
          <w:rFonts w:ascii="Arial" w:hAnsi="Arial" w:cs="Arial"/>
          <w:color w:val="202122"/>
          <w:sz w:val="21"/>
          <w:szCs w:val="21"/>
        </w:rPr>
        <w:t>" was coined in the 1980s by Cen Williams (applied in Welsh as</w:t>
      </w:r>
      <w:r>
        <w:rPr>
          <w:rStyle w:val="apple-converted-space"/>
          <w:rFonts w:ascii="Arial" w:hAnsi="Arial" w:cs="Arial"/>
          <w:color w:val="202122"/>
          <w:sz w:val="21"/>
          <w:szCs w:val="21"/>
        </w:rPr>
        <w:t> </w:t>
      </w:r>
      <w:proofErr w:type="spellStart"/>
      <w:r>
        <w:rPr>
          <w:rFonts w:ascii="Arial" w:hAnsi="Arial" w:cs="Arial"/>
          <w:i/>
          <w:iCs/>
          <w:color w:val="202122"/>
          <w:sz w:val="21"/>
          <w:szCs w:val="21"/>
        </w:rPr>
        <w:t>trawsieithu</w:t>
      </w:r>
      <w:proofErr w:type="spellEnd"/>
      <w:r>
        <w:rPr>
          <w:rFonts w:ascii="Arial" w:hAnsi="Arial" w:cs="Arial"/>
          <w:color w:val="202122"/>
          <w:sz w:val="21"/>
          <w:szCs w:val="21"/>
        </w:rPr>
        <w:t>) in his unpublished thesis titled “An Evaluation of Teaching and Learning Methods in the Context of Bilingual Secondary Education.”</w:t>
      </w:r>
      <w:hyperlink r:id="rId6" w:anchor="cite_note-:16-2" w:history="1">
        <w:r>
          <w:rPr>
            <w:rStyle w:val="Hyperlink"/>
            <w:rFonts w:ascii="Arial" w:hAnsi="Arial" w:cs="Arial"/>
            <w:color w:val="795CB2"/>
            <w:sz w:val="17"/>
            <w:szCs w:val="17"/>
            <w:vertAlign w:val="superscript"/>
          </w:rPr>
          <w:t>[2]</w:t>
        </w:r>
      </w:hyperlink>
      <w:hyperlink r:id="rId7" w:anchor="cite_note-3" w:history="1">
        <w:r>
          <w:rPr>
            <w:rStyle w:val="Hyperlink"/>
            <w:rFonts w:ascii="Arial" w:hAnsi="Arial" w:cs="Arial"/>
            <w:color w:val="795CB2"/>
            <w:sz w:val="17"/>
            <w:szCs w:val="17"/>
            <w:vertAlign w:val="superscript"/>
          </w:rPr>
          <w:t>[3]</w:t>
        </w:r>
      </w:hyperlink>
      <w:r>
        <w:rPr>
          <w:rStyle w:val="apple-converted-space"/>
          <w:rFonts w:ascii="Arial" w:hAnsi="Arial" w:cs="Arial"/>
          <w:color w:val="202122"/>
          <w:sz w:val="21"/>
          <w:szCs w:val="21"/>
        </w:rPr>
        <w:t> </w:t>
      </w:r>
      <w:r>
        <w:rPr>
          <w:rFonts w:ascii="Arial" w:hAnsi="Arial" w:cs="Arial"/>
          <w:color w:val="202122"/>
          <w:sz w:val="21"/>
          <w:szCs w:val="21"/>
        </w:rPr>
        <w:t>Williams used the term to describe the practice of using two languages in the same lesson, which differed from many previous methods of bilingual education that tried to separate languages by class, time, or day.</w:t>
      </w:r>
      <w:hyperlink r:id="rId8" w:anchor="cite_note-4" w:history="1">
        <w:r>
          <w:rPr>
            <w:rStyle w:val="Hyperlink"/>
            <w:rFonts w:ascii="Arial" w:hAnsi="Arial" w:cs="Arial"/>
            <w:color w:val="795CB2"/>
            <w:sz w:val="17"/>
            <w:szCs w:val="17"/>
            <w:vertAlign w:val="superscript"/>
          </w:rPr>
          <w:t>[4]</w:t>
        </w:r>
      </w:hyperlink>
      <w:r>
        <w:rPr>
          <w:rStyle w:val="apple-converted-space"/>
          <w:rFonts w:ascii="Arial" w:hAnsi="Arial" w:cs="Arial"/>
          <w:color w:val="202122"/>
          <w:sz w:val="21"/>
          <w:szCs w:val="21"/>
        </w:rPr>
        <w:t> </w:t>
      </w:r>
      <w:r>
        <w:rPr>
          <w:rFonts w:ascii="Arial" w:hAnsi="Arial" w:cs="Arial"/>
          <w:color w:val="202122"/>
          <w:sz w:val="21"/>
          <w:szCs w:val="21"/>
        </w:rPr>
        <w:t xml:space="preserve">In addition, Vogel and Garcia argued that </w:t>
      </w:r>
      <w:proofErr w:type="spellStart"/>
      <w:r>
        <w:rPr>
          <w:rFonts w:ascii="Arial" w:hAnsi="Arial" w:cs="Arial"/>
          <w:color w:val="202122"/>
          <w:sz w:val="21"/>
          <w:szCs w:val="21"/>
        </w:rPr>
        <w:t>translanguaging</w:t>
      </w:r>
      <w:proofErr w:type="spellEnd"/>
      <w:r>
        <w:rPr>
          <w:rFonts w:ascii="Arial" w:hAnsi="Arial" w:cs="Arial"/>
          <w:color w:val="202122"/>
          <w:sz w:val="21"/>
          <w:szCs w:val="21"/>
        </w:rPr>
        <w:t xml:space="preserve"> theory posits that rather than possessing two or more autonomous language systems, as previously thought when scholars described bilingual or multilingual speakers, bilinguals and multilingual speakers select and deploy their languages from a unitary linguistic repertoire.</w:t>
      </w:r>
      <w:hyperlink r:id="rId9" w:anchor="cite_note-5" w:history="1">
        <w:r>
          <w:rPr>
            <w:rStyle w:val="Hyperlink"/>
            <w:rFonts w:ascii="Arial" w:hAnsi="Arial" w:cs="Arial"/>
            <w:color w:val="795CB2"/>
            <w:sz w:val="17"/>
            <w:szCs w:val="17"/>
            <w:vertAlign w:val="superscript"/>
          </w:rPr>
          <w:t>[5]</w:t>
        </w:r>
      </w:hyperlink>
      <w:r>
        <w:rPr>
          <w:rStyle w:val="apple-converted-space"/>
          <w:rFonts w:ascii="Arial" w:hAnsi="Arial" w:cs="Arial"/>
          <w:color w:val="202122"/>
          <w:sz w:val="21"/>
          <w:szCs w:val="21"/>
        </w:rPr>
        <w:t> </w:t>
      </w:r>
      <w:r>
        <w:rPr>
          <w:rFonts w:ascii="Arial" w:hAnsi="Arial" w:cs="Arial"/>
          <w:color w:val="202122"/>
          <w:sz w:val="21"/>
          <w:szCs w:val="21"/>
        </w:rPr>
        <w:t>However, the dissemination of the term, and of the related concept, gained traction decades later due in part to published research by</w:t>
      </w:r>
      <w:r>
        <w:rPr>
          <w:rStyle w:val="apple-converted-space"/>
          <w:rFonts w:ascii="Arial" w:hAnsi="Arial" w:cs="Arial"/>
          <w:color w:val="202122"/>
          <w:sz w:val="21"/>
          <w:szCs w:val="21"/>
        </w:rPr>
        <w:t> </w:t>
      </w:r>
      <w:hyperlink r:id="rId10" w:tooltip="Ofelia García (educator)" w:history="1">
        <w:r>
          <w:rPr>
            <w:rStyle w:val="Hyperlink"/>
            <w:rFonts w:ascii="Arial" w:hAnsi="Arial" w:cs="Arial"/>
            <w:color w:val="795CB2"/>
            <w:sz w:val="21"/>
            <w:szCs w:val="21"/>
          </w:rPr>
          <w:t>Ofelia García</w:t>
        </w:r>
      </w:hyperlink>
      <w:r>
        <w:rPr>
          <w:rFonts w:ascii="Arial" w:hAnsi="Arial" w:cs="Arial"/>
          <w:color w:val="202122"/>
          <w:sz w:val="21"/>
          <w:szCs w:val="21"/>
        </w:rPr>
        <w:t>, among others.</w:t>
      </w:r>
      <w:hyperlink r:id="rId11" w:anchor="cite_note-:16-2" w:history="1">
        <w:r>
          <w:rPr>
            <w:rStyle w:val="Hyperlink"/>
            <w:rFonts w:ascii="Arial" w:hAnsi="Arial" w:cs="Arial"/>
            <w:color w:val="795CB2"/>
            <w:sz w:val="17"/>
            <w:szCs w:val="17"/>
            <w:vertAlign w:val="superscript"/>
          </w:rPr>
          <w:t>[2]</w:t>
        </w:r>
      </w:hyperlink>
      <w:r>
        <w:rPr>
          <w:rStyle w:val="apple-converted-space"/>
          <w:rFonts w:ascii="Arial" w:hAnsi="Arial" w:cs="Arial"/>
          <w:color w:val="202122"/>
          <w:sz w:val="21"/>
          <w:szCs w:val="21"/>
        </w:rPr>
        <w:t> </w:t>
      </w:r>
      <w:r>
        <w:rPr>
          <w:rFonts w:ascii="Arial" w:hAnsi="Arial" w:cs="Arial"/>
          <w:color w:val="202122"/>
          <w:sz w:val="21"/>
          <w:szCs w:val="21"/>
        </w:rPr>
        <w:t xml:space="preserve">In this context, </w:t>
      </w:r>
      <w:proofErr w:type="spellStart"/>
      <w:r>
        <w:rPr>
          <w:rFonts w:ascii="Arial" w:hAnsi="Arial" w:cs="Arial"/>
          <w:color w:val="202122"/>
          <w:sz w:val="21"/>
          <w:szCs w:val="21"/>
        </w:rPr>
        <w:t>translanguaging</w:t>
      </w:r>
      <w:proofErr w:type="spellEnd"/>
      <w:r>
        <w:rPr>
          <w:rFonts w:ascii="Arial" w:hAnsi="Arial" w:cs="Arial"/>
          <w:color w:val="202122"/>
          <w:sz w:val="21"/>
          <w:szCs w:val="21"/>
        </w:rPr>
        <w:t xml:space="preserve"> is an extension of the concept of</w:t>
      </w:r>
      <w:r>
        <w:rPr>
          <w:rStyle w:val="apple-converted-space"/>
          <w:rFonts w:ascii="Arial" w:hAnsi="Arial" w:cs="Arial"/>
          <w:color w:val="202122"/>
          <w:sz w:val="21"/>
          <w:szCs w:val="21"/>
        </w:rPr>
        <w:t> </w:t>
      </w:r>
      <w:proofErr w:type="spellStart"/>
      <w:r>
        <w:rPr>
          <w:rFonts w:ascii="Arial" w:hAnsi="Arial" w:cs="Arial"/>
          <w:color w:val="202122"/>
          <w:sz w:val="21"/>
          <w:szCs w:val="21"/>
        </w:rPr>
        <w:fldChar w:fldCharType="begin"/>
      </w:r>
      <w:r>
        <w:rPr>
          <w:rFonts w:ascii="Arial" w:hAnsi="Arial" w:cs="Arial"/>
          <w:color w:val="202122"/>
          <w:sz w:val="21"/>
          <w:szCs w:val="21"/>
        </w:rPr>
        <w:instrText xml:space="preserve"> HYPERLINK "https://en.wikipedia.org/w/index.php?title=Languaging&amp;action=edit&amp;redlink=1" \o "Languaging (page does not exist)" </w:instrText>
      </w:r>
      <w:r>
        <w:rPr>
          <w:rFonts w:ascii="Arial" w:hAnsi="Arial" w:cs="Arial"/>
          <w:color w:val="202122"/>
          <w:sz w:val="21"/>
          <w:szCs w:val="21"/>
        </w:rPr>
        <w:fldChar w:fldCharType="separate"/>
      </w:r>
      <w:r>
        <w:rPr>
          <w:rStyle w:val="Hyperlink"/>
          <w:rFonts w:ascii="Arial" w:hAnsi="Arial" w:cs="Arial"/>
          <w:color w:val="A55858"/>
          <w:sz w:val="21"/>
          <w:szCs w:val="21"/>
        </w:rPr>
        <w:t>languaging</w:t>
      </w:r>
      <w:proofErr w:type="spellEnd"/>
      <w:r>
        <w:rPr>
          <w:rFonts w:ascii="Arial" w:hAnsi="Arial" w:cs="Arial"/>
          <w:color w:val="202122"/>
          <w:sz w:val="21"/>
          <w:szCs w:val="21"/>
        </w:rPr>
        <w:fldChar w:fldCharType="end"/>
      </w:r>
      <w:r>
        <w:rPr>
          <w:rFonts w:ascii="Arial" w:hAnsi="Arial" w:cs="Arial"/>
          <w:color w:val="202122"/>
          <w:sz w:val="21"/>
          <w:szCs w:val="21"/>
        </w:rPr>
        <w:t>, the discursive practices of language speakers, but with the additional feature of using multiple languages, often simultaneously.</w:t>
      </w:r>
      <w:hyperlink r:id="rId12" w:anchor="cite_note-:11-6" w:history="1">
        <w:r>
          <w:rPr>
            <w:rStyle w:val="Hyperlink"/>
            <w:rFonts w:ascii="Arial" w:hAnsi="Arial" w:cs="Arial"/>
            <w:color w:val="795CB2"/>
            <w:sz w:val="17"/>
            <w:szCs w:val="17"/>
            <w:vertAlign w:val="superscript"/>
          </w:rPr>
          <w:t>[6]</w:t>
        </w:r>
      </w:hyperlink>
      <w:r>
        <w:rPr>
          <w:rStyle w:val="apple-converted-space"/>
          <w:rFonts w:ascii="Arial" w:hAnsi="Arial" w:cs="Arial"/>
          <w:color w:val="202122"/>
          <w:sz w:val="21"/>
          <w:szCs w:val="21"/>
        </w:rPr>
        <w:t> </w:t>
      </w:r>
      <w:r>
        <w:rPr>
          <w:rFonts w:ascii="Arial" w:hAnsi="Arial" w:cs="Arial"/>
          <w:color w:val="202122"/>
          <w:sz w:val="21"/>
          <w:szCs w:val="21"/>
        </w:rPr>
        <w:t>It is a dynamic process in which multilingual speakers navigate complex social and cognitive demands through strategic employment of multiple languages.</w:t>
      </w:r>
      <w:hyperlink r:id="rId13" w:anchor="cite_note-7" w:history="1">
        <w:r>
          <w:rPr>
            <w:rStyle w:val="Hyperlink"/>
            <w:rFonts w:ascii="Arial" w:hAnsi="Arial" w:cs="Arial"/>
            <w:color w:val="795CB2"/>
            <w:sz w:val="17"/>
            <w:szCs w:val="17"/>
            <w:vertAlign w:val="superscript"/>
          </w:rPr>
          <w:t>[7]</w:t>
        </w:r>
      </w:hyperlink>
    </w:p>
    <w:p w14:paraId="2F480FBF" w14:textId="77777777" w:rsidR="00A33E39" w:rsidRDefault="00A33E39" w:rsidP="00A33E39">
      <w:pPr>
        <w:rPr>
          <w:rFonts w:ascii="Times New Roman" w:hAnsi="Times New Roman" w:cs="Times New Roman"/>
        </w:rPr>
      </w:pPr>
    </w:p>
    <w:p w14:paraId="596B34C5" w14:textId="77777777" w:rsidR="00A33E39" w:rsidRDefault="00A33E39" w:rsidP="00A33E39"/>
    <w:sectPr w:rsidR="00A33E39" w:rsidSect="000E71D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E39"/>
    <w:rsid w:val="000E71D1"/>
    <w:rsid w:val="00A33E39"/>
    <w:rsid w:val="00C13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49ED1F"/>
  <w15:chartTrackingRefBased/>
  <w15:docId w15:val="{207EDFBF-17DA-8B4C-9F67-913E738A2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3E39"/>
    <w:rPr>
      <w:color w:val="0563C1" w:themeColor="hyperlink"/>
      <w:u w:val="single"/>
    </w:rPr>
  </w:style>
  <w:style w:type="character" w:styleId="UnresolvedMention">
    <w:name w:val="Unresolved Mention"/>
    <w:basedOn w:val="DefaultParagraphFont"/>
    <w:uiPriority w:val="99"/>
    <w:semiHidden/>
    <w:unhideWhenUsed/>
    <w:rsid w:val="00A33E39"/>
    <w:rPr>
      <w:color w:val="605E5C"/>
      <w:shd w:val="clear" w:color="auto" w:fill="E1DFDD"/>
    </w:rPr>
  </w:style>
  <w:style w:type="paragraph" w:styleId="NormalWeb">
    <w:name w:val="Normal (Web)"/>
    <w:basedOn w:val="Normal"/>
    <w:uiPriority w:val="99"/>
    <w:semiHidden/>
    <w:unhideWhenUsed/>
    <w:rsid w:val="00A33E3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33E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0191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Translanguaging" TargetMode="External"/><Relationship Id="rId13" Type="http://schemas.openxmlformats.org/officeDocument/2006/relationships/hyperlink" Target="https://en.wikipedia.org/wiki/Translanguaging" TargetMode="External"/><Relationship Id="rId3" Type="http://schemas.openxmlformats.org/officeDocument/2006/relationships/webSettings" Target="webSettings.xml"/><Relationship Id="rId7" Type="http://schemas.openxmlformats.org/officeDocument/2006/relationships/hyperlink" Target="https://en.wikipedia.org/wiki/Translanguaging" TargetMode="External"/><Relationship Id="rId12" Type="http://schemas.openxmlformats.org/officeDocument/2006/relationships/hyperlink" Target="https://en.wikipedia.org/wiki/Translanguag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Translanguaging" TargetMode="External"/><Relationship Id="rId11" Type="http://schemas.openxmlformats.org/officeDocument/2006/relationships/hyperlink" Target="https://en.wikipedia.org/wiki/Translanguaging" TargetMode="External"/><Relationship Id="rId5" Type="http://schemas.openxmlformats.org/officeDocument/2006/relationships/hyperlink" Target="https://en.wikipedia.org/wiki/Translanguaging" TargetMode="External"/><Relationship Id="rId15" Type="http://schemas.openxmlformats.org/officeDocument/2006/relationships/theme" Target="theme/theme1.xml"/><Relationship Id="rId10" Type="http://schemas.openxmlformats.org/officeDocument/2006/relationships/hyperlink" Target="https://en.wikipedia.org/wiki/Ofelia_Garc%C3%ADa_(educator)" TargetMode="External"/><Relationship Id="rId4" Type="http://schemas.openxmlformats.org/officeDocument/2006/relationships/hyperlink" Target="https://www.youtube.com/watch?v=NtMDbdIC2VE" TargetMode="External"/><Relationship Id="rId9" Type="http://schemas.openxmlformats.org/officeDocument/2006/relationships/hyperlink" Target="https://en.wikipedia.org/wiki/Translanguag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419</Words>
  <Characters>2394</Characters>
  <Application>Microsoft Office Word</Application>
  <DocSecurity>0</DocSecurity>
  <Lines>19</Lines>
  <Paragraphs>5</Paragraphs>
  <ScaleCrop>false</ScaleCrop>
  <Company/>
  <LinksUpToDate>false</LinksUpToDate>
  <CharactersWithSpaces>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Phillips</dc:creator>
  <cp:keywords/>
  <dc:description/>
  <cp:lastModifiedBy>Helen Phillips</cp:lastModifiedBy>
  <cp:revision>1</cp:revision>
  <dcterms:created xsi:type="dcterms:W3CDTF">2023-03-02T10:37:00Z</dcterms:created>
  <dcterms:modified xsi:type="dcterms:W3CDTF">2023-03-02T10:40:00Z</dcterms:modified>
</cp:coreProperties>
</file>