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63BC3" w14:textId="77777777" w:rsidR="00822DD7" w:rsidRDefault="00822DD7" w:rsidP="00822DD7">
      <w:pPr>
        <w:pStyle w:val="NormalWeb"/>
        <w:spacing w:before="0" w:beforeAutospacing="0" w:after="0" w:afterAutospacing="0" w:line="360" w:lineRule="auto"/>
        <w:jc w:val="center"/>
        <w:rPr>
          <w:rFonts w:ascii="Arial" w:hAnsi="Arial" w:cs="Arial"/>
          <w:b/>
          <w:bCs/>
          <w:sz w:val="32"/>
          <w:szCs w:val="32"/>
        </w:rPr>
      </w:pPr>
      <w:r w:rsidRPr="00C77682">
        <w:rPr>
          <w:rFonts w:ascii="Arial" w:hAnsi="Arial" w:cs="Arial"/>
          <w:b/>
          <w:noProof/>
          <w:color w:val="000000"/>
          <w:kern w:val="24"/>
          <w:sz w:val="48"/>
          <w:szCs w:val="48"/>
        </w:rPr>
        <w:drawing>
          <wp:inline distT="0" distB="0" distL="0" distR="0" wp14:anchorId="24896933" wp14:editId="469584CC">
            <wp:extent cx="1028700" cy="1028700"/>
            <wp:effectExtent l="0" t="0" r="0" b="0"/>
            <wp:docPr id="258067719" name="Picture 1" descr="A black and yellow shield with blue flowers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439686" descr="A black and yellow shield with blue flowers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inline>
        </w:drawing>
      </w:r>
    </w:p>
    <w:p w14:paraId="037F6642" w14:textId="77777777" w:rsidR="00822DD7" w:rsidRDefault="00822DD7" w:rsidP="00822DD7">
      <w:pPr>
        <w:pStyle w:val="NormalWeb"/>
        <w:spacing w:before="0" w:beforeAutospacing="0" w:after="0" w:afterAutospacing="0" w:line="360" w:lineRule="auto"/>
        <w:jc w:val="center"/>
        <w:rPr>
          <w:rFonts w:ascii="Arial" w:hAnsi="Arial" w:cs="Arial"/>
          <w:b/>
          <w:bCs/>
          <w:sz w:val="32"/>
          <w:szCs w:val="32"/>
        </w:rPr>
      </w:pPr>
    </w:p>
    <w:p w14:paraId="4982B137" w14:textId="77777777" w:rsidR="00822DD7" w:rsidRDefault="00822DD7" w:rsidP="00822DD7">
      <w:pPr>
        <w:pStyle w:val="NormalWeb"/>
        <w:spacing w:before="0" w:beforeAutospacing="0" w:after="0" w:afterAutospacing="0"/>
        <w:jc w:val="center"/>
        <w:rPr>
          <w:rFonts w:ascii="Arial" w:hAnsi="Arial" w:cs="Arial"/>
          <w:b/>
          <w:bCs/>
          <w:color w:val="000000"/>
          <w:kern w:val="24"/>
          <w:sz w:val="48"/>
          <w:szCs w:val="48"/>
        </w:rPr>
      </w:pPr>
      <w:r w:rsidRPr="00E13857">
        <w:rPr>
          <w:rFonts w:ascii="Arial" w:hAnsi="Arial" w:cs="Arial"/>
          <w:b/>
          <w:bCs/>
          <w:color w:val="000000"/>
          <w:kern w:val="24"/>
          <w:sz w:val="48"/>
          <w:szCs w:val="48"/>
        </w:rPr>
        <w:t>University of Wale</w:t>
      </w:r>
      <w:r>
        <w:rPr>
          <w:rFonts w:ascii="Arial" w:hAnsi="Arial" w:cs="Arial"/>
          <w:b/>
          <w:bCs/>
          <w:color w:val="000000"/>
          <w:kern w:val="24"/>
          <w:sz w:val="48"/>
          <w:szCs w:val="48"/>
        </w:rPr>
        <w:t xml:space="preserve">s </w:t>
      </w:r>
      <w:r w:rsidRPr="00E13857">
        <w:rPr>
          <w:rFonts w:ascii="Arial" w:hAnsi="Arial" w:cs="Arial"/>
          <w:b/>
          <w:bCs/>
          <w:color w:val="000000"/>
          <w:kern w:val="24"/>
          <w:sz w:val="48"/>
          <w:szCs w:val="48"/>
        </w:rPr>
        <w:t>Trinity Saint David</w:t>
      </w:r>
    </w:p>
    <w:p w14:paraId="3585C7F0" w14:textId="77777777" w:rsidR="00822DD7" w:rsidRPr="00406C7D" w:rsidRDefault="00822DD7" w:rsidP="00822DD7">
      <w:pPr>
        <w:pStyle w:val="NormalWeb"/>
        <w:spacing w:before="0" w:beforeAutospacing="0" w:after="0" w:afterAutospacing="0"/>
        <w:jc w:val="center"/>
        <w:rPr>
          <w:rFonts w:ascii="Arial" w:hAnsi="Arial" w:cs="Arial"/>
          <w:sz w:val="48"/>
          <w:szCs w:val="48"/>
        </w:rPr>
      </w:pPr>
    </w:p>
    <w:p w14:paraId="35D57082" w14:textId="77777777" w:rsidR="00822DD7" w:rsidRDefault="00822DD7" w:rsidP="00822DD7">
      <w:pPr>
        <w:pStyle w:val="NormalWeb"/>
        <w:spacing w:before="0" w:beforeAutospacing="0" w:after="0" w:afterAutospacing="0" w:line="360" w:lineRule="auto"/>
        <w:jc w:val="center"/>
        <w:rPr>
          <w:rFonts w:ascii="Arial" w:hAnsi="Arial" w:cs="Arial"/>
          <w:b/>
          <w:bCs/>
          <w:sz w:val="32"/>
          <w:szCs w:val="32"/>
        </w:rPr>
      </w:pPr>
    </w:p>
    <w:p w14:paraId="584A09C9" w14:textId="77777777" w:rsidR="00822DD7" w:rsidRDefault="00822DD7" w:rsidP="00822DD7">
      <w:pPr>
        <w:pStyle w:val="NormalWeb"/>
        <w:spacing w:before="0" w:beforeAutospacing="0" w:after="0" w:afterAutospacing="0" w:line="360" w:lineRule="auto"/>
        <w:jc w:val="center"/>
        <w:rPr>
          <w:rFonts w:ascii="Arial" w:hAnsi="Arial" w:cs="Arial"/>
          <w:sz w:val="32"/>
          <w:szCs w:val="32"/>
        </w:rPr>
      </w:pPr>
      <w:r w:rsidRPr="00E13857">
        <w:rPr>
          <w:rFonts w:ascii="Arial" w:hAnsi="Arial" w:cs="Arial"/>
          <w:b/>
          <w:bCs/>
          <w:sz w:val="32"/>
          <w:szCs w:val="32"/>
        </w:rPr>
        <w:t>Programme:</w:t>
      </w:r>
      <w:r w:rsidRPr="00E13857">
        <w:rPr>
          <w:rFonts w:ascii="Arial" w:hAnsi="Arial" w:cs="Arial"/>
          <w:sz w:val="32"/>
          <w:szCs w:val="32"/>
        </w:rPr>
        <w:t xml:space="preserve"> </w:t>
      </w:r>
      <w:r w:rsidRPr="0090361E">
        <w:rPr>
          <w:rFonts w:ascii="Arial" w:hAnsi="Arial" w:cs="Arial"/>
          <w:sz w:val="32"/>
          <w:szCs w:val="32"/>
        </w:rPr>
        <w:t>BA (Hons) Business Management</w:t>
      </w:r>
    </w:p>
    <w:p w14:paraId="7E3CC4C8" w14:textId="77777777" w:rsidR="00822DD7" w:rsidRPr="00E13857" w:rsidRDefault="00822DD7" w:rsidP="00822DD7">
      <w:pPr>
        <w:pStyle w:val="NormalWeb"/>
        <w:spacing w:before="0" w:beforeAutospacing="0" w:after="0" w:afterAutospacing="0" w:line="360" w:lineRule="auto"/>
        <w:jc w:val="center"/>
        <w:rPr>
          <w:rFonts w:ascii="Arial" w:hAnsi="Arial" w:cs="Arial"/>
          <w:color w:val="000000"/>
          <w:kern w:val="24"/>
          <w:sz w:val="32"/>
          <w:szCs w:val="32"/>
        </w:rPr>
      </w:pPr>
    </w:p>
    <w:p w14:paraId="2B6646B4" w14:textId="77AE7E9F" w:rsidR="00822DD7" w:rsidRDefault="00822DD7" w:rsidP="00822DD7">
      <w:pPr>
        <w:pStyle w:val="NormalWeb"/>
        <w:spacing w:after="0" w:line="360" w:lineRule="auto"/>
        <w:jc w:val="center"/>
        <w:rPr>
          <w:rFonts w:ascii="Arial" w:hAnsi="Arial" w:cs="Arial"/>
          <w:color w:val="000000"/>
          <w:kern w:val="24"/>
          <w:sz w:val="32"/>
          <w:szCs w:val="32"/>
        </w:rPr>
      </w:pPr>
      <w:r w:rsidRPr="00E13857">
        <w:rPr>
          <w:rFonts w:ascii="Arial" w:hAnsi="Arial" w:cs="Arial"/>
          <w:b/>
          <w:bCs/>
          <w:color w:val="000000"/>
          <w:kern w:val="24"/>
          <w:sz w:val="32"/>
          <w:szCs w:val="32"/>
        </w:rPr>
        <w:t>Module:</w:t>
      </w:r>
      <w:r w:rsidRPr="00E13857">
        <w:rPr>
          <w:rFonts w:ascii="Arial" w:hAnsi="Arial" w:cs="Arial"/>
          <w:color w:val="000000"/>
          <w:kern w:val="24"/>
          <w:sz w:val="32"/>
          <w:szCs w:val="32"/>
        </w:rPr>
        <w:t xml:space="preserve"> </w:t>
      </w:r>
      <w:r>
        <w:rPr>
          <w:rFonts w:ascii="Arial" w:hAnsi="Arial" w:cs="Arial"/>
          <w:color w:val="000000"/>
          <w:kern w:val="24"/>
          <w:sz w:val="32"/>
          <w:szCs w:val="32"/>
        </w:rPr>
        <w:t xml:space="preserve">Management Accounting for Managers </w:t>
      </w:r>
    </w:p>
    <w:p w14:paraId="0DB32356" w14:textId="77777777" w:rsidR="00822DD7" w:rsidRPr="00E13857" w:rsidRDefault="00822DD7" w:rsidP="00822DD7">
      <w:pPr>
        <w:pStyle w:val="NormalWeb"/>
        <w:spacing w:after="0" w:line="360" w:lineRule="auto"/>
        <w:jc w:val="center"/>
        <w:rPr>
          <w:rFonts w:ascii="Arial" w:hAnsi="Arial" w:cs="Arial"/>
          <w:color w:val="000000"/>
          <w:kern w:val="24"/>
          <w:sz w:val="32"/>
          <w:szCs w:val="32"/>
        </w:rPr>
      </w:pPr>
    </w:p>
    <w:p w14:paraId="2C5F59B5" w14:textId="456CFA4D" w:rsidR="00822DD7" w:rsidRDefault="00822DD7" w:rsidP="00822DD7">
      <w:pPr>
        <w:pStyle w:val="NormalWeb"/>
        <w:spacing w:after="0" w:line="360" w:lineRule="auto"/>
        <w:jc w:val="center"/>
        <w:rPr>
          <w:rFonts w:ascii="Arial" w:hAnsi="Arial" w:cs="Arial"/>
          <w:color w:val="000000"/>
          <w:kern w:val="24"/>
          <w:sz w:val="32"/>
          <w:szCs w:val="32"/>
        </w:rPr>
      </w:pPr>
      <w:r w:rsidRPr="00E13857">
        <w:rPr>
          <w:rFonts w:ascii="Arial" w:hAnsi="Arial" w:cs="Arial"/>
          <w:b/>
          <w:bCs/>
          <w:color w:val="000000"/>
          <w:kern w:val="24"/>
          <w:sz w:val="32"/>
          <w:szCs w:val="32"/>
        </w:rPr>
        <w:t>Module Code:</w:t>
      </w:r>
      <w:r w:rsidRPr="00E13857">
        <w:rPr>
          <w:rFonts w:ascii="Arial" w:hAnsi="Arial" w:cs="Arial"/>
          <w:color w:val="000000"/>
          <w:kern w:val="24"/>
          <w:sz w:val="32"/>
          <w:szCs w:val="32"/>
        </w:rPr>
        <w:t xml:space="preserve"> </w:t>
      </w:r>
      <w:r w:rsidRPr="00F22F61">
        <w:rPr>
          <w:rFonts w:ascii="Arial" w:hAnsi="Arial" w:cs="Arial"/>
          <w:color w:val="000000"/>
          <w:kern w:val="24"/>
          <w:sz w:val="32"/>
          <w:szCs w:val="32"/>
        </w:rPr>
        <w:t>LCBB501</w:t>
      </w:r>
      <w:r w:rsidR="00634E01">
        <w:rPr>
          <w:rFonts w:ascii="Arial" w:hAnsi="Arial" w:cs="Arial"/>
          <w:color w:val="000000"/>
          <w:kern w:val="24"/>
          <w:sz w:val="32"/>
          <w:szCs w:val="32"/>
        </w:rPr>
        <w:t>0</w:t>
      </w:r>
    </w:p>
    <w:p w14:paraId="610148D2" w14:textId="636E419F" w:rsidR="00822DD7" w:rsidRDefault="00822DD7" w:rsidP="00822DD7">
      <w:pPr>
        <w:pStyle w:val="NormalWeb"/>
        <w:spacing w:after="0" w:line="360" w:lineRule="auto"/>
        <w:jc w:val="center"/>
        <w:rPr>
          <w:rFonts w:ascii="Arial" w:hAnsi="Arial" w:cs="Arial"/>
          <w:color w:val="000000"/>
          <w:kern w:val="24"/>
          <w:sz w:val="32"/>
          <w:szCs w:val="32"/>
        </w:rPr>
      </w:pPr>
      <w:r w:rsidRPr="00E13857">
        <w:rPr>
          <w:rFonts w:ascii="Arial" w:hAnsi="Arial" w:cs="Arial"/>
          <w:b/>
          <w:bCs/>
          <w:color w:val="000000"/>
          <w:kern w:val="24"/>
          <w:sz w:val="32"/>
          <w:szCs w:val="32"/>
        </w:rPr>
        <w:t>Assignment Title:</w:t>
      </w:r>
      <w:r w:rsidRPr="00E13857">
        <w:rPr>
          <w:rFonts w:ascii="Arial" w:hAnsi="Arial" w:cs="Arial"/>
          <w:color w:val="000000"/>
          <w:kern w:val="24"/>
          <w:sz w:val="32"/>
          <w:szCs w:val="32"/>
        </w:rPr>
        <w:t xml:space="preserve"> </w:t>
      </w:r>
      <w:r w:rsidR="00634E01">
        <w:rPr>
          <w:rFonts w:ascii="Arial" w:hAnsi="Arial" w:cs="Arial"/>
          <w:color w:val="000000"/>
          <w:kern w:val="24"/>
          <w:sz w:val="32"/>
          <w:szCs w:val="32"/>
        </w:rPr>
        <w:t>Assessment 1</w:t>
      </w:r>
      <w:r w:rsidRPr="00F22F61">
        <w:rPr>
          <w:rFonts w:ascii="Arial" w:hAnsi="Arial" w:cs="Arial"/>
          <w:color w:val="000000"/>
          <w:kern w:val="24"/>
          <w:sz w:val="32"/>
          <w:szCs w:val="32"/>
        </w:rPr>
        <w:t>:</w:t>
      </w:r>
      <w:r w:rsidR="00634E01">
        <w:rPr>
          <w:rFonts w:ascii="Arial" w:hAnsi="Arial" w:cs="Arial"/>
          <w:color w:val="000000"/>
          <w:kern w:val="24"/>
          <w:sz w:val="32"/>
          <w:szCs w:val="32"/>
        </w:rPr>
        <w:t xml:space="preserve"> Individual </w:t>
      </w:r>
      <w:r w:rsidRPr="00F22F61">
        <w:rPr>
          <w:rFonts w:ascii="Arial" w:hAnsi="Arial" w:cs="Arial"/>
          <w:color w:val="000000"/>
          <w:kern w:val="24"/>
          <w:sz w:val="32"/>
          <w:szCs w:val="32"/>
        </w:rPr>
        <w:t>Report</w:t>
      </w:r>
    </w:p>
    <w:p w14:paraId="095398DA" w14:textId="77777777" w:rsidR="00822DD7" w:rsidRDefault="00822DD7" w:rsidP="00822DD7">
      <w:pPr>
        <w:pStyle w:val="NormalWeb"/>
        <w:spacing w:after="0" w:line="360" w:lineRule="auto"/>
        <w:jc w:val="center"/>
        <w:rPr>
          <w:rFonts w:ascii="Arial" w:hAnsi="Arial" w:cs="Arial"/>
          <w:color w:val="000000"/>
          <w:kern w:val="24"/>
          <w:sz w:val="32"/>
          <w:szCs w:val="32"/>
        </w:rPr>
      </w:pPr>
    </w:p>
    <w:p w14:paraId="0E016855" w14:textId="77777777" w:rsidR="00822DD7" w:rsidRPr="00E13857" w:rsidRDefault="00822DD7" w:rsidP="00822DD7">
      <w:pPr>
        <w:pStyle w:val="NormalWeb"/>
        <w:spacing w:after="0" w:line="360" w:lineRule="auto"/>
        <w:jc w:val="center"/>
        <w:rPr>
          <w:rFonts w:ascii="Arial" w:hAnsi="Arial" w:cs="Arial"/>
          <w:color w:val="000000"/>
          <w:kern w:val="24"/>
          <w:sz w:val="32"/>
          <w:szCs w:val="32"/>
        </w:rPr>
      </w:pPr>
    </w:p>
    <w:p w14:paraId="671BA0A2" w14:textId="77777777" w:rsidR="00822DD7" w:rsidRPr="00F22F61" w:rsidRDefault="00822DD7" w:rsidP="00822DD7">
      <w:pPr>
        <w:pStyle w:val="NormalWeb"/>
        <w:spacing w:before="0" w:beforeAutospacing="0" w:after="0" w:afterAutospacing="0" w:line="360" w:lineRule="auto"/>
        <w:jc w:val="center"/>
        <w:rPr>
          <w:rFonts w:ascii="Arial" w:hAnsi="Arial" w:cs="Arial"/>
          <w:sz w:val="32"/>
          <w:szCs w:val="32"/>
        </w:rPr>
      </w:pPr>
      <w:r w:rsidRPr="00F22F61">
        <w:rPr>
          <w:rFonts w:ascii="Arial" w:hAnsi="Arial" w:cs="Arial"/>
          <w:b/>
          <w:bCs/>
          <w:color w:val="000000"/>
          <w:kern w:val="24"/>
          <w:sz w:val="32"/>
          <w:szCs w:val="32"/>
        </w:rPr>
        <w:t>Student Name:</w:t>
      </w:r>
      <w:r>
        <w:rPr>
          <w:rFonts w:ascii="Arial" w:hAnsi="Arial" w:cs="Arial"/>
          <w:color w:val="000000"/>
          <w:kern w:val="24"/>
          <w:sz w:val="32"/>
          <w:szCs w:val="32"/>
        </w:rPr>
        <w:t xml:space="preserve"> </w:t>
      </w:r>
      <w:r w:rsidRPr="00F22F61">
        <w:rPr>
          <w:rFonts w:ascii="Arial" w:hAnsi="Arial" w:cs="Arial"/>
          <w:color w:val="000000"/>
          <w:kern w:val="24"/>
          <w:sz w:val="32"/>
          <w:szCs w:val="32"/>
        </w:rPr>
        <w:t>Alisa-Ioana Mercar</w:t>
      </w:r>
    </w:p>
    <w:p w14:paraId="29EE64F5" w14:textId="77777777" w:rsidR="00822DD7" w:rsidRPr="00E13857" w:rsidRDefault="00822DD7" w:rsidP="00822DD7">
      <w:pPr>
        <w:pStyle w:val="NormalWeb"/>
        <w:spacing w:before="0" w:beforeAutospacing="0" w:after="0" w:afterAutospacing="0" w:line="360" w:lineRule="auto"/>
        <w:jc w:val="center"/>
        <w:rPr>
          <w:rFonts w:ascii="Arial" w:hAnsi="Arial" w:cs="Arial"/>
          <w:b/>
          <w:bCs/>
          <w:color w:val="000000"/>
          <w:kern w:val="24"/>
          <w:sz w:val="32"/>
          <w:szCs w:val="32"/>
        </w:rPr>
      </w:pPr>
      <w:r w:rsidRPr="00F22F61">
        <w:rPr>
          <w:rFonts w:ascii="Arial" w:hAnsi="Arial" w:cs="Arial"/>
          <w:b/>
          <w:bCs/>
          <w:color w:val="000000"/>
          <w:kern w:val="24"/>
          <w:sz w:val="32"/>
          <w:szCs w:val="32"/>
        </w:rPr>
        <w:t>Student ID:</w:t>
      </w:r>
      <w:r w:rsidRPr="00E13857">
        <w:rPr>
          <w:rFonts w:ascii="Arial" w:hAnsi="Arial" w:cs="Arial"/>
          <w:color w:val="000000"/>
          <w:kern w:val="24"/>
          <w:sz w:val="32"/>
          <w:szCs w:val="32"/>
        </w:rPr>
        <w:t xml:space="preserve"> </w:t>
      </w:r>
      <w:r w:rsidRPr="00F22F61">
        <w:rPr>
          <w:rFonts w:ascii="Arial" w:hAnsi="Arial" w:cs="Arial"/>
          <w:color w:val="000000"/>
          <w:kern w:val="24"/>
          <w:sz w:val="32"/>
          <w:szCs w:val="32"/>
        </w:rPr>
        <w:t>2232340</w:t>
      </w:r>
    </w:p>
    <w:p w14:paraId="39A3D961" w14:textId="77777777" w:rsidR="00822DD7" w:rsidRPr="00E13857" w:rsidRDefault="00822DD7" w:rsidP="00822DD7">
      <w:pPr>
        <w:pStyle w:val="NormalWeb"/>
        <w:spacing w:before="0" w:beforeAutospacing="0" w:after="0" w:afterAutospacing="0" w:line="360" w:lineRule="auto"/>
        <w:jc w:val="center"/>
        <w:rPr>
          <w:rFonts w:ascii="Arial" w:hAnsi="Arial" w:cs="Arial"/>
          <w:sz w:val="32"/>
          <w:szCs w:val="32"/>
        </w:rPr>
      </w:pPr>
    </w:p>
    <w:p w14:paraId="5DD737ED" w14:textId="5173868C" w:rsidR="00822DD7" w:rsidRDefault="00822DD7" w:rsidP="00822DD7">
      <w:pPr>
        <w:pStyle w:val="NormalWeb"/>
        <w:spacing w:before="0" w:beforeAutospacing="0" w:after="0" w:afterAutospacing="0" w:line="360" w:lineRule="auto"/>
        <w:jc w:val="center"/>
        <w:rPr>
          <w:rFonts w:ascii="Arial" w:hAnsi="Arial" w:cs="Arial"/>
          <w:color w:val="000000"/>
          <w:kern w:val="24"/>
          <w:sz w:val="32"/>
          <w:szCs w:val="32"/>
        </w:rPr>
      </w:pPr>
      <w:r w:rsidRPr="00F22F61">
        <w:rPr>
          <w:rFonts w:ascii="Arial" w:hAnsi="Arial" w:cs="Arial"/>
          <w:b/>
          <w:bCs/>
          <w:color w:val="000000"/>
          <w:kern w:val="24"/>
          <w:sz w:val="32"/>
          <w:szCs w:val="32"/>
        </w:rPr>
        <w:t>Lecturer:</w:t>
      </w:r>
      <w:r w:rsidRPr="00E13857">
        <w:rPr>
          <w:rFonts w:ascii="Arial" w:hAnsi="Arial" w:cs="Arial"/>
          <w:color w:val="000000"/>
          <w:kern w:val="24"/>
          <w:sz w:val="32"/>
          <w:szCs w:val="32"/>
        </w:rPr>
        <w:t xml:space="preserve"> </w:t>
      </w:r>
      <w:r>
        <w:rPr>
          <w:rFonts w:ascii="Arial" w:hAnsi="Arial" w:cs="Arial"/>
          <w:color w:val="000000"/>
          <w:kern w:val="24"/>
          <w:sz w:val="32"/>
          <w:szCs w:val="32"/>
        </w:rPr>
        <w:t>Zainab Atta</w:t>
      </w:r>
    </w:p>
    <w:p w14:paraId="60A71C9F" w14:textId="77777777" w:rsidR="00634E01" w:rsidRDefault="00634E01" w:rsidP="00822DD7">
      <w:pPr>
        <w:pStyle w:val="NormalWeb"/>
        <w:spacing w:before="0" w:beforeAutospacing="0" w:after="0" w:afterAutospacing="0" w:line="360" w:lineRule="auto"/>
        <w:jc w:val="center"/>
        <w:rPr>
          <w:rFonts w:ascii="Arial" w:hAnsi="Arial" w:cs="Arial"/>
          <w:color w:val="000000"/>
          <w:kern w:val="24"/>
          <w:sz w:val="32"/>
          <w:szCs w:val="32"/>
        </w:rPr>
      </w:pPr>
    </w:p>
    <w:p w14:paraId="14F3A1D9" w14:textId="77777777" w:rsidR="00634E01" w:rsidRDefault="00634E01" w:rsidP="00822DD7">
      <w:pPr>
        <w:pStyle w:val="NormalWeb"/>
        <w:spacing w:before="0" w:beforeAutospacing="0" w:after="0" w:afterAutospacing="0" w:line="360" w:lineRule="auto"/>
        <w:jc w:val="center"/>
        <w:rPr>
          <w:rFonts w:ascii="Arial" w:hAnsi="Arial" w:cs="Arial"/>
          <w:color w:val="000000"/>
          <w:kern w:val="24"/>
          <w:sz w:val="32"/>
          <w:szCs w:val="32"/>
        </w:rPr>
      </w:pPr>
    </w:p>
    <w:sdt>
      <w:sdtPr>
        <w:rPr>
          <w:rFonts w:asciiTheme="minorHAnsi" w:eastAsiaTheme="minorHAnsi" w:hAnsiTheme="minorHAnsi" w:cstheme="minorBidi"/>
          <w:color w:val="auto"/>
          <w:kern w:val="2"/>
          <w:sz w:val="24"/>
          <w:szCs w:val="24"/>
          <w:lang w:val="en-GB"/>
          <w14:ligatures w14:val="standardContextual"/>
        </w:rPr>
        <w:id w:val="727806156"/>
        <w:docPartObj>
          <w:docPartGallery w:val="Table of Contents"/>
          <w:docPartUnique/>
        </w:docPartObj>
      </w:sdtPr>
      <w:sdtEndPr>
        <w:rPr>
          <w:b/>
          <w:bCs/>
          <w:noProof/>
        </w:rPr>
      </w:sdtEndPr>
      <w:sdtContent>
        <w:p w14:paraId="4D5D3907" w14:textId="054DD353" w:rsidR="00634E01" w:rsidRDefault="00634E01">
          <w:pPr>
            <w:pStyle w:val="TOCHeading"/>
          </w:pPr>
          <w:r>
            <w:t>Contents</w:t>
          </w:r>
        </w:p>
        <w:p w14:paraId="26671476" w14:textId="78C48C71" w:rsidR="00985707" w:rsidRDefault="00634E0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4196496" w:history="1">
            <w:r w:rsidR="00985707" w:rsidRPr="00FD0B33">
              <w:rPr>
                <w:rStyle w:val="Hyperlink"/>
                <w:rFonts w:ascii="Arial" w:hAnsi="Arial" w:cs="Arial"/>
                <w:noProof/>
              </w:rPr>
              <w:t>Introduction</w:t>
            </w:r>
            <w:r w:rsidR="00985707">
              <w:rPr>
                <w:noProof/>
                <w:webHidden/>
              </w:rPr>
              <w:tab/>
            </w:r>
            <w:r w:rsidR="00985707">
              <w:rPr>
                <w:noProof/>
                <w:webHidden/>
              </w:rPr>
              <w:fldChar w:fldCharType="begin"/>
            </w:r>
            <w:r w:rsidR="00985707">
              <w:rPr>
                <w:noProof/>
                <w:webHidden/>
              </w:rPr>
              <w:instrText xml:space="preserve"> PAGEREF _Toc214196496 \h </w:instrText>
            </w:r>
            <w:r w:rsidR="00985707">
              <w:rPr>
                <w:noProof/>
                <w:webHidden/>
              </w:rPr>
            </w:r>
            <w:r w:rsidR="00985707">
              <w:rPr>
                <w:noProof/>
                <w:webHidden/>
              </w:rPr>
              <w:fldChar w:fldCharType="separate"/>
            </w:r>
            <w:r w:rsidR="00985707">
              <w:rPr>
                <w:noProof/>
                <w:webHidden/>
              </w:rPr>
              <w:t>3</w:t>
            </w:r>
            <w:r w:rsidR="00985707">
              <w:rPr>
                <w:noProof/>
                <w:webHidden/>
              </w:rPr>
              <w:fldChar w:fldCharType="end"/>
            </w:r>
          </w:hyperlink>
        </w:p>
        <w:p w14:paraId="5B88BF4B" w14:textId="479FD40D" w:rsidR="00985707" w:rsidRDefault="00985707">
          <w:pPr>
            <w:pStyle w:val="TOC1"/>
            <w:tabs>
              <w:tab w:val="right" w:leader="dot" w:pos="9016"/>
            </w:tabs>
            <w:rPr>
              <w:rFonts w:eastAsiaTheme="minorEastAsia"/>
              <w:noProof/>
              <w:lang w:eastAsia="en-GB"/>
            </w:rPr>
          </w:pPr>
          <w:hyperlink w:anchor="_Toc214196497" w:history="1">
            <w:r w:rsidRPr="00FD0B33">
              <w:rPr>
                <w:rStyle w:val="Hyperlink"/>
                <w:rFonts w:ascii="Arial" w:hAnsi="Arial" w:cs="Arial"/>
                <w:noProof/>
              </w:rPr>
              <w:t>Cost Analysis and Business Model</w:t>
            </w:r>
            <w:r>
              <w:rPr>
                <w:noProof/>
                <w:webHidden/>
              </w:rPr>
              <w:tab/>
            </w:r>
            <w:r>
              <w:rPr>
                <w:noProof/>
                <w:webHidden/>
              </w:rPr>
              <w:fldChar w:fldCharType="begin"/>
            </w:r>
            <w:r>
              <w:rPr>
                <w:noProof/>
                <w:webHidden/>
              </w:rPr>
              <w:instrText xml:space="preserve"> PAGEREF _Toc214196497 \h </w:instrText>
            </w:r>
            <w:r>
              <w:rPr>
                <w:noProof/>
                <w:webHidden/>
              </w:rPr>
            </w:r>
            <w:r>
              <w:rPr>
                <w:noProof/>
                <w:webHidden/>
              </w:rPr>
              <w:fldChar w:fldCharType="separate"/>
            </w:r>
            <w:r>
              <w:rPr>
                <w:noProof/>
                <w:webHidden/>
              </w:rPr>
              <w:t>3</w:t>
            </w:r>
            <w:r>
              <w:rPr>
                <w:noProof/>
                <w:webHidden/>
              </w:rPr>
              <w:fldChar w:fldCharType="end"/>
            </w:r>
          </w:hyperlink>
        </w:p>
        <w:p w14:paraId="281F8494" w14:textId="09339CD8" w:rsidR="00985707" w:rsidRDefault="00985707">
          <w:pPr>
            <w:pStyle w:val="TOC1"/>
            <w:tabs>
              <w:tab w:val="right" w:leader="dot" w:pos="9016"/>
            </w:tabs>
            <w:rPr>
              <w:rFonts w:eastAsiaTheme="minorEastAsia"/>
              <w:noProof/>
              <w:lang w:eastAsia="en-GB"/>
            </w:rPr>
          </w:pPr>
          <w:hyperlink w:anchor="_Toc214196498" w:history="1">
            <w:r w:rsidRPr="00FD0B33">
              <w:rPr>
                <w:rStyle w:val="Hyperlink"/>
                <w:rFonts w:ascii="Arial" w:hAnsi="Arial" w:cs="Arial"/>
                <w:noProof/>
              </w:rPr>
              <w:t>Budgeting and Financial Planning</w:t>
            </w:r>
            <w:r>
              <w:rPr>
                <w:noProof/>
                <w:webHidden/>
              </w:rPr>
              <w:tab/>
            </w:r>
            <w:r>
              <w:rPr>
                <w:noProof/>
                <w:webHidden/>
              </w:rPr>
              <w:fldChar w:fldCharType="begin"/>
            </w:r>
            <w:r>
              <w:rPr>
                <w:noProof/>
                <w:webHidden/>
              </w:rPr>
              <w:instrText xml:space="preserve"> PAGEREF _Toc214196498 \h </w:instrText>
            </w:r>
            <w:r>
              <w:rPr>
                <w:noProof/>
                <w:webHidden/>
              </w:rPr>
            </w:r>
            <w:r>
              <w:rPr>
                <w:noProof/>
                <w:webHidden/>
              </w:rPr>
              <w:fldChar w:fldCharType="separate"/>
            </w:r>
            <w:r>
              <w:rPr>
                <w:noProof/>
                <w:webHidden/>
              </w:rPr>
              <w:t>4</w:t>
            </w:r>
            <w:r>
              <w:rPr>
                <w:noProof/>
                <w:webHidden/>
              </w:rPr>
              <w:fldChar w:fldCharType="end"/>
            </w:r>
          </w:hyperlink>
        </w:p>
        <w:p w14:paraId="5C2DDD8F" w14:textId="60F333AA" w:rsidR="00985707" w:rsidRDefault="00985707">
          <w:pPr>
            <w:pStyle w:val="TOC1"/>
            <w:tabs>
              <w:tab w:val="right" w:leader="dot" w:pos="9016"/>
            </w:tabs>
            <w:rPr>
              <w:rFonts w:eastAsiaTheme="minorEastAsia"/>
              <w:noProof/>
              <w:lang w:eastAsia="en-GB"/>
            </w:rPr>
          </w:pPr>
          <w:hyperlink w:anchor="_Toc214196499" w:history="1">
            <w:r w:rsidRPr="00FD0B33">
              <w:rPr>
                <w:rStyle w:val="Hyperlink"/>
                <w:rFonts w:ascii="Arial" w:hAnsi="Arial" w:cs="Arial"/>
                <w:noProof/>
              </w:rPr>
              <w:t>Performance Management and Decision Making</w:t>
            </w:r>
            <w:r>
              <w:rPr>
                <w:noProof/>
                <w:webHidden/>
              </w:rPr>
              <w:tab/>
            </w:r>
            <w:r>
              <w:rPr>
                <w:noProof/>
                <w:webHidden/>
              </w:rPr>
              <w:fldChar w:fldCharType="begin"/>
            </w:r>
            <w:r>
              <w:rPr>
                <w:noProof/>
                <w:webHidden/>
              </w:rPr>
              <w:instrText xml:space="preserve"> PAGEREF _Toc214196499 \h </w:instrText>
            </w:r>
            <w:r>
              <w:rPr>
                <w:noProof/>
                <w:webHidden/>
              </w:rPr>
            </w:r>
            <w:r>
              <w:rPr>
                <w:noProof/>
                <w:webHidden/>
              </w:rPr>
              <w:fldChar w:fldCharType="separate"/>
            </w:r>
            <w:r>
              <w:rPr>
                <w:noProof/>
                <w:webHidden/>
              </w:rPr>
              <w:t>6</w:t>
            </w:r>
            <w:r>
              <w:rPr>
                <w:noProof/>
                <w:webHidden/>
              </w:rPr>
              <w:fldChar w:fldCharType="end"/>
            </w:r>
          </w:hyperlink>
        </w:p>
        <w:p w14:paraId="66998ED7" w14:textId="63D8F046" w:rsidR="00985707" w:rsidRDefault="00985707">
          <w:pPr>
            <w:pStyle w:val="TOC1"/>
            <w:tabs>
              <w:tab w:val="right" w:leader="dot" w:pos="9016"/>
            </w:tabs>
            <w:rPr>
              <w:rFonts w:eastAsiaTheme="minorEastAsia"/>
              <w:noProof/>
              <w:lang w:eastAsia="en-GB"/>
            </w:rPr>
          </w:pPr>
          <w:hyperlink w:anchor="_Toc214196500" w:history="1">
            <w:r w:rsidRPr="00FD0B33">
              <w:rPr>
                <w:rStyle w:val="Hyperlink"/>
                <w:rFonts w:ascii="Arial" w:hAnsi="Arial" w:cs="Arial"/>
                <w:noProof/>
              </w:rPr>
              <w:t>Sustainability and Ethical Considerations</w:t>
            </w:r>
            <w:r>
              <w:rPr>
                <w:noProof/>
                <w:webHidden/>
              </w:rPr>
              <w:tab/>
            </w:r>
            <w:r>
              <w:rPr>
                <w:noProof/>
                <w:webHidden/>
              </w:rPr>
              <w:fldChar w:fldCharType="begin"/>
            </w:r>
            <w:r>
              <w:rPr>
                <w:noProof/>
                <w:webHidden/>
              </w:rPr>
              <w:instrText xml:space="preserve"> PAGEREF _Toc214196500 \h </w:instrText>
            </w:r>
            <w:r>
              <w:rPr>
                <w:noProof/>
                <w:webHidden/>
              </w:rPr>
            </w:r>
            <w:r>
              <w:rPr>
                <w:noProof/>
                <w:webHidden/>
              </w:rPr>
              <w:fldChar w:fldCharType="separate"/>
            </w:r>
            <w:r>
              <w:rPr>
                <w:noProof/>
                <w:webHidden/>
              </w:rPr>
              <w:t>7</w:t>
            </w:r>
            <w:r>
              <w:rPr>
                <w:noProof/>
                <w:webHidden/>
              </w:rPr>
              <w:fldChar w:fldCharType="end"/>
            </w:r>
          </w:hyperlink>
        </w:p>
        <w:p w14:paraId="2C09AA6B" w14:textId="0B6FCC2B" w:rsidR="00985707" w:rsidRDefault="00985707">
          <w:pPr>
            <w:pStyle w:val="TOC1"/>
            <w:tabs>
              <w:tab w:val="right" w:leader="dot" w:pos="9016"/>
            </w:tabs>
            <w:rPr>
              <w:rFonts w:eastAsiaTheme="minorEastAsia"/>
              <w:noProof/>
              <w:lang w:eastAsia="en-GB"/>
            </w:rPr>
          </w:pPr>
          <w:hyperlink w:anchor="_Toc214196501" w:history="1">
            <w:r w:rsidRPr="00FD0B33">
              <w:rPr>
                <w:rStyle w:val="Hyperlink"/>
                <w:rFonts w:ascii="Arial" w:hAnsi="Arial" w:cs="Arial"/>
                <w:noProof/>
              </w:rPr>
              <w:t>Conclusion and Recommendations</w:t>
            </w:r>
            <w:r>
              <w:rPr>
                <w:noProof/>
                <w:webHidden/>
              </w:rPr>
              <w:tab/>
            </w:r>
            <w:r>
              <w:rPr>
                <w:noProof/>
                <w:webHidden/>
              </w:rPr>
              <w:fldChar w:fldCharType="begin"/>
            </w:r>
            <w:r>
              <w:rPr>
                <w:noProof/>
                <w:webHidden/>
              </w:rPr>
              <w:instrText xml:space="preserve"> PAGEREF _Toc214196501 \h </w:instrText>
            </w:r>
            <w:r>
              <w:rPr>
                <w:noProof/>
                <w:webHidden/>
              </w:rPr>
            </w:r>
            <w:r>
              <w:rPr>
                <w:noProof/>
                <w:webHidden/>
              </w:rPr>
              <w:fldChar w:fldCharType="separate"/>
            </w:r>
            <w:r>
              <w:rPr>
                <w:noProof/>
                <w:webHidden/>
              </w:rPr>
              <w:t>9</w:t>
            </w:r>
            <w:r>
              <w:rPr>
                <w:noProof/>
                <w:webHidden/>
              </w:rPr>
              <w:fldChar w:fldCharType="end"/>
            </w:r>
          </w:hyperlink>
        </w:p>
        <w:p w14:paraId="09DB9C52" w14:textId="0192A600" w:rsidR="00985707" w:rsidRDefault="00985707">
          <w:pPr>
            <w:pStyle w:val="TOC1"/>
            <w:tabs>
              <w:tab w:val="right" w:leader="dot" w:pos="9016"/>
            </w:tabs>
            <w:rPr>
              <w:rFonts w:eastAsiaTheme="minorEastAsia"/>
              <w:noProof/>
              <w:lang w:eastAsia="en-GB"/>
            </w:rPr>
          </w:pPr>
          <w:hyperlink w:anchor="_Toc214196502" w:history="1">
            <w:r w:rsidRPr="00FD0B33">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_Toc214196502 \h </w:instrText>
            </w:r>
            <w:r>
              <w:rPr>
                <w:noProof/>
                <w:webHidden/>
              </w:rPr>
            </w:r>
            <w:r>
              <w:rPr>
                <w:noProof/>
                <w:webHidden/>
              </w:rPr>
              <w:fldChar w:fldCharType="separate"/>
            </w:r>
            <w:r>
              <w:rPr>
                <w:noProof/>
                <w:webHidden/>
              </w:rPr>
              <w:t>10</w:t>
            </w:r>
            <w:r>
              <w:rPr>
                <w:noProof/>
                <w:webHidden/>
              </w:rPr>
              <w:fldChar w:fldCharType="end"/>
            </w:r>
          </w:hyperlink>
        </w:p>
        <w:p w14:paraId="0C61A87F" w14:textId="4908BA46" w:rsidR="00634E01" w:rsidRDefault="00634E01">
          <w:r>
            <w:rPr>
              <w:b/>
              <w:bCs/>
              <w:noProof/>
              <w:lang w:val="en-US"/>
            </w:rPr>
            <w:fldChar w:fldCharType="end"/>
          </w:r>
        </w:p>
      </w:sdtContent>
    </w:sdt>
    <w:p w14:paraId="200254A0" w14:textId="77777777" w:rsidR="00634E01" w:rsidRDefault="00634E01" w:rsidP="00822DD7">
      <w:pPr>
        <w:pStyle w:val="NormalWeb"/>
        <w:spacing w:before="0" w:beforeAutospacing="0" w:after="0" w:afterAutospacing="0" w:line="360" w:lineRule="auto"/>
        <w:jc w:val="center"/>
        <w:rPr>
          <w:rFonts w:ascii="Arial" w:hAnsi="Arial" w:cs="Arial"/>
          <w:b/>
          <w:bCs/>
          <w:color w:val="000000"/>
          <w:kern w:val="24"/>
          <w:sz w:val="32"/>
          <w:szCs w:val="32"/>
        </w:rPr>
      </w:pPr>
    </w:p>
    <w:p w14:paraId="394B378B" w14:textId="77777777" w:rsidR="00634E01" w:rsidRDefault="00634E01" w:rsidP="00822DD7">
      <w:pPr>
        <w:pStyle w:val="NormalWeb"/>
        <w:spacing w:before="0" w:beforeAutospacing="0" w:after="0" w:afterAutospacing="0" w:line="360" w:lineRule="auto"/>
        <w:jc w:val="center"/>
        <w:rPr>
          <w:rFonts w:ascii="Arial" w:hAnsi="Arial" w:cs="Arial"/>
          <w:b/>
          <w:bCs/>
          <w:color w:val="000000"/>
          <w:kern w:val="24"/>
          <w:sz w:val="32"/>
          <w:szCs w:val="32"/>
        </w:rPr>
      </w:pPr>
    </w:p>
    <w:p w14:paraId="031816D0" w14:textId="77777777" w:rsidR="00634E01" w:rsidRDefault="00634E01" w:rsidP="00822DD7">
      <w:pPr>
        <w:pStyle w:val="NormalWeb"/>
        <w:spacing w:before="0" w:beforeAutospacing="0" w:after="0" w:afterAutospacing="0" w:line="360" w:lineRule="auto"/>
        <w:jc w:val="center"/>
        <w:rPr>
          <w:rFonts w:ascii="Arial" w:hAnsi="Arial" w:cs="Arial"/>
          <w:b/>
          <w:bCs/>
          <w:color w:val="000000"/>
          <w:kern w:val="24"/>
          <w:sz w:val="32"/>
          <w:szCs w:val="32"/>
        </w:rPr>
      </w:pPr>
    </w:p>
    <w:p w14:paraId="1F9B3F27" w14:textId="77777777" w:rsidR="00634E01" w:rsidRDefault="00634E01" w:rsidP="00822DD7">
      <w:pPr>
        <w:pStyle w:val="NormalWeb"/>
        <w:spacing w:before="0" w:beforeAutospacing="0" w:after="0" w:afterAutospacing="0" w:line="360" w:lineRule="auto"/>
        <w:jc w:val="center"/>
        <w:rPr>
          <w:rFonts w:ascii="Arial" w:hAnsi="Arial" w:cs="Arial"/>
          <w:b/>
          <w:bCs/>
          <w:color w:val="000000"/>
          <w:kern w:val="24"/>
          <w:sz w:val="32"/>
          <w:szCs w:val="32"/>
        </w:rPr>
      </w:pPr>
    </w:p>
    <w:p w14:paraId="21169FAD" w14:textId="77777777" w:rsidR="00634E01" w:rsidRDefault="00634E01" w:rsidP="00822DD7">
      <w:pPr>
        <w:pStyle w:val="NormalWeb"/>
        <w:spacing w:before="0" w:beforeAutospacing="0" w:after="0" w:afterAutospacing="0" w:line="360" w:lineRule="auto"/>
        <w:jc w:val="center"/>
        <w:rPr>
          <w:rFonts w:ascii="Arial" w:hAnsi="Arial" w:cs="Arial"/>
          <w:b/>
          <w:bCs/>
          <w:color w:val="000000"/>
          <w:kern w:val="24"/>
          <w:sz w:val="32"/>
          <w:szCs w:val="32"/>
        </w:rPr>
      </w:pPr>
    </w:p>
    <w:p w14:paraId="0531FFDE" w14:textId="77777777" w:rsidR="00634E01" w:rsidRDefault="00634E01" w:rsidP="00822DD7">
      <w:pPr>
        <w:pStyle w:val="NormalWeb"/>
        <w:spacing w:before="0" w:beforeAutospacing="0" w:after="0" w:afterAutospacing="0" w:line="360" w:lineRule="auto"/>
        <w:jc w:val="center"/>
        <w:rPr>
          <w:rFonts w:ascii="Arial" w:hAnsi="Arial" w:cs="Arial"/>
          <w:b/>
          <w:bCs/>
          <w:color w:val="000000"/>
          <w:kern w:val="24"/>
          <w:sz w:val="32"/>
          <w:szCs w:val="32"/>
        </w:rPr>
      </w:pPr>
    </w:p>
    <w:p w14:paraId="0D945B3B" w14:textId="77777777" w:rsidR="00634E01" w:rsidRDefault="00634E01" w:rsidP="00822DD7">
      <w:pPr>
        <w:pStyle w:val="NormalWeb"/>
        <w:spacing w:before="0" w:beforeAutospacing="0" w:after="0" w:afterAutospacing="0" w:line="360" w:lineRule="auto"/>
        <w:jc w:val="center"/>
        <w:rPr>
          <w:rFonts w:ascii="Arial" w:hAnsi="Arial" w:cs="Arial"/>
          <w:b/>
          <w:bCs/>
          <w:color w:val="000000"/>
          <w:kern w:val="24"/>
          <w:sz w:val="32"/>
          <w:szCs w:val="32"/>
        </w:rPr>
      </w:pPr>
    </w:p>
    <w:p w14:paraId="390F9DFE" w14:textId="77777777" w:rsidR="00634E01" w:rsidRDefault="00634E01" w:rsidP="00822DD7">
      <w:pPr>
        <w:pStyle w:val="NormalWeb"/>
        <w:spacing w:before="0" w:beforeAutospacing="0" w:after="0" w:afterAutospacing="0" w:line="360" w:lineRule="auto"/>
        <w:jc w:val="center"/>
        <w:rPr>
          <w:rFonts w:ascii="Arial" w:hAnsi="Arial" w:cs="Arial"/>
          <w:b/>
          <w:bCs/>
          <w:color w:val="000000"/>
          <w:kern w:val="24"/>
          <w:sz w:val="32"/>
          <w:szCs w:val="32"/>
        </w:rPr>
      </w:pPr>
    </w:p>
    <w:p w14:paraId="7FAE9147" w14:textId="77777777" w:rsidR="00634E01" w:rsidRDefault="00634E01" w:rsidP="00822DD7">
      <w:pPr>
        <w:pStyle w:val="NormalWeb"/>
        <w:spacing w:before="0" w:beforeAutospacing="0" w:after="0" w:afterAutospacing="0" w:line="360" w:lineRule="auto"/>
        <w:jc w:val="center"/>
        <w:rPr>
          <w:rFonts w:ascii="Arial" w:hAnsi="Arial" w:cs="Arial"/>
          <w:b/>
          <w:bCs/>
          <w:color w:val="000000"/>
          <w:kern w:val="24"/>
          <w:sz w:val="32"/>
          <w:szCs w:val="32"/>
        </w:rPr>
      </w:pPr>
    </w:p>
    <w:p w14:paraId="42F5F0F5" w14:textId="77777777" w:rsidR="00634E01" w:rsidRDefault="00634E01" w:rsidP="00822DD7">
      <w:pPr>
        <w:pStyle w:val="NormalWeb"/>
        <w:spacing w:before="0" w:beforeAutospacing="0" w:after="0" w:afterAutospacing="0" w:line="360" w:lineRule="auto"/>
        <w:jc w:val="center"/>
        <w:rPr>
          <w:rFonts w:ascii="Arial" w:hAnsi="Arial" w:cs="Arial"/>
          <w:b/>
          <w:bCs/>
          <w:color w:val="000000"/>
          <w:kern w:val="24"/>
          <w:sz w:val="32"/>
          <w:szCs w:val="32"/>
        </w:rPr>
      </w:pPr>
    </w:p>
    <w:p w14:paraId="0A6DEBF3" w14:textId="77777777" w:rsidR="00634E01" w:rsidRDefault="00634E01" w:rsidP="00822DD7">
      <w:pPr>
        <w:pStyle w:val="NormalWeb"/>
        <w:spacing w:before="0" w:beforeAutospacing="0" w:after="0" w:afterAutospacing="0" w:line="360" w:lineRule="auto"/>
        <w:jc w:val="center"/>
        <w:rPr>
          <w:rFonts w:ascii="Arial" w:hAnsi="Arial" w:cs="Arial"/>
          <w:b/>
          <w:bCs/>
          <w:color w:val="000000"/>
          <w:kern w:val="24"/>
          <w:sz w:val="32"/>
          <w:szCs w:val="32"/>
        </w:rPr>
      </w:pPr>
    </w:p>
    <w:p w14:paraId="729A4418" w14:textId="77777777" w:rsidR="00634E01" w:rsidRDefault="00634E01" w:rsidP="00822DD7">
      <w:pPr>
        <w:pStyle w:val="NormalWeb"/>
        <w:spacing w:before="0" w:beforeAutospacing="0" w:after="0" w:afterAutospacing="0" w:line="360" w:lineRule="auto"/>
        <w:jc w:val="center"/>
        <w:rPr>
          <w:rFonts w:ascii="Arial" w:hAnsi="Arial" w:cs="Arial"/>
          <w:b/>
          <w:bCs/>
          <w:color w:val="000000"/>
          <w:kern w:val="24"/>
          <w:sz w:val="32"/>
          <w:szCs w:val="32"/>
        </w:rPr>
      </w:pPr>
    </w:p>
    <w:p w14:paraId="7DDC3C5D" w14:textId="77777777" w:rsidR="00634E01" w:rsidRDefault="00634E01" w:rsidP="00822DD7">
      <w:pPr>
        <w:pStyle w:val="NormalWeb"/>
        <w:spacing w:before="0" w:beforeAutospacing="0" w:after="0" w:afterAutospacing="0" w:line="360" w:lineRule="auto"/>
        <w:jc w:val="center"/>
        <w:rPr>
          <w:rFonts w:ascii="Arial" w:hAnsi="Arial" w:cs="Arial"/>
          <w:b/>
          <w:bCs/>
          <w:color w:val="000000"/>
          <w:kern w:val="24"/>
          <w:sz w:val="32"/>
          <w:szCs w:val="32"/>
        </w:rPr>
      </w:pPr>
    </w:p>
    <w:p w14:paraId="20621975" w14:textId="77777777" w:rsidR="00634E01" w:rsidRDefault="00634E01" w:rsidP="00822DD7">
      <w:pPr>
        <w:pStyle w:val="NormalWeb"/>
        <w:spacing w:before="0" w:beforeAutospacing="0" w:after="0" w:afterAutospacing="0" w:line="360" w:lineRule="auto"/>
        <w:jc w:val="center"/>
        <w:rPr>
          <w:rFonts w:ascii="Arial" w:hAnsi="Arial" w:cs="Arial"/>
          <w:b/>
          <w:bCs/>
          <w:color w:val="000000"/>
          <w:kern w:val="24"/>
          <w:sz w:val="32"/>
          <w:szCs w:val="32"/>
        </w:rPr>
      </w:pPr>
    </w:p>
    <w:p w14:paraId="74618838" w14:textId="77777777" w:rsidR="00634E01" w:rsidRDefault="00634E01" w:rsidP="00822DD7">
      <w:pPr>
        <w:pStyle w:val="NormalWeb"/>
        <w:spacing w:before="0" w:beforeAutospacing="0" w:after="0" w:afterAutospacing="0" w:line="360" w:lineRule="auto"/>
        <w:jc w:val="center"/>
        <w:rPr>
          <w:rFonts w:ascii="Arial" w:hAnsi="Arial" w:cs="Arial"/>
          <w:b/>
          <w:bCs/>
          <w:color w:val="000000"/>
          <w:kern w:val="24"/>
          <w:sz w:val="32"/>
          <w:szCs w:val="32"/>
        </w:rPr>
      </w:pPr>
    </w:p>
    <w:p w14:paraId="79D49BEE" w14:textId="77777777" w:rsidR="00634E01" w:rsidRDefault="00634E01" w:rsidP="00822DD7">
      <w:pPr>
        <w:pStyle w:val="NormalWeb"/>
        <w:spacing w:before="0" w:beforeAutospacing="0" w:after="0" w:afterAutospacing="0" w:line="360" w:lineRule="auto"/>
        <w:jc w:val="center"/>
        <w:rPr>
          <w:rFonts w:ascii="Arial" w:hAnsi="Arial" w:cs="Arial"/>
          <w:b/>
          <w:bCs/>
          <w:color w:val="000000"/>
          <w:kern w:val="24"/>
          <w:sz w:val="32"/>
          <w:szCs w:val="32"/>
        </w:rPr>
      </w:pPr>
    </w:p>
    <w:p w14:paraId="4AF906AB" w14:textId="64FBD87D" w:rsidR="00634E01" w:rsidRPr="003578A6" w:rsidRDefault="00634E01" w:rsidP="003578A6">
      <w:pPr>
        <w:pStyle w:val="Heading1"/>
        <w:spacing w:line="360" w:lineRule="auto"/>
        <w:rPr>
          <w:rFonts w:ascii="Arial" w:hAnsi="Arial" w:cs="Arial"/>
          <w:sz w:val="24"/>
          <w:szCs w:val="24"/>
        </w:rPr>
      </w:pPr>
      <w:bookmarkStart w:id="0" w:name="_Toc214196496"/>
      <w:r w:rsidRPr="003578A6">
        <w:rPr>
          <w:rFonts w:ascii="Arial" w:hAnsi="Arial" w:cs="Arial"/>
          <w:sz w:val="24"/>
          <w:szCs w:val="24"/>
        </w:rPr>
        <w:t>Introduction</w:t>
      </w:r>
      <w:bookmarkEnd w:id="0"/>
    </w:p>
    <w:p w14:paraId="2C0A498F" w14:textId="77777777" w:rsidR="00092EA2" w:rsidRPr="003578A6" w:rsidRDefault="00092EA2" w:rsidP="003578A6">
      <w:pPr>
        <w:spacing w:line="360" w:lineRule="auto"/>
        <w:rPr>
          <w:rFonts w:ascii="Arial" w:hAnsi="Arial" w:cs="Arial"/>
        </w:rPr>
      </w:pPr>
      <w:r w:rsidRPr="003578A6">
        <w:rPr>
          <w:rFonts w:ascii="Arial" w:hAnsi="Arial" w:cs="Arial"/>
        </w:rPr>
        <w:t xml:space="preserve">With more than 2,400 locations across the country and almost 30,000 employees, </w:t>
      </w:r>
      <w:proofErr w:type="gramStart"/>
      <w:r w:rsidRPr="003578A6">
        <w:rPr>
          <w:rFonts w:ascii="Arial" w:hAnsi="Arial" w:cs="Arial"/>
        </w:rPr>
        <w:t>Greggs</w:t>
      </w:r>
      <w:proofErr w:type="gramEnd"/>
      <w:r w:rsidRPr="003578A6">
        <w:rPr>
          <w:rFonts w:ascii="Arial" w:hAnsi="Arial" w:cs="Arial"/>
        </w:rPr>
        <w:t xml:space="preserve"> plc is the top bakery and food-on-the-go retailer in the UK (Greggs, 2024). Founded in 1939 in Newcastle upon Tyne, the business has grown from a little family bakery to a significant force in the quick-service retail sector. Sandwiches, </w:t>
      </w:r>
      <w:proofErr w:type="spellStart"/>
      <w:r w:rsidRPr="003578A6">
        <w:rPr>
          <w:rFonts w:ascii="Arial" w:hAnsi="Arial" w:cs="Arial"/>
        </w:rPr>
        <w:t>savory</w:t>
      </w:r>
      <w:proofErr w:type="spellEnd"/>
      <w:r w:rsidRPr="003578A6">
        <w:rPr>
          <w:rFonts w:ascii="Arial" w:hAnsi="Arial" w:cs="Arial"/>
        </w:rPr>
        <w:t xml:space="preserve"> foods, baked goods, and drinks are all part of Greggs' product line, with an increasing emphasis on plant-based and healthy options. The company's £2.01 billion in total sales in 2024 demonstrated its strong brand positioning and devoted customer base (Greggs, 2024; Google Finance, 2025).</w:t>
      </w:r>
    </w:p>
    <w:p w14:paraId="32A971F6" w14:textId="77777777" w:rsidR="00092EA2" w:rsidRPr="003578A6" w:rsidRDefault="00092EA2" w:rsidP="003578A6">
      <w:pPr>
        <w:spacing w:line="360" w:lineRule="auto"/>
        <w:rPr>
          <w:rFonts w:ascii="Arial" w:hAnsi="Arial" w:cs="Arial"/>
        </w:rPr>
      </w:pPr>
      <w:r w:rsidRPr="003578A6">
        <w:rPr>
          <w:rFonts w:ascii="Arial" w:hAnsi="Arial" w:cs="Arial"/>
        </w:rPr>
        <w:t>As one of the top food retailers in the UK for ethical business practices, Greggs has been acknowledged for its dedication to value, ethical management, and environmental sustainability (Greggs, 2024; The Times, 2024). Key objectives outlined in the Greggs Pledge include lowering food waste, assisting local communities, and reaching net-zero carbon emissions by 2040.</w:t>
      </w:r>
    </w:p>
    <w:p w14:paraId="756B8FE3" w14:textId="77777777" w:rsidR="00092EA2" w:rsidRPr="003578A6" w:rsidRDefault="00092EA2" w:rsidP="003578A6">
      <w:pPr>
        <w:spacing w:line="360" w:lineRule="auto"/>
        <w:rPr>
          <w:rFonts w:ascii="Arial" w:hAnsi="Arial" w:cs="Arial"/>
        </w:rPr>
      </w:pPr>
      <w:r w:rsidRPr="003578A6">
        <w:rPr>
          <w:rFonts w:ascii="Arial" w:hAnsi="Arial" w:cs="Arial"/>
        </w:rPr>
        <w:t>By facilitating efficient cost control, planning, and performance evaluation that match financial success with long-term sustainability, management accounting is essential to achieving these strategic goals (Drury, 2022).</w:t>
      </w:r>
    </w:p>
    <w:p w14:paraId="08158894" w14:textId="3D42FD80" w:rsidR="00634E01" w:rsidRPr="003578A6" w:rsidRDefault="00092EA2" w:rsidP="003578A6">
      <w:pPr>
        <w:pStyle w:val="Heading1"/>
        <w:spacing w:line="360" w:lineRule="auto"/>
        <w:rPr>
          <w:rFonts w:ascii="Arial" w:hAnsi="Arial" w:cs="Arial"/>
          <w:sz w:val="24"/>
          <w:szCs w:val="24"/>
        </w:rPr>
      </w:pPr>
      <w:bookmarkStart w:id="1" w:name="_Toc214196497"/>
      <w:r w:rsidRPr="003578A6">
        <w:rPr>
          <w:rFonts w:ascii="Arial" w:hAnsi="Arial" w:cs="Arial"/>
          <w:sz w:val="24"/>
          <w:szCs w:val="24"/>
        </w:rPr>
        <w:t>Cost Analysis and Business Model</w:t>
      </w:r>
      <w:bookmarkEnd w:id="1"/>
    </w:p>
    <w:p w14:paraId="4E5F8FE4" w14:textId="77777777" w:rsidR="00092EA2" w:rsidRPr="003578A6" w:rsidRDefault="00092EA2" w:rsidP="003578A6">
      <w:pPr>
        <w:spacing w:line="360" w:lineRule="auto"/>
        <w:rPr>
          <w:rFonts w:ascii="Arial" w:hAnsi="Arial" w:cs="Arial"/>
        </w:rPr>
      </w:pPr>
      <w:proofErr w:type="gramStart"/>
      <w:r w:rsidRPr="003578A6">
        <w:rPr>
          <w:rFonts w:ascii="Arial" w:hAnsi="Arial" w:cs="Arial"/>
        </w:rPr>
        <w:t>Greggs</w:t>
      </w:r>
      <w:proofErr w:type="gramEnd"/>
      <w:r w:rsidRPr="003578A6">
        <w:rPr>
          <w:rFonts w:ascii="Arial" w:hAnsi="Arial" w:cs="Arial"/>
        </w:rPr>
        <w:t xml:space="preserve"> plc has a high-volume, low-margin business model that prioritizes price and efficiency to thrive in the cutthroat quick-service food retail industry. In-store sales at more than 2,400 locations are the company's main source of income, which is augmented by online orders sent through delivery services like Just Eat and Uber Eats (Greggs, 2024). Total sales in 2024 were £2.01 billion, up 11.3% from the year before. This was due to both store expansion and rising consumer demand for affordable, easily accessible food options (Greggs, 2024; Google Finance, 2025).</w:t>
      </w:r>
    </w:p>
    <w:p w14:paraId="4E28B9D6" w14:textId="70EF8333" w:rsidR="00092EA2" w:rsidRPr="003578A6" w:rsidRDefault="00092EA2" w:rsidP="003578A6">
      <w:pPr>
        <w:spacing w:line="360" w:lineRule="auto"/>
        <w:rPr>
          <w:rFonts w:ascii="Arial" w:hAnsi="Arial" w:cs="Arial"/>
        </w:rPr>
      </w:pPr>
      <w:r w:rsidRPr="003578A6">
        <w:rPr>
          <w:rFonts w:ascii="Arial" w:hAnsi="Arial" w:cs="Arial"/>
        </w:rPr>
        <w:t xml:space="preserve">Raw materials, labour, energy, logistics, and lease costs make up </w:t>
      </w:r>
      <w:proofErr w:type="gramStart"/>
      <w:r w:rsidRPr="003578A6">
        <w:rPr>
          <w:rFonts w:ascii="Arial" w:hAnsi="Arial" w:cs="Arial"/>
        </w:rPr>
        <w:t>the majority of</w:t>
      </w:r>
      <w:proofErr w:type="gramEnd"/>
      <w:r w:rsidRPr="003578A6">
        <w:rPr>
          <w:rFonts w:ascii="Arial" w:hAnsi="Arial" w:cs="Arial"/>
        </w:rPr>
        <w:t xml:space="preserve"> Greggs' cost structure. These fall into two general categories: fixed costs and variable costs. Store leases, equipment depreciation, and salaried employees are examples of fixed costs that don't change based on production. Ingredients, packaging, and utilities are examples of variable expenses that change depending on production and sales volume. Making management decisions requires an understanding of cost </w:t>
      </w:r>
      <w:r w:rsidR="00985707" w:rsidRPr="003578A6">
        <w:rPr>
          <w:rFonts w:ascii="Arial" w:hAnsi="Arial" w:cs="Arial"/>
        </w:rPr>
        <w:t>behaviour</w:t>
      </w:r>
      <w:r w:rsidRPr="003578A6">
        <w:rPr>
          <w:rFonts w:ascii="Arial" w:hAnsi="Arial" w:cs="Arial"/>
        </w:rPr>
        <w:t>, especially in a sector that is subject to inflationary pressures and changes in consumer purchasing (</w:t>
      </w:r>
      <w:proofErr w:type="spellStart"/>
      <w:r w:rsidRPr="003578A6">
        <w:rPr>
          <w:rFonts w:ascii="Arial" w:hAnsi="Arial" w:cs="Arial"/>
        </w:rPr>
        <w:t>Altynbekov</w:t>
      </w:r>
      <w:proofErr w:type="spellEnd"/>
      <w:r w:rsidRPr="003578A6">
        <w:rPr>
          <w:rFonts w:ascii="Arial" w:hAnsi="Arial" w:cs="Arial"/>
        </w:rPr>
        <w:t xml:space="preserve"> et al., 2023).</w:t>
      </w:r>
    </w:p>
    <w:p w14:paraId="199D9CD3" w14:textId="28C98A54" w:rsidR="00092EA2" w:rsidRPr="003578A6" w:rsidRDefault="00985707" w:rsidP="003578A6">
      <w:pPr>
        <w:spacing w:line="360" w:lineRule="auto"/>
        <w:rPr>
          <w:rFonts w:ascii="Arial" w:hAnsi="Arial" w:cs="Arial"/>
        </w:rPr>
      </w:pPr>
      <w:r w:rsidRPr="003578A6">
        <w:rPr>
          <w:rFonts w:ascii="Arial" w:hAnsi="Arial" w:cs="Arial"/>
        </w:rPr>
        <w:t>To</w:t>
      </w:r>
      <w:r w:rsidR="00092EA2" w:rsidRPr="003578A6">
        <w:rPr>
          <w:rFonts w:ascii="Arial" w:hAnsi="Arial" w:cs="Arial"/>
        </w:rPr>
        <w:t xml:space="preserve"> assess profitability and operational effectiveness, Greggs uses management accounting techniques including variance analysis and cost-volume-profit (CVP) analysis (Drury, 2022). </w:t>
      </w:r>
      <w:r w:rsidRPr="003578A6">
        <w:rPr>
          <w:rFonts w:ascii="Arial" w:hAnsi="Arial" w:cs="Arial"/>
        </w:rPr>
        <w:t>To</w:t>
      </w:r>
      <w:r w:rsidR="00092EA2" w:rsidRPr="003578A6">
        <w:rPr>
          <w:rFonts w:ascii="Arial" w:hAnsi="Arial" w:cs="Arial"/>
        </w:rPr>
        <w:t xml:space="preserve"> make well-informed decisions about pricing and expansion, CVP analysis assists in determining breakeven thresholds and the impact of cost or price adjustments on profit margins (Liu, 2019). Additionally, managers can find inefficiencies and uphold standard cost targets by using variance analysis, which offers insights into cost variances among regional shops.</w:t>
      </w:r>
    </w:p>
    <w:p w14:paraId="43F0E6EF" w14:textId="7D8E0777" w:rsidR="00092EA2" w:rsidRPr="003578A6" w:rsidRDefault="00092EA2" w:rsidP="003578A6">
      <w:pPr>
        <w:spacing w:line="360" w:lineRule="auto"/>
        <w:rPr>
          <w:rFonts w:ascii="Arial" w:hAnsi="Arial" w:cs="Arial"/>
        </w:rPr>
      </w:pPr>
      <w:r w:rsidRPr="003578A6">
        <w:rPr>
          <w:rFonts w:ascii="Arial" w:hAnsi="Arial" w:cs="Arial"/>
        </w:rPr>
        <w:t xml:space="preserve">The business strategy of Greggs combines decentralized retail operations with centralized production. Local stores concentrate on retailing and customer experience, while centralized bakeries generate core goods and profit from economies of scale (Greggs, 2024). Through bulk purchasing and efficient transportation, this hybrid structure enables consistent quality control and cost optimization. By efficiently distributing overheads and keeping an eye on cost </w:t>
      </w:r>
      <w:r w:rsidR="00985707" w:rsidRPr="003578A6">
        <w:rPr>
          <w:rFonts w:ascii="Arial" w:hAnsi="Arial" w:cs="Arial"/>
        </w:rPr>
        <w:t>centres</w:t>
      </w:r>
      <w:r w:rsidRPr="003578A6">
        <w:rPr>
          <w:rFonts w:ascii="Arial" w:hAnsi="Arial" w:cs="Arial"/>
        </w:rPr>
        <w:t>, management accounting ensures profitability across product lines and retail types (Atrill and McLaney, 2023).</w:t>
      </w:r>
    </w:p>
    <w:p w14:paraId="63956C79" w14:textId="77777777" w:rsidR="00092EA2" w:rsidRPr="003578A6" w:rsidRDefault="00092EA2" w:rsidP="003578A6">
      <w:pPr>
        <w:spacing w:line="360" w:lineRule="auto"/>
        <w:rPr>
          <w:rFonts w:ascii="Arial" w:hAnsi="Arial" w:cs="Arial"/>
        </w:rPr>
      </w:pPr>
      <w:r w:rsidRPr="003578A6">
        <w:rPr>
          <w:rFonts w:ascii="Arial" w:hAnsi="Arial" w:cs="Arial"/>
        </w:rPr>
        <w:t>In recent years, Greggs' operating costs have been greatly impacted by external variables like wage inflation and the unpredictability of energy prices. The business has used digital automation in its supply chain and hedging techniques to lessen them (Greggs, 2024). These cost-cutting strategies are in line with the larger trend of strategic cost management in contemporary retail enterprises (Uyar and Kuzey, 2016).</w:t>
      </w:r>
    </w:p>
    <w:p w14:paraId="0433998D" w14:textId="375C89C4" w:rsidR="00092EA2" w:rsidRPr="003578A6" w:rsidRDefault="00092EA2" w:rsidP="003578A6">
      <w:pPr>
        <w:pStyle w:val="Heading1"/>
        <w:spacing w:line="360" w:lineRule="auto"/>
        <w:rPr>
          <w:rFonts w:ascii="Arial" w:hAnsi="Arial" w:cs="Arial"/>
          <w:sz w:val="24"/>
          <w:szCs w:val="24"/>
        </w:rPr>
      </w:pPr>
      <w:bookmarkStart w:id="2" w:name="_Toc214196498"/>
      <w:r w:rsidRPr="003578A6">
        <w:rPr>
          <w:rFonts w:ascii="Arial" w:hAnsi="Arial" w:cs="Arial"/>
          <w:sz w:val="24"/>
          <w:szCs w:val="24"/>
        </w:rPr>
        <w:t>Budgeting and Financial Planning</w:t>
      </w:r>
      <w:bookmarkEnd w:id="2"/>
    </w:p>
    <w:p w14:paraId="5A51A5B9" w14:textId="309D7FA8" w:rsidR="009164DA" w:rsidRPr="003578A6" w:rsidRDefault="009164DA" w:rsidP="003578A6">
      <w:pPr>
        <w:spacing w:line="360" w:lineRule="auto"/>
        <w:rPr>
          <w:rFonts w:ascii="Arial" w:hAnsi="Arial" w:cs="Arial"/>
        </w:rPr>
      </w:pPr>
      <w:r w:rsidRPr="003578A6">
        <w:rPr>
          <w:rFonts w:ascii="Arial" w:hAnsi="Arial" w:cs="Arial"/>
        </w:rPr>
        <w:t xml:space="preserve">A fundamental management accounting function, budgeting helps organizations with resource allocation, performance assessment, and strategic planning (Atrill and McLaney, 2023). </w:t>
      </w:r>
      <w:r w:rsidR="00985707" w:rsidRPr="003578A6">
        <w:rPr>
          <w:rFonts w:ascii="Arial" w:hAnsi="Arial" w:cs="Arial"/>
        </w:rPr>
        <w:t>To</w:t>
      </w:r>
      <w:r w:rsidRPr="003578A6">
        <w:rPr>
          <w:rFonts w:ascii="Arial" w:hAnsi="Arial" w:cs="Arial"/>
        </w:rPr>
        <w:t xml:space="preserve"> accomplish organizational goals over a given time frame, it entails setting financial goals and allocating resources. Given the fiercely competitive and price-sensitive nature of the food-on-the-go retail business, budgeting is essential to Greggs plc's operational planning, cost management, and strategic expansion.</w:t>
      </w:r>
    </w:p>
    <w:p w14:paraId="39CA1003" w14:textId="77777777" w:rsidR="009164DA" w:rsidRPr="003578A6" w:rsidRDefault="009164DA" w:rsidP="003578A6">
      <w:pPr>
        <w:spacing w:line="360" w:lineRule="auto"/>
        <w:rPr>
          <w:rFonts w:ascii="Arial" w:hAnsi="Arial" w:cs="Arial"/>
        </w:rPr>
      </w:pPr>
      <w:r w:rsidRPr="003578A6">
        <w:rPr>
          <w:rFonts w:ascii="Arial" w:hAnsi="Arial" w:cs="Arial"/>
        </w:rPr>
        <w:t xml:space="preserve">Budgeting is used by Greggs to support its yearly business goals, which include sustainability projects, digital transformation, and retail expansion. Despite inflationary challenges, the </w:t>
      </w:r>
      <w:proofErr w:type="gramStart"/>
      <w:r w:rsidRPr="003578A6">
        <w:rPr>
          <w:rFonts w:ascii="Arial" w:hAnsi="Arial" w:cs="Arial"/>
        </w:rPr>
        <w:t>company maintained</w:t>
      </w:r>
      <w:proofErr w:type="gramEnd"/>
      <w:r w:rsidRPr="003578A6">
        <w:rPr>
          <w:rFonts w:ascii="Arial" w:hAnsi="Arial" w:cs="Arial"/>
        </w:rPr>
        <w:t xml:space="preserve"> value pricing for clients while concentrating on growing its shop network and digital ordering capabilities in the 2024 fiscal year (Greggs, 2024). This planning method is an example of a resource-based budgeting model, in which funds are set aside to support strategic priorities including supply chain capacity, energy efficiency improvements, and capital investments in new stores.</w:t>
      </w:r>
    </w:p>
    <w:p w14:paraId="58A2016F" w14:textId="77777777" w:rsidR="009164DA" w:rsidRPr="003578A6" w:rsidRDefault="009164DA" w:rsidP="003578A6">
      <w:pPr>
        <w:spacing w:line="360" w:lineRule="auto"/>
        <w:rPr>
          <w:rFonts w:ascii="Arial" w:hAnsi="Arial" w:cs="Arial"/>
        </w:rPr>
      </w:pPr>
      <w:r w:rsidRPr="003578A6">
        <w:rPr>
          <w:rFonts w:ascii="Arial" w:hAnsi="Arial" w:cs="Arial"/>
        </w:rPr>
        <w:t>Rolling budgeting and flexible budgeting are features of Greggs' budgeting approach. While flexible budgets change according to activity levels, rolling budgets are updated often to reflect changes in the market (Drury, 2022). Agile forecasting and regular performance assessments were required due to the recent volatility of energy and raw material costs. Due to cost inflation and salary rises, Greggs' interim 2025 results showed higher operating costs and a minor drop in operating profit to £70.4 million (Greggs, 2025). These circumstances highlight the benefits of flexible budgeting by allowing management to adjust resource allocations and cost targets when market conditions change.</w:t>
      </w:r>
    </w:p>
    <w:p w14:paraId="38D760D1" w14:textId="77777777" w:rsidR="009164DA" w:rsidRPr="003578A6" w:rsidRDefault="009164DA" w:rsidP="003578A6">
      <w:pPr>
        <w:spacing w:line="360" w:lineRule="auto"/>
        <w:rPr>
          <w:rFonts w:ascii="Arial" w:hAnsi="Arial" w:cs="Arial"/>
        </w:rPr>
      </w:pPr>
      <w:r w:rsidRPr="003578A6">
        <w:rPr>
          <w:rFonts w:ascii="Arial" w:hAnsi="Arial" w:cs="Arial"/>
        </w:rPr>
        <w:t>Additionally, the business applies zero-based budgeting concepts, especially in cost categories like administrative expenses, where each expense must be justified rather than just modified from previous periods (CIMA, 2023). This strategy complements Greggs' focus on value delivery and cost effectiveness. Additionally, choices about equipment improvements and store openings are supported by capital budgeting approaches such as investment assessment and return analysis. Greggs demonstrated the value of structured capital planning in growth management in 2024 by net launching more than 140 additional stores (Greggs, 2024).</w:t>
      </w:r>
    </w:p>
    <w:p w14:paraId="548F475F" w14:textId="4FCCC781" w:rsidR="009164DA" w:rsidRPr="003578A6" w:rsidRDefault="009164DA" w:rsidP="003578A6">
      <w:pPr>
        <w:spacing w:line="360" w:lineRule="auto"/>
        <w:rPr>
          <w:rFonts w:ascii="Arial" w:hAnsi="Arial" w:cs="Arial"/>
        </w:rPr>
      </w:pPr>
      <w:r w:rsidRPr="003578A6">
        <w:rPr>
          <w:rFonts w:ascii="Arial" w:hAnsi="Arial" w:cs="Arial"/>
        </w:rPr>
        <w:t xml:space="preserve">Budgeting decisions are also influenced by macroeconomic circumstances. Greggs is pursuing energy hedging and operational improvements </w:t>
      </w:r>
      <w:r w:rsidR="00985707" w:rsidRPr="003578A6">
        <w:rPr>
          <w:rFonts w:ascii="Arial" w:hAnsi="Arial" w:cs="Arial"/>
        </w:rPr>
        <w:t>because of</w:t>
      </w:r>
      <w:r w:rsidRPr="003578A6">
        <w:rPr>
          <w:rFonts w:ascii="Arial" w:hAnsi="Arial" w:cs="Arial"/>
        </w:rPr>
        <w:t xml:space="preserve"> cost predictions being reshaped by ongoing inflation and higher </w:t>
      </w:r>
      <w:proofErr w:type="spellStart"/>
      <w:r w:rsidRPr="003578A6">
        <w:rPr>
          <w:rFonts w:ascii="Arial" w:hAnsi="Arial" w:cs="Arial"/>
        </w:rPr>
        <w:t>labor</w:t>
      </w:r>
      <w:proofErr w:type="spellEnd"/>
      <w:r w:rsidRPr="003578A6">
        <w:rPr>
          <w:rFonts w:ascii="Arial" w:hAnsi="Arial" w:cs="Arial"/>
        </w:rPr>
        <w:t xml:space="preserve"> costs brought on by rises in the national minimum wage (Google Finance, 2025). Greggs' budgeting procedures reflect the idea that responsive planning systems that incorporate both financial and operational data are necessary for efficient budgeting in retail settings, as Jahan and </w:t>
      </w:r>
      <w:proofErr w:type="spellStart"/>
      <w:r w:rsidRPr="003578A6">
        <w:rPr>
          <w:rFonts w:ascii="Arial" w:hAnsi="Arial" w:cs="Arial"/>
        </w:rPr>
        <w:t>Rekabder</w:t>
      </w:r>
      <w:proofErr w:type="spellEnd"/>
      <w:r w:rsidRPr="003578A6">
        <w:rPr>
          <w:rFonts w:ascii="Arial" w:hAnsi="Arial" w:cs="Arial"/>
        </w:rPr>
        <w:t xml:space="preserve"> (2020) point out.</w:t>
      </w:r>
    </w:p>
    <w:p w14:paraId="1B5B2CEA" w14:textId="77777777" w:rsidR="009164DA" w:rsidRPr="003578A6" w:rsidRDefault="009164DA" w:rsidP="003578A6">
      <w:pPr>
        <w:spacing w:line="360" w:lineRule="auto"/>
        <w:rPr>
          <w:rFonts w:ascii="Arial" w:hAnsi="Arial" w:cs="Arial"/>
        </w:rPr>
      </w:pPr>
      <w:r w:rsidRPr="003578A6">
        <w:rPr>
          <w:rFonts w:ascii="Arial" w:hAnsi="Arial" w:cs="Arial"/>
        </w:rPr>
        <w:t>All things considered, budgeting at Greggs promotes strategic expansion, cost effectiveness, and operational resilience by coordinating financial planning with the company's objective of providing customers with accessible, long-term value.</w:t>
      </w:r>
    </w:p>
    <w:p w14:paraId="3F318BF3" w14:textId="3BB09EB8" w:rsidR="00092EA2" w:rsidRPr="003578A6" w:rsidRDefault="009164DA" w:rsidP="003578A6">
      <w:pPr>
        <w:pStyle w:val="Heading1"/>
        <w:spacing w:line="360" w:lineRule="auto"/>
        <w:rPr>
          <w:rFonts w:ascii="Arial" w:hAnsi="Arial" w:cs="Arial"/>
          <w:sz w:val="24"/>
          <w:szCs w:val="24"/>
        </w:rPr>
      </w:pPr>
      <w:bookmarkStart w:id="3" w:name="_Toc214196499"/>
      <w:r w:rsidRPr="003578A6">
        <w:rPr>
          <w:rFonts w:ascii="Arial" w:hAnsi="Arial" w:cs="Arial"/>
          <w:sz w:val="24"/>
          <w:szCs w:val="24"/>
        </w:rPr>
        <w:t>Performance Management and Decision Making</w:t>
      </w:r>
      <w:bookmarkEnd w:id="3"/>
    </w:p>
    <w:p w14:paraId="1234FC56" w14:textId="59783F2E" w:rsidR="009164DA" w:rsidRPr="003578A6" w:rsidRDefault="00985707" w:rsidP="003578A6">
      <w:pPr>
        <w:spacing w:line="360" w:lineRule="auto"/>
        <w:rPr>
          <w:rFonts w:ascii="Arial" w:hAnsi="Arial" w:cs="Arial"/>
        </w:rPr>
      </w:pPr>
      <w:r w:rsidRPr="003578A6">
        <w:rPr>
          <w:rFonts w:ascii="Arial" w:hAnsi="Arial" w:cs="Arial"/>
        </w:rPr>
        <w:t>For</w:t>
      </w:r>
      <w:r w:rsidR="009164DA" w:rsidRPr="003578A6">
        <w:rPr>
          <w:rFonts w:ascii="Arial" w:hAnsi="Arial" w:cs="Arial"/>
        </w:rPr>
        <w:t xml:space="preserve"> organizations to assess operational efficacy and facilitate well-informed decision-making, performance assessment is essential to management accounting (Kaplan and Norton, 1996). </w:t>
      </w:r>
      <w:proofErr w:type="gramStart"/>
      <w:r w:rsidRPr="003578A6">
        <w:rPr>
          <w:rFonts w:ascii="Arial" w:hAnsi="Arial" w:cs="Arial"/>
        </w:rPr>
        <w:t>Greggs</w:t>
      </w:r>
      <w:proofErr w:type="gramEnd"/>
      <w:r w:rsidR="009164DA" w:rsidRPr="003578A6">
        <w:rPr>
          <w:rFonts w:ascii="Arial" w:hAnsi="Arial" w:cs="Arial"/>
        </w:rPr>
        <w:t xml:space="preserve"> plc uses a mix of non-financial and financial key performance indicators (KPIs) to evaluate how well strategic targets like growth, sustainability, and operational efficiency are being met.</w:t>
      </w:r>
    </w:p>
    <w:p w14:paraId="45E6840B" w14:textId="2EE3B423" w:rsidR="009164DA" w:rsidRPr="003578A6" w:rsidRDefault="009164DA" w:rsidP="003578A6">
      <w:pPr>
        <w:spacing w:line="360" w:lineRule="auto"/>
        <w:rPr>
          <w:rFonts w:ascii="Arial" w:hAnsi="Arial" w:cs="Arial"/>
        </w:rPr>
      </w:pPr>
      <w:r w:rsidRPr="003578A6">
        <w:rPr>
          <w:rFonts w:ascii="Arial" w:hAnsi="Arial" w:cs="Arial"/>
        </w:rPr>
        <w:t xml:space="preserve">Return on capital employed (ROCE), operational profit margin, and like-for-like (LFL) sales growth are important financial KPIs. Greggs reported a 5.5% increase in LFL sales in 2024, which was </w:t>
      </w:r>
      <w:r w:rsidR="00985707" w:rsidRPr="003578A6">
        <w:rPr>
          <w:rFonts w:ascii="Arial" w:hAnsi="Arial" w:cs="Arial"/>
        </w:rPr>
        <w:t>fuelled</w:t>
      </w:r>
      <w:r w:rsidRPr="003578A6">
        <w:rPr>
          <w:rFonts w:ascii="Arial" w:hAnsi="Arial" w:cs="Arial"/>
        </w:rPr>
        <w:t xml:space="preserve"> by new product development, shop expansion, and longer business hours (Greggs, 2024). Energy hedging and effective procurement techniques allowed the corporation to sustain a robust operating profit margin in the face of inflationary pressures. Capital investment decisions are still influenced by ROCE, especially when it comes to increasing manufacturing capacity and expanding drive-through locations. These metrics align with management accounting techniques that employ profitability and return measurements to direct resource allocation and investment (Drury, 2022).</w:t>
      </w:r>
    </w:p>
    <w:p w14:paraId="0230A58E" w14:textId="77777777" w:rsidR="009164DA" w:rsidRPr="003578A6" w:rsidRDefault="009164DA" w:rsidP="003578A6">
      <w:pPr>
        <w:spacing w:line="360" w:lineRule="auto"/>
        <w:rPr>
          <w:rFonts w:ascii="Arial" w:hAnsi="Arial" w:cs="Arial"/>
        </w:rPr>
      </w:pPr>
      <w:r w:rsidRPr="003578A6">
        <w:rPr>
          <w:rFonts w:ascii="Arial" w:hAnsi="Arial" w:cs="Arial"/>
        </w:rPr>
        <w:t>Employee engagement and net shop openings are two examples of non-financial KPIs that are crucial. Greggs demonstrated excellent implementation of their expansion strategy in 2024, with a net increase of almost 140 stores (Greggs, 2024). Greggs' culture continues to place a strong emphasis on employee engagement, which is bolstered by ongoing training and incentive schemes intended to raise customer satisfaction and retention. The balanced scorecard method, which encourages a comprehensive understanding of organizational performance, is consistent with the integration of non-financial and financial KPIs (Kaplan and Norton, 1996). According to recent research, the balanced scorecard has developed into a tool that takes sustainability and long-term stakeholder value into account. This is especially important for socially conscious companies like Greggs (Bui and de Villiers, 2017).</w:t>
      </w:r>
    </w:p>
    <w:p w14:paraId="722EAC17" w14:textId="77777777" w:rsidR="009164DA" w:rsidRPr="003578A6" w:rsidRDefault="009164DA" w:rsidP="003578A6">
      <w:pPr>
        <w:spacing w:line="360" w:lineRule="auto"/>
        <w:rPr>
          <w:rFonts w:ascii="Arial" w:hAnsi="Arial" w:cs="Arial"/>
        </w:rPr>
      </w:pPr>
      <w:r w:rsidRPr="003578A6">
        <w:rPr>
          <w:rFonts w:ascii="Arial" w:hAnsi="Arial" w:cs="Arial"/>
        </w:rPr>
        <w:t xml:space="preserve">Strategic decision-making is directly impacted by performance insights. For example, decisions to extend digital ordering, delivery options, and store hours were justified by consistent sales growth and growing customer demand for convenience. On the other hand, cost optimization and efficiency studies were triggered by the operating profit decline to £70.4 million in the first half of 2025, which was caused by inflation and pay increases (Greggs, 2025). According to Jahan and </w:t>
      </w:r>
      <w:proofErr w:type="spellStart"/>
      <w:r w:rsidRPr="003578A6">
        <w:rPr>
          <w:rFonts w:ascii="Arial" w:hAnsi="Arial" w:cs="Arial"/>
        </w:rPr>
        <w:t>Rekabder's</w:t>
      </w:r>
      <w:proofErr w:type="spellEnd"/>
      <w:r w:rsidRPr="003578A6">
        <w:rPr>
          <w:rFonts w:ascii="Arial" w:hAnsi="Arial" w:cs="Arial"/>
        </w:rPr>
        <w:t xml:space="preserve"> (2020) research, accounting data plays a crucial role in operational choices made in retail environments.</w:t>
      </w:r>
    </w:p>
    <w:p w14:paraId="7D0FA523" w14:textId="77777777" w:rsidR="009164DA" w:rsidRPr="003578A6" w:rsidRDefault="009164DA" w:rsidP="003578A6">
      <w:pPr>
        <w:spacing w:line="360" w:lineRule="auto"/>
        <w:rPr>
          <w:rFonts w:ascii="Arial" w:hAnsi="Arial" w:cs="Arial"/>
        </w:rPr>
      </w:pPr>
      <w:r w:rsidRPr="003578A6">
        <w:rPr>
          <w:rFonts w:ascii="Arial" w:hAnsi="Arial" w:cs="Arial"/>
        </w:rPr>
        <w:t xml:space="preserve">Through the "Greggs Pledge," which incorporates social responsibility, community, and climate goals into internal reporting systems, Greggs' performance framework progressively incorporates sustainability and ethical metrics. This is in line with contemporary accounting advancements that put sustainability at the </w:t>
      </w:r>
      <w:proofErr w:type="spellStart"/>
      <w:r w:rsidRPr="003578A6">
        <w:rPr>
          <w:rFonts w:ascii="Arial" w:hAnsi="Arial" w:cs="Arial"/>
        </w:rPr>
        <w:t>center</w:t>
      </w:r>
      <w:proofErr w:type="spellEnd"/>
      <w:r w:rsidRPr="003578A6">
        <w:rPr>
          <w:rFonts w:ascii="Arial" w:hAnsi="Arial" w:cs="Arial"/>
        </w:rPr>
        <w:t xml:space="preserve"> of long-term performance management (ACCA, 2022).</w:t>
      </w:r>
    </w:p>
    <w:p w14:paraId="1EBD0367" w14:textId="0222B891" w:rsidR="009164DA" w:rsidRPr="003578A6" w:rsidRDefault="009164DA" w:rsidP="003578A6">
      <w:pPr>
        <w:pStyle w:val="Heading1"/>
        <w:spacing w:line="360" w:lineRule="auto"/>
        <w:rPr>
          <w:rFonts w:ascii="Arial" w:hAnsi="Arial" w:cs="Arial"/>
          <w:sz w:val="24"/>
          <w:szCs w:val="24"/>
        </w:rPr>
      </w:pPr>
      <w:bookmarkStart w:id="4" w:name="_Toc214196500"/>
      <w:r w:rsidRPr="003578A6">
        <w:rPr>
          <w:rFonts w:ascii="Arial" w:hAnsi="Arial" w:cs="Arial"/>
          <w:sz w:val="24"/>
          <w:szCs w:val="24"/>
        </w:rPr>
        <w:t>Sustainability and Ethical Considerations</w:t>
      </w:r>
      <w:bookmarkEnd w:id="4"/>
    </w:p>
    <w:p w14:paraId="1599DEB1" w14:textId="77777777" w:rsidR="009164DA" w:rsidRPr="003578A6" w:rsidRDefault="009164DA" w:rsidP="003578A6">
      <w:pPr>
        <w:spacing w:line="360" w:lineRule="auto"/>
        <w:rPr>
          <w:rFonts w:ascii="Arial" w:hAnsi="Arial" w:cs="Arial"/>
        </w:rPr>
      </w:pPr>
      <w:r w:rsidRPr="003578A6">
        <w:rPr>
          <w:rFonts w:ascii="Arial" w:hAnsi="Arial" w:cs="Arial"/>
        </w:rPr>
        <w:t>Greggs' public commitment to the Greggs Pledge, which aims to achieve net-zero carbon emissions by 2040, better community wellness, and ethical sourcing procedures, supports sustainability and social responsibility as a key component of the company's long-term strategic plan (Greggs, 2024). This strengthens the company's position as a socially responsible retailer seeking to strike a balance between profitability and beneficial effects on stakeholders. Organizations can now monitor both financial and non-financial performance related to environmental and social goals thanks to the growing integration of sustainability into management accounting procedures (ACCA, 2022).</w:t>
      </w:r>
    </w:p>
    <w:p w14:paraId="554D0010" w14:textId="751C9F4D" w:rsidR="009164DA" w:rsidRPr="003578A6" w:rsidRDefault="009164DA" w:rsidP="003578A6">
      <w:pPr>
        <w:spacing w:line="360" w:lineRule="auto"/>
        <w:rPr>
          <w:rFonts w:ascii="Arial" w:hAnsi="Arial" w:cs="Arial"/>
        </w:rPr>
      </w:pPr>
      <w:r w:rsidRPr="003578A6">
        <w:rPr>
          <w:rFonts w:ascii="Arial" w:hAnsi="Arial" w:cs="Arial"/>
        </w:rPr>
        <w:t>Reducing food waste, increasing plant-based products, and switching to more energy-efficient locations are all part of Greggs' sustainability approach. Additionally, the business makes investments in recycling programs, the purchase of renewable energy, and environmentally friendly packaging (Greggs, 2024). These programs show how to apply sustainable accounting, which takes social and environmental factors into consideration while making financial decisions (Bui and de Villiers, 2017). For instance, initiatives to reduce waste and increase energy efficiency not only promote moral behavio</w:t>
      </w:r>
      <w:r w:rsidR="00985707">
        <w:rPr>
          <w:rFonts w:ascii="Arial" w:hAnsi="Arial" w:cs="Arial"/>
        </w:rPr>
        <w:t>u</w:t>
      </w:r>
      <w:r w:rsidRPr="003578A6">
        <w:rPr>
          <w:rFonts w:ascii="Arial" w:hAnsi="Arial" w:cs="Arial"/>
        </w:rPr>
        <w:t>r but also result in long-term cost savings, which is consistent with management accounting goals of value creation and operational effectiveness (Uyar and Kuzey, 2016).</w:t>
      </w:r>
    </w:p>
    <w:p w14:paraId="5E96383D" w14:textId="498714DC" w:rsidR="009164DA" w:rsidRPr="003578A6" w:rsidRDefault="009164DA" w:rsidP="003578A6">
      <w:pPr>
        <w:spacing w:line="360" w:lineRule="auto"/>
        <w:rPr>
          <w:rFonts w:ascii="Arial" w:hAnsi="Arial" w:cs="Arial"/>
        </w:rPr>
      </w:pPr>
      <w:r w:rsidRPr="003578A6">
        <w:rPr>
          <w:rFonts w:ascii="Arial" w:hAnsi="Arial" w:cs="Arial"/>
        </w:rPr>
        <w:t xml:space="preserve">Pricing and cost control are also ethical issues. </w:t>
      </w:r>
      <w:r w:rsidR="00985707" w:rsidRPr="003578A6">
        <w:rPr>
          <w:rFonts w:ascii="Arial" w:hAnsi="Arial" w:cs="Arial"/>
        </w:rPr>
        <w:t>To</w:t>
      </w:r>
      <w:r w:rsidRPr="003578A6">
        <w:rPr>
          <w:rFonts w:ascii="Arial" w:hAnsi="Arial" w:cs="Arial"/>
        </w:rPr>
        <w:t xml:space="preserve"> guarantee accessibility for price-conscious customers, Greggs continues to employ a value pricing approach. This is especially crucial during times of inflation and pressure from rising living expenses. A stakeholder-focused approach is demonstrated by the company's choice to absorb some cost increases rather than entirely pass them on to customers (Greggs, 2025). Furthermore, Greggs prioritizes fair </w:t>
      </w:r>
      <w:proofErr w:type="spellStart"/>
      <w:r w:rsidRPr="003578A6">
        <w:rPr>
          <w:rFonts w:ascii="Arial" w:hAnsi="Arial" w:cs="Arial"/>
        </w:rPr>
        <w:t>labor</w:t>
      </w:r>
      <w:proofErr w:type="spellEnd"/>
      <w:r w:rsidRPr="003578A6">
        <w:rPr>
          <w:rFonts w:ascii="Arial" w:hAnsi="Arial" w:cs="Arial"/>
        </w:rPr>
        <w:t xml:space="preserve"> practices by providing competitive pay, profit-sharing plans for employees, and possibilities for professional growth. These procedures are consistent with ethical management accounting standards, which emphasize the significance of equity and openness in workforce investment and cost distribution (CIMA, 2023).</w:t>
      </w:r>
    </w:p>
    <w:p w14:paraId="2DEDA743" w14:textId="77777777" w:rsidR="009164DA" w:rsidRPr="003578A6" w:rsidRDefault="009164DA" w:rsidP="003578A6">
      <w:pPr>
        <w:spacing w:line="360" w:lineRule="auto"/>
        <w:rPr>
          <w:rFonts w:ascii="Arial" w:hAnsi="Arial" w:cs="Arial"/>
        </w:rPr>
      </w:pPr>
      <w:r w:rsidRPr="003578A6">
        <w:rPr>
          <w:rFonts w:ascii="Arial" w:hAnsi="Arial" w:cs="Arial"/>
        </w:rPr>
        <w:t>Greggs' sustainability reporting is in line with changing legal requirements and rising customer demand for moral business practices. Greggs strengthens its long-term competitive advantage by demonstrating a commitment to responsible and sustainable growth by incorporating environmental and social criteria into budgeting and performance reviews.</w:t>
      </w:r>
    </w:p>
    <w:p w14:paraId="1F3394BF" w14:textId="77777777" w:rsidR="00535BF9" w:rsidRPr="003578A6" w:rsidRDefault="00535BF9" w:rsidP="003578A6">
      <w:pPr>
        <w:spacing w:line="360" w:lineRule="auto"/>
        <w:rPr>
          <w:rFonts w:ascii="Arial" w:hAnsi="Arial" w:cs="Arial"/>
        </w:rPr>
      </w:pPr>
      <w:r w:rsidRPr="003578A6">
        <w:rPr>
          <w:rFonts w:ascii="Arial" w:hAnsi="Arial" w:cs="Arial"/>
        </w:rPr>
        <w:t>Additionally, Greggs' sustainability strategy complies with stakeholder expectations and new international reporting criteria. The Global Reporting Initiative (GRI), which emphasizes transparent disclosure of environmental and social impacts, and the Task Force on Climate-related Financial Disclosures (TCFD), which directs organizations in reporting climate-related risks and strategic responses, are two well-known frameworks whose principles are increasingly reflected in the company's progress (GRI, 2023; TCFD, 2021). Greggs displays accountability, boosts investor trust, and solidifies its position as a conscientious and forward-thinking retailer by incorporating these ideas into its reporting and performance processes. This proactive approach strengthens Greggs' long-term competitiveness and supports the company's goal-driven growth plan as customer expectations and regulatory demands regarding sustainability continue to rise.</w:t>
      </w:r>
    </w:p>
    <w:p w14:paraId="1F90C3FF" w14:textId="18DE1CB6" w:rsidR="00535BF9" w:rsidRPr="003578A6" w:rsidRDefault="00535BF9" w:rsidP="003578A6">
      <w:pPr>
        <w:spacing w:line="360" w:lineRule="auto"/>
        <w:rPr>
          <w:rFonts w:ascii="Arial" w:hAnsi="Arial" w:cs="Arial"/>
        </w:rPr>
      </w:pPr>
    </w:p>
    <w:p w14:paraId="321FCE4E" w14:textId="77777777" w:rsidR="00535BF9" w:rsidRPr="003578A6" w:rsidRDefault="00535BF9" w:rsidP="003578A6">
      <w:pPr>
        <w:spacing w:line="360" w:lineRule="auto"/>
        <w:rPr>
          <w:rFonts w:ascii="Arial" w:hAnsi="Arial" w:cs="Arial"/>
        </w:rPr>
      </w:pPr>
    </w:p>
    <w:p w14:paraId="2759D67F" w14:textId="2608D3EB" w:rsidR="009164DA" w:rsidRPr="003578A6" w:rsidRDefault="00535BF9" w:rsidP="003578A6">
      <w:pPr>
        <w:pStyle w:val="Heading1"/>
        <w:spacing w:line="360" w:lineRule="auto"/>
        <w:rPr>
          <w:rFonts w:ascii="Arial" w:hAnsi="Arial" w:cs="Arial"/>
          <w:sz w:val="24"/>
          <w:szCs w:val="24"/>
        </w:rPr>
      </w:pPr>
      <w:bookmarkStart w:id="5" w:name="_Toc214196501"/>
      <w:r w:rsidRPr="003578A6">
        <w:rPr>
          <w:rFonts w:ascii="Arial" w:hAnsi="Arial" w:cs="Arial"/>
          <w:sz w:val="24"/>
          <w:szCs w:val="24"/>
        </w:rPr>
        <w:t>Conclusion and Recommendations</w:t>
      </w:r>
      <w:bookmarkEnd w:id="5"/>
    </w:p>
    <w:p w14:paraId="7FD8AB77" w14:textId="77777777" w:rsidR="00535BF9" w:rsidRPr="003578A6" w:rsidRDefault="00535BF9" w:rsidP="003578A6">
      <w:pPr>
        <w:spacing w:line="360" w:lineRule="auto"/>
        <w:rPr>
          <w:rFonts w:ascii="Arial" w:hAnsi="Arial" w:cs="Arial"/>
        </w:rPr>
      </w:pPr>
      <w:r w:rsidRPr="003578A6">
        <w:rPr>
          <w:rFonts w:ascii="Arial" w:hAnsi="Arial" w:cs="Arial"/>
        </w:rPr>
        <w:t xml:space="preserve">To sum up, in the competitive food-on-the-go industry, </w:t>
      </w:r>
      <w:proofErr w:type="gramStart"/>
      <w:r w:rsidRPr="003578A6">
        <w:rPr>
          <w:rFonts w:ascii="Arial" w:hAnsi="Arial" w:cs="Arial"/>
        </w:rPr>
        <w:t>Greggs</w:t>
      </w:r>
      <w:proofErr w:type="gramEnd"/>
      <w:r w:rsidRPr="003578A6">
        <w:rPr>
          <w:rFonts w:ascii="Arial" w:hAnsi="Arial" w:cs="Arial"/>
        </w:rPr>
        <w:t xml:space="preserve"> plc exhibits an efficient use of management accounting technologies to assist strategic decision-making, cost control, and sustainable growth. While a balanced mix of financial and non-financial KPIs promotes informed performance evaluation in line with long-term strategic objectives, the company's use of flexible and rolling budgets allows for responsive planning during times of inflation and wage pressures. Additionally, Greggs' commitment to ethical and responsible value creation is reinforced by its sustainability initiatives, which are detailed in the "Greggs Pledge." These projects show how environmental and social issues are integrated into financial planning and operational decision-making.</w:t>
      </w:r>
    </w:p>
    <w:p w14:paraId="006CC3F7" w14:textId="2AFAB0BE" w:rsidR="00535BF9" w:rsidRDefault="00535BF9" w:rsidP="003578A6">
      <w:pPr>
        <w:spacing w:line="360" w:lineRule="auto"/>
        <w:rPr>
          <w:rFonts w:ascii="Arial" w:hAnsi="Arial" w:cs="Arial"/>
        </w:rPr>
      </w:pPr>
      <w:r w:rsidRPr="003578A6">
        <w:rPr>
          <w:rFonts w:ascii="Arial" w:hAnsi="Arial" w:cs="Arial"/>
        </w:rPr>
        <w:t xml:space="preserve">It is advised that Greggs strengthen sustainability accounting by incorporating more thorough environmental metrics into financial evaluation, increase the use of predictive analytics for forecasting, and keep investing in workforce development to support operational efficiency and service quality </w:t>
      </w:r>
      <w:r w:rsidR="00985707" w:rsidRPr="003578A6">
        <w:rPr>
          <w:rFonts w:ascii="Arial" w:hAnsi="Arial" w:cs="Arial"/>
        </w:rPr>
        <w:t>to</w:t>
      </w:r>
      <w:r w:rsidRPr="003578A6">
        <w:rPr>
          <w:rFonts w:ascii="Arial" w:hAnsi="Arial" w:cs="Arial"/>
        </w:rPr>
        <w:t xml:space="preserve"> improve future performance. When combined, these steps would strengthen operational resilience, competitive positioning, and long-term stakeholder value.</w:t>
      </w:r>
    </w:p>
    <w:p w14:paraId="3CB3DA62" w14:textId="77777777" w:rsidR="00985707" w:rsidRDefault="00985707" w:rsidP="003578A6">
      <w:pPr>
        <w:spacing w:line="360" w:lineRule="auto"/>
        <w:rPr>
          <w:rFonts w:ascii="Arial" w:hAnsi="Arial" w:cs="Arial"/>
        </w:rPr>
      </w:pPr>
    </w:p>
    <w:p w14:paraId="1F80480A" w14:textId="77777777" w:rsidR="00985707" w:rsidRDefault="00985707" w:rsidP="003578A6">
      <w:pPr>
        <w:spacing w:line="360" w:lineRule="auto"/>
        <w:rPr>
          <w:rFonts w:ascii="Arial" w:hAnsi="Arial" w:cs="Arial"/>
        </w:rPr>
      </w:pPr>
    </w:p>
    <w:p w14:paraId="1055335E" w14:textId="77777777" w:rsidR="00985707" w:rsidRDefault="00985707" w:rsidP="003578A6">
      <w:pPr>
        <w:spacing w:line="360" w:lineRule="auto"/>
        <w:rPr>
          <w:rFonts w:ascii="Arial" w:hAnsi="Arial" w:cs="Arial"/>
        </w:rPr>
      </w:pPr>
    </w:p>
    <w:p w14:paraId="6EEB9B1C" w14:textId="77777777" w:rsidR="00985707" w:rsidRDefault="00985707" w:rsidP="003578A6">
      <w:pPr>
        <w:spacing w:line="360" w:lineRule="auto"/>
        <w:rPr>
          <w:rFonts w:ascii="Arial" w:hAnsi="Arial" w:cs="Arial"/>
        </w:rPr>
      </w:pPr>
    </w:p>
    <w:p w14:paraId="4A9F7E46" w14:textId="77777777" w:rsidR="00985707" w:rsidRDefault="00985707" w:rsidP="003578A6">
      <w:pPr>
        <w:spacing w:line="360" w:lineRule="auto"/>
        <w:rPr>
          <w:rFonts w:ascii="Arial" w:hAnsi="Arial" w:cs="Arial"/>
        </w:rPr>
      </w:pPr>
    </w:p>
    <w:p w14:paraId="44EC9ECF" w14:textId="77777777" w:rsidR="00985707" w:rsidRDefault="00985707" w:rsidP="003578A6">
      <w:pPr>
        <w:spacing w:line="360" w:lineRule="auto"/>
        <w:rPr>
          <w:rFonts w:ascii="Arial" w:hAnsi="Arial" w:cs="Arial"/>
        </w:rPr>
      </w:pPr>
    </w:p>
    <w:p w14:paraId="137225D7" w14:textId="77777777" w:rsidR="00985707" w:rsidRDefault="00985707" w:rsidP="003578A6">
      <w:pPr>
        <w:spacing w:line="360" w:lineRule="auto"/>
        <w:rPr>
          <w:rFonts w:ascii="Arial" w:hAnsi="Arial" w:cs="Arial"/>
        </w:rPr>
      </w:pPr>
    </w:p>
    <w:p w14:paraId="15DE8805" w14:textId="77777777" w:rsidR="00985707" w:rsidRDefault="00985707" w:rsidP="003578A6">
      <w:pPr>
        <w:spacing w:line="360" w:lineRule="auto"/>
        <w:rPr>
          <w:rFonts w:ascii="Arial" w:hAnsi="Arial" w:cs="Arial"/>
        </w:rPr>
      </w:pPr>
    </w:p>
    <w:p w14:paraId="5F4B7926" w14:textId="77777777" w:rsidR="00985707" w:rsidRPr="003578A6" w:rsidRDefault="00985707" w:rsidP="003578A6">
      <w:pPr>
        <w:spacing w:line="360" w:lineRule="auto"/>
        <w:rPr>
          <w:rFonts w:ascii="Arial" w:hAnsi="Arial" w:cs="Arial"/>
        </w:rPr>
      </w:pPr>
    </w:p>
    <w:p w14:paraId="1F7CF08A" w14:textId="57A72590" w:rsidR="00535BF9" w:rsidRPr="003578A6" w:rsidRDefault="00535BF9" w:rsidP="003578A6">
      <w:pPr>
        <w:pStyle w:val="Heading1"/>
        <w:spacing w:line="360" w:lineRule="auto"/>
        <w:rPr>
          <w:rFonts w:ascii="Arial" w:hAnsi="Arial" w:cs="Arial"/>
          <w:sz w:val="24"/>
          <w:szCs w:val="24"/>
        </w:rPr>
      </w:pPr>
      <w:bookmarkStart w:id="6" w:name="_Toc214196502"/>
      <w:r w:rsidRPr="003578A6">
        <w:rPr>
          <w:rFonts w:ascii="Arial" w:hAnsi="Arial" w:cs="Arial"/>
          <w:sz w:val="24"/>
          <w:szCs w:val="24"/>
        </w:rPr>
        <w:t>Reference List</w:t>
      </w:r>
      <w:bookmarkEnd w:id="6"/>
    </w:p>
    <w:p w14:paraId="5B1454ED" w14:textId="77777777" w:rsidR="003578A6" w:rsidRPr="003578A6" w:rsidRDefault="003578A6" w:rsidP="003578A6">
      <w:pPr>
        <w:spacing w:line="360" w:lineRule="auto"/>
        <w:rPr>
          <w:rFonts w:ascii="Arial" w:hAnsi="Arial" w:cs="Arial"/>
        </w:rPr>
      </w:pPr>
      <w:r w:rsidRPr="003578A6">
        <w:rPr>
          <w:rFonts w:ascii="Arial" w:hAnsi="Arial" w:cs="Arial"/>
        </w:rPr>
        <w:t xml:space="preserve">ACCA (2022) </w:t>
      </w:r>
      <w:r w:rsidRPr="003578A6">
        <w:rPr>
          <w:rFonts w:ascii="Arial" w:hAnsi="Arial" w:cs="Arial"/>
          <w:i/>
          <w:iCs/>
        </w:rPr>
        <w:t>Sustainability Reporting: Integrating ESG into Performance Management</w:t>
      </w:r>
      <w:r w:rsidRPr="003578A6">
        <w:rPr>
          <w:rFonts w:ascii="Arial" w:hAnsi="Arial" w:cs="Arial"/>
        </w:rPr>
        <w:t>. London: Association of Chartered Certified Accountants.</w:t>
      </w:r>
    </w:p>
    <w:p w14:paraId="360AF498" w14:textId="77777777" w:rsidR="003578A6" w:rsidRPr="003578A6" w:rsidRDefault="003578A6" w:rsidP="003578A6">
      <w:pPr>
        <w:spacing w:line="360" w:lineRule="auto"/>
        <w:rPr>
          <w:rFonts w:ascii="Arial" w:hAnsi="Arial" w:cs="Arial"/>
        </w:rPr>
      </w:pPr>
      <w:r w:rsidRPr="003578A6">
        <w:rPr>
          <w:rFonts w:ascii="Arial" w:hAnsi="Arial" w:cs="Arial"/>
        </w:rPr>
        <w:t xml:space="preserve">Altynbekov, M. A., </w:t>
      </w:r>
      <w:proofErr w:type="spellStart"/>
      <w:r w:rsidRPr="003578A6">
        <w:rPr>
          <w:rFonts w:ascii="Arial" w:hAnsi="Arial" w:cs="Arial"/>
        </w:rPr>
        <w:t>Aitkhozhina</w:t>
      </w:r>
      <w:proofErr w:type="spellEnd"/>
      <w:r w:rsidRPr="003578A6">
        <w:rPr>
          <w:rFonts w:ascii="Arial" w:hAnsi="Arial" w:cs="Arial"/>
        </w:rPr>
        <w:t xml:space="preserve">, A. E. and </w:t>
      </w:r>
      <w:proofErr w:type="spellStart"/>
      <w:r w:rsidRPr="003578A6">
        <w:rPr>
          <w:rFonts w:ascii="Arial" w:hAnsi="Arial" w:cs="Arial"/>
        </w:rPr>
        <w:t>Mikhailina</w:t>
      </w:r>
      <w:proofErr w:type="spellEnd"/>
      <w:r w:rsidRPr="003578A6">
        <w:rPr>
          <w:rFonts w:ascii="Arial" w:hAnsi="Arial" w:cs="Arial"/>
        </w:rPr>
        <w:t xml:space="preserve">, I. N. (2023) ‘The Concept of Costs in Management Accounting and the Importance of Cost Classification’, </w:t>
      </w:r>
      <w:r w:rsidRPr="003578A6">
        <w:rPr>
          <w:rFonts w:ascii="Arial" w:hAnsi="Arial" w:cs="Arial"/>
          <w:i/>
          <w:iCs/>
        </w:rPr>
        <w:t>Journal of Economics and Business Research</w:t>
      </w:r>
      <w:r w:rsidRPr="003578A6">
        <w:rPr>
          <w:rFonts w:ascii="Arial" w:hAnsi="Arial" w:cs="Arial"/>
        </w:rPr>
        <w:t xml:space="preserve">. Available at: </w:t>
      </w:r>
      <w:hyperlink r:id="rId6" w:tgtFrame="_new" w:history="1">
        <w:r w:rsidRPr="003578A6">
          <w:rPr>
            <w:rStyle w:val="Hyperlink"/>
            <w:rFonts w:ascii="Arial" w:hAnsi="Arial" w:cs="Arial"/>
          </w:rPr>
          <w:t>https://www.researchgate.net/publication/389601648</w:t>
        </w:r>
      </w:hyperlink>
      <w:r w:rsidRPr="003578A6">
        <w:rPr>
          <w:rFonts w:ascii="Arial" w:hAnsi="Arial" w:cs="Arial"/>
        </w:rPr>
        <w:t xml:space="preserve"> [Accessed: 19 October 2025].</w:t>
      </w:r>
    </w:p>
    <w:p w14:paraId="5D5645A8" w14:textId="77777777" w:rsidR="003578A6" w:rsidRPr="003578A6" w:rsidRDefault="003578A6" w:rsidP="003578A6">
      <w:pPr>
        <w:spacing w:line="360" w:lineRule="auto"/>
        <w:rPr>
          <w:rFonts w:ascii="Arial" w:hAnsi="Arial" w:cs="Arial"/>
        </w:rPr>
      </w:pPr>
      <w:r w:rsidRPr="003578A6">
        <w:rPr>
          <w:rFonts w:ascii="Arial" w:hAnsi="Arial" w:cs="Arial"/>
        </w:rPr>
        <w:t xml:space="preserve">Atrill, P. and McLaney, E. (2023) </w:t>
      </w:r>
      <w:r w:rsidRPr="003578A6">
        <w:rPr>
          <w:rFonts w:ascii="Arial" w:hAnsi="Arial" w:cs="Arial"/>
          <w:i/>
          <w:iCs/>
        </w:rPr>
        <w:t>Accounting and Finance for Non-Specialists</w:t>
      </w:r>
      <w:r w:rsidRPr="003578A6">
        <w:rPr>
          <w:rFonts w:ascii="Arial" w:hAnsi="Arial" w:cs="Arial"/>
        </w:rPr>
        <w:t xml:space="preserve">. 12th </w:t>
      </w:r>
      <w:proofErr w:type="spellStart"/>
      <w:r w:rsidRPr="003578A6">
        <w:rPr>
          <w:rFonts w:ascii="Arial" w:hAnsi="Arial" w:cs="Arial"/>
        </w:rPr>
        <w:t>edn</w:t>
      </w:r>
      <w:proofErr w:type="spellEnd"/>
      <w:r w:rsidRPr="003578A6">
        <w:rPr>
          <w:rFonts w:ascii="Arial" w:hAnsi="Arial" w:cs="Arial"/>
        </w:rPr>
        <w:t>. Harlow: Pearson.</w:t>
      </w:r>
    </w:p>
    <w:p w14:paraId="51BB2116" w14:textId="77777777" w:rsidR="003578A6" w:rsidRPr="003578A6" w:rsidRDefault="003578A6" w:rsidP="003578A6">
      <w:pPr>
        <w:spacing w:line="360" w:lineRule="auto"/>
        <w:rPr>
          <w:rFonts w:ascii="Arial" w:hAnsi="Arial" w:cs="Arial"/>
        </w:rPr>
      </w:pPr>
      <w:r w:rsidRPr="003578A6">
        <w:rPr>
          <w:rFonts w:ascii="Arial" w:hAnsi="Arial" w:cs="Arial"/>
        </w:rPr>
        <w:t xml:space="preserve">Bui, B. and de Villiers, C. (2017) ‘The Balanced Scorecard as a Management Tool for Sustainability’, </w:t>
      </w:r>
      <w:proofErr w:type="spellStart"/>
      <w:r w:rsidRPr="003578A6">
        <w:rPr>
          <w:rFonts w:ascii="Arial" w:hAnsi="Arial" w:cs="Arial"/>
          <w:i/>
          <w:iCs/>
        </w:rPr>
        <w:t>Meditari</w:t>
      </w:r>
      <w:proofErr w:type="spellEnd"/>
      <w:r w:rsidRPr="003578A6">
        <w:rPr>
          <w:rFonts w:ascii="Arial" w:hAnsi="Arial" w:cs="Arial"/>
          <w:i/>
          <w:iCs/>
        </w:rPr>
        <w:t xml:space="preserve"> Accountancy Research</w:t>
      </w:r>
      <w:r w:rsidRPr="003578A6">
        <w:rPr>
          <w:rFonts w:ascii="Arial" w:hAnsi="Arial" w:cs="Arial"/>
        </w:rPr>
        <w:t>, 25(2), pp. 176–204.</w:t>
      </w:r>
    </w:p>
    <w:p w14:paraId="12F127C8" w14:textId="77777777" w:rsidR="003578A6" w:rsidRPr="003578A6" w:rsidRDefault="003578A6" w:rsidP="003578A6">
      <w:pPr>
        <w:spacing w:line="360" w:lineRule="auto"/>
        <w:rPr>
          <w:rFonts w:ascii="Arial" w:hAnsi="Arial" w:cs="Arial"/>
        </w:rPr>
      </w:pPr>
      <w:r w:rsidRPr="003578A6">
        <w:rPr>
          <w:rFonts w:ascii="Arial" w:hAnsi="Arial" w:cs="Arial"/>
        </w:rPr>
        <w:t xml:space="preserve">Chartered Institute of Management Accountants (CIMA) (2023) </w:t>
      </w:r>
      <w:r w:rsidRPr="003578A6">
        <w:rPr>
          <w:rFonts w:ascii="Arial" w:hAnsi="Arial" w:cs="Arial"/>
          <w:i/>
          <w:iCs/>
        </w:rPr>
        <w:t>Budgeting and Forecasting in Modern Organisations</w:t>
      </w:r>
      <w:r w:rsidRPr="003578A6">
        <w:rPr>
          <w:rFonts w:ascii="Arial" w:hAnsi="Arial" w:cs="Arial"/>
        </w:rPr>
        <w:t>. London: CIMA Publishing.</w:t>
      </w:r>
    </w:p>
    <w:p w14:paraId="488FCE84" w14:textId="77777777" w:rsidR="003578A6" w:rsidRPr="003578A6" w:rsidRDefault="003578A6" w:rsidP="003578A6">
      <w:pPr>
        <w:spacing w:line="360" w:lineRule="auto"/>
        <w:rPr>
          <w:rFonts w:ascii="Arial" w:hAnsi="Arial" w:cs="Arial"/>
        </w:rPr>
      </w:pPr>
      <w:r w:rsidRPr="003578A6">
        <w:rPr>
          <w:rFonts w:ascii="Arial" w:hAnsi="Arial" w:cs="Arial"/>
        </w:rPr>
        <w:t xml:space="preserve">CIMA (2023) </w:t>
      </w:r>
      <w:r w:rsidRPr="003578A6">
        <w:rPr>
          <w:rFonts w:ascii="Arial" w:hAnsi="Arial" w:cs="Arial"/>
          <w:i/>
          <w:iCs/>
        </w:rPr>
        <w:t>Ethics and Responsibility in Management Accounting</w:t>
      </w:r>
      <w:r w:rsidRPr="003578A6">
        <w:rPr>
          <w:rFonts w:ascii="Arial" w:hAnsi="Arial" w:cs="Arial"/>
        </w:rPr>
        <w:t>. Chartered Institute of Management Accountants.</w:t>
      </w:r>
    </w:p>
    <w:p w14:paraId="4FF273E5" w14:textId="77777777" w:rsidR="003578A6" w:rsidRPr="003578A6" w:rsidRDefault="003578A6" w:rsidP="003578A6">
      <w:pPr>
        <w:spacing w:line="360" w:lineRule="auto"/>
        <w:rPr>
          <w:rFonts w:ascii="Arial" w:hAnsi="Arial" w:cs="Arial"/>
        </w:rPr>
      </w:pPr>
      <w:r w:rsidRPr="003578A6">
        <w:rPr>
          <w:rFonts w:ascii="Arial" w:hAnsi="Arial" w:cs="Arial"/>
        </w:rPr>
        <w:t xml:space="preserve">Drury, C. (2022) </w:t>
      </w:r>
      <w:r w:rsidRPr="003578A6">
        <w:rPr>
          <w:rFonts w:ascii="Arial" w:hAnsi="Arial" w:cs="Arial"/>
          <w:i/>
          <w:iCs/>
        </w:rPr>
        <w:t>Management and Cost Accounting</w:t>
      </w:r>
      <w:r w:rsidRPr="003578A6">
        <w:rPr>
          <w:rFonts w:ascii="Arial" w:hAnsi="Arial" w:cs="Arial"/>
        </w:rPr>
        <w:t xml:space="preserve">. 11th </w:t>
      </w:r>
      <w:proofErr w:type="spellStart"/>
      <w:r w:rsidRPr="003578A6">
        <w:rPr>
          <w:rFonts w:ascii="Arial" w:hAnsi="Arial" w:cs="Arial"/>
        </w:rPr>
        <w:t>edn</w:t>
      </w:r>
      <w:proofErr w:type="spellEnd"/>
      <w:r w:rsidRPr="003578A6">
        <w:rPr>
          <w:rFonts w:ascii="Arial" w:hAnsi="Arial" w:cs="Arial"/>
        </w:rPr>
        <w:t>. Andover: Cengage Learning.</w:t>
      </w:r>
    </w:p>
    <w:p w14:paraId="2354FF25" w14:textId="77777777" w:rsidR="003578A6" w:rsidRPr="003578A6" w:rsidRDefault="003578A6" w:rsidP="003578A6">
      <w:pPr>
        <w:spacing w:line="360" w:lineRule="auto"/>
        <w:rPr>
          <w:rFonts w:ascii="Arial" w:hAnsi="Arial" w:cs="Arial"/>
        </w:rPr>
      </w:pPr>
      <w:r w:rsidRPr="003578A6">
        <w:rPr>
          <w:rFonts w:ascii="Arial" w:hAnsi="Arial" w:cs="Arial"/>
        </w:rPr>
        <w:t xml:space="preserve">Global Reporting Initiative (GRI) (2023) </w:t>
      </w:r>
      <w:r w:rsidRPr="003578A6">
        <w:rPr>
          <w:rFonts w:ascii="Arial" w:hAnsi="Arial" w:cs="Arial"/>
          <w:i/>
          <w:iCs/>
        </w:rPr>
        <w:t>GRI Standards Overview</w:t>
      </w:r>
      <w:r w:rsidRPr="003578A6">
        <w:rPr>
          <w:rFonts w:ascii="Arial" w:hAnsi="Arial" w:cs="Arial"/>
        </w:rPr>
        <w:t>. Amsterdam: GRI.</w:t>
      </w:r>
    </w:p>
    <w:p w14:paraId="0ECCF7F3" w14:textId="77777777" w:rsidR="003578A6" w:rsidRPr="003578A6" w:rsidRDefault="003578A6" w:rsidP="003578A6">
      <w:pPr>
        <w:spacing w:line="360" w:lineRule="auto"/>
        <w:rPr>
          <w:rFonts w:ascii="Arial" w:hAnsi="Arial" w:cs="Arial"/>
        </w:rPr>
      </w:pPr>
      <w:r w:rsidRPr="003578A6">
        <w:rPr>
          <w:rFonts w:ascii="Arial" w:hAnsi="Arial" w:cs="Arial"/>
        </w:rPr>
        <w:t xml:space="preserve">Google Finance (2025) </w:t>
      </w:r>
      <w:proofErr w:type="gramStart"/>
      <w:r w:rsidRPr="003578A6">
        <w:rPr>
          <w:rFonts w:ascii="Arial" w:hAnsi="Arial" w:cs="Arial"/>
          <w:i/>
          <w:iCs/>
        </w:rPr>
        <w:t>Greggs</w:t>
      </w:r>
      <w:proofErr w:type="gramEnd"/>
      <w:r w:rsidRPr="003578A6">
        <w:rPr>
          <w:rFonts w:ascii="Arial" w:hAnsi="Arial" w:cs="Arial"/>
          <w:i/>
          <w:iCs/>
        </w:rPr>
        <w:t xml:space="preserve"> plc (LSE: GRG) – Financial Summary</w:t>
      </w:r>
      <w:r w:rsidRPr="003578A6">
        <w:rPr>
          <w:rFonts w:ascii="Arial" w:hAnsi="Arial" w:cs="Arial"/>
        </w:rPr>
        <w:t>. Available at: https://www.google.com/finance/quote/GRG:LON [Accessed: 19 October 2025].</w:t>
      </w:r>
    </w:p>
    <w:p w14:paraId="6850E005" w14:textId="77777777" w:rsidR="003578A6" w:rsidRPr="003578A6" w:rsidRDefault="003578A6" w:rsidP="003578A6">
      <w:pPr>
        <w:spacing w:line="360" w:lineRule="auto"/>
        <w:rPr>
          <w:rFonts w:ascii="Arial" w:hAnsi="Arial" w:cs="Arial"/>
        </w:rPr>
      </w:pPr>
      <w:proofErr w:type="gramStart"/>
      <w:r w:rsidRPr="003578A6">
        <w:rPr>
          <w:rFonts w:ascii="Arial" w:hAnsi="Arial" w:cs="Arial"/>
        </w:rPr>
        <w:t>Greggs</w:t>
      </w:r>
      <w:proofErr w:type="gramEnd"/>
      <w:r w:rsidRPr="003578A6">
        <w:rPr>
          <w:rFonts w:ascii="Arial" w:hAnsi="Arial" w:cs="Arial"/>
        </w:rPr>
        <w:t xml:space="preserve"> plc (2024) </w:t>
      </w:r>
      <w:r w:rsidRPr="003578A6">
        <w:rPr>
          <w:rFonts w:ascii="Arial" w:hAnsi="Arial" w:cs="Arial"/>
          <w:i/>
          <w:iCs/>
        </w:rPr>
        <w:t>Annual Report and Accounts 2024</w:t>
      </w:r>
      <w:r w:rsidRPr="003578A6">
        <w:rPr>
          <w:rFonts w:ascii="Arial" w:hAnsi="Arial" w:cs="Arial"/>
        </w:rPr>
        <w:t xml:space="preserve">. Newcastle upon Tyne: Greggs plc. Available at: </w:t>
      </w:r>
      <w:hyperlink r:id="rId7" w:tgtFrame="_new" w:history="1">
        <w:r w:rsidRPr="003578A6">
          <w:rPr>
            <w:rStyle w:val="Hyperlink"/>
            <w:rFonts w:ascii="Arial" w:hAnsi="Arial" w:cs="Arial"/>
          </w:rPr>
          <w:t>https://a.storyblok.com/f/162306/x/043b5db0ef/greggs-annual-report-and-accounts-2024.pdf</w:t>
        </w:r>
      </w:hyperlink>
      <w:r w:rsidRPr="003578A6">
        <w:rPr>
          <w:rFonts w:ascii="Arial" w:hAnsi="Arial" w:cs="Arial"/>
        </w:rPr>
        <w:t xml:space="preserve"> [Accessed: 27 October 2025].</w:t>
      </w:r>
    </w:p>
    <w:p w14:paraId="01AF093F" w14:textId="77777777" w:rsidR="003578A6" w:rsidRPr="003578A6" w:rsidRDefault="003578A6" w:rsidP="003578A6">
      <w:pPr>
        <w:spacing w:line="360" w:lineRule="auto"/>
        <w:rPr>
          <w:rFonts w:ascii="Arial" w:hAnsi="Arial" w:cs="Arial"/>
        </w:rPr>
      </w:pPr>
      <w:proofErr w:type="gramStart"/>
      <w:r w:rsidRPr="003578A6">
        <w:rPr>
          <w:rFonts w:ascii="Arial" w:hAnsi="Arial" w:cs="Arial"/>
        </w:rPr>
        <w:t>Greggs</w:t>
      </w:r>
      <w:proofErr w:type="gramEnd"/>
      <w:r w:rsidRPr="003578A6">
        <w:rPr>
          <w:rFonts w:ascii="Arial" w:hAnsi="Arial" w:cs="Arial"/>
        </w:rPr>
        <w:t xml:space="preserve"> plc (2024) </w:t>
      </w:r>
      <w:r w:rsidRPr="003578A6">
        <w:rPr>
          <w:rFonts w:ascii="Arial" w:hAnsi="Arial" w:cs="Arial"/>
          <w:i/>
          <w:iCs/>
        </w:rPr>
        <w:t>Annual Report and Accounts 2024</w:t>
      </w:r>
      <w:r w:rsidRPr="003578A6">
        <w:rPr>
          <w:rFonts w:ascii="Arial" w:hAnsi="Arial" w:cs="Arial"/>
        </w:rPr>
        <w:t>. Newcastle upon Tyne: Greggs plc.</w:t>
      </w:r>
    </w:p>
    <w:p w14:paraId="330258CE" w14:textId="77777777" w:rsidR="003578A6" w:rsidRPr="003578A6" w:rsidRDefault="003578A6" w:rsidP="003578A6">
      <w:pPr>
        <w:spacing w:line="360" w:lineRule="auto"/>
        <w:rPr>
          <w:rFonts w:ascii="Arial" w:hAnsi="Arial" w:cs="Arial"/>
        </w:rPr>
      </w:pPr>
      <w:proofErr w:type="gramStart"/>
      <w:r w:rsidRPr="003578A6">
        <w:rPr>
          <w:rFonts w:ascii="Arial" w:hAnsi="Arial" w:cs="Arial"/>
        </w:rPr>
        <w:t>Greggs</w:t>
      </w:r>
      <w:proofErr w:type="gramEnd"/>
      <w:r w:rsidRPr="003578A6">
        <w:rPr>
          <w:rFonts w:ascii="Arial" w:hAnsi="Arial" w:cs="Arial"/>
        </w:rPr>
        <w:t xml:space="preserve"> plc (2025) </w:t>
      </w:r>
      <w:r w:rsidRPr="003578A6">
        <w:rPr>
          <w:rFonts w:ascii="Arial" w:hAnsi="Arial" w:cs="Arial"/>
          <w:i/>
          <w:iCs/>
        </w:rPr>
        <w:t>Interim Results for the 26 Weeks Ended 28 June 2025</w:t>
      </w:r>
      <w:r w:rsidRPr="003578A6">
        <w:rPr>
          <w:rFonts w:ascii="Arial" w:hAnsi="Arial" w:cs="Arial"/>
        </w:rPr>
        <w:t>. Available at:</w:t>
      </w:r>
      <w:r w:rsidRPr="003578A6">
        <w:rPr>
          <w:rFonts w:ascii="Arial" w:hAnsi="Arial" w:cs="Arial"/>
        </w:rPr>
        <w:br/>
      </w:r>
      <w:hyperlink r:id="rId8" w:tgtFrame="_new" w:history="1">
        <w:r w:rsidRPr="003578A6">
          <w:rPr>
            <w:rStyle w:val="Hyperlink"/>
            <w:rFonts w:ascii="Arial" w:hAnsi="Arial" w:cs="Arial"/>
          </w:rPr>
          <w:t>https://www.investegate.co.uk/announcement/rns/greggs--</w:t>
        </w:r>
        <w:proofErr w:type="spellStart"/>
        <w:r w:rsidRPr="003578A6">
          <w:rPr>
            <w:rStyle w:val="Hyperlink"/>
            <w:rFonts w:ascii="Arial" w:hAnsi="Arial" w:cs="Arial"/>
          </w:rPr>
          <w:t>grg</w:t>
        </w:r>
        <w:proofErr w:type="spellEnd"/>
        <w:r w:rsidRPr="003578A6">
          <w:rPr>
            <w:rStyle w:val="Hyperlink"/>
            <w:rFonts w:ascii="Arial" w:hAnsi="Arial" w:cs="Arial"/>
          </w:rPr>
          <w:t>/interim-results-/9008091</w:t>
        </w:r>
      </w:hyperlink>
      <w:r w:rsidRPr="003578A6">
        <w:rPr>
          <w:rFonts w:ascii="Arial" w:hAnsi="Arial" w:cs="Arial"/>
        </w:rPr>
        <w:t xml:space="preserve"> [Accessed: 23 October 2025].</w:t>
      </w:r>
    </w:p>
    <w:p w14:paraId="7C15A309" w14:textId="77777777" w:rsidR="003578A6" w:rsidRPr="003578A6" w:rsidRDefault="003578A6" w:rsidP="003578A6">
      <w:pPr>
        <w:spacing w:line="360" w:lineRule="auto"/>
        <w:rPr>
          <w:rFonts w:ascii="Arial" w:hAnsi="Arial" w:cs="Arial"/>
        </w:rPr>
      </w:pPr>
      <w:r w:rsidRPr="003578A6">
        <w:rPr>
          <w:rFonts w:ascii="Arial" w:hAnsi="Arial" w:cs="Arial"/>
        </w:rPr>
        <w:t xml:space="preserve">Jahan, N. and </w:t>
      </w:r>
      <w:proofErr w:type="spellStart"/>
      <w:r w:rsidRPr="003578A6">
        <w:rPr>
          <w:rFonts w:ascii="Arial" w:hAnsi="Arial" w:cs="Arial"/>
        </w:rPr>
        <w:t>Rekabder</w:t>
      </w:r>
      <w:proofErr w:type="spellEnd"/>
      <w:r w:rsidRPr="003578A6">
        <w:rPr>
          <w:rFonts w:ascii="Arial" w:hAnsi="Arial" w:cs="Arial"/>
        </w:rPr>
        <w:t xml:space="preserve">, M.S. (2020) ‘The Role of Accounting Information in Shop Floor Management Control: Evidence from a Retail Chain in the UK’, </w:t>
      </w:r>
      <w:r w:rsidRPr="003578A6">
        <w:rPr>
          <w:rFonts w:ascii="Arial" w:hAnsi="Arial" w:cs="Arial"/>
          <w:i/>
          <w:iCs/>
        </w:rPr>
        <w:t>International Journal of Business and Social Research</w:t>
      </w:r>
      <w:r w:rsidRPr="003578A6">
        <w:rPr>
          <w:rFonts w:ascii="Arial" w:hAnsi="Arial" w:cs="Arial"/>
        </w:rPr>
        <w:t>, 10(11), pp. 1-11.</w:t>
      </w:r>
    </w:p>
    <w:p w14:paraId="651C9D0F" w14:textId="77777777" w:rsidR="003578A6" w:rsidRPr="003578A6" w:rsidRDefault="003578A6" w:rsidP="003578A6">
      <w:pPr>
        <w:spacing w:line="360" w:lineRule="auto"/>
        <w:rPr>
          <w:rFonts w:ascii="Arial" w:hAnsi="Arial" w:cs="Arial"/>
        </w:rPr>
      </w:pPr>
      <w:r w:rsidRPr="003578A6">
        <w:rPr>
          <w:rFonts w:ascii="Arial" w:hAnsi="Arial" w:cs="Arial"/>
        </w:rPr>
        <w:t xml:space="preserve">Kaplan, R.S. and Norton, D.P. (1996) </w:t>
      </w:r>
      <w:r w:rsidRPr="003578A6">
        <w:rPr>
          <w:rFonts w:ascii="Arial" w:hAnsi="Arial" w:cs="Arial"/>
          <w:i/>
          <w:iCs/>
        </w:rPr>
        <w:t>The Balanced Scorecard: Translating Strategy into Action</w:t>
      </w:r>
      <w:r w:rsidRPr="003578A6">
        <w:rPr>
          <w:rFonts w:ascii="Arial" w:hAnsi="Arial" w:cs="Arial"/>
        </w:rPr>
        <w:t>. Boston: Harvard Business School Press.</w:t>
      </w:r>
    </w:p>
    <w:p w14:paraId="15C22DFB" w14:textId="77777777" w:rsidR="003578A6" w:rsidRPr="003578A6" w:rsidRDefault="003578A6" w:rsidP="003578A6">
      <w:pPr>
        <w:spacing w:line="360" w:lineRule="auto"/>
        <w:rPr>
          <w:rFonts w:ascii="Arial" w:hAnsi="Arial" w:cs="Arial"/>
        </w:rPr>
      </w:pPr>
      <w:r w:rsidRPr="003578A6">
        <w:rPr>
          <w:rFonts w:ascii="Arial" w:hAnsi="Arial" w:cs="Arial"/>
        </w:rPr>
        <w:t xml:space="preserve">Liu, F. R. (2019) ‘The Application of Management Accounting in Cost Management of Industrial Enterprises’, </w:t>
      </w:r>
      <w:r w:rsidRPr="003578A6">
        <w:rPr>
          <w:rFonts w:ascii="Arial" w:hAnsi="Arial" w:cs="Arial"/>
          <w:i/>
          <w:iCs/>
        </w:rPr>
        <w:t>Atlantis Press</w:t>
      </w:r>
      <w:r w:rsidRPr="003578A6">
        <w:rPr>
          <w:rFonts w:ascii="Arial" w:hAnsi="Arial" w:cs="Arial"/>
        </w:rPr>
        <w:t xml:space="preserve">, pp. 12–16. Available at: </w:t>
      </w:r>
      <w:hyperlink r:id="rId9" w:tgtFrame="_new" w:history="1">
        <w:r w:rsidRPr="003578A6">
          <w:rPr>
            <w:rStyle w:val="Hyperlink"/>
            <w:rFonts w:ascii="Arial" w:hAnsi="Arial" w:cs="Arial"/>
          </w:rPr>
          <w:t>https://www.atlantis-press.com/article/125997056.pdf</w:t>
        </w:r>
      </w:hyperlink>
      <w:r w:rsidRPr="003578A6">
        <w:rPr>
          <w:rFonts w:ascii="Arial" w:hAnsi="Arial" w:cs="Arial"/>
        </w:rPr>
        <w:t xml:space="preserve"> [Accessed: 19 October 2025].</w:t>
      </w:r>
    </w:p>
    <w:p w14:paraId="556AAE61" w14:textId="77777777" w:rsidR="003578A6" w:rsidRPr="003578A6" w:rsidRDefault="003578A6" w:rsidP="003578A6">
      <w:pPr>
        <w:spacing w:line="360" w:lineRule="auto"/>
        <w:rPr>
          <w:rFonts w:ascii="Arial" w:hAnsi="Arial" w:cs="Arial"/>
        </w:rPr>
      </w:pPr>
      <w:r w:rsidRPr="003578A6">
        <w:rPr>
          <w:rFonts w:ascii="Arial" w:hAnsi="Arial" w:cs="Arial"/>
        </w:rPr>
        <w:t xml:space="preserve">Task Force on Climate-related Financial Disclosures (TCFD) (2021) </w:t>
      </w:r>
      <w:r w:rsidRPr="003578A6">
        <w:rPr>
          <w:rFonts w:ascii="Arial" w:hAnsi="Arial" w:cs="Arial"/>
          <w:i/>
          <w:iCs/>
        </w:rPr>
        <w:t>Recommendations of the Task Force on Climate-related Financial Disclosures</w:t>
      </w:r>
      <w:r w:rsidRPr="003578A6">
        <w:rPr>
          <w:rFonts w:ascii="Arial" w:hAnsi="Arial" w:cs="Arial"/>
        </w:rPr>
        <w:t>. Basel: Financial Stability Board.</w:t>
      </w:r>
    </w:p>
    <w:p w14:paraId="78B0A1EA" w14:textId="77777777" w:rsidR="003578A6" w:rsidRPr="003578A6" w:rsidRDefault="003578A6" w:rsidP="003578A6">
      <w:pPr>
        <w:spacing w:line="360" w:lineRule="auto"/>
        <w:rPr>
          <w:rFonts w:ascii="Arial" w:hAnsi="Arial" w:cs="Arial"/>
        </w:rPr>
      </w:pPr>
      <w:r w:rsidRPr="003578A6">
        <w:rPr>
          <w:rFonts w:ascii="Arial" w:hAnsi="Arial" w:cs="Arial"/>
        </w:rPr>
        <w:t xml:space="preserve">The Times (2024) </w:t>
      </w:r>
      <w:r w:rsidRPr="003578A6">
        <w:rPr>
          <w:rFonts w:ascii="Arial" w:hAnsi="Arial" w:cs="Arial"/>
          <w:i/>
          <w:iCs/>
        </w:rPr>
        <w:t>Britain’s Most Sustainable Companies 2024: Top Food and Retail Rankings</w:t>
      </w:r>
      <w:r w:rsidRPr="003578A6">
        <w:rPr>
          <w:rFonts w:ascii="Arial" w:hAnsi="Arial" w:cs="Arial"/>
        </w:rPr>
        <w:t>. Available at: https://www.thetimes.co.uk/sustainable-business [Accessed: 09 November 2025].</w:t>
      </w:r>
    </w:p>
    <w:p w14:paraId="2B4096AE" w14:textId="77777777" w:rsidR="003578A6" w:rsidRPr="003578A6" w:rsidRDefault="003578A6" w:rsidP="003578A6">
      <w:pPr>
        <w:spacing w:line="360" w:lineRule="auto"/>
        <w:rPr>
          <w:rFonts w:ascii="Arial" w:hAnsi="Arial" w:cs="Arial"/>
        </w:rPr>
      </w:pPr>
      <w:r w:rsidRPr="003578A6">
        <w:rPr>
          <w:rFonts w:ascii="Arial" w:hAnsi="Arial" w:cs="Arial"/>
        </w:rPr>
        <w:t xml:space="preserve">Uyar, A. and Kuzey, C. (2016) ‘Cost and Management Accounting Practices in Small- and Medium-sized Enterprises’, </w:t>
      </w:r>
      <w:r w:rsidRPr="003578A6">
        <w:rPr>
          <w:rFonts w:ascii="Arial" w:hAnsi="Arial" w:cs="Arial"/>
          <w:i/>
          <w:iCs/>
        </w:rPr>
        <w:t>Small Business Economics</w:t>
      </w:r>
      <w:r w:rsidRPr="003578A6">
        <w:rPr>
          <w:rFonts w:ascii="Arial" w:hAnsi="Arial" w:cs="Arial"/>
        </w:rPr>
        <w:t>, 47(3), pp. 393–409.</w:t>
      </w:r>
    </w:p>
    <w:p w14:paraId="66A68AA4" w14:textId="77777777" w:rsidR="00535BF9" w:rsidRPr="00535BF9" w:rsidRDefault="00535BF9" w:rsidP="00535BF9"/>
    <w:p w14:paraId="69F9D5FB" w14:textId="77777777" w:rsidR="00535BF9" w:rsidRPr="00535BF9" w:rsidRDefault="00535BF9" w:rsidP="00535BF9"/>
    <w:p w14:paraId="50F50D40" w14:textId="77777777" w:rsidR="00092EA2" w:rsidRPr="00092EA2" w:rsidRDefault="00092EA2" w:rsidP="00092EA2"/>
    <w:p w14:paraId="089C04CA" w14:textId="77777777" w:rsidR="00092EA2" w:rsidRPr="00092EA2" w:rsidRDefault="00092EA2" w:rsidP="00092EA2"/>
    <w:p w14:paraId="7826E73F" w14:textId="77777777" w:rsidR="000C3B7C" w:rsidRDefault="000C3B7C"/>
    <w:sectPr w:rsidR="000C3B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B7C"/>
    <w:rsid w:val="00092EA2"/>
    <w:rsid w:val="000B1031"/>
    <w:rsid w:val="000C3B7C"/>
    <w:rsid w:val="003578A6"/>
    <w:rsid w:val="00535BF9"/>
    <w:rsid w:val="00634E01"/>
    <w:rsid w:val="00822DD7"/>
    <w:rsid w:val="009164DA"/>
    <w:rsid w:val="00916BC3"/>
    <w:rsid w:val="00985707"/>
    <w:rsid w:val="00CF26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D0318"/>
  <w15:chartTrackingRefBased/>
  <w15:docId w15:val="{817CCF9E-6895-4A6A-BE95-7998D136F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3B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3B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3B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3B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3B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3B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3B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3B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3B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3B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3B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3B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3B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3B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3B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3B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3B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3B7C"/>
    <w:rPr>
      <w:rFonts w:eastAsiaTheme="majorEastAsia" w:cstheme="majorBidi"/>
      <w:color w:val="272727" w:themeColor="text1" w:themeTint="D8"/>
    </w:rPr>
  </w:style>
  <w:style w:type="paragraph" w:styleId="Title">
    <w:name w:val="Title"/>
    <w:basedOn w:val="Normal"/>
    <w:next w:val="Normal"/>
    <w:link w:val="TitleChar"/>
    <w:uiPriority w:val="10"/>
    <w:qFormat/>
    <w:rsid w:val="000C3B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3B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3B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3B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3B7C"/>
    <w:pPr>
      <w:spacing w:before="160"/>
      <w:jc w:val="center"/>
    </w:pPr>
    <w:rPr>
      <w:i/>
      <w:iCs/>
      <w:color w:val="404040" w:themeColor="text1" w:themeTint="BF"/>
    </w:rPr>
  </w:style>
  <w:style w:type="character" w:customStyle="1" w:styleId="QuoteChar">
    <w:name w:val="Quote Char"/>
    <w:basedOn w:val="DefaultParagraphFont"/>
    <w:link w:val="Quote"/>
    <w:uiPriority w:val="29"/>
    <w:rsid w:val="000C3B7C"/>
    <w:rPr>
      <w:i/>
      <w:iCs/>
      <w:color w:val="404040" w:themeColor="text1" w:themeTint="BF"/>
    </w:rPr>
  </w:style>
  <w:style w:type="paragraph" w:styleId="ListParagraph">
    <w:name w:val="List Paragraph"/>
    <w:basedOn w:val="Normal"/>
    <w:uiPriority w:val="34"/>
    <w:qFormat/>
    <w:rsid w:val="000C3B7C"/>
    <w:pPr>
      <w:ind w:left="720"/>
      <w:contextualSpacing/>
    </w:pPr>
  </w:style>
  <w:style w:type="character" w:styleId="IntenseEmphasis">
    <w:name w:val="Intense Emphasis"/>
    <w:basedOn w:val="DefaultParagraphFont"/>
    <w:uiPriority w:val="21"/>
    <w:qFormat/>
    <w:rsid w:val="000C3B7C"/>
    <w:rPr>
      <w:i/>
      <w:iCs/>
      <w:color w:val="0F4761" w:themeColor="accent1" w:themeShade="BF"/>
    </w:rPr>
  </w:style>
  <w:style w:type="paragraph" w:styleId="IntenseQuote">
    <w:name w:val="Intense Quote"/>
    <w:basedOn w:val="Normal"/>
    <w:next w:val="Normal"/>
    <w:link w:val="IntenseQuoteChar"/>
    <w:uiPriority w:val="30"/>
    <w:qFormat/>
    <w:rsid w:val="000C3B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3B7C"/>
    <w:rPr>
      <w:i/>
      <w:iCs/>
      <w:color w:val="0F4761" w:themeColor="accent1" w:themeShade="BF"/>
    </w:rPr>
  </w:style>
  <w:style w:type="character" w:styleId="IntenseReference">
    <w:name w:val="Intense Reference"/>
    <w:basedOn w:val="DefaultParagraphFont"/>
    <w:uiPriority w:val="32"/>
    <w:qFormat/>
    <w:rsid w:val="000C3B7C"/>
    <w:rPr>
      <w:b/>
      <w:bCs/>
      <w:smallCaps/>
      <w:color w:val="0F4761" w:themeColor="accent1" w:themeShade="BF"/>
      <w:spacing w:val="5"/>
    </w:rPr>
  </w:style>
  <w:style w:type="paragraph" w:styleId="NormalWeb">
    <w:name w:val="Normal (Web)"/>
    <w:basedOn w:val="Normal"/>
    <w:uiPriority w:val="99"/>
    <w:unhideWhenUsed/>
    <w:rsid w:val="00822DD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634E01"/>
    <w:pPr>
      <w:spacing w:before="240" w:after="0" w:line="259" w:lineRule="auto"/>
      <w:outlineLvl w:val="9"/>
    </w:pPr>
    <w:rPr>
      <w:kern w:val="0"/>
      <w:sz w:val="32"/>
      <w:szCs w:val="32"/>
      <w:lang w:val="en-US"/>
      <w14:ligatures w14:val="none"/>
    </w:rPr>
  </w:style>
  <w:style w:type="character" w:styleId="Hyperlink">
    <w:name w:val="Hyperlink"/>
    <w:basedOn w:val="DefaultParagraphFont"/>
    <w:uiPriority w:val="99"/>
    <w:unhideWhenUsed/>
    <w:rsid w:val="003578A6"/>
    <w:rPr>
      <w:color w:val="467886" w:themeColor="hyperlink"/>
      <w:u w:val="single"/>
    </w:rPr>
  </w:style>
  <w:style w:type="character" w:styleId="UnresolvedMention">
    <w:name w:val="Unresolved Mention"/>
    <w:basedOn w:val="DefaultParagraphFont"/>
    <w:uiPriority w:val="99"/>
    <w:semiHidden/>
    <w:unhideWhenUsed/>
    <w:rsid w:val="003578A6"/>
    <w:rPr>
      <w:color w:val="605E5C"/>
      <w:shd w:val="clear" w:color="auto" w:fill="E1DFDD"/>
    </w:rPr>
  </w:style>
  <w:style w:type="paragraph" w:styleId="TOC1">
    <w:name w:val="toc 1"/>
    <w:basedOn w:val="Normal"/>
    <w:next w:val="Normal"/>
    <w:autoRedefine/>
    <w:uiPriority w:val="39"/>
    <w:unhideWhenUsed/>
    <w:rsid w:val="0098570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egate.co.uk/announcement/rns/greggs--grg/interim-results-/9008091?utm_source=chatgpt.com" TargetMode="External"/><Relationship Id="rId3" Type="http://schemas.openxmlformats.org/officeDocument/2006/relationships/settings" Target="settings.xml"/><Relationship Id="rId7" Type="http://schemas.openxmlformats.org/officeDocument/2006/relationships/hyperlink" Target="https://a.storyblok.com/f/162306/x/043b5db0ef/greggs-annual-report-and-accounts-2024.pdf?utm_source=chatgpt.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researchgate.net/publication/389601648"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tlantis-press.com/article/125997056.pdf?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D694C3-88CE-44BC-8A9E-844FB59C2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11</Pages>
  <Words>2901</Words>
  <Characters>16538</Characters>
  <Application>Microsoft Office Word</Application>
  <DocSecurity>0</DocSecurity>
  <Lines>137</Lines>
  <Paragraphs>38</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Introduction</vt:lpstr>
      <vt:lpstr>Cost Analysis and Business Model</vt:lpstr>
      <vt:lpstr>Budgeting and Financial Planning</vt:lpstr>
      <vt:lpstr>Performance Management and Decision Making</vt:lpstr>
      <vt:lpstr>Sustainability and Ethical Considerations</vt:lpstr>
    </vt:vector>
  </TitlesOfParts>
  <Company/>
  <LinksUpToDate>false</LinksUpToDate>
  <CharactersWithSpaces>19401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alisa mercar</dc:creator>
  <cp:keywords/>
  <dc:description/>
  <cp:lastModifiedBy>alisa mercar</cp:lastModifiedBy>
  <cp:revision>4</cp:revision>
  <dcterms:created xsi:type="dcterms:W3CDTF">2025-11-09T15:07:00Z</dcterms:created>
  <dcterms:modified xsi:type="dcterms:W3CDTF">2025-11-16T14:42:00Z</dcterms:modified>
</cp:coreProperties>
</file>