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9734FF" w14:textId="77777777" w:rsidR="008E75CB" w:rsidRDefault="00D6337F">
      <w:pPr>
        <w:jc w:val="center"/>
        <w:rPr>
          <w:sz w:val="40"/>
          <w:szCs w:val="40"/>
        </w:rPr>
      </w:pPr>
      <w:r>
        <w:rPr>
          <w:sz w:val="40"/>
          <w:szCs w:val="40"/>
        </w:rPr>
        <w:t>BMSW5106 Knowledge and Information Management Skills for the Workplace</w:t>
      </w:r>
    </w:p>
    <w:p w14:paraId="25D90410" w14:textId="77777777" w:rsidR="008E75CB" w:rsidRDefault="008E75CB"/>
    <w:p w14:paraId="117DA318" w14:textId="77777777" w:rsidR="008E75CB" w:rsidRDefault="008E75CB"/>
    <w:p w14:paraId="1BE69BEC" w14:textId="77777777" w:rsidR="008E75CB" w:rsidRDefault="008E75CB"/>
    <w:p w14:paraId="78F87C28" w14:textId="77777777" w:rsidR="008E75CB" w:rsidRDefault="008E75CB"/>
    <w:p w14:paraId="6FBFF90C" w14:textId="77777777" w:rsidR="008E75CB" w:rsidRDefault="008E75CB"/>
    <w:p w14:paraId="32C23E91" w14:textId="77777777" w:rsidR="008E75CB" w:rsidRDefault="008E75CB"/>
    <w:p w14:paraId="60E7083B" w14:textId="77777777" w:rsidR="008E75CB" w:rsidRDefault="008E75CB"/>
    <w:p w14:paraId="1A33AB2F" w14:textId="77777777" w:rsidR="008E75CB" w:rsidRDefault="008E75CB"/>
    <w:p w14:paraId="4B3AE531" w14:textId="77777777" w:rsidR="008E75CB" w:rsidRDefault="008E75CB"/>
    <w:p w14:paraId="2D776EB4" w14:textId="77777777" w:rsidR="008E75CB" w:rsidRDefault="008E75CB"/>
    <w:p w14:paraId="59DECA6D" w14:textId="77777777" w:rsidR="008E75CB" w:rsidRDefault="008E75CB"/>
    <w:p w14:paraId="5308AC09" w14:textId="77777777" w:rsidR="008E75CB" w:rsidRDefault="008E75CB"/>
    <w:p w14:paraId="0EBCB974" w14:textId="0FB3FF6E" w:rsidR="008E75CB" w:rsidRDefault="00D6337F">
      <w:r>
        <w:t>Student name:</w:t>
      </w:r>
      <w:r w:rsidR="00F934A4">
        <w:t xml:space="preserve"> Ionut Dinu</w:t>
      </w:r>
    </w:p>
    <w:p w14:paraId="792344FE" w14:textId="5EAB68CC" w:rsidR="008E75CB" w:rsidRDefault="00D6337F">
      <w:r>
        <w:t>Student ID:</w:t>
      </w:r>
      <w:r w:rsidR="00A650D8">
        <w:t>1812392</w:t>
      </w:r>
    </w:p>
    <w:p w14:paraId="591ACAC5" w14:textId="77777777" w:rsidR="008E75CB" w:rsidRDefault="008E75CB"/>
    <w:p w14:paraId="73E1C333" w14:textId="77777777" w:rsidR="008E75CB" w:rsidRDefault="008E75CB"/>
    <w:sdt>
      <w:sdtPr>
        <w:rPr>
          <w:rFonts w:eastAsia="NSimSun"/>
          <w:b w:val="0"/>
          <w:bCs w:val="0"/>
          <w:color w:val="auto"/>
          <w:sz w:val="24"/>
          <w:szCs w:val="24"/>
        </w:rPr>
        <w:id w:val="-1141507639"/>
        <w:docPartObj>
          <w:docPartGallery w:val="Table of Contents"/>
          <w:docPartUnique/>
        </w:docPartObj>
      </w:sdtPr>
      <w:sdtEndPr/>
      <w:sdtContent>
        <w:p w14:paraId="370A815A" w14:textId="77777777" w:rsidR="008E75CB" w:rsidRPr="00F934A4" w:rsidRDefault="00D6337F">
          <w:pPr>
            <w:pStyle w:val="TOAHeading"/>
            <w:rPr>
              <w:color w:val="000000" w:themeColor="text1"/>
            </w:rPr>
          </w:pPr>
          <w:r>
            <w:br w:type="page"/>
          </w:r>
          <w:r w:rsidRPr="00F934A4">
            <w:rPr>
              <w:color w:val="000000" w:themeColor="text1"/>
            </w:rPr>
            <w:lastRenderedPageBreak/>
            <w:t>Table of Contents</w:t>
          </w:r>
        </w:p>
        <w:p w14:paraId="13C9EB45" w14:textId="668436D5" w:rsidR="008440C6" w:rsidRDefault="00D6337F">
          <w:pPr>
            <w:pStyle w:val="TOC1"/>
            <w:tabs>
              <w:tab w:val="right" w:leader="dot" w:pos="9016"/>
            </w:tabs>
            <w:rPr>
              <w:noProof/>
            </w:rPr>
          </w:pPr>
          <w:r>
            <w:fldChar w:fldCharType="begin"/>
          </w:r>
          <w:r>
            <w:rPr>
              <w:rStyle w:val="IndexLink"/>
            </w:rPr>
            <w:instrText>TOC \f \o "1-9" \h</w:instrText>
          </w:r>
          <w:r>
            <w:rPr>
              <w:rStyle w:val="IndexLink"/>
            </w:rPr>
            <w:fldChar w:fldCharType="separate"/>
          </w:r>
          <w:hyperlink w:anchor="_Toc57501056" w:history="1">
            <w:r w:rsidR="008440C6" w:rsidRPr="003658A8">
              <w:rPr>
                <w:rStyle w:val="Hyperlink"/>
                <w:noProof/>
              </w:rPr>
              <w:t>Introduction</w:t>
            </w:r>
            <w:r w:rsidR="008440C6">
              <w:rPr>
                <w:noProof/>
              </w:rPr>
              <w:tab/>
            </w:r>
            <w:r w:rsidR="008440C6">
              <w:rPr>
                <w:noProof/>
              </w:rPr>
              <w:fldChar w:fldCharType="begin"/>
            </w:r>
            <w:r w:rsidR="008440C6">
              <w:rPr>
                <w:noProof/>
              </w:rPr>
              <w:instrText xml:space="preserve"> PAGEREF _Toc57501056 \h </w:instrText>
            </w:r>
            <w:r w:rsidR="008440C6">
              <w:rPr>
                <w:noProof/>
              </w:rPr>
            </w:r>
            <w:r w:rsidR="008440C6">
              <w:rPr>
                <w:noProof/>
              </w:rPr>
              <w:fldChar w:fldCharType="separate"/>
            </w:r>
            <w:r w:rsidR="008440C6">
              <w:rPr>
                <w:noProof/>
              </w:rPr>
              <w:t>3</w:t>
            </w:r>
            <w:r w:rsidR="008440C6">
              <w:rPr>
                <w:noProof/>
              </w:rPr>
              <w:fldChar w:fldCharType="end"/>
            </w:r>
          </w:hyperlink>
        </w:p>
        <w:p w14:paraId="50ED752F" w14:textId="6AA8C482"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58" w:history="1">
            <w:r w:rsidR="008440C6" w:rsidRPr="003658A8">
              <w:rPr>
                <w:rStyle w:val="Hyperlink"/>
                <w:noProof/>
              </w:rPr>
              <w:t>The relationship between data, information and knowledge</w:t>
            </w:r>
            <w:r w:rsidR="008440C6">
              <w:rPr>
                <w:noProof/>
              </w:rPr>
              <w:tab/>
            </w:r>
            <w:r w:rsidR="008440C6">
              <w:rPr>
                <w:noProof/>
              </w:rPr>
              <w:fldChar w:fldCharType="begin"/>
            </w:r>
            <w:r w:rsidR="008440C6">
              <w:rPr>
                <w:noProof/>
              </w:rPr>
              <w:instrText xml:space="preserve"> PAGEREF _Toc57501058 \h </w:instrText>
            </w:r>
            <w:r w:rsidR="008440C6">
              <w:rPr>
                <w:noProof/>
              </w:rPr>
            </w:r>
            <w:r w:rsidR="008440C6">
              <w:rPr>
                <w:noProof/>
              </w:rPr>
              <w:fldChar w:fldCharType="separate"/>
            </w:r>
            <w:r w:rsidR="008440C6">
              <w:rPr>
                <w:noProof/>
              </w:rPr>
              <w:t>4</w:t>
            </w:r>
            <w:r w:rsidR="008440C6">
              <w:rPr>
                <w:noProof/>
              </w:rPr>
              <w:fldChar w:fldCharType="end"/>
            </w:r>
          </w:hyperlink>
        </w:p>
        <w:p w14:paraId="40B55B6C" w14:textId="73B2A75E"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59" w:history="1">
            <w:r w:rsidR="008440C6" w:rsidRPr="003658A8">
              <w:rPr>
                <w:rStyle w:val="Hyperlink"/>
                <w:noProof/>
              </w:rPr>
              <w:t>The relationship between individual knowledge and organisational knowledge</w:t>
            </w:r>
            <w:r w:rsidR="008440C6">
              <w:rPr>
                <w:noProof/>
              </w:rPr>
              <w:tab/>
            </w:r>
            <w:r w:rsidR="008440C6">
              <w:rPr>
                <w:noProof/>
              </w:rPr>
              <w:fldChar w:fldCharType="begin"/>
            </w:r>
            <w:r w:rsidR="008440C6">
              <w:rPr>
                <w:noProof/>
              </w:rPr>
              <w:instrText xml:space="preserve"> PAGEREF _Toc57501059 \h </w:instrText>
            </w:r>
            <w:r w:rsidR="008440C6">
              <w:rPr>
                <w:noProof/>
              </w:rPr>
            </w:r>
            <w:r w:rsidR="008440C6">
              <w:rPr>
                <w:noProof/>
              </w:rPr>
              <w:fldChar w:fldCharType="separate"/>
            </w:r>
            <w:r w:rsidR="008440C6">
              <w:rPr>
                <w:noProof/>
              </w:rPr>
              <w:t>5</w:t>
            </w:r>
            <w:r w:rsidR="008440C6">
              <w:rPr>
                <w:noProof/>
              </w:rPr>
              <w:fldChar w:fldCharType="end"/>
            </w:r>
          </w:hyperlink>
        </w:p>
        <w:p w14:paraId="088125CA" w14:textId="47BE244B"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0" w:history="1">
            <w:r w:rsidR="008440C6" w:rsidRPr="003658A8">
              <w:rPr>
                <w:rStyle w:val="Hyperlink"/>
                <w:noProof/>
              </w:rPr>
              <w:t>Identifying knowledge assets</w:t>
            </w:r>
            <w:r w:rsidR="008440C6">
              <w:rPr>
                <w:noProof/>
              </w:rPr>
              <w:tab/>
            </w:r>
            <w:r w:rsidR="008440C6">
              <w:rPr>
                <w:noProof/>
              </w:rPr>
              <w:fldChar w:fldCharType="begin"/>
            </w:r>
            <w:r w:rsidR="008440C6">
              <w:rPr>
                <w:noProof/>
              </w:rPr>
              <w:instrText xml:space="preserve"> PAGEREF _Toc57501060 \h </w:instrText>
            </w:r>
            <w:r w:rsidR="008440C6">
              <w:rPr>
                <w:noProof/>
              </w:rPr>
            </w:r>
            <w:r w:rsidR="008440C6">
              <w:rPr>
                <w:noProof/>
              </w:rPr>
              <w:fldChar w:fldCharType="separate"/>
            </w:r>
            <w:r w:rsidR="008440C6">
              <w:rPr>
                <w:noProof/>
              </w:rPr>
              <w:t>6</w:t>
            </w:r>
            <w:r w:rsidR="008440C6">
              <w:rPr>
                <w:noProof/>
              </w:rPr>
              <w:fldChar w:fldCharType="end"/>
            </w:r>
          </w:hyperlink>
        </w:p>
        <w:p w14:paraId="7B792CC8" w14:textId="4D427D1B" w:rsidR="008440C6" w:rsidRPr="0052164F" w:rsidRDefault="00976C62" w:rsidP="0052164F">
          <w:pPr>
            <w:pStyle w:val="TOC2"/>
            <w:rPr>
              <w:rFonts w:asciiTheme="minorHAnsi" w:eastAsiaTheme="minorEastAsia" w:hAnsiTheme="minorHAnsi" w:cstheme="minorBidi"/>
              <w:noProof/>
              <w:kern w:val="0"/>
              <w:sz w:val="22"/>
              <w:szCs w:val="22"/>
              <w:lang w:val="en-US" w:eastAsia="en-US" w:bidi="ar-SA"/>
            </w:rPr>
          </w:pPr>
          <w:hyperlink w:anchor="_Toc57501061" w:history="1">
            <w:r w:rsidR="008440C6" w:rsidRPr="003658A8">
              <w:rPr>
                <w:rStyle w:val="Hyperlink"/>
                <w:noProof/>
              </w:rPr>
              <w:t>Evaluating actual and potential knowledge assets</w:t>
            </w:r>
            <w:r w:rsidR="008440C6">
              <w:rPr>
                <w:noProof/>
              </w:rPr>
              <w:tab/>
            </w:r>
            <w:r w:rsidR="008440C6">
              <w:rPr>
                <w:noProof/>
              </w:rPr>
              <w:fldChar w:fldCharType="begin"/>
            </w:r>
            <w:r w:rsidR="008440C6">
              <w:rPr>
                <w:noProof/>
              </w:rPr>
              <w:instrText xml:space="preserve"> PAGEREF _Toc57501061 \h </w:instrText>
            </w:r>
            <w:r w:rsidR="008440C6">
              <w:rPr>
                <w:noProof/>
              </w:rPr>
            </w:r>
            <w:r w:rsidR="008440C6">
              <w:rPr>
                <w:noProof/>
              </w:rPr>
              <w:fldChar w:fldCharType="separate"/>
            </w:r>
            <w:r w:rsidR="008440C6">
              <w:rPr>
                <w:noProof/>
              </w:rPr>
              <w:t>8</w:t>
            </w:r>
            <w:r w:rsidR="008440C6">
              <w:rPr>
                <w:noProof/>
              </w:rPr>
              <w:fldChar w:fldCharType="end"/>
            </w:r>
          </w:hyperlink>
        </w:p>
        <w:p w14:paraId="72B7E113" w14:textId="07918335"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3" w:history="1">
            <w:r w:rsidR="008440C6" w:rsidRPr="003658A8">
              <w:rPr>
                <w:rStyle w:val="Hyperlink"/>
                <w:noProof/>
              </w:rPr>
              <w:t>Explaining the requirements to create, store, apply and integrate knowledge</w:t>
            </w:r>
            <w:r w:rsidR="008440C6">
              <w:rPr>
                <w:noProof/>
              </w:rPr>
              <w:tab/>
            </w:r>
            <w:r w:rsidR="008440C6">
              <w:rPr>
                <w:noProof/>
              </w:rPr>
              <w:fldChar w:fldCharType="begin"/>
            </w:r>
            <w:r w:rsidR="008440C6">
              <w:rPr>
                <w:noProof/>
              </w:rPr>
              <w:instrText xml:space="preserve"> PAGEREF _Toc57501063 \h </w:instrText>
            </w:r>
            <w:r w:rsidR="008440C6">
              <w:rPr>
                <w:noProof/>
              </w:rPr>
            </w:r>
            <w:r w:rsidR="008440C6">
              <w:rPr>
                <w:noProof/>
              </w:rPr>
              <w:fldChar w:fldCharType="separate"/>
            </w:r>
            <w:r w:rsidR="008440C6">
              <w:rPr>
                <w:noProof/>
              </w:rPr>
              <w:t>10</w:t>
            </w:r>
            <w:r w:rsidR="008440C6">
              <w:rPr>
                <w:noProof/>
              </w:rPr>
              <w:fldChar w:fldCharType="end"/>
            </w:r>
          </w:hyperlink>
        </w:p>
        <w:p w14:paraId="7B93E66A" w14:textId="6AA91F52" w:rsidR="008440C6" w:rsidRPr="0052164F" w:rsidRDefault="00976C62" w:rsidP="0052164F">
          <w:pPr>
            <w:pStyle w:val="TOC2"/>
            <w:rPr>
              <w:rFonts w:asciiTheme="minorHAnsi" w:eastAsiaTheme="minorEastAsia" w:hAnsiTheme="minorHAnsi" w:cstheme="minorBidi"/>
              <w:noProof/>
              <w:kern w:val="0"/>
              <w:sz w:val="22"/>
              <w:szCs w:val="22"/>
              <w:lang w:val="en-US" w:eastAsia="en-US" w:bidi="ar-SA"/>
            </w:rPr>
          </w:pPr>
          <w:hyperlink w:anchor="_Toc57501064" w:history="1">
            <w:r w:rsidR="008440C6" w:rsidRPr="003658A8">
              <w:rPr>
                <w:rStyle w:val="Hyperlink"/>
                <w:noProof/>
              </w:rPr>
              <w:t>The significance of intellectual property rights</w:t>
            </w:r>
            <w:r w:rsidR="008440C6">
              <w:rPr>
                <w:noProof/>
              </w:rPr>
              <w:tab/>
            </w:r>
            <w:r w:rsidR="008440C6">
              <w:rPr>
                <w:noProof/>
              </w:rPr>
              <w:fldChar w:fldCharType="begin"/>
            </w:r>
            <w:r w:rsidR="008440C6">
              <w:rPr>
                <w:noProof/>
              </w:rPr>
              <w:instrText xml:space="preserve"> PAGEREF _Toc57501064 \h </w:instrText>
            </w:r>
            <w:r w:rsidR="008440C6">
              <w:rPr>
                <w:noProof/>
              </w:rPr>
            </w:r>
            <w:r w:rsidR="008440C6">
              <w:rPr>
                <w:noProof/>
              </w:rPr>
              <w:fldChar w:fldCharType="separate"/>
            </w:r>
            <w:r w:rsidR="008440C6">
              <w:rPr>
                <w:noProof/>
              </w:rPr>
              <w:t>12</w:t>
            </w:r>
            <w:r w:rsidR="008440C6">
              <w:rPr>
                <w:noProof/>
              </w:rPr>
              <w:fldChar w:fldCharType="end"/>
            </w:r>
          </w:hyperlink>
        </w:p>
        <w:p w14:paraId="73FB7820" w14:textId="53317CB3"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6" w:history="1">
            <w:r w:rsidR="008440C6" w:rsidRPr="003658A8">
              <w:rPr>
                <w:rStyle w:val="Hyperlink"/>
                <w:noProof/>
              </w:rPr>
              <w:t>The contribution of knowledge assets on Sainsbury’s</w:t>
            </w:r>
            <w:r w:rsidR="008440C6">
              <w:rPr>
                <w:noProof/>
              </w:rPr>
              <w:tab/>
            </w:r>
            <w:r w:rsidR="008440C6">
              <w:rPr>
                <w:noProof/>
              </w:rPr>
              <w:fldChar w:fldCharType="begin"/>
            </w:r>
            <w:r w:rsidR="008440C6">
              <w:rPr>
                <w:noProof/>
              </w:rPr>
              <w:instrText xml:space="preserve"> PAGEREF _Toc57501066 \h </w:instrText>
            </w:r>
            <w:r w:rsidR="008440C6">
              <w:rPr>
                <w:noProof/>
              </w:rPr>
            </w:r>
            <w:r w:rsidR="008440C6">
              <w:rPr>
                <w:noProof/>
              </w:rPr>
              <w:fldChar w:fldCharType="separate"/>
            </w:r>
            <w:r w:rsidR="008440C6">
              <w:rPr>
                <w:noProof/>
              </w:rPr>
              <w:t>13</w:t>
            </w:r>
            <w:r w:rsidR="008440C6">
              <w:rPr>
                <w:noProof/>
              </w:rPr>
              <w:fldChar w:fldCharType="end"/>
            </w:r>
          </w:hyperlink>
        </w:p>
        <w:p w14:paraId="113C5B24" w14:textId="17107DBD"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7" w:history="1">
            <w:r w:rsidR="008440C6" w:rsidRPr="003658A8">
              <w:rPr>
                <w:rStyle w:val="Hyperlink"/>
                <w:noProof/>
              </w:rPr>
              <w:t>Evaluating the knowledge requirements for Sainsbury’s</w:t>
            </w:r>
            <w:r w:rsidR="008440C6">
              <w:rPr>
                <w:noProof/>
              </w:rPr>
              <w:tab/>
            </w:r>
            <w:r w:rsidR="008440C6">
              <w:rPr>
                <w:noProof/>
              </w:rPr>
              <w:fldChar w:fldCharType="begin"/>
            </w:r>
            <w:r w:rsidR="008440C6">
              <w:rPr>
                <w:noProof/>
              </w:rPr>
              <w:instrText xml:space="preserve"> PAGEREF _Toc57501067 \h </w:instrText>
            </w:r>
            <w:r w:rsidR="008440C6">
              <w:rPr>
                <w:noProof/>
              </w:rPr>
            </w:r>
            <w:r w:rsidR="008440C6">
              <w:rPr>
                <w:noProof/>
              </w:rPr>
              <w:fldChar w:fldCharType="separate"/>
            </w:r>
            <w:r w:rsidR="008440C6">
              <w:rPr>
                <w:noProof/>
              </w:rPr>
              <w:t>14</w:t>
            </w:r>
            <w:r w:rsidR="008440C6">
              <w:rPr>
                <w:noProof/>
              </w:rPr>
              <w:fldChar w:fldCharType="end"/>
            </w:r>
          </w:hyperlink>
        </w:p>
        <w:p w14:paraId="53811CC3" w14:textId="67E19F09"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8" w:history="1">
            <w:r w:rsidR="008440C6" w:rsidRPr="003658A8">
              <w:rPr>
                <w:rStyle w:val="Hyperlink"/>
                <w:noProof/>
              </w:rPr>
              <w:t>Evaluating the organisation’s framework of Sainsbury’s for enabling knowledge sharing</w:t>
            </w:r>
            <w:r w:rsidR="008440C6">
              <w:rPr>
                <w:noProof/>
              </w:rPr>
              <w:tab/>
            </w:r>
            <w:r w:rsidR="008440C6">
              <w:rPr>
                <w:noProof/>
              </w:rPr>
              <w:fldChar w:fldCharType="begin"/>
            </w:r>
            <w:r w:rsidR="008440C6">
              <w:rPr>
                <w:noProof/>
              </w:rPr>
              <w:instrText xml:space="preserve"> PAGEREF _Toc57501068 \h </w:instrText>
            </w:r>
            <w:r w:rsidR="008440C6">
              <w:rPr>
                <w:noProof/>
              </w:rPr>
            </w:r>
            <w:r w:rsidR="008440C6">
              <w:rPr>
                <w:noProof/>
              </w:rPr>
              <w:fldChar w:fldCharType="separate"/>
            </w:r>
            <w:r w:rsidR="008440C6">
              <w:rPr>
                <w:noProof/>
              </w:rPr>
              <w:t>15</w:t>
            </w:r>
            <w:r w:rsidR="008440C6">
              <w:rPr>
                <w:noProof/>
              </w:rPr>
              <w:fldChar w:fldCharType="end"/>
            </w:r>
          </w:hyperlink>
        </w:p>
        <w:p w14:paraId="1B3956E2" w14:textId="70921A59" w:rsidR="008440C6" w:rsidRDefault="00976C62">
          <w:pPr>
            <w:pStyle w:val="TOC2"/>
            <w:rPr>
              <w:rFonts w:asciiTheme="minorHAnsi" w:eastAsiaTheme="minorEastAsia" w:hAnsiTheme="minorHAnsi" w:cstheme="minorBidi"/>
              <w:noProof/>
              <w:kern w:val="0"/>
              <w:sz w:val="22"/>
              <w:szCs w:val="22"/>
              <w:lang w:val="en-US" w:eastAsia="en-US" w:bidi="ar-SA"/>
            </w:rPr>
          </w:pPr>
          <w:hyperlink w:anchor="_Toc57501069" w:history="1">
            <w:r w:rsidR="008440C6" w:rsidRPr="003658A8">
              <w:rPr>
                <w:rStyle w:val="Hyperlink"/>
                <w:noProof/>
              </w:rPr>
              <w:t>Recommendations for improving the current framework</w:t>
            </w:r>
            <w:r w:rsidR="008440C6">
              <w:rPr>
                <w:noProof/>
              </w:rPr>
              <w:tab/>
            </w:r>
            <w:r w:rsidR="008440C6">
              <w:rPr>
                <w:noProof/>
              </w:rPr>
              <w:fldChar w:fldCharType="begin"/>
            </w:r>
            <w:r w:rsidR="008440C6">
              <w:rPr>
                <w:noProof/>
              </w:rPr>
              <w:instrText xml:space="preserve"> PAGEREF _Toc57501069 \h </w:instrText>
            </w:r>
            <w:r w:rsidR="008440C6">
              <w:rPr>
                <w:noProof/>
              </w:rPr>
            </w:r>
            <w:r w:rsidR="008440C6">
              <w:rPr>
                <w:noProof/>
              </w:rPr>
              <w:fldChar w:fldCharType="separate"/>
            </w:r>
            <w:r w:rsidR="008440C6">
              <w:rPr>
                <w:noProof/>
              </w:rPr>
              <w:t>17</w:t>
            </w:r>
            <w:r w:rsidR="008440C6">
              <w:rPr>
                <w:noProof/>
              </w:rPr>
              <w:fldChar w:fldCharType="end"/>
            </w:r>
          </w:hyperlink>
        </w:p>
        <w:p w14:paraId="01C6E11D" w14:textId="5CABAA68" w:rsidR="008440C6" w:rsidRDefault="00976C62">
          <w:pPr>
            <w:pStyle w:val="TOC1"/>
            <w:tabs>
              <w:tab w:val="right" w:leader="dot" w:pos="9016"/>
            </w:tabs>
            <w:rPr>
              <w:noProof/>
            </w:rPr>
          </w:pPr>
          <w:hyperlink w:anchor="_Toc57501070" w:history="1">
            <w:r w:rsidR="008440C6" w:rsidRPr="003658A8">
              <w:rPr>
                <w:rStyle w:val="Hyperlink"/>
                <w:noProof/>
              </w:rPr>
              <w:t>Conclusion</w:t>
            </w:r>
            <w:r w:rsidR="008440C6">
              <w:rPr>
                <w:noProof/>
              </w:rPr>
              <w:tab/>
            </w:r>
            <w:r w:rsidR="008440C6">
              <w:rPr>
                <w:noProof/>
              </w:rPr>
              <w:fldChar w:fldCharType="begin"/>
            </w:r>
            <w:r w:rsidR="008440C6">
              <w:rPr>
                <w:noProof/>
              </w:rPr>
              <w:instrText xml:space="preserve"> PAGEREF _Toc57501070 \h </w:instrText>
            </w:r>
            <w:r w:rsidR="008440C6">
              <w:rPr>
                <w:noProof/>
              </w:rPr>
            </w:r>
            <w:r w:rsidR="008440C6">
              <w:rPr>
                <w:noProof/>
              </w:rPr>
              <w:fldChar w:fldCharType="separate"/>
            </w:r>
            <w:r w:rsidR="008440C6">
              <w:rPr>
                <w:noProof/>
              </w:rPr>
              <w:t>18</w:t>
            </w:r>
            <w:r w:rsidR="008440C6">
              <w:rPr>
                <w:noProof/>
              </w:rPr>
              <w:fldChar w:fldCharType="end"/>
            </w:r>
          </w:hyperlink>
        </w:p>
        <w:p w14:paraId="45B6D42D" w14:textId="777F947B" w:rsidR="008440C6" w:rsidRDefault="00976C62">
          <w:pPr>
            <w:pStyle w:val="TOC1"/>
            <w:tabs>
              <w:tab w:val="right" w:leader="dot" w:pos="9016"/>
            </w:tabs>
            <w:rPr>
              <w:noProof/>
            </w:rPr>
          </w:pPr>
          <w:hyperlink w:anchor="_Toc57501071" w:history="1">
            <w:r w:rsidR="008440C6" w:rsidRPr="003658A8">
              <w:rPr>
                <w:rStyle w:val="Hyperlink"/>
                <w:noProof/>
              </w:rPr>
              <w:t>Reference list</w:t>
            </w:r>
            <w:r w:rsidR="008440C6">
              <w:rPr>
                <w:noProof/>
              </w:rPr>
              <w:tab/>
            </w:r>
            <w:r w:rsidR="008440C6">
              <w:rPr>
                <w:noProof/>
              </w:rPr>
              <w:fldChar w:fldCharType="begin"/>
            </w:r>
            <w:r w:rsidR="008440C6">
              <w:rPr>
                <w:noProof/>
              </w:rPr>
              <w:instrText xml:space="preserve"> PAGEREF _Toc57501071 \h </w:instrText>
            </w:r>
            <w:r w:rsidR="008440C6">
              <w:rPr>
                <w:noProof/>
              </w:rPr>
            </w:r>
            <w:r w:rsidR="008440C6">
              <w:rPr>
                <w:noProof/>
              </w:rPr>
              <w:fldChar w:fldCharType="separate"/>
            </w:r>
            <w:r w:rsidR="008440C6">
              <w:rPr>
                <w:noProof/>
              </w:rPr>
              <w:t>19</w:t>
            </w:r>
            <w:r w:rsidR="008440C6">
              <w:rPr>
                <w:noProof/>
              </w:rPr>
              <w:fldChar w:fldCharType="end"/>
            </w:r>
          </w:hyperlink>
        </w:p>
        <w:p w14:paraId="2797CC77" w14:textId="11F6967F" w:rsidR="008E75CB" w:rsidRDefault="00D6337F">
          <w:pPr>
            <w:pStyle w:val="TOC11"/>
          </w:pPr>
          <w:r>
            <w:rPr>
              <w:rStyle w:val="IndexLink"/>
            </w:rPr>
            <w:fldChar w:fldCharType="end"/>
          </w:r>
        </w:p>
      </w:sdtContent>
    </w:sdt>
    <w:p w14:paraId="058BB592" w14:textId="77777777" w:rsidR="008E75CB" w:rsidRDefault="008E75CB"/>
    <w:p w14:paraId="5BC14853" w14:textId="77777777" w:rsidR="008E75CB" w:rsidRDefault="00D6337F">
      <w:r>
        <w:br w:type="page"/>
      </w:r>
    </w:p>
    <w:p w14:paraId="21009163" w14:textId="77777777" w:rsidR="008E75CB" w:rsidRPr="00BE1AB1" w:rsidRDefault="00D6337F">
      <w:pPr>
        <w:pStyle w:val="Heading11"/>
        <w:rPr>
          <w:color w:val="000000" w:themeColor="text1"/>
        </w:rPr>
      </w:pPr>
      <w:bookmarkStart w:id="0" w:name="_Toc57501056"/>
      <w:r w:rsidRPr="00BE1AB1">
        <w:rPr>
          <w:color w:val="000000" w:themeColor="text1"/>
        </w:rPr>
        <w:lastRenderedPageBreak/>
        <w:t>Introduction</w:t>
      </w:r>
      <w:bookmarkEnd w:id="0"/>
    </w:p>
    <w:p w14:paraId="2DD658C2" w14:textId="77777777" w:rsidR="008E75CB" w:rsidRDefault="00D6337F">
      <w:r>
        <w:t>In a workplace, there are several types of information and knowledge available to the executive which helps the organisation to maintain the sustainability and competitiveness in the market. Depending upon the size and type of the business, the management of knowledge and information in the workplace may differ. The report thus aims at identifying the actual and potential knowledge management techniques addressing the knowledge assets as well on the context of Sainsbury’s. Sainsbury’s is one of the largest chains of supermarkets in the UK that has stores along with the online website to provide services to the consumer. The various aspects of KM practice including the organisational framework and ways to improve the current framework fro Sainsbury’s have also been recommended in the last part of the report.</w:t>
      </w:r>
    </w:p>
    <w:p w14:paraId="1317E37F" w14:textId="77777777" w:rsidR="008E75CB" w:rsidRDefault="00D6337F">
      <w:r>
        <w:br w:type="page"/>
      </w:r>
    </w:p>
    <w:p w14:paraId="278F10AD" w14:textId="77777777" w:rsidR="008E75CB" w:rsidRPr="00453352" w:rsidRDefault="00D6337F">
      <w:pPr>
        <w:pStyle w:val="Heading21"/>
        <w:rPr>
          <w:color w:val="000000" w:themeColor="text1"/>
        </w:rPr>
      </w:pPr>
      <w:bookmarkStart w:id="1" w:name="_Toc57501058"/>
      <w:r w:rsidRPr="00453352">
        <w:rPr>
          <w:color w:val="000000" w:themeColor="text1"/>
        </w:rPr>
        <w:lastRenderedPageBreak/>
        <w:t>The relationship between data, information and knowledge</w:t>
      </w:r>
      <w:bookmarkEnd w:id="1"/>
    </w:p>
    <w:p w14:paraId="367F86F4" w14:textId="77777777" w:rsidR="008E75CB" w:rsidRDefault="00D6337F">
      <w:pPr>
        <w:pStyle w:val="BodyText"/>
      </w:pPr>
      <w:r>
        <w:t xml:space="preserve">Data is a collection of facts, number or in other words a piece of information that does not necessarily describe any potential information about a particular thing. The accumulation of a range of data is called information which is meaningful and helps to create knowledge and understanding among the professional of the organisation </w:t>
      </w:r>
      <w:r>
        <w:rPr>
          <w:color w:val="000000"/>
        </w:rPr>
        <w:t>(Wal, 2017)</w:t>
      </w:r>
      <w:r>
        <w:t xml:space="preserve">. DIKW model of knowledge management shows the hierarchical relationship among data, information, knowledge and wisdom. Based on the model, the relation between those components of KM in Sainsbury’s is discussed below. </w:t>
      </w:r>
    </w:p>
    <w:p w14:paraId="55690AC4" w14:textId="77777777" w:rsidR="008E75CB" w:rsidRDefault="00D6337F">
      <w:pPr>
        <w:pStyle w:val="BodyText"/>
      </w:pPr>
      <w:r>
        <w:rPr>
          <w:noProof/>
        </w:rPr>
        <mc:AlternateContent>
          <mc:Choice Requires="wps">
            <w:drawing>
              <wp:inline distT="0" distB="0" distL="0" distR="0" wp14:anchorId="15405733" wp14:editId="605DEEA8">
                <wp:extent cx="5737860" cy="2627630"/>
                <wp:effectExtent l="0" t="0" r="0" b="0"/>
                <wp:docPr id="1" name="Shape1"/>
                <wp:cNvGraphicFramePr/>
                <a:graphic xmlns:a="http://schemas.openxmlformats.org/drawingml/2006/main">
                  <a:graphicData uri="http://schemas.microsoft.com/office/word/2010/wordprocessingShape">
                    <wps:wsp>
                      <wps:cNvSpPr/>
                      <wps:spPr>
                        <a:xfrm>
                          <a:off x="0" y="0"/>
                          <a:ext cx="5737320" cy="262692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15389C78" w14:textId="77777777" w:rsidR="008E75CB" w:rsidRDefault="00D6337F">
                            <w:pPr>
                              <w:pStyle w:val="Figure"/>
                              <w:jc w:val="center"/>
                              <w:rPr>
                                <w:color w:val="000000"/>
                              </w:rPr>
                            </w:pPr>
                            <w:r>
                              <w:rPr>
                                <w:noProof/>
                              </w:rPr>
                              <w:drawing>
                                <wp:inline distT="0" distB="0" distL="0" distR="0" wp14:anchorId="4FF47B01" wp14:editId="711FBE69">
                                  <wp:extent cx="5731510" cy="2249805"/>
                                  <wp:effectExtent l="0" t="0" r="0" b="0"/>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7"/>
                                          <a:stretch>
                                            <a:fillRect/>
                                          </a:stretch>
                                        </pic:blipFill>
                                        <pic:spPr bwMode="auto">
                                          <a:xfrm>
                                            <a:off x="0" y="0"/>
                                            <a:ext cx="5731510" cy="224980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1</w:t>
                            </w:r>
                            <w:r>
                              <w:rPr>
                                <w:color w:val="000000"/>
                              </w:rPr>
                              <w:fldChar w:fldCharType="end"/>
                            </w:r>
                            <w:r>
                              <w:rPr>
                                <w:color w:val="000000"/>
                              </w:rPr>
                              <w:t>: DIKW model of knowledge management (Van Meter, 2020)</w:t>
                            </w:r>
                          </w:p>
                        </w:txbxContent>
                      </wps:txbx>
                      <wps:bodyPr lIns="0" tIns="0" rIns="0" bIns="0">
                        <a:noAutofit/>
                      </wps:bodyPr>
                    </wps:wsp>
                  </a:graphicData>
                </a:graphic>
              </wp:inline>
            </w:drawing>
          </mc:Choice>
          <mc:Fallback>
            <w:pict>
              <v:rect w14:anchorId="15405733" id="Shape1" o:spid="_x0000_s1026" style="width:451.8pt;height:20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0xNm5gEAADwEAAAOAAAAZHJzL2Uyb0RvYy54bWysU8Fu2zAMvQ/YPwi6L05cLN2MOMWwIsOA&#13;&#10;YSvW9QMUWYoFSKIgqbHz96NoJ+22U4vloJAW3yMfSW1uRmfZUcVkwLd8tVhypryEzvhDyx9+7d59&#13;&#10;4Cxl4TthwauWn1TiN9u3bzZDaFQNPdhORYYkPjVDaHmfc2iqKsleOZEWEJTHSw3RiYxuPFRdFAOy&#13;&#10;O1vVy+W6GiB2IYJUKeHX2+mSb4lfayXzD62Tysy2HGvLdEY69+WsthvRHKIIvZFzGeIVVThhPCa9&#13;&#10;UN2KLNhjNP9QOSMjJNB5IcFVoLWRijSgmtXyLzX3vQiKtGBzUri0Kf0/Wvn9eBeZ6XB2nHnhcESU&#13;&#10;dVU6M4TUYMB9uIuzl9AsMkcdXflHAWykbp4u3VRjZhI/vr++ur6qsekS7+p1vf6IDvJUT/AQU/6i&#13;&#10;wLFitDziuKiL4vgt5Sn0HFKyJbCm2xlryYmH/Wcb2VHgaHf0m9n/CLOeDaW0AvFQwBOv9VhJEThJ&#13;&#10;IiufrCpx1v9UGptCyiiXnJNNm4OrjbLO+4N6CFACNfK/EDtDClrRwr4QfwFRfvD5gnfGQ6SePFNX&#13;&#10;zDzux3mge+hOuAD2q8elKg/kbMSzsZ+NQu/h02MGbWg2hWmCz53EFaXpzs+pvIHnPkU9PfrtbwAA&#13;&#10;AP//AwBQSwMEFAAGAAgAAAAhAOg6ZzXgAAAACgEAAA8AAABkcnMvZG93bnJldi54bWxMj0FPwkAQ&#13;&#10;he8m/ofNmHiTLWBqLd0SoiHCDWnjeegObbU723QXqP/e1QteXjJ5eW/ely1H04kzDa61rGA6iUAQ&#13;&#10;V1a3XCsoi/VDAsJ5ZI2dZVLwTQ6W+e1Nhqm2F36n897XIpSwS1FB432fSumqhgy6ie2Jg3e0g0Ef&#13;&#10;zqGWesBLKDednEVRLA22HD402NNLQ9XX/mQUPK1s8THbbDe7ZnfEuEw+39ZlodT93fi6CLJagPA0&#13;&#10;+msCfhnCfsjDsIM9sXaiUxBo/J8G7zmaxyAOCh6n8wRknsn/CPkPAAAA//8DAFBLAQItABQABgAI&#13;&#10;AAAAIQC2gziS/gAAAOEBAAATAAAAAAAAAAAAAAAAAAAAAABbQ29udGVudF9UeXBlc10ueG1sUEsB&#13;&#10;Ai0AFAAGAAgAAAAhADj9If/WAAAAlAEAAAsAAAAAAAAAAAAAAAAALwEAAF9yZWxzLy5yZWxzUEsB&#13;&#10;Ai0AFAAGAAgAAAAhAIHTE2bmAQAAPAQAAA4AAAAAAAAAAAAAAAAALgIAAGRycy9lMm9Eb2MueG1s&#13;&#10;UEsBAi0AFAAGAAgAAAAhAOg6ZzXgAAAACgEAAA8AAAAAAAAAAAAAAAAAQAQAAGRycy9kb3ducmV2&#13;&#10;LnhtbFBLBQYAAAAABAAEAPMAAABNBQAAAAA=&#13;&#10;" stroked="f" strokeweight="0">
                <v:textbox inset="0,0,0,0">
                  <w:txbxContent>
                    <w:p w14:paraId="15389C78" w14:textId="77777777" w:rsidR="008E75CB" w:rsidRDefault="00D6337F">
                      <w:pPr>
                        <w:pStyle w:val="Figure"/>
                        <w:jc w:val="center"/>
                        <w:rPr>
                          <w:color w:val="000000"/>
                        </w:rPr>
                      </w:pPr>
                      <w:r>
                        <w:rPr>
                          <w:noProof/>
                        </w:rPr>
                        <w:drawing>
                          <wp:inline distT="0" distB="0" distL="0" distR="0" wp14:anchorId="4FF47B01" wp14:editId="711FBE69">
                            <wp:extent cx="5731510" cy="2249805"/>
                            <wp:effectExtent l="0" t="0" r="0" b="0"/>
                            <wp:docPr id="3"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
                                    <pic:cNvPicPr>
                                      <a:picLocks noChangeAspect="1" noChangeArrowheads="1"/>
                                    </pic:cNvPicPr>
                                  </pic:nvPicPr>
                                  <pic:blipFill>
                                    <a:blip r:embed="rId7"/>
                                    <a:stretch>
                                      <a:fillRect/>
                                    </a:stretch>
                                  </pic:blipFill>
                                  <pic:spPr bwMode="auto">
                                    <a:xfrm>
                                      <a:off x="0" y="0"/>
                                      <a:ext cx="5731510" cy="224980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1</w:t>
                      </w:r>
                      <w:r>
                        <w:rPr>
                          <w:color w:val="000000"/>
                        </w:rPr>
                        <w:fldChar w:fldCharType="end"/>
                      </w:r>
                      <w:r>
                        <w:rPr>
                          <w:color w:val="000000"/>
                        </w:rPr>
                        <w:t>: DIKW model of knowledge management (Van Meter, 2020)</w:t>
                      </w:r>
                    </w:p>
                  </w:txbxContent>
                </v:textbox>
                <w10:anchorlock/>
              </v:rect>
            </w:pict>
          </mc:Fallback>
        </mc:AlternateContent>
      </w:r>
    </w:p>
    <w:p w14:paraId="39CEF006" w14:textId="77777777" w:rsidR="008E75CB" w:rsidRDefault="00D6337F">
      <w:pPr>
        <w:pStyle w:val="BodyText"/>
      </w:pPr>
      <w:r>
        <w:t xml:space="preserve">As Sainsbury’s is a retail business that operates physical stores and online sales, they have to optimally use the data and information to make a strategic decision for the company. Sainsbury’s collect data from online websites such as their website, Amazon, eBay and other third parties to collect the customer's preference and behaviours. The online purchasing behaviour of the customers is collected through cookies but that does not mean anything unless they are bundled with the series of data. The bundled data of Sainsbury's customers in stores and website help them to understand customer behaviour as information </w:t>
      </w:r>
      <w:r>
        <w:rPr>
          <w:color w:val="000000"/>
        </w:rPr>
        <w:t>(</w:t>
      </w:r>
      <w:proofErr w:type="spellStart"/>
      <w:r>
        <w:rPr>
          <w:color w:val="000000"/>
        </w:rPr>
        <w:t>Tomita</w:t>
      </w:r>
      <w:proofErr w:type="spellEnd"/>
      <w:r>
        <w:rPr>
          <w:color w:val="000000"/>
        </w:rPr>
        <w:t xml:space="preserve"> et al., 2017)</w:t>
      </w:r>
      <w:r>
        <w:t>.</w:t>
      </w:r>
    </w:p>
    <w:p w14:paraId="52DAE275" w14:textId="77777777" w:rsidR="008E75CB" w:rsidRDefault="00D6337F">
      <w:pPr>
        <w:pStyle w:val="BodyText"/>
      </w:pPr>
      <w:r>
        <w:t xml:space="preserve">The sharing of such information to the sales, finance and HR department of Sainsbury’s assist them to analyse the market by giving them appropriate knowledge of the customers. In this case, the data converted into information and then transferred to all the departments of Sainsbury’s to further provide knowledge about the customers to conduct potential market research. By mixing the knowledge, information and market research, the R&amp;D department of </w:t>
      </w:r>
      <w:r>
        <w:lastRenderedPageBreak/>
        <w:t xml:space="preserve">Sainsbury’s formulates the synthesised information in the documented format to the top management to make strategic planning for the business </w:t>
      </w:r>
      <w:r>
        <w:rPr>
          <w:color w:val="000000"/>
        </w:rPr>
        <w:t xml:space="preserve">(Singh, Khan and Al </w:t>
      </w:r>
      <w:proofErr w:type="spellStart"/>
      <w:r>
        <w:rPr>
          <w:color w:val="000000"/>
        </w:rPr>
        <w:t>Mansouri</w:t>
      </w:r>
      <w:proofErr w:type="spellEnd"/>
      <w:r>
        <w:rPr>
          <w:color w:val="000000"/>
        </w:rPr>
        <w:t>, 2018)</w:t>
      </w:r>
      <w:r>
        <w:t xml:space="preserve">. </w:t>
      </w:r>
    </w:p>
    <w:p w14:paraId="322E78E6" w14:textId="77777777" w:rsidR="008E75CB" w:rsidRDefault="00D6337F">
      <w:pPr>
        <w:pStyle w:val="BodyText"/>
      </w:pPr>
      <w:r>
        <w:t xml:space="preserve">The one example of such conduct is that Sainsbury's conducted research and survey on the customer's preference for buying the products in this Covid-19. The research suggested that the customers prefer to have social distancing in the stores and purchase online and so they have been providing an online discount to boost sales. Besides, the people who prefer to buy from physical stores are guided to use the “Virtual Queuing System”, as opined by 95% of the customers in the survey, to maintain their queue and distancing at the same time in the current situation </w:t>
      </w:r>
      <w:r>
        <w:rPr>
          <w:color w:val="000000"/>
        </w:rPr>
        <w:t>(</w:t>
      </w:r>
      <w:proofErr w:type="spellStart"/>
      <w:r>
        <w:rPr>
          <w:color w:val="000000"/>
        </w:rPr>
        <w:t>Perrott</w:t>
      </w:r>
      <w:proofErr w:type="spellEnd"/>
      <w:r>
        <w:rPr>
          <w:color w:val="000000"/>
        </w:rPr>
        <w:t>, 2015)</w:t>
      </w:r>
      <w:r>
        <w:t>.</w:t>
      </w:r>
    </w:p>
    <w:p w14:paraId="3BE0D397" w14:textId="77777777" w:rsidR="008E75CB" w:rsidRDefault="00D6337F">
      <w:pPr>
        <w:pStyle w:val="Heading21"/>
      </w:pPr>
      <w:bookmarkStart w:id="2" w:name="_Toc57501059"/>
      <w:r>
        <w:t>The relationship between individual knowledge and organisational knowledge</w:t>
      </w:r>
      <w:bookmarkEnd w:id="2"/>
    </w:p>
    <w:p w14:paraId="3B221EFF" w14:textId="77777777" w:rsidR="008E75CB" w:rsidRDefault="00D6337F">
      <w:pPr>
        <w:pStyle w:val="BodyText"/>
      </w:pPr>
      <w:r>
        <w:t>Individual knowledge refers to the knowledge and understanding of a person collected from various sources and stored in the memory of the individual. The person collects data through a cognitive process known as learning. The organisational knowledge identifies the knowledge and understanding of the organisation stored in the database of the organisational hierarchy that helps the company to use them for the betterment of the business values. These types of data collected from the various sources such as historical data, company growth, company strategic planning, history of budgets and the individual department’s potential data in a collective form.</w:t>
      </w:r>
    </w:p>
    <w:p w14:paraId="270BFFFE" w14:textId="77777777" w:rsidR="008E75CB" w:rsidRDefault="00D6337F">
      <w:pPr>
        <w:pStyle w:val="BodyText"/>
      </w:pPr>
      <w:r>
        <w:tab/>
      </w:r>
      <w:r>
        <w:tab/>
        <w:t xml:space="preserve"> </w:t>
      </w:r>
      <w:r>
        <w:rPr>
          <w:noProof/>
        </w:rPr>
        <mc:AlternateContent>
          <mc:Choice Requires="wps">
            <w:drawing>
              <wp:inline distT="0" distB="0" distL="0" distR="0" wp14:anchorId="0E99868A" wp14:editId="32CB1800">
                <wp:extent cx="3948430" cy="2873375"/>
                <wp:effectExtent l="0" t="0" r="0" b="0"/>
                <wp:docPr id="5" name="Shape2"/>
                <wp:cNvGraphicFramePr/>
                <a:graphic xmlns:a="http://schemas.openxmlformats.org/drawingml/2006/main">
                  <a:graphicData uri="http://schemas.microsoft.com/office/word/2010/wordprocessingShape">
                    <wps:wsp>
                      <wps:cNvSpPr/>
                      <wps:spPr>
                        <a:xfrm>
                          <a:off x="0" y="0"/>
                          <a:ext cx="3947760" cy="287280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5DE15B49" w14:textId="77777777" w:rsidR="008E75CB" w:rsidRDefault="00D6337F">
                            <w:pPr>
                              <w:pStyle w:val="Figure"/>
                              <w:jc w:val="center"/>
                              <w:rPr>
                                <w:color w:val="000000"/>
                              </w:rPr>
                            </w:pPr>
                            <w:r>
                              <w:rPr>
                                <w:noProof/>
                              </w:rPr>
                              <w:drawing>
                                <wp:inline distT="0" distB="0" distL="0" distR="0" wp14:anchorId="69D8B54F" wp14:editId="39B07895">
                                  <wp:extent cx="3943350" cy="2348865"/>
                                  <wp:effectExtent l="0" t="0" r="0" b="0"/>
                                  <wp:docPr id="7"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pic:cNvPicPr>
                                            <a:picLocks noChangeAspect="1" noChangeArrowheads="1"/>
                                          </pic:cNvPicPr>
                                        </pic:nvPicPr>
                                        <pic:blipFill>
                                          <a:blip r:embed="rId8"/>
                                          <a:srcRect l="4387" t="17569" b="6313"/>
                                          <a:stretch>
                                            <a:fillRect/>
                                          </a:stretch>
                                        </pic:blipFill>
                                        <pic:spPr bwMode="auto">
                                          <a:xfrm>
                                            <a:off x="0" y="0"/>
                                            <a:ext cx="3943350" cy="234886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2</w:t>
                            </w:r>
                            <w:r>
                              <w:rPr>
                                <w:color w:val="000000"/>
                              </w:rPr>
                              <w:fldChar w:fldCharType="end"/>
                            </w:r>
                            <w:r>
                              <w:rPr>
                                <w:color w:val="000000"/>
                              </w:rPr>
                              <w:t>: Sources of organisational knowledge (</w:t>
                            </w:r>
                            <w:proofErr w:type="spellStart"/>
                            <w:r>
                              <w:rPr>
                                <w:color w:val="000000"/>
                              </w:rPr>
                              <w:t>Orero-Blat</w:t>
                            </w:r>
                            <w:proofErr w:type="spellEnd"/>
                            <w:r>
                              <w:rPr>
                                <w:color w:val="000000"/>
                              </w:rPr>
                              <w:t xml:space="preserve">, </w:t>
                            </w:r>
                            <w:proofErr w:type="spellStart"/>
                            <w:r>
                              <w:rPr>
                                <w:color w:val="000000"/>
                              </w:rPr>
                              <w:t>Palacios-Marqués</w:t>
                            </w:r>
                            <w:proofErr w:type="spellEnd"/>
                            <w:r>
                              <w:rPr>
                                <w:color w:val="000000"/>
                              </w:rPr>
                              <w:t xml:space="preserve"> and Garzón, 2020)</w:t>
                            </w:r>
                          </w:p>
                        </w:txbxContent>
                      </wps:txbx>
                      <wps:bodyPr lIns="0" tIns="0" rIns="0" bIns="0">
                        <a:noAutofit/>
                      </wps:bodyPr>
                    </wps:wsp>
                  </a:graphicData>
                </a:graphic>
              </wp:inline>
            </w:drawing>
          </mc:Choice>
          <mc:Fallback>
            <w:pict>
              <v:rect w14:anchorId="0E99868A" id="Shape2" o:spid="_x0000_s1027" style="width:310.9pt;height:22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6WL87AEAAEMEAAAOAAAAZHJzL2Uyb0RvYy54bWysU8Fu2zAMvQ/YPwi6L068rUmDOMWwIsOA&#13;&#10;YSva7gNkWUoESKIgqbHz96MYO+22U4f5IFMSH8n3SG1uBmfZUcVkwDd8MZtzpryEzvh9w38+7t6t&#13;&#10;OEtZ+E5Y8KrhJ5X4zfbtm00f1qqGA9hORYZBfFr3oeGHnMO6qpI8KCfSDILyeKkhOpFxG/dVF0WP&#13;&#10;0Z2t6vn8quohdiGCVCnh6e35km8pvtZK5h9aJ5WZbTjWlmmNtLZlrbYbsd5HEQ5GjmWIf6jCCeMx&#13;&#10;6SXUrciCPUXzVyhnZIQEOs8kuAq0NlIRB2SzmP/B5uEggiIuKE4KF5nS/wsrvx/vIjNdwz9y5oXD&#13;&#10;FlHWuijTh7RGh4dwF8ddQrPQHHR05Y8E2EBqni5qqiEziYfvrz8sl1cousS7erWsV3PSu3qGh5jy&#13;&#10;FwWOFaPhEdtFKorjt5QxJbpOLiVbAmu6nbGWNnHffraRHQW2dkdfqRkhv7lZz/pSWoF4KOCzk/Xo&#13;&#10;WwieKZGVT1YVP+vvlUZRiBnlkmOy8+TgaCOtaX4wIwGKo8b4r8SOkIJWNLCvxF9AlB98vuCd8RBJ&#13;&#10;kxfsipmHdqCeL6Yut9CdcA7sV4+zVd7JZMTJaEejZPHw6SmDNtSiEvAMHwXFSaU2jK+qPIWXe/J6&#13;&#10;fvvbXwAAAP//AwBQSwMEFAAGAAgAAAAhAGvbh5zfAAAACgEAAA8AAABkcnMvZG93bnJldi54bWxM&#13;&#10;j0FPwkAQhe8m/ofNkHiTLY1UUrolREPEG9DG89AO3Up3t+kuUP+9oxe9vGTy8t68L1uNphNXGnzr&#13;&#10;rILZNAJBtnJ1axsFZbF5XIDwAW2NnbOk4Is8rPL7uwzT2t3snq6H0AgusT5FBTqEPpXSV5oM+qnr&#13;&#10;ybJ3coPBwOfQyHrAG5ebTsZRlEiDreUPGnt60VSdDxej4Hntio94+77d6d0Jk3Lx+bYpC6UeJuPr&#13;&#10;kmW9BBFoDH8J+GHg/ZDzsKO72NqLTgHThF9lL4lnzHJU8DSP5yDzTP5HyL8BAAD//wMAUEsBAi0A&#13;&#10;FAAGAAgAAAAhALaDOJL+AAAA4QEAABMAAAAAAAAAAAAAAAAAAAAAAFtDb250ZW50X1R5cGVzXS54&#13;&#10;bWxQSwECLQAUAAYACAAAACEAOP0h/9YAAACUAQAACwAAAAAAAAAAAAAAAAAvAQAAX3JlbHMvLnJl&#13;&#10;bHNQSwECLQAUAAYACAAAACEAguli/OwBAABDBAAADgAAAAAAAAAAAAAAAAAuAgAAZHJzL2Uyb0Rv&#13;&#10;Yy54bWxQSwECLQAUAAYACAAAACEAa9uHnN8AAAAKAQAADwAAAAAAAAAAAAAAAABGBAAAZHJzL2Rv&#13;&#10;d25yZXYueG1sUEsFBgAAAAAEAAQA8wAAAFIFAAAAAA==&#13;&#10;" stroked="f" strokeweight="0">
                <v:textbox inset="0,0,0,0">
                  <w:txbxContent>
                    <w:p w14:paraId="5DE15B49" w14:textId="77777777" w:rsidR="008E75CB" w:rsidRDefault="00D6337F">
                      <w:pPr>
                        <w:pStyle w:val="Figure"/>
                        <w:jc w:val="center"/>
                        <w:rPr>
                          <w:color w:val="000000"/>
                        </w:rPr>
                      </w:pPr>
                      <w:r>
                        <w:rPr>
                          <w:noProof/>
                        </w:rPr>
                        <w:drawing>
                          <wp:inline distT="0" distB="0" distL="0" distR="0" wp14:anchorId="69D8B54F" wp14:editId="39B07895">
                            <wp:extent cx="3943350" cy="2348865"/>
                            <wp:effectExtent l="0" t="0" r="0" b="0"/>
                            <wp:docPr id="7"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pic:cNvPicPr>
                                      <a:picLocks noChangeAspect="1" noChangeArrowheads="1"/>
                                    </pic:cNvPicPr>
                                  </pic:nvPicPr>
                                  <pic:blipFill>
                                    <a:blip r:embed="rId8"/>
                                    <a:srcRect l="4387" t="17569" b="6313"/>
                                    <a:stretch>
                                      <a:fillRect/>
                                    </a:stretch>
                                  </pic:blipFill>
                                  <pic:spPr bwMode="auto">
                                    <a:xfrm>
                                      <a:off x="0" y="0"/>
                                      <a:ext cx="3943350" cy="234886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2</w:t>
                      </w:r>
                      <w:r>
                        <w:rPr>
                          <w:color w:val="000000"/>
                        </w:rPr>
                        <w:fldChar w:fldCharType="end"/>
                      </w:r>
                      <w:r>
                        <w:rPr>
                          <w:color w:val="000000"/>
                        </w:rPr>
                        <w:t>: Sources of organisational knowledge (</w:t>
                      </w:r>
                      <w:proofErr w:type="spellStart"/>
                      <w:r>
                        <w:rPr>
                          <w:color w:val="000000"/>
                        </w:rPr>
                        <w:t>Orero-Blat</w:t>
                      </w:r>
                      <w:proofErr w:type="spellEnd"/>
                      <w:r>
                        <w:rPr>
                          <w:color w:val="000000"/>
                        </w:rPr>
                        <w:t xml:space="preserve">, </w:t>
                      </w:r>
                      <w:proofErr w:type="spellStart"/>
                      <w:r>
                        <w:rPr>
                          <w:color w:val="000000"/>
                        </w:rPr>
                        <w:t>Palacios-Marqués</w:t>
                      </w:r>
                      <w:proofErr w:type="spellEnd"/>
                      <w:r>
                        <w:rPr>
                          <w:color w:val="000000"/>
                        </w:rPr>
                        <w:t xml:space="preserve"> and Garzón, 2020)</w:t>
                      </w:r>
                    </w:p>
                  </w:txbxContent>
                </v:textbox>
                <w10:anchorlock/>
              </v:rect>
            </w:pict>
          </mc:Fallback>
        </mc:AlternateContent>
      </w:r>
    </w:p>
    <w:p w14:paraId="12688792" w14:textId="77777777" w:rsidR="008E75CB" w:rsidRDefault="00D6337F">
      <w:pPr>
        <w:pStyle w:val="BodyText"/>
      </w:pPr>
      <w:r>
        <w:t xml:space="preserve">However, there is a positive relationship between these two different pieces of knowledge. Individual knowledge focuses on the development of one's knowledge and expertise in the </w:t>
      </w:r>
      <w:r>
        <w:lastRenderedPageBreak/>
        <w:t xml:space="preserve">given role of the organisation. This helps the individual in improving the quality of their service and learning through different training and workshop program attended. The organisational knowledge is the accumulation of the individual knowledge along with the organisation's problem-solving tactics on the organisation's behalf and experience gathered in the usual conduct of the business </w:t>
      </w:r>
      <w:r>
        <w:rPr>
          <w:color w:val="000000"/>
        </w:rPr>
        <w:t>(</w:t>
      </w:r>
      <w:proofErr w:type="spellStart"/>
      <w:r>
        <w:rPr>
          <w:color w:val="000000"/>
        </w:rPr>
        <w:t>Joshi</w:t>
      </w:r>
      <w:proofErr w:type="spellEnd"/>
      <w:r>
        <w:rPr>
          <w:color w:val="000000"/>
        </w:rPr>
        <w:t xml:space="preserve"> and </w:t>
      </w:r>
      <w:proofErr w:type="spellStart"/>
      <w:r>
        <w:rPr>
          <w:color w:val="000000"/>
        </w:rPr>
        <w:t>Chawla</w:t>
      </w:r>
      <w:proofErr w:type="spellEnd"/>
      <w:r>
        <w:rPr>
          <w:color w:val="000000"/>
        </w:rPr>
        <w:t>, 2018)</w:t>
      </w:r>
      <w:r>
        <w:t>. In Sainsbury's, the HR manager puts much time and effort to see the individual needs of training to improve the skills and knowledge in their specific field of work.</w:t>
      </w:r>
    </w:p>
    <w:p w14:paraId="4F25ACC7" w14:textId="77777777" w:rsidR="008E75CB" w:rsidRDefault="00D6337F">
      <w:pPr>
        <w:pStyle w:val="BodyText"/>
      </w:pPr>
      <w:r>
        <w:t>The employees then have to go through the several training processes such as a workshop, job rotation, training, coaching, seminar and job shadowing to observe and understand how things can be down differently. By providing these training facilities to the employees, the company improves the individual skills and understanding of the business world. In a training session of Sainsbury’s, the employees were provided job shadowing training to see how the store managers and salespersons are doing in different stores of the company.</w:t>
      </w:r>
    </w:p>
    <w:p w14:paraId="736225BB" w14:textId="77777777" w:rsidR="008E75CB" w:rsidRDefault="00D6337F">
      <w:pPr>
        <w:pStyle w:val="BodyText"/>
      </w:pPr>
      <w:r>
        <w:t xml:space="preserve">By doing this the employees of different units of stores came to learn various management and sales technique which helped them to improve their understanding of the management of Sainsbury’s </w:t>
      </w:r>
      <w:r>
        <w:rPr>
          <w:color w:val="000000"/>
        </w:rPr>
        <w:t>(</w:t>
      </w:r>
      <w:proofErr w:type="spellStart"/>
      <w:r>
        <w:rPr>
          <w:color w:val="000000"/>
        </w:rPr>
        <w:t>Jabeen</w:t>
      </w:r>
      <w:proofErr w:type="spellEnd"/>
      <w:r>
        <w:rPr>
          <w:color w:val="000000"/>
        </w:rPr>
        <w:t xml:space="preserve"> and Al Dari, 2020)</w:t>
      </w:r>
      <w:r>
        <w:t>. The training was given to the recruits and they were highly satisfied with this which resulted in higher performance of the stores where they were assigned by 12% in a year. Therefore, the above example shows the positive relation of the individual understanding in building and improving the organisational understanding and performance as well.</w:t>
      </w:r>
    </w:p>
    <w:p w14:paraId="174E762A" w14:textId="77777777" w:rsidR="008E75CB" w:rsidRPr="00453352" w:rsidRDefault="00D6337F">
      <w:pPr>
        <w:pStyle w:val="Heading21"/>
        <w:rPr>
          <w:color w:val="000000" w:themeColor="text1"/>
        </w:rPr>
      </w:pPr>
      <w:bookmarkStart w:id="3" w:name="_Toc57501060"/>
      <w:r w:rsidRPr="00453352">
        <w:rPr>
          <w:color w:val="000000" w:themeColor="text1"/>
        </w:rPr>
        <w:t>Identifying knowledge assets</w:t>
      </w:r>
      <w:bookmarkEnd w:id="3"/>
    </w:p>
    <w:p w14:paraId="3817ED38" w14:textId="0A4C0E23" w:rsidR="008E75CB" w:rsidRDefault="00D6337F">
      <w:pPr>
        <w:pStyle w:val="BodyText"/>
      </w:pPr>
      <w:r>
        <w:t xml:space="preserve">Knowledge assets refer to the organisational knowledge that </w:t>
      </w:r>
      <w:r w:rsidR="008440C6">
        <w:t>possess</w:t>
      </w:r>
      <w:r>
        <w:t xml:space="preserve"> economic value to the company. It refers to the knowledge of the organisation and the employees in the form of the idea, learning, memory, skills and insights. In other words, it comprises of the intellectual resources of the organisation in which the companies invest to derive an economic benefit for such investments </w:t>
      </w:r>
      <w:r>
        <w:rPr>
          <w:color w:val="000000"/>
        </w:rPr>
        <w:t>(</w:t>
      </w:r>
      <w:proofErr w:type="spellStart"/>
      <w:r>
        <w:rPr>
          <w:color w:val="000000"/>
        </w:rPr>
        <w:t>Handa</w:t>
      </w:r>
      <w:proofErr w:type="spellEnd"/>
      <w:r>
        <w:rPr>
          <w:color w:val="000000"/>
        </w:rPr>
        <w:t xml:space="preserve">, </w:t>
      </w:r>
      <w:proofErr w:type="spellStart"/>
      <w:r>
        <w:rPr>
          <w:color w:val="000000"/>
        </w:rPr>
        <w:t>Pagani</w:t>
      </w:r>
      <w:proofErr w:type="spellEnd"/>
      <w:r>
        <w:rPr>
          <w:color w:val="000000"/>
        </w:rPr>
        <w:t xml:space="preserve"> and Bedford, 2019)</w:t>
      </w:r>
      <w:r>
        <w:t>. Knowledge assets of the organisation do not reside only within the organisation but also outside the organisation such as customers, supplier and stakeholders.</w:t>
      </w:r>
    </w:p>
    <w:p w14:paraId="08F44D85" w14:textId="77777777" w:rsidR="008E75CB" w:rsidRDefault="00D6337F">
      <w:pPr>
        <w:pStyle w:val="BodyText"/>
      </w:pPr>
      <w:r>
        <w:lastRenderedPageBreak/>
        <w:tab/>
      </w:r>
      <w:r>
        <w:tab/>
        <w:t xml:space="preserve">       </w:t>
      </w:r>
      <w:r>
        <w:rPr>
          <w:noProof/>
        </w:rPr>
        <mc:AlternateContent>
          <mc:Choice Requires="wps">
            <w:drawing>
              <wp:inline distT="0" distB="0" distL="0" distR="0" wp14:anchorId="346496DC" wp14:editId="11FC4E1E">
                <wp:extent cx="3449320" cy="2450465"/>
                <wp:effectExtent l="0" t="0" r="0" b="0"/>
                <wp:docPr id="9" name="Shape3"/>
                <wp:cNvGraphicFramePr/>
                <a:graphic xmlns:a="http://schemas.openxmlformats.org/drawingml/2006/main">
                  <a:graphicData uri="http://schemas.microsoft.com/office/word/2010/wordprocessingShape">
                    <wps:wsp>
                      <wps:cNvSpPr/>
                      <wps:spPr>
                        <a:xfrm>
                          <a:off x="0" y="0"/>
                          <a:ext cx="3448800" cy="244980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76840876" w14:textId="77777777" w:rsidR="008E75CB" w:rsidRDefault="00D6337F">
                            <w:pPr>
                              <w:pStyle w:val="Figure"/>
                              <w:jc w:val="center"/>
                              <w:rPr>
                                <w:color w:val="000000"/>
                              </w:rPr>
                            </w:pPr>
                            <w:r>
                              <w:rPr>
                                <w:noProof/>
                              </w:rPr>
                              <w:drawing>
                                <wp:inline distT="0" distB="0" distL="0" distR="0" wp14:anchorId="420EC0A6" wp14:editId="4B0175F3">
                                  <wp:extent cx="3444240" cy="2073275"/>
                                  <wp:effectExtent l="0" t="0" r="0" b="0"/>
                                  <wp:docPr id="11"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3"/>
                                          <pic:cNvPicPr>
                                            <a:picLocks noChangeAspect="1" noChangeArrowheads="1"/>
                                          </pic:cNvPicPr>
                                        </pic:nvPicPr>
                                        <pic:blipFill>
                                          <a:blip r:embed="rId9"/>
                                          <a:stretch>
                                            <a:fillRect/>
                                          </a:stretch>
                                        </pic:blipFill>
                                        <pic:spPr bwMode="auto">
                                          <a:xfrm>
                                            <a:off x="0" y="0"/>
                                            <a:ext cx="3444240" cy="207327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3</w:t>
                            </w:r>
                            <w:r>
                              <w:rPr>
                                <w:color w:val="000000"/>
                              </w:rPr>
                              <w:fldChar w:fldCharType="end"/>
                            </w:r>
                            <w:r>
                              <w:rPr>
                                <w:color w:val="000000"/>
                              </w:rPr>
                              <w:t>: Tools of knowledge assets (G Erickson, 2014)</w:t>
                            </w:r>
                          </w:p>
                        </w:txbxContent>
                      </wps:txbx>
                      <wps:bodyPr lIns="0" tIns="0" rIns="0" bIns="0">
                        <a:noAutofit/>
                      </wps:bodyPr>
                    </wps:wsp>
                  </a:graphicData>
                </a:graphic>
              </wp:inline>
            </w:drawing>
          </mc:Choice>
          <mc:Fallback>
            <w:pict>
              <v:rect w14:anchorId="346496DC" id="Shape3" o:spid="_x0000_s1028" style="width:271.6pt;height:192.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ZjY36AEAAEMEAAAOAAAAZHJzL2Uyb0RvYy54bWysU8Fu2zAMvQ/YPwi6L3bTYEiNOMWwIsOA&#13;&#10;YSvW7QMUWYoFSKIgqbHz96NoJ+m2U4f5IJMS36MeSW3uR2fZUcVkwLf8ZlFzpryEzvhDy3/+2L1b&#13;&#10;c5ay8J2w4FXLTyrx++3bN5shNGoJPdhORYYkPjVDaHmfc2iqKsleOZEWEJTHQw3RiYxuPFRdFAOy&#13;&#10;O1st6/p9NUDsQgSpUsLdh+mQb4lfayXzN62Tysy2HO+WaY207stabTeiOUQReiPna4h/uIUTxmPS&#13;&#10;C9WDyII9R/MXlTMyQgKdFxJcBVobqUgDqrmp/1Dz1IugSAsWJ4VLmdL/o5Vfj4+Rma7ld5x54bBF&#13;&#10;lPW2VGYIqcGAp/AYZy+hWWSOOrryRwFspGqeLtVUY2YSN29Xq/W6xqJLPFuuVnfFQZ7qCg8x5U8K&#13;&#10;HCtGyyO2i6oojl9SnkLPISVbAmu6nbGWnHjYf7SRHQW2dkffzP5bmPVsKFcrEA8FPPFajzcpAidJ&#13;&#10;ZOWTVSXO+u9KY1FIGeWSc7JpcnC0UdZ5flAPAUqgRv5XYmdIQSsa2FfiLyDKDz5f8M54iFSTF+qK&#13;&#10;mcf9SD1fltOys4fuhHNgP3ucrfJOzkY8G/vZKFk8fHjOoA216AqfC4qTSk2eX1V5Ci99irq+/e0v&#13;&#10;AAAA//8DAFBLAwQUAAYACAAAACEAVQ6jAuAAAAAKAQAADwAAAGRycy9kb3ducmV2LnhtbEyPwU7D&#13;&#10;MBBE70j8g7VI3KhDSktI41QVqKK9lSbivE22cSBeR7Hbhr/HcIHLSKvRzM7LlqPpxJkG11pWcD+J&#13;&#10;QBBXtm65UVAW67sEhPPINXaWScEXOVjm11cZprW98Bud974RoYRdigq0930qpas0GXQT2xMH72gH&#13;&#10;gz6cQyPrAS+h3HQyjqK5NNhy+KCxp2dN1ef+ZBQ8rmzxHm+2m53eHXFeJh+v67JQ6vZmfFkEWS1A&#13;&#10;eBr9XwJ+GMJ+yMOwgz1x7USnIND4Xw3e7GEagzgomCazJ5B5Jv8j5N8AAAD//wMAUEsBAi0AFAAG&#13;&#10;AAgAAAAhALaDOJL+AAAA4QEAABMAAAAAAAAAAAAAAAAAAAAAAFtDb250ZW50X1R5cGVzXS54bWxQ&#13;&#10;SwECLQAUAAYACAAAACEAOP0h/9YAAACUAQAACwAAAAAAAAAAAAAAAAAvAQAAX3JlbHMvLnJlbHNQ&#13;&#10;SwECLQAUAAYACAAAACEADmY2N+gBAABDBAAADgAAAAAAAAAAAAAAAAAuAgAAZHJzL2Uyb0RvYy54&#13;&#10;bWxQSwECLQAUAAYACAAAACEAVQ6jAuAAAAAKAQAADwAAAAAAAAAAAAAAAABCBAAAZHJzL2Rvd25y&#13;&#10;ZXYueG1sUEsFBgAAAAAEAAQA8wAAAE8FAAAAAA==&#13;&#10;" stroked="f" strokeweight="0">
                <v:textbox inset="0,0,0,0">
                  <w:txbxContent>
                    <w:p w14:paraId="76840876" w14:textId="77777777" w:rsidR="008E75CB" w:rsidRDefault="00D6337F">
                      <w:pPr>
                        <w:pStyle w:val="Figure"/>
                        <w:jc w:val="center"/>
                        <w:rPr>
                          <w:color w:val="000000"/>
                        </w:rPr>
                      </w:pPr>
                      <w:r>
                        <w:rPr>
                          <w:noProof/>
                        </w:rPr>
                        <w:drawing>
                          <wp:inline distT="0" distB="0" distL="0" distR="0" wp14:anchorId="420EC0A6" wp14:editId="4B0175F3">
                            <wp:extent cx="3444240" cy="2073275"/>
                            <wp:effectExtent l="0" t="0" r="0" b="0"/>
                            <wp:docPr id="11"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3"/>
                                    <pic:cNvPicPr>
                                      <a:picLocks noChangeAspect="1" noChangeArrowheads="1"/>
                                    </pic:cNvPicPr>
                                  </pic:nvPicPr>
                                  <pic:blipFill>
                                    <a:blip r:embed="rId9"/>
                                    <a:stretch>
                                      <a:fillRect/>
                                    </a:stretch>
                                  </pic:blipFill>
                                  <pic:spPr bwMode="auto">
                                    <a:xfrm>
                                      <a:off x="0" y="0"/>
                                      <a:ext cx="3444240" cy="2073275"/>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3</w:t>
                      </w:r>
                      <w:r>
                        <w:rPr>
                          <w:color w:val="000000"/>
                        </w:rPr>
                        <w:fldChar w:fldCharType="end"/>
                      </w:r>
                      <w:r>
                        <w:rPr>
                          <w:color w:val="000000"/>
                        </w:rPr>
                        <w:t>: Tools of knowledge assets (G Erickson, 2014)</w:t>
                      </w:r>
                    </w:p>
                  </w:txbxContent>
                </v:textbox>
                <w10:anchorlock/>
              </v:rect>
            </w:pict>
          </mc:Fallback>
        </mc:AlternateContent>
      </w:r>
    </w:p>
    <w:p w14:paraId="1F4EA86E" w14:textId="77777777" w:rsidR="008E75CB" w:rsidRDefault="00D6337F">
      <w:pPr>
        <w:pStyle w:val="BodyText"/>
      </w:pPr>
      <w:r>
        <w:t>Knowledge assets of an organisation can be abstracted through three components—people, process and technology. The interrelated connection with these three elements makes knowledge assets more effective to the organisation. In the case of Sainsbury’s, the people of the company are the assets as they possess and share the knowledge throughout the organisational department. By utilising the technology of the business world in communication, the department of the organisation remains interconnected with each other in sharing the potential knowledge.</w:t>
      </w:r>
    </w:p>
    <w:p w14:paraId="27A057E2" w14:textId="77777777" w:rsidR="008E75CB" w:rsidRDefault="00D6337F">
      <w:pPr>
        <w:pStyle w:val="BodyText"/>
      </w:pPr>
      <w:r>
        <w:t xml:space="preserve">For example, in Sainsbury’s, all the stores are connected to the head office in the UK where they transfer the daily store sales report including which products are sold in higher quantity on that day using the private intranet system of the company </w:t>
      </w:r>
      <w:r>
        <w:rPr>
          <w:color w:val="000000"/>
        </w:rPr>
        <w:t>(Edwards, 2015)</w:t>
      </w:r>
      <w:r>
        <w:t>. By utilising the centralised system of network, the company can use the daily sales report and predict the demand pattern, sales pattern and the buying behaviour of the people. In many cases, Sainsbury’s used their daily sales report to identify consumer behaviour. For instances, in the month of Christmas, the buying pattern of the people gets increased for certain goods. Sainsbury's thus boost up their sales by supplying those products in their stores, add the discount and offers to attract the customers more to their stores.</w:t>
      </w:r>
    </w:p>
    <w:p w14:paraId="4D583D5C" w14:textId="77777777" w:rsidR="008E75CB" w:rsidRDefault="00D6337F">
      <w:pPr>
        <w:pStyle w:val="BodyText"/>
      </w:pPr>
      <w:r>
        <w:t xml:space="preserve">By using the systematic process of the knowledge and information transfer, the company thus utilise their knowledge assets. In the following, the intellectual property also counted as the knowledge assets as they put economic value to the company and portrays the existence towards the consumers. The brand name, logo, trademark and copyright of Sainsbury’s are the intellectual property that belongs to them and puts the economic value to the company. The company registered those properties with Copyright, Design and Patent Act 1988 so that other </w:t>
      </w:r>
      <w:r>
        <w:lastRenderedPageBreak/>
        <w:t xml:space="preserve">competitors can not imitate them and get an unfair advantage in the market </w:t>
      </w:r>
      <w:r>
        <w:rPr>
          <w:color w:val="000000"/>
        </w:rPr>
        <w:t>(</w:t>
      </w:r>
      <w:proofErr w:type="spellStart"/>
      <w:r>
        <w:rPr>
          <w:color w:val="000000"/>
        </w:rPr>
        <w:t>Allameh</w:t>
      </w:r>
      <w:proofErr w:type="spellEnd"/>
      <w:r>
        <w:rPr>
          <w:color w:val="000000"/>
        </w:rPr>
        <w:t xml:space="preserve"> et al., 2017)</w:t>
      </w:r>
      <w:r>
        <w:t>.</w:t>
      </w:r>
    </w:p>
    <w:p w14:paraId="4D36DE78" w14:textId="77777777" w:rsidR="008E75CB" w:rsidRPr="00911026" w:rsidRDefault="00D6337F">
      <w:pPr>
        <w:pStyle w:val="Heading21"/>
        <w:rPr>
          <w:rFonts w:eastAsia="NSimSun"/>
          <w:color w:val="000000" w:themeColor="text1"/>
          <w:sz w:val="24"/>
          <w:szCs w:val="24"/>
        </w:rPr>
      </w:pPr>
      <w:bookmarkStart w:id="4" w:name="_Toc57501061"/>
      <w:r w:rsidRPr="00911026">
        <w:rPr>
          <w:color w:val="000000" w:themeColor="text1"/>
        </w:rPr>
        <w:t>Evaluating actual and potential knowledge assets</w:t>
      </w:r>
      <w:bookmarkEnd w:id="4"/>
    </w:p>
    <w:p w14:paraId="4D017896" w14:textId="3F19A1D4" w:rsidR="008E75CB" w:rsidRDefault="00D6337F">
      <w:pPr>
        <w:pStyle w:val="BodyText"/>
      </w:pPr>
      <w:r>
        <w:t xml:space="preserve">Knowledge assets are the most important matters of the organisation as they put economic value to the business. The actual knowledge assets of the business are the existing assets that the business has already established. It includes intellectual property such as copyright, patents, logo and trademark for the logo and brand name. These types of property are the </w:t>
      </w:r>
      <w:r w:rsidR="008440C6">
        <w:t>long-term</w:t>
      </w:r>
      <w:r>
        <w:t xml:space="preserve"> knowledge assets which are systemic </w:t>
      </w:r>
      <w:r>
        <w:rPr>
          <w:color w:val="000000"/>
        </w:rPr>
        <w:t>(Wal, 2017)</w:t>
      </w:r>
      <w:r>
        <w:t>. According to the researchers, the knowledge assets are divided into four categories—experiential knowledge assets, conceptual knowledge assets, routine knowledge assets and systemic knowledge assets.</w:t>
      </w:r>
    </w:p>
    <w:p w14:paraId="4C7BE7E9" w14:textId="77777777" w:rsidR="008E75CB" w:rsidRDefault="00D6337F">
      <w:pPr>
        <w:pStyle w:val="BodyText"/>
      </w:pPr>
      <w:r>
        <w:tab/>
      </w:r>
      <w:r>
        <w:tab/>
      </w:r>
      <w:r>
        <w:tab/>
        <w:t xml:space="preserve">  </w:t>
      </w:r>
      <w:r>
        <w:rPr>
          <w:noProof/>
        </w:rPr>
        <mc:AlternateContent>
          <mc:Choice Requires="wps">
            <w:drawing>
              <wp:inline distT="0" distB="0" distL="0" distR="0" wp14:anchorId="174D805C" wp14:editId="13420A63">
                <wp:extent cx="2795905" cy="3314700"/>
                <wp:effectExtent l="0" t="0" r="0" b="0"/>
                <wp:docPr id="13" name="Shape4"/>
                <wp:cNvGraphicFramePr/>
                <a:graphic xmlns:a="http://schemas.openxmlformats.org/drawingml/2006/main">
                  <a:graphicData uri="http://schemas.microsoft.com/office/word/2010/wordprocessingShape">
                    <wps:wsp>
                      <wps:cNvSpPr/>
                      <wps:spPr>
                        <a:xfrm>
                          <a:off x="0" y="0"/>
                          <a:ext cx="2795400" cy="331416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00BED65D" w14:textId="77777777" w:rsidR="008E75CB" w:rsidRDefault="00D6337F">
                            <w:pPr>
                              <w:pStyle w:val="Figure"/>
                              <w:jc w:val="center"/>
                              <w:rPr>
                                <w:color w:val="000000"/>
                              </w:rPr>
                            </w:pPr>
                            <w:r>
                              <w:rPr>
                                <w:noProof/>
                              </w:rPr>
                              <w:drawing>
                                <wp:inline distT="0" distB="0" distL="0" distR="0" wp14:anchorId="1216B65C" wp14:editId="0C5E9B0D">
                                  <wp:extent cx="2792730" cy="2741930"/>
                                  <wp:effectExtent l="0" t="0" r="0" b="0"/>
                                  <wp:docPr id="15"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4"/>
                                          <pic:cNvPicPr>
                                            <a:picLocks noChangeAspect="1" noChangeArrowheads="1"/>
                                          </pic:cNvPicPr>
                                        </pic:nvPicPr>
                                        <pic:blipFill>
                                          <a:blip r:embed="rId10"/>
                                          <a:stretch>
                                            <a:fillRect/>
                                          </a:stretch>
                                        </pic:blipFill>
                                        <pic:spPr bwMode="auto">
                                          <a:xfrm>
                                            <a:off x="0" y="0"/>
                                            <a:ext cx="2792730" cy="2741930"/>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4</w:t>
                            </w:r>
                            <w:r>
                              <w:rPr>
                                <w:color w:val="000000"/>
                              </w:rPr>
                              <w:fldChar w:fldCharType="end"/>
                            </w:r>
                            <w:r>
                              <w:rPr>
                                <w:color w:val="000000"/>
                              </w:rPr>
                              <w:t>: Categories of potential knowledge assets (</w:t>
                            </w:r>
                            <w:proofErr w:type="spellStart"/>
                            <w:r>
                              <w:rPr>
                                <w:color w:val="000000"/>
                              </w:rPr>
                              <w:t>Tomita</w:t>
                            </w:r>
                            <w:proofErr w:type="spellEnd"/>
                            <w:r>
                              <w:rPr>
                                <w:color w:val="000000"/>
                              </w:rPr>
                              <w:t xml:space="preserve"> et al., 2017)</w:t>
                            </w:r>
                          </w:p>
                        </w:txbxContent>
                      </wps:txbx>
                      <wps:bodyPr lIns="0" tIns="0" rIns="0" bIns="0">
                        <a:noAutofit/>
                      </wps:bodyPr>
                    </wps:wsp>
                  </a:graphicData>
                </a:graphic>
              </wp:inline>
            </w:drawing>
          </mc:Choice>
          <mc:Fallback>
            <w:pict>
              <v:rect w14:anchorId="174D805C" id="Shape4" o:spid="_x0000_s1029" style="width:220.15pt;height:26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VzcJ7AEAAEQEAAAOAAAAZHJzL2Uyb0RvYy54bWysU9tu2zAMfR+wfxD0vji3dWsQpxhWZBgw&#13;&#10;bEW7fYAsS7EASRQkNXb+fhRjp9321GJ+kCmJh+Q5pLY3g7PsqGIy4Gu+mM05U15Ca/yh5r9+7t99&#13;&#10;5Cxl4Vthwauan1TiN7u3b7Z92KgldGBbFRkG8WnTh5p3OYdNVSXZKSfSDILyeKkhOpFxGw9VG0WP&#13;&#10;0Z2tlvP5VdVDbEMEqVLC09vzJd9RfK2VzD+0TiozW3OsLdMaaW3KWu22YnOIInRGjmWIV1ThhPGY&#13;&#10;9BLqVmTBHqP5J5QzMkICnWcSXAVaG6mIA7JZzP9i89CJoIgLipPCRab0/8LK78e7yEyLvVtx5oXD&#13;&#10;HlHadZGmD2mDHg/hLo67hGbhOejoyh8ZsIHkPF3kVENmEg+XH67fr+eousS71WqxXlyR4NUTPMSU&#13;&#10;vyhwrBg1j9gvklEcv6WMKdF1cinZEljT7o21tImH5rON7Ciwt3v6Ss0I+cPNetaX0grEQwGfnaxH&#13;&#10;30LwTImsfLKq+Fl/rzSqQswolxyTnUcHZxtpTQOEGQlQHDXGfyF2hBS0ool9If4Covzg8wXvjIdI&#13;&#10;mjxjV8w8NAM1fTV1uYH2hINgv3ocrvJQJiNORjMaJYuHT48ZtKEWlYBn+Cgojiq1YXxW5S0835PX&#13;&#10;0+Pf/QYAAP//AwBQSwMEFAAGAAgAAAAhADAZOSTfAAAACgEAAA8AAABkcnMvZG93bnJldi54bWxM&#13;&#10;j8FOwzAQRO9I/IO1SNyoQyilSuNUFaii3EoTcXbjbRyI11HstuHvWXqBy0ir0czOy5ej68QJh9B6&#13;&#10;UnA/SUAg1d601CioyvXdHESImozuPKGCbwywLK6vcp0Zf6Z3PO1iI7iEQqYV2Bj7TMpQW3Q6THyP&#13;&#10;xN7BD05HPodGmkGfudx1Mk2SmXS6Jf5gdY/PFuuv3dEpeFr58iPdvG22dnvQs2r++bquSqVub8aX&#13;&#10;BctqASLiGP8S8MvA+6HgYXt/JBNEp4Bp4kXZm06TBxB7BY9pmoAscvkfofgBAAD//wMAUEsBAi0A&#13;&#10;FAAGAAgAAAAhALaDOJL+AAAA4QEAABMAAAAAAAAAAAAAAAAAAAAAAFtDb250ZW50X1R5cGVzXS54&#13;&#10;bWxQSwECLQAUAAYACAAAACEAOP0h/9YAAACUAQAACwAAAAAAAAAAAAAAAAAvAQAAX3JlbHMvLnJl&#13;&#10;bHNQSwECLQAUAAYACAAAACEAMVc3CewBAABEBAAADgAAAAAAAAAAAAAAAAAuAgAAZHJzL2Uyb0Rv&#13;&#10;Yy54bWxQSwECLQAUAAYACAAAACEAMBk5JN8AAAAKAQAADwAAAAAAAAAAAAAAAABGBAAAZHJzL2Rv&#13;&#10;d25yZXYueG1sUEsFBgAAAAAEAAQA8wAAAFIFAAAAAA==&#13;&#10;" stroked="f" strokeweight="0">
                <v:textbox inset="0,0,0,0">
                  <w:txbxContent>
                    <w:p w14:paraId="00BED65D" w14:textId="77777777" w:rsidR="008E75CB" w:rsidRDefault="00D6337F">
                      <w:pPr>
                        <w:pStyle w:val="Figure"/>
                        <w:jc w:val="center"/>
                        <w:rPr>
                          <w:color w:val="000000"/>
                        </w:rPr>
                      </w:pPr>
                      <w:r>
                        <w:rPr>
                          <w:noProof/>
                        </w:rPr>
                        <w:drawing>
                          <wp:inline distT="0" distB="0" distL="0" distR="0" wp14:anchorId="1216B65C" wp14:editId="0C5E9B0D">
                            <wp:extent cx="2792730" cy="2741930"/>
                            <wp:effectExtent l="0" t="0" r="0" b="0"/>
                            <wp:docPr id="15"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4"/>
                                    <pic:cNvPicPr>
                                      <a:picLocks noChangeAspect="1" noChangeArrowheads="1"/>
                                    </pic:cNvPicPr>
                                  </pic:nvPicPr>
                                  <pic:blipFill>
                                    <a:blip r:embed="rId10"/>
                                    <a:stretch>
                                      <a:fillRect/>
                                    </a:stretch>
                                  </pic:blipFill>
                                  <pic:spPr bwMode="auto">
                                    <a:xfrm>
                                      <a:off x="0" y="0"/>
                                      <a:ext cx="2792730" cy="2741930"/>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4</w:t>
                      </w:r>
                      <w:r>
                        <w:rPr>
                          <w:color w:val="000000"/>
                        </w:rPr>
                        <w:fldChar w:fldCharType="end"/>
                      </w:r>
                      <w:r>
                        <w:rPr>
                          <w:color w:val="000000"/>
                        </w:rPr>
                        <w:t>: Categories of potential knowledge assets (</w:t>
                      </w:r>
                      <w:proofErr w:type="spellStart"/>
                      <w:r>
                        <w:rPr>
                          <w:color w:val="000000"/>
                        </w:rPr>
                        <w:t>Tomita</w:t>
                      </w:r>
                      <w:proofErr w:type="spellEnd"/>
                      <w:r>
                        <w:rPr>
                          <w:color w:val="000000"/>
                        </w:rPr>
                        <w:t xml:space="preserve"> et al., 2017)</w:t>
                      </w:r>
                    </w:p>
                  </w:txbxContent>
                </v:textbox>
                <w10:anchorlock/>
              </v:rect>
            </w:pict>
          </mc:Fallback>
        </mc:AlternateContent>
      </w:r>
    </w:p>
    <w:p w14:paraId="487CB22E" w14:textId="77777777" w:rsidR="008E75CB" w:rsidRDefault="00D6337F">
      <w:pPr>
        <w:pStyle w:val="BodyText"/>
      </w:pPr>
      <w:r>
        <w:t xml:space="preserve">Potential knowledge can also be referred to as the assets with which the uncertainty of deriving the future benefits exist. These knowledge resources are easy to identify but the return on investment of these assets becomes risky. For example, the database software that Sainsbury’s use is the private intranet system which helps to store and share the data of the customers </w:t>
      </w:r>
      <w:r>
        <w:rPr>
          <w:color w:val="000000"/>
        </w:rPr>
        <w:t xml:space="preserve">(Singh, Khan and Al </w:t>
      </w:r>
      <w:proofErr w:type="spellStart"/>
      <w:r>
        <w:rPr>
          <w:color w:val="000000"/>
        </w:rPr>
        <w:t>Mansouri</w:t>
      </w:r>
      <w:proofErr w:type="spellEnd"/>
      <w:r>
        <w:rPr>
          <w:color w:val="000000"/>
        </w:rPr>
        <w:t>, 2018)</w:t>
      </w:r>
      <w:r>
        <w:t>. The CEO can invest money on the software to increase the capacity of the storage or to increase the transferability of the data.</w:t>
      </w:r>
    </w:p>
    <w:p w14:paraId="72CC750F" w14:textId="564BB59B" w:rsidR="008E75CB" w:rsidRDefault="00D6337F">
      <w:pPr>
        <w:pStyle w:val="BodyText"/>
      </w:pPr>
      <w:r>
        <w:lastRenderedPageBreak/>
        <w:t xml:space="preserve">The benefit from this investment is fixed and can be identified but the data that are being stored </w:t>
      </w:r>
      <w:r w:rsidR="008440C6">
        <w:t>cannot</w:t>
      </w:r>
      <w:r>
        <w:t xml:space="preserve"> be accurately assured that they will generate higher quality market research and better development of the services of the company. The analytical skills of the manager and the R&amp;D department of Sainsbury’s determine the use of those data. So, the future benefit of the data </w:t>
      </w:r>
      <w:r w:rsidR="008440C6">
        <w:t>cannot</w:t>
      </w:r>
      <w:r>
        <w:t xml:space="preserve"> be predicted truly. Another example is the investment in the training facilities of the employees in the stores. Sainsbury's can invest their money to increase the training facility; it will surely enhance the skills and experiences of the employee but not in hundred per cent </w:t>
      </w:r>
      <w:r>
        <w:rPr>
          <w:color w:val="000000"/>
        </w:rPr>
        <w:t>(</w:t>
      </w:r>
      <w:proofErr w:type="spellStart"/>
      <w:r>
        <w:rPr>
          <w:color w:val="000000"/>
        </w:rPr>
        <w:t>Perrott</w:t>
      </w:r>
      <w:proofErr w:type="spellEnd"/>
      <w:r>
        <w:rPr>
          <w:color w:val="000000"/>
        </w:rPr>
        <w:t>, 2015)</w:t>
      </w:r>
      <w:r>
        <w:t>. These types of knowledge assets are the potential ones in Sainsbury's.</w:t>
      </w:r>
    </w:p>
    <w:p w14:paraId="28B3C54D" w14:textId="77777777" w:rsidR="008E75CB" w:rsidRDefault="00D6337F">
      <w:pPr>
        <w:pStyle w:val="BodyText"/>
      </w:pPr>
      <w:r>
        <w:br w:type="page"/>
      </w:r>
    </w:p>
    <w:p w14:paraId="34DBA016" w14:textId="77777777" w:rsidR="008E75CB" w:rsidRPr="00453352" w:rsidRDefault="00D6337F">
      <w:pPr>
        <w:pStyle w:val="Heading21"/>
        <w:rPr>
          <w:rFonts w:eastAsia="NSimSun"/>
          <w:color w:val="000000" w:themeColor="text1"/>
          <w:sz w:val="24"/>
          <w:szCs w:val="24"/>
        </w:rPr>
      </w:pPr>
      <w:bookmarkStart w:id="5" w:name="_Toc57501063"/>
      <w:r w:rsidRPr="00453352">
        <w:rPr>
          <w:color w:val="000000" w:themeColor="text1"/>
        </w:rPr>
        <w:lastRenderedPageBreak/>
        <w:t>Explaining the requirements to create, store, apply and integrate knowledge</w:t>
      </w:r>
      <w:bookmarkEnd w:id="5"/>
    </w:p>
    <w:p w14:paraId="68994D52" w14:textId="77777777" w:rsidR="008E75CB" w:rsidRDefault="00D6337F">
      <w:pPr>
        <w:pStyle w:val="BodyText"/>
      </w:pPr>
      <w:r>
        <w:t xml:space="preserve">To manage the knowledge within the organisation, the manager has to be more cautious in making the proper utilisation of the resources to create, store, and apply the knowledge in the business </w:t>
      </w:r>
      <w:r>
        <w:rPr>
          <w:color w:val="000000"/>
        </w:rPr>
        <w:t>(</w:t>
      </w:r>
      <w:proofErr w:type="spellStart"/>
      <w:r>
        <w:rPr>
          <w:color w:val="000000"/>
        </w:rPr>
        <w:t>Joshi</w:t>
      </w:r>
      <w:proofErr w:type="spellEnd"/>
      <w:r>
        <w:rPr>
          <w:color w:val="000000"/>
        </w:rPr>
        <w:t xml:space="preserve"> and </w:t>
      </w:r>
      <w:proofErr w:type="spellStart"/>
      <w:r>
        <w:rPr>
          <w:color w:val="000000"/>
        </w:rPr>
        <w:t>Chawla</w:t>
      </w:r>
      <w:proofErr w:type="spellEnd"/>
      <w:r>
        <w:rPr>
          <w:color w:val="000000"/>
        </w:rPr>
        <w:t>, 2018)</w:t>
      </w:r>
      <w:r>
        <w:t xml:space="preserve">. The manager first needs to determine the potential need for knowledge in Sainsbury’s to generate the need for creating the knowledge and go forward with the further process. Using WIIG’s Knowledge Management Lifecycle, the requirements for Sainsbury’s process of creating, storing and applying the knowledge in the business are described below. </w:t>
      </w:r>
    </w:p>
    <w:p w14:paraId="5C38411E" w14:textId="77777777" w:rsidR="008E75CB" w:rsidRDefault="00D6337F">
      <w:pPr>
        <w:pStyle w:val="BodyText"/>
      </w:pPr>
      <w:r>
        <w:tab/>
      </w:r>
      <w:r>
        <w:tab/>
        <w:t xml:space="preserve">      </w:t>
      </w:r>
      <w:r>
        <w:rPr>
          <w:noProof/>
        </w:rPr>
        <mc:AlternateContent>
          <mc:Choice Requires="wps">
            <w:drawing>
              <wp:inline distT="0" distB="0" distL="0" distR="0" wp14:anchorId="67953DF2" wp14:editId="63765FC7">
                <wp:extent cx="3552825" cy="2960370"/>
                <wp:effectExtent l="0" t="0" r="0" b="0"/>
                <wp:docPr id="17" name="Shape5"/>
                <wp:cNvGraphicFramePr/>
                <a:graphic xmlns:a="http://schemas.openxmlformats.org/drawingml/2006/main">
                  <a:graphicData uri="http://schemas.microsoft.com/office/word/2010/wordprocessingShape">
                    <wps:wsp>
                      <wps:cNvSpPr/>
                      <wps:spPr>
                        <a:xfrm>
                          <a:off x="0" y="0"/>
                          <a:ext cx="3552120" cy="295956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0D092AA9" w14:textId="77777777" w:rsidR="008E75CB" w:rsidRDefault="00D6337F">
                            <w:pPr>
                              <w:pStyle w:val="Figure"/>
                              <w:jc w:val="center"/>
                              <w:rPr>
                                <w:color w:val="000000"/>
                              </w:rPr>
                            </w:pPr>
                            <w:r>
                              <w:rPr>
                                <w:noProof/>
                              </w:rPr>
                              <w:drawing>
                                <wp:inline distT="0" distB="0" distL="0" distR="0" wp14:anchorId="246EFAF8" wp14:editId="509ECD3E">
                                  <wp:extent cx="3550285" cy="2585720"/>
                                  <wp:effectExtent l="0" t="0" r="0" b="0"/>
                                  <wp:docPr id="19"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5"/>
                                          <pic:cNvPicPr>
                                            <a:picLocks noChangeAspect="1" noChangeArrowheads="1"/>
                                          </pic:cNvPicPr>
                                        </pic:nvPicPr>
                                        <pic:blipFill>
                                          <a:blip r:embed="rId11"/>
                                          <a:stretch>
                                            <a:fillRect/>
                                          </a:stretch>
                                        </pic:blipFill>
                                        <pic:spPr bwMode="auto">
                                          <a:xfrm>
                                            <a:off x="0" y="0"/>
                                            <a:ext cx="3550285" cy="2585720"/>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5</w:t>
                            </w:r>
                            <w:r>
                              <w:rPr>
                                <w:color w:val="000000"/>
                              </w:rPr>
                              <w:fldChar w:fldCharType="end"/>
                            </w:r>
                            <w:r>
                              <w:rPr>
                                <w:color w:val="000000"/>
                              </w:rPr>
                              <w:t>: Integrated KMC model (</w:t>
                            </w:r>
                            <w:proofErr w:type="spellStart"/>
                            <w:r>
                              <w:rPr>
                                <w:color w:val="000000"/>
                              </w:rPr>
                              <w:t>Handa</w:t>
                            </w:r>
                            <w:proofErr w:type="spellEnd"/>
                            <w:r>
                              <w:rPr>
                                <w:color w:val="000000"/>
                              </w:rPr>
                              <w:t xml:space="preserve">, </w:t>
                            </w:r>
                            <w:proofErr w:type="spellStart"/>
                            <w:r>
                              <w:rPr>
                                <w:color w:val="000000"/>
                              </w:rPr>
                              <w:t>Pagani</w:t>
                            </w:r>
                            <w:proofErr w:type="spellEnd"/>
                            <w:r>
                              <w:rPr>
                                <w:color w:val="000000"/>
                              </w:rPr>
                              <w:t xml:space="preserve"> and Bedford, 2019)</w:t>
                            </w:r>
                          </w:p>
                        </w:txbxContent>
                      </wps:txbx>
                      <wps:bodyPr lIns="0" tIns="0" rIns="0" bIns="0">
                        <a:noAutofit/>
                      </wps:bodyPr>
                    </wps:wsp>
                  </a:graphicData>
                </a:graphic>
              </wp:inline>
            </w:drawing>
          </mc:Choice>
          <mc:Fallback>
            <w:pict>
              <v:rect w14:anchorId="67953DF2" id="Shape5" o:spid="_x0000_s1030" style="width:279.75pt;height:233.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87f97AEAAEQEAAAOAAAAZHJzL2Uyb0RvYy54bWysU1Fv0zAQfkfiP1h+p2kLGSxqOiGmIiQE&#13;&#10;0wY/wHXs1pLts2yvSf8952uSDXgaIg/O2b7v7r7vzpubwVl2UjEZ8C1fLZacKS+hM/7Q8p8/dm8+&#13;&#10;cJay8J2w4FXLzyrxm+3rV5s+NGoNR7CdigyD+NT0oeXHnENTVUkelRNpAUF5vNQQnci4jYeqi6LH&#13;&#10;6M5W6+XyquohdiGCVCnh6e3lkm8pvtZK5u9aJ5WZbTnWlmmNtO7LWm03ojlEEY5GjmWIf6jCCeMx&#13;&#10;6RzqVmTBHqP5K5QzMkICnRcSXAVaG6mIA7JZLf9g83AUQREXFCeFWab0/8LKb6e7yEyHvXvPmRcO&#13;&#10;e0Rp6yJNH1KDHg/hLo67hGbhOejoyh8ZsIHkPM9yqiEziYdv63q9WqPqEu/W1/V1fUWCV0/wEFP+&#13;&#10;rMCxYrQ8Yr9IRnH6mjKmRNfJpWRLYE23M9bSJh72n2xkJ4G93dFXakbIb27Ws76UViAeCvjiZD36&#13;&#10;FoIXSmTls1XFz/p7pVEVYka55JjsMjo420hrGiDMSIDiqDH+C7EjpKAVTewL8TOI8oPPM94ZD5E0&#13;&#10;ecaumHnYD9T0d1OX99CdcRDsF4/DVR7KZMTJ2I9GyeLh42MGbahFJeAFPgqKo0ptGJ9VeQvP9+T1&#13;&#10;9Pi3vwAAAP//AwBQSwMEFAAGAAgAAAAhAPKNUeHfAAAACgEAAA8AAABkcnMvZG93bnJldi54bWxM&#13;&#10;j8FOwzAQRO9I/IO1SNyoQ0RCSeNUFaii3EoTcd4m2zgQr6PYbcPfY3qBy0ir0czOy5eT6cWJRtdZ&#13;&#10;VnA/i0AQ17bpuFVQleu7OQjnkRvsLZOCb3KwLK6vcswae+Z3Ou18K0IJuwwVaO+HTEpXazLoZnYg&#13;&#10;Dt7BjgZ9OMdWNiOeQ7npZRxFqTTYcfigcaBnTfXX7mgUPK5s+RFv3jZbvT1gWs0/X9dVqdTtzfSy&#13;&#10;CLJagPA0+b8E/DKE/VCEYXt75MaJXkGg8RcNXpI8JSD2Ch7SNAZZ5PI/QvEDAAD//wMAUEsBAi0A&#13;&#10;FAAGAAgAAAAhALaDOJL+AAAA4QEAABMAAAAAAAAAAAAAAAAAAAAAAFtDb250ZW50X1R5cGVzXS54&#13;&#10;bWxQSwECLQAUAAYACAAAACEAOP0h/9YAAACUAQAACwAAAAAAAAAAAAAAAAAvAQAAX3JlbHMvLnJl&#13;&#10;bHNQSwECLQAUAAYACAAAACEACPO3/ewBAABEBAAADgAAAAAAAAAAAAAAAAAuAgAAZHJzL2Uyb0Rv&#13;&#10;Yy54bWxQSwECLQAUAAYACAAAACEA8o1R4d8AAAAKAQAADwAAAAAAAAAAAAAAAABGBAAAZHJzL2Rv&#13;&#10;d25yZXYueG1sUEsFBgAAAAAEAAQA8wAAAFIFAAAAAA==&#13;&#10;" stroked="f" strokeweight="0">
                <v:textbox inset="0,0,0,0">
                  <w:txbxContent>
                    <w:p w14:paraId="0D092AA9" w14:textId="77777777" w:rsidR="008E75CB" w:rsidRDefault="00D6337F">
                      <w:pPr>
                        <w:pStyle w:val="Figure"/>
                        <w:jc w:val="center"/>
                        <w:rPr>
                          <w:color w:val="000000"/>
                        </w:rPr>
                      </w:pPr>
                      <w:r>
                        <w:rPr>
                          <w:noProof/>
                        </w:rPr>
                        <w:drawing>
                          <wp:inline distT="0" distB="0" distL="0" distR="0" wp14:anchorId="246EFAF8" wp14:editId="509ECD3E">
                            <wp:extent cx="3550285" cy="2585720"/>
                            <wp:effectExtent l="0" t="0" r="0" b="0"/>
                            <wp:docPr id="19"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5"/>
                                    <pic:cNvPicPr>
                                      <a:picLocks noChangeAspect="1" noChangeArrowheads="1"/>
                                    </pic:cNvPicPr>
                                  </pic:nvPicPr>
                                  <pic:blipFill>
                                    <a:blip r:embed="rId11"/>
                                    <a:stretch>
                                      <a:fillRect/>
                                    </a:stretch>
                                  </pic:blipFill>
                                  <pic:spPr bwMode="auto">
                                    <a:xfrm>
                                      <a:off x="0" y="0"/>
                                      <a:ext cx="3550285" cy="2585720"/>
                                    </a:xfrm>
                                    <a:prstGeom prst="rect">
                                      <a:avLst/>
                                    </a:prstGeom>
                                  </pic:spPr>
                                </pic:pic>
                              </a:graphicData>
                            </a:graphic>
                          </wp:inline>
                        </w:drawing>
                      </w:r>
                      <w:r>
                        <w:rPr>
                          <w:color w:val="000000"/>
                        </w:rPr>
                        <w:t xml:space="preserve">Figure </w:t>
                      </w:r>
                      <w:r>
                        <w:rPr>
                          <w:color w:val="000000"/>
                        </w:rPr>
                        <w:fldChar w:fldCharType="begin"/>
                      </w:r>
                      <w:r>
                        <w:rPr>
                          <w:color w:val="000000"/>
                        </w:rPr>
                        <w:instrText>SEQ Figure \* ARABIC</w:instrText>
                      </w:r>
                      <w:r>
                        <w:rPr>
                          <w:color w:val="000000"/>
                        </w:rPr>
                        <w:fldChar w:fldCharType="separate"/>
                      </w:r>
                      <w:r>
                        <w:rPr>
                          <w:color w:val="000000"/>
                        </w:rPr>
                        <w:t>5</w:t>
                      </w:r>
                      <w:r>
                        <w:rPr>
                          <w:color w:val="000000"/>
                        </w:rPr>
                        <w:fldChar w:fldCharType="end"/>
                      </w:r>
                      <w:r>
                        <w:rPr>
                          <w:color w:val="000000"/>
                        </w:rPr>
                        <w:t>: Integrated KMC model (</w:t>
                      </w:r>
                      <w:proofErr w:type="spellStart"/>
                      <w:r>
                        <w:rPr>
                          <w:color w:val="000000"/>
                        </w:rPr>
                        <w:t>Handa</w:t>
                      </w:r>
                      <w:proofErr w:type="spellEnd"/>
                      <w:r>
                        <w:rPr>
                          <w:color w:val="000000"/>
                        </w:rPr>
                        <w:t xml:space="preserve">, </w:t>
                      </w:r>
                      <w:proofErr w:type="spellStart"/>
                      <w:r>
                        <w:rPr>
                          <w:color w:val="000000"/>
                        </w:rPr>
                        <w:t>Pagani</w:t>
                      </w:r>
                      <w:proofErr w:type="spellEnd"/>
                      <w:r>
                        <w:rPr>
                          <w:color w:val="000000"/>
                        </w:rPr>
                        <w:t xml:space="preserve"> and Bedford, 2019)</w:t>
                      </w:r>
                    </w:p>
                  </w:txbxContent>
                </v:textbox>
                <w10:anchorlock/>
              </v:rect>
            </w:pict>
          </mc:Fallback>
        </mc:AlternateContent>
      </w:r>
    </w:p>
    <w:p w14:paraId="7526FF2D" w14:textId="77777777" w:rsidR="008E75CB" w:rsidRDefault="00D6337F">
      <w:pPr>
        <w:pStyle w:val="BodyText"/>
        <w:rPr>
          <w:b/>
          <w:bCs/>
        </w:rPr>
      </w:pPr>
      <w:r>
        <w:rPr>
          <w:b/>
          <w:bCs/>
        </w:rPr>
        <w:t xml:space="preserve">Knowledge capture </w:t>
      </w:r>
    </w:p>
    <w:p w14:paraId="74185509" w14:textId="6DDFBB9D" w:rsidR="008E75CB" w:rsidRDefault="00D6337F">
      <w:pPr>
        <w:pStyle w:val="BodyText"/>
      </w:pPr>
      <w:r>
        <w:t xml:space="preserve">The first stage according to WIIG is to identify the needs of knowledge. This can be identified from various internal and external sources. In Sainsbury’s, the manager identifies the needs for knowledge whenever they </w:t>
      </w:r>
      <w:r w:rsidR="008440C6">
        <w:t>cannot</w:t>
      </w:r>
      <w:r>
        <w:t xml:space="preserve"> find the solution for a problem. For example, before national holidays, Sainsbury's identified that the sales volume in that time increased significantly and so the salespersons had to provide fast and accurate service to reduce the queue in the shops and increase the customer's satisfaction as well. But due to the new recruitment, the salespersons were not up to the mark to provide such quality service to the customers resulted in a long queue in the shops. This incident triggered the store manager to train the recruits to sustain the overload of the service.</w:t>
      </w:r>
    </w:p>
    <w:p w14:paraId="6483257D" w14:textId="77777777" w:rsidR="008E75CB" w:rsidRDefault="00D6337F">
      <w:pPr>
        <w:pStyle w:val="BodyText"/>
        <w:rPr>
          <w:b/>
          <w:bCs/>
        </w:rPr>
      </w:pPr>
      <w:r>
        <w:rPr>
          <w:b/>
          <w:bCs/>
        </w:rPr>
        <w:t>Knowledge creation</w:t>
      </w:r>
    </w:p>
    <w:p w14:paraId="164229EB" w14:textId="77777777" w:rsidR="008E75CB" w:rsidRDefault="00D6337F">
      <w:pPr>
        <w:pStyle w:val="BodyText"/>
      </w:pPr>
      <w:r>
        <w:lastRenderedPageBreak/>
        <w:t xml:space="preserve">In the second phase of the KMC model is the knowledge creation meaning the development of the knowledge and integrating them in the further process of the KM practice. For creating and building the knowledge of the individuals, Sainsbury’s uses various strategies. One of the techniques in the job shadowing in which the employee was given the opportunity see how the expert salespersons handle the pressure in the work environment in a particular time while maintaining the quality of their service without any interruption </w:t>
      </w:r>
      <w:r>
        <w:rPr>
          <w:color w:val="000000"/>
        </w:rPr>
        <w:t>(Edwards, 2015)</w:t>
      </w:r>
      <w:r>
        <w:t>. The manager of that stores assigns the recruits to the job shadowing consulting with the top management to train them for the changing situation.</w:t>
      </w:r>
    </w:p>
    <w:p w14:paraId="034ED95E" w14:textId="77777777" w:rsidR="008E75CB" w:rsidRDefault="00D6337F">
      <w:pPr>
        <w:pStyle w:val="BodyText"/>
        <w:rPr>
          <w:b/>
          <w:bCs/>
        </w:rPr>
      </w:pPr>
      <w:r>
        <w:rPr>
          <w:b/>
          <w:bCs/>
        </w:rPr>
        <w:t>Knowledge storing</w:t>
      </w:r>
    </w:p>
    <w:p w14:paraId="02F59915" w14:textId="5B0FA434" w:rsidR="008E75CB" w:rsidRDefault="00D6337F">
      <w:pPr>
        <w:pStyle w:val="BodyText"/>
      </w:pPr>
      <w:r>
        <w:t xml:space="preserve">Storing the knowledge acquired the individuals are very significant as they help the other employees or even the management to evaluate the effectiveness of such knowledge. For storing the data, nowadays there are various database software and management system are available in both physical database system and cloud-based system, where the company does not any space to store the data. Sainsbury’s collects data from the branch store on daily basis using the centralised DB system. The data can also be stored in the logbook of the store's manager about the progress but the computerised system seems to replace the traditional database management system with the </w:t>
      </w:r>
      <w:r w:rsidR="008440C6">
        <w:t>faster and more reliable</w:t>
      </w:r>
      <w:r>
        <w:t xml:space="preserve"> source of storage. </w:t>
      </w:r>
    </w:p>
    <w:p w14:paraId="22FE7B5F" w14:textId="77777777" w:rsidR="008E75CB" w:rsidRDefault="00D6337F">
      <w:pPr>
        <w:pStyle w:val="BodyText"/>
        <w:rPr>
          <w:b/>
          <w:bCs/>
        </w:rPr>
      </w:pPr>
      <w:r>
        <w:rPr>
          <w:b/>
          <w:bCs/>
        </w:rPr>
        <w:t>Knowledge contextualisation</w:t>
      </w:r>
    </w:p>
    <w:p w14:paraId="17CFB397" w14:textId="77777777" w:rsidR="008E75CB" w:rsidRDefault="00D6337F">
      <w:pPr>
        <w:pStyle w:val="BodyText"/>
      </w:pPr>
      <w:r>
        <w:t xml:space="preserve">The last stage of the KM practice is the application and integration of the knowledge in the business. The knowledge is acquired and stored in the KM process are both utilised and integrated into the organisational culture to make it sustainable for a long time. The usage of such knowledge is updated using the knowledge auditing and feedback loop collected from the survey and research data of the market </w:t>
      </w:r>
      <w:r>
        <w:rPr>
          <w:color w:val="000000"/>
        </w:rPr>
        <w:t>(</w:t>
      </w:r>
      <w:proofErr w:type="spellStart"/>
      <w:r>
        <w:rPr>
          <w:color w:val="000000"/>
        </w:rPr>
        <w:t>Allameh</w:t>
      </w:r>
      <w:proofErr w:type="spellEnd"/>
      <w:r>
        <w:rPr>
          <w:color w:val="000000"/>
        </w:rPr>
        <w:t xml:space="preserve"> et al., 2017)</w:t>
      </w:r>
      <w:r>
        <w:t xml:space="preserve">. For instance, the knowledge of the individuals of Sainsbury's is integrated an updated through training to improve the skills with the changing need of the situation. In the time of Covid-19, the company is providing training through online platforms to the employees about the usage of the new strategies and technologies in the country which helps them to improve their organisational culture and a sense of duty towards the company. </w:t>
      </w:r>
    </w:p>
    <w:p w14:paraId="16297004" w14:textId="77777777" w:rsidR="008E75CB" w:rsidRPr="00911026" w:rsidRDefault="00D6337F">
      <w:pPr>
        <w:pStyle w:val="Heading21"/>
        <w:rPr>
          <w:rFonts w:eastAsia="NSimSun"/>
          <w:color w:val="000000" w:themeColor="text1"/>
          <w:sz w:val="24"/>
          <w:szCs w:val="24"/>
        </w:rPr>
      </w:pPr>
      <w:bookmarkStart w:id="6" w:name="_Toc57501064"/>
      <w:r w:rsidRPr="00911026">
        <w:rPr>
          <w:color w:val="000000" w:themeColor="text1"/>
        </w:rPr>
        <w:lastRenderedPageBreak/>
        <w:t>The significance of intellectual property rights</w:t>
      </w:r>
      <w:bookmarkEnd w:id="6"/>
    </w:p>
    <w:p w14:paraId="4EBAF9DB" w14:textId="77777777" w:rsidR="008E75CB" w:rsidRDefault="00D6337F">
      <w:pPr>
        <w:pStyle w:val="BodyText"/>
      </w:pPr>
      <w:r>
        <w:t>Intellectual property puts the economic value to the organisation as it is also a knowledge asset. Companies take the legislative initiative to build their intellectual property rights by registering them with the legal framework of the country. The legal framework thus helps the company to fight against the imitation of the intellectual property of the company without their legal consent. The intellectual property rights (IPR) thus bear the significance as they help the organisation to encourage innovation without getting imitated easily. Without protecting them, the business will lose the motivation to research and development. In many ways, IPR helped Sainsbury’s.</w:t>
      </w:r>
    </w:p>
    <w:p w14:paraId="76102D6F" w14:textId="77777777" w:rsidR="008E75CB" w:rsidRDefault="00D6337F">
      <w:pPr>
        <w:pStyle w:val="BodyText"/>
      </w:pPr>
      <w:r>
        <w:t>For example, in 2012, Sainsbury's accused a local shop in Aylesbury which named as “</w:t>
      </w:r>
      <w:proofErr w:type="spellStart"/>
      <w:r>
        <w:t>Singhbury's</w:t>
      </w:r>
      <w:proofErr w:type="spellEnd"/>
      <w:r>
        <w:t xml:space="preserve"> Local” using the same naming style and colour like Sainsbury’s </w:t>
      </w:r>
      <w:r>
        <w:rPr>
          <w:color w:val="000000"/>
        </w:rPr>
        <w:t>(</w:t>
      </w:r>
      <w:proofErr w:type="spellStart"/>
      <w:r>
        <w:rPr>
          <w:color w:val="000000"/>
        </w:rPr>
        <w:t>Sephton</w:t>
      </w:r>
      <w:proofErr w:type="spellEnd"/>
      <w:r>
        <w:rPr>
          <w:color w:val="000000"/>
        </w:rPr>
        <w:t>, 2017)</w:t>
      </w:r>
      <w:r>
        <w:t>. As Sainsbury's has the IPR under the Copyright Act 1988 of the UK, they were able to get legal support for using their same-alike name and colour. The local shop was then forced to change the name to “</w:t>
      </w:r>
      <w:proofErr w:type="spellStart"/>
      <w:r>
        <w:t>Morrisingh's</w:t>
      </w:r>
      <w:proofErr w:type="spellEnd"/>
      <w:r>
        <w:t xml:space="preserve"> Local”. Another local restaurant named "easyCurry" got accusation of copyright infringement from the international business "</w:t>
      </w:r>
      <w:proofErr w:type="spellStart"/>
      <w:r>
        <w:t>Easygroup</w:t>
      </w:r>
      <w:proofErr w:type="spellEnd"/>
      <w:r>
        <w:t xml:space="preserve">" claiming that the restaurant used their tag name without their consent and was forced to change their restaurant name as well </w:t>
      </w:r>
      <w:r>
        <w:rPr>
          <w:color w:val="000000"/>
        </w:rPr>
        <w:t>(BBC, 2008)</w:t>
      </w:r>
      <w:r>
        <w:t>. In both cases, the IPR helped those businesses in getting legal protection from the legislative bodies for copyright infringement.</w:t>
      </w:r>
    </w:p>
    <w:p w14:paraId="65ABE439" w14:textId="77777777" w:rsidR="008E75CB" w:rsidRDefault="00D6337F">
      <w:pPr>
        <w:pStyle w:val="BodyText"/>
      </w:pPr>
      <w:r>
        <w:br w:type="page"/>
      </w:r>
    </w:p>
    <w:p w14:paraId="77BE10DF" w14:textId="77777777" w:rsidR="008E75CB" w:rsidRPr="0052164F" w:rsidRDefault="00D6337F">
      <w:pPr>
        <w:pStyle w:val="Heading21"/>
        <w:rPr>
          <w:color w:val="000000" w:themeColor="text1"/>
        </w:rPr>
      </w:pPr>
      <w:bookmarkStart w:id="7" w:name="_Toc57501066"/>
      <w:r w:rsidRPr="0052164F">
        <w:rPr>
          <w:color w:val="000000" w:themeColor="text1"/>
        </w:rPr>
        <w:lastRenderedPageBreak/>
        <w:t>The contribution of knowledge assets on Sainsbury’s</w:t>
      </w:r>
      <w:bookmarkEnd w:id="7"/>
    </w:p>
    <w:p w14:paraId="519A2E2D" w14:textId="77777777" w:rsidR="008E75CB" w:rsidRDefault="00D6337F">
      <w:pPr>
        <w:pStyle w:val="BodyText"/>
      </w:pPr>
      <w:r>
        <w:t xml:space="preserve">In an organisation, knowledge assets are necessary whether it is a small or large company as they put economic value and maintains the sustainability in the market. Through the integrated knowledge management system, the organisations tend to build and improve their assets in a way that portrays their image to the consumer </w:t>
      </w:r>
      <w:r>
        <w:rPr>
          <w:color w:val="000000"/>
        </w:rPr>
        <w:t>(BBC, 2008)</w:t>
      </w:r>
      <w:r>
        <w:t>. For example, the knowledge assets of Sainsbury’s are the intellectual property, the private intranet system, database, employee and management skills and capabilities that help them to become the second-largest retail chain in the UK. In this regard, the company's intellectual property e.g. logo, brand name, website are the images that show the value of the organisation and image in the industry.</w:t>
      </w:r>
    </w:p>
    <w:p w14:paraId="22EA553B" w14:textId="4758DAF3" w:rsidR="008E75CB" w:rsidRDefault="00D6337F">
      <w:pPr>
        <w:pStyle w:val="BodyText"/>
      </w:pPr>
      <w:r>
        <w:t xml:space="preserve">However, depending on the reputation and the service quality, the potentiality of the knowledge assets differs. For example, a company with a bad reputation in the market </w:t>
      </w:r>
      <w:r w:rsidR="008440C6">
        <w:t>cannot</w:t>
      </w:r>
      <w:r>
        <w:t xml:space="preserve"> sustain in the market for so long even if they have a unique logo, brand name etc. The time only when they work properly is that the company’s service quality is in line with the least standard in the market. The knowledge assets thus push the goodwill and make the company recognisable to the customers so that they can easily get their service. For instance, Sainsbury's uses its recyclable bags in orange coloured that represents their company logo and brand name.</w:t>
      </w:r>
    </w:p>
    <w:p w14:paraId="12D48CF5" w14:textId="0EAD5B1E" w:rsidR="008E75CB" w:rsidRDefault="00D6337F">
      <w:pPr>
        <w:pStyle w:val="BodyText"/>
      </w:pPr>
      <w:r>
        <w:t xml:space="preserve">Having a unique name and colour with registering as per the copyright act of the UK, they have managed to maintain their goodwill through continuous development and innovation in the industry. Without the knowledge assets, Sainsbury's </w:t>
      </w:r>
      <w:r w:rsidR="008440C6">
        <w:t>cannot</w:t>
      </w:r>
      <w:r>
        <w:t xml:space="preserve"> articulate their knowledge management practice </w:t>
      </w:r>
      <w:r>
        <w:rPr>
          <w:color w:val="000000"/>
        </w:rPr>
        <w:t>(G Erickson, 2014)</w:t>
      </w:r>
      <w:r>
        <w:t>. For instance, the company collected data from Nectar Loyalty Card about the purchasing behaviour of the customers. The employees of the company especially the individuals in the research and development, marketing and the analytical professional manipulate the pieces of data into meaningful information for the business which Sainsbury's utilises to manage their inventory. Also, the IT manager of Sainsbury's analyses the defaults in the IT sector of the company and the HR manager helps in accessing the needs for knowledge to the employees which in turn result in greater management of knowledge in the organisation.</w:t>
      </w:r>
    </w:p>
    <w:p w14:paraId="7F304248" w14:textId="77777777" w:rsidR="008E75CB" w:rsidRPr="00573E6D" w:rsidRDefault="00D6337F">
      <w:pPr>
        <w:pStyle w:val="Heading21"/>
        <w:rPr>
          <w:color w:val="000000" w:themeColor="text1"/>
        </w:rPr>
      </w:pPr>
      <w:bookmarkStart w:id="8" w:name="_Toc57501067"/>
      <w:r w:rsidRPr="00573E6D">
        <w:rPr>
          <w:color w:val="000000" w:themeColor="text1"/>
        </w:rPr>
        <w:t>Evaluating the knowledge requirements for Sainsbury’s</w:t>
      </w:r>
      <w:bookmarkEnd w:id="8"/>
    </w:p>
    <w:p w14:paraId="796BB598" w14:textId="77777777" w:rsidR="008E75CB" w:rsidRDefault="00D6337F">
      <w:pPr>
        <w:pStyle w:val="BodyText"/>
      </w:pPr>
      <w:r>
        <w:t xml:space="preserve">There is a variety of knowledge available for the businesses to utilise such as employee’s knowledge, customers knowledge, financial understanding of the business etc. Depending on </w:t>
      </w:r>
      <w:r>
        <w:lastRenderedPageBreak/>
        <w:t>the type of changes in the characteristics of the knowledge, they can be categorised into three parts which are discussed below.</w:t>
      </w:r>
    </w:p>
    <w:p w14:paraId="342288B9" w14:textId="77777777" w:rsidR="008E75CB" w:rsidRDefault="00D6337F">
      <w:pPr>
        <w:pStyle w:val="BodyText"/>
        <w:rPr>
          <w:b/>
          <w:bCs/>
        </w:rPr>
      </w:pPr>
      <w:r>
        <w:rPr>
          <w:b/>
          <w:bCs/>
        </w:rPr>
        <w:t>Explicit knowledge</w:t>
      </w:r>
    </w:p>
    <w:p w14:paraId="2BE3E877" w14:textId="77777777" w:rsidR="008E75CB" w:rsidRDefault="00D6337F">
      <w:pPr>
        <w:pStyle w:val="BodyText"/>
      </w:pPr>
      <w:r>
        <w:t xml:space="preserve">Explicit knowledge is the codified and documented version of knowledge which can be shared and interpreted easily to the other. These types of information are shared with the top management to make a strategic decision and to the stakeholder to know about the standing of the business. In the case of Sainsbury’s, explicit knowledge are the statements transferred to the CEO about the overall progress of the company </w:t>
      </w:r>
      <w:r>
        <w:rPr>
          <w:color w:val="000000"/>
        </w:rPr>
        <w:t>(</w:t>
      </w:r>
      <w:proofErr w:type="spellStart"/>
      <w:r>
        <w:rPr>
          <w:color w:val="000000"/>
        </w:rPr>
        <w:t>Jabeen</w:t>
      </w:r>
      <w:proofErr w:type="spellEnd"/>
      <w:r>
        <w:rPr>
          <w:color w:val="000000"/>
        </w:rPr>
        <w:t xml:space="preserve"> and Al Dari, 2020)</w:t>
      </w:r>
      <w:r>
        <w:t>. Recently, the company has made a survey on the customers and employees about their perception of the business and how they can serve well. These types of information are codified by the R&amp;D department of the company to deliver to the managing bodies.</w:t>
      </w:r>
    </w:p>
    <w:p w14:paraId="6159ED1A" w14:textId="77777777" w:rsidR="008E75CB" w:rsidRDefault="00D6337F">
      <w:pPr>
        <w:pStyle w:val="BodyText"/>
      </w:pPr>
      <w:r>
        <w:rPr>
          <w:b/>
          <w:bCs/>
        </w:rPr>
        <w:t>Tacit knowledge</w:t>
      </w:r>
    </w:p>
    <w:p w14:paraId="51E9F069" w14:textId="58FE77C4" w:rsidR="008E75CB" w:rsidRDefault="00D6337F">
      <w:pPr>
        <w:pStyle w:val="BodyText"/>
      </w:pPr>
      <w:r>
        <w:t xml:space="preserve">Tacit knowledge is the knowledge possessed by the organisational members who utilise them in their workplace for better performing in the job position. To be specific, tacit knowledge is the subjective and judgmental knowledge referring to the skills and experiences of the employees that they have. They </w:t>
      </w:r>
      <w:r w:rsidR="008440C6">
        <w:t>cannot</w:t>
      </w:r>
      <w:r>
        <w:t xml:space="preserve"> be codified and documented but can be measured only by the performance of the individuals. For example, Sainsbury’s requires the new employees to have communication, verbal and memorising skills and educational requirements for the salespersons. For higher positions, the company requires analytical skills for the individual to continue their role in the job position of Sainsbury's.</w:t>
      </w:r>
    </w:p>
    <w:p w14:paraId="16B8D08D" w14:textId="77777777" w:rsidR="008E75CB" w:rsidRDefault="00D6337F">
      <w:pPr>
        <w:pStyle w:val="BodyText"/>
        <w:rPr>
          <w:b/>
          <w:bCs/>
        </w:rPr>
      </w:pPr>
      <w:r>
        <w:rPr>
          <w:b/>
          <w:bCs/>
        </w:rPr>
        <w:t>Implicit knowledge</w:t>
      </w:r>
    </w:p>
    <w:p w14:paraId="4B2573FC" w14:textId="77777777" w:rsidR="008E75CB" w:rsidRDefault="00D6337F">
      <w:pPr>
        <w:pStyle w:val="BodyText"/>
      </w:pPr>
      <w:r>
        <w:t xml:space="preserve">Implicit knowledge is another type of knowledge that is lied on the process, organisational culture, routine work, or structure. It also includes the assumptions, beliefs, goals and capabilities of the organisation. The organisational culture and structural hierarchy are defined by the managing bodies of the organisation. For instance, the organisation culture of Sainsbury’s encourages the employees to be part of the organisation and work diligently for strategic development </w:t>
      </w:r>
      <w:r>
        <w:rPr>
          <w:color w:val="000000"/>
        </w:rPr>
        <w:t>(</w:t>
      </w:r>
      <w:proofErr w:type="spellStart"/>
      <w:r>
        <w:rPr>
          <w:color w:val="000000"/>
        </w:rPr>
        <w:t>Orero-Blat</w:t>
      </w:r>
      <w:proofErr w:type="spellEnd"/>
      <w:r>
        <w:rPr>
          <w:color w:val="000000"/>
        </w:rPr>
        <w:t xml:space="preserve">, </w:t>
      </w:r>
      <w:proofErr w:type="spellStart"/>
      <w:r>
        <w:rPr>
          <w:color w:val="000000"/>
        </w:rPr>
        <w:t>Palacios-Marqués</w:t>
      </w:r>
      <w:proofErr w:type="spellEnd"/>
      <w:r>
        <w:rPr>
          <w:color w:val="000000"/>
        </w:rPr>
        <w:t xml:space="preserve"> and Garzón, 2020)</w:t>
      </w:r>
      <w:r>
        <w:t>. The manager also motivates them by providing career development paths and training and incentive to them so that it contributes by providing innovative ideas and strategies for the business.</w:t>
      </w:r>
    </w:p>
    <w:p w14:paraId="76DF5E50" w14:textId="77777777" w:rsidR="008E75CB" w:rsidRPr="00292D6B" w:rsidRDefault="00D6337F">
      <w:pPr>
        <w:pStyle w:val="Heading21"/>
        <w:rPr>
          <w:color w:val="000000" w:themeColor="text1"/>
        </w:rPr>
      </w:pPr>
      <w:bookmarkStart w:id="9" w:name="_Toc57501068"/>
      <w:r w:rsidRPr="00292D6B">
        <w:rPr>
          <w:color w:val="000000" w:themeColor="text1"/>
        </w:rPr>
        <w:lastRenderedPageBreak/>
        <w:t>Evaluating the organisation’s framework of Sainsbury’s for enabling knowledge sharing</w:t>
      </w:r>
      <w:bookmarkEnd w:id="9"/>
    </w:p>
    <w:p w14:paraId="7232261C" w14:textId="77777777" w:rsidR="008E75CB" w:rsidRDefault="00D6337F">
      <w:pPr>
        <w:pStyle w:val="BodyText"/>
      </w:pPr>
      <w:r>
        <w:t xml:space="preserve">An organisational framework is structural planning of action to fulfil the organisation’s strategy, process, and management consists of a hierarchy of the positions in an organisation </w:t>
      </w:r>
      <w:r>
        <w:rPr>
          <w:color w:val="000000"/>
        </w:rPr>
        <w:t>(</w:t>
      </w:r>
      <w:proofErr w:type="spellStart"/>
      <w:r>
        <w:rPr>
          <w:color w:val="000000"/>
        </w:rPr>
        <w:t>Sephton</w:t>
      </w:r>
      <w:proofErr w:type="spellEnd"/>
      <w:r>
        <w:rPr>
          <w:color w:val="000000"/>
        </w:rPr>
        <w:t>, 2017)</w:t>
      </w:r>
      <w:r>
        <w:t>. By integrating the structural framework, the company can track, report and identify the process planning and monitoring of the business to make the individuals liable for their activities. Organisation framework of Sainsbury’s thus consists of its organisational culture, structure and power distribution.</w:t>
      </w:r>
    </w:p>
    <w:p w14:paraId="08ECF48A" w14:textId="77777777" w:rsidR="008E75CB" w:rsidRDefault="00D6337F">
      <w:pPr>
        <w:pStyle w:val="BodyText"/>
      </w:pPr>
      <w:r>
        <w:rPr>
          <w:noProof/>
        </w:rPr>
        <mc:AlternateContent>
          <mc:Choice Requires="wps">
            <w:drawing>
              <wp:inline distT="0" distB="0" distL="0" distR="0" wp14:anchorId="4F454097" wp14:editId="2ECBBEE4">
                <wp:extent cx="5732780" cy="3114675"/>
                <wp:effectExtent l="0" t="0" r="0" b="0"/>
                <wp:docPr id="21" name="Shape6"/>
                <wp:cNvGraphicFramePr/>
                <a:graphic xmlns:a="http://schemas.openxmlformats.org/drawingml/2006/main">
                  <a:graphicData uri="http://schemas.microsoft.com/office/word/2010/wordprocessingShape">
                    <wps:wsp>
                      <wps:cNvSpPr/>
                      <wps:spPr>
                        <a:xfrm>
                          <a:off x="0" y="0"/>
                          <a:ext cx="5732280" cy="311400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752E7C90" w14:textId="77777777" w:rsidR="008E75CB" w:rsidRDefault="00D6337F">
                            <w:pPr>
                              <w:pStyle w:val="Figure"/>
                              <w:jc w:val="center"/>
                            </w:pPr>
                            <w:r>
                              <w:rPr>
                                <w:noProof/>
                              </w:rPr>
                              <w:drawing>
                                <wp:inline distT="0" distB="0" distL="0" distR="0" wp14:anchorId="7734927F" wp14:editId="36E4FD36">
                                  <wp:extent cx="5731510" cy="2741295"/>
                                  <wp:effectExtent l="0" t="0" r="0" b="0"/>
                                  <wp:docPr id="2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6"/>
                                          <pic:cNvPicPr>
                                            <a:picLocks noChangeAspect="1" noChangeArrowheads="1"/>
                                          </pic:cNvPicPr>
                                        </pic:nvPicPr>
                                        <pic:blipFill>
                                          <a:blip r:embed="rId12"/>
                                          <a:stretch>
                                            <a:fillRect/>
                                          </a:stretch>
                                        </pic:blipFill>
                                        <pic:spPr bwMode="auto">
                                          <a:xfrm>
                                            <a:off x="0" y="0"/>
                                            <a:ext cx="5731510" cy="2741295"/>
                                          </a:xfrm>
                                          <a:prstGeom prst="rect">
                                            <a:avLst/>
                                          </a:prstGeom>
                                        </pic:spPr>
                                      </pic:pic>
                                    </a:graphicData>
                                  </a:graphic>
                                </wp:inline>
                              </w:drawing>
                            </w:r>
                            <w:r>
                              <w:t xml:space="preserve">Figure </w:t>
                            </w:r>
                            <w:r>
                              <w:fldChar w:fldCharType="begin"/>
                            </w:r>
                            <w:r>
                              <w:instrText>SEQ Figure \* ARABIC</w:instrText>
                            </w:r>
                            <w:r>
                              <w:fldChar w:fldCharType="separate"/>
                            </w:r>
                            <w:r>
                              <w:t>6</w:t>
                            </w:r>
                            <w:r>
                              <w:fldChar w:fldCharType="end"/>
                            </w:r>
                            <w:r>
                              <w:t>: The organisational hierarchy of Sainsbury’s (The Org, 2018)</w:t>
                            </w:r>
                          </w:p>
                        </w:txbxContent>
                      </wps:txbx>
                      <wps:bodyPr lIns="0" tIns="0" rIns="0" bIns="0">
                        <a:noAutofit/>
                      </wps:bodyPr>
                    </wps:wsp>
                  </a:graphicData>
                </a:graphic>
              </wp:inline>
            </w:drawing>
          </mc:Choice>
          <mc:Fallback>
            <w:pict>
              <v:rect w14:anchorId="4F454097" id="Shape6" o:spid="_x0000_s1031" style="width:451.4pt;height:2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BmFH7AEAAEQEAAAOAAAAZHJzL2Uyb0RvYy54bWysU8Fu2zAMvQ/YPwi6L3bctSuCOMWwIsOA&#13;&#10;YSva9QNkWUoESKIgqbHz96MYx+22U4v5IFMSH8n3SK1vRmfZQcVkwLd8uag5U15Cb/yu5Y+/th+u&#13;&#10;OUtZ+F5Y8KrlR5X4zeb9u/UQVqqBPdheRYZBfFoNoeX7nMOqqpLcKyfSAoLyeKkhOpFxG3dVH8WA&#13;&#10;0Z2tmrq+qgaIfYggVUp4enu65BuKr7WS+afWSWVmW461ZVojrV1Zq81arHZRhL2RUxniDVU4YTwm&#13;&#10;nUPdiizYUzT/hHJGRkig80KCq0BrIxVxQDbL+i82D3sRFHFBcVKYZUr/L6z8cbiLzPQtb5aceeGw&#13;&#10;R5T2qkgzhLRCj4dwF6ddQrPwHHV05Y8M2EhyHmc51ZiZxMPLTxdNc42qS7y7WC4/1jUJXj3DQ0z5&#13;&#10;qwLHitHyiP0iGcXhe8qYEl3PLiVbAmv6rbGWNnHXfbGRHQT2dktfqRkhf7hZz4ZSWoF4KOCTk/Xo&#13;&#10;WwieKJGVj1YVP+vvlUZViBnlklOy0+jgbCOt8wBhRgIUR43xX4mdIAWtaGJfiZ9BlB98nvHOeIik&#13;&#10;yQt2xcxjN1LTL89d7qA/4iDYbx6HqzyUsxHPRjcZJYuHz08ZtKEWlYAn+CQojiq1YXpW5S283JPX&#13;&#10;8+Pf/AYAAP//AwBQSwMEFAAGAAgAAAAhAOnRA+PfAAAACgEAAA8AAABkcnMvZG93bnJldi54bWxM&#13;&#10;j8FOwzAQRO9I/IO1SNyoTQSlTeNUFaii3EoTcXbjbRKI11HstuHvWXqBy0ir0czOy5aj68QJh9B6&#13;&#10;0nA/USCQKm9bqjWUxfpuBiJEQ9Z0nlDDNwZY5tdXmUmtP9M7nnaxFlxCITUamhj7VMpQNehMmPge&#13;&#10;ib2DH5yJfA61tIM5c7nrZKLUVDrTEn9oTI/PDVZfu6PT8LTyxUeyedtsm+3BTMvZ5+u6LLS+vRlf&#13;&#10;FiyrBYiIY/xLwC8D74ech+39kWwQnQamiRdlb64SZtlreJirR5B5Jv8j5D8AAAD//wMAUEsBAi0A&#13;&#10;FAAGAAgAAAAhALaDOJL+AAAA4QEAABMAAAAAAAAAAAAAAAAAAAAAAFtDb250ZW50X1R5cGVzXS54&#13;&#10;bWxQSwECLQAUAAYACAAAACEAOP0h/9YAAACUAQAACwAAAAAAAAAAAAAAAAAvAQAAX3JlbHMvLnJl&#13;&#10;bHNQSwECLQAUAAYACAAAACEANQZhR+wBAABEBAAADgAAAAAAAAAAAAAAAAAuAgAAZHJzL2Uyb0Rv&#13;&#10;Yy54bWxQSwECLQAUAAYACAAAACEA6dED498AAAAKAQAADwAAAAAAAAAAAAAAAABGBAAAZHJzL2Rv&#13;&#10;d25yZXYueG1sUEsFBgAAAAAEAAQA8wAAAFIFAAAAAA==&#13;&#10;" stroked="f" strokeweight="0">
                <v:textbox inset="0,0,0,0">
                  <w:txbxContent>
                    <w:p w14:paraId="752E7C90" w14:textId="77777777" w:rsidR="008E75CB" w:rsidRDefault="00D6337F">
                      <w:pPr>
                        <w:pStyle w:val="Figure"/>
                        <w:jc w:val="center"/>
                      </w:pPr>
                      <w:r>
                        <w:rPr>
                          <w:noProof/>
                        </w:rPr>
                        <w:drawing>
                          <wp:inline distT="0" distB="0" distL="0" distR="0" wp14:anchorId="7734927F" wp14:editId="36E4FD36">
                            <wp:extent cx="5731510" cy="2741295"/>
                            <wp:effectExtent l="0" t="0" r="0" b="0"/>
                            <wp:docPr id="23"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6"/>
                                    <pic:cNvPicPr>
                                      <a:picLocks noChangeAspect="1" noChangeArrowheads="1"/>
                                    </pic:cNvPicPr>
                                  </pic:nvPicPr>
                                  <pic:blipFill>
                                    <a:blip r:embed="rId12"/>
                                    <a:stretch>
                                      <a:fillRect/>
                                    </a:stretch>
                                  </pic:blipFill>
                                  <pic:spPr bwMode="auto">
                                    <a:xfrm>
                                      <a:off x="0" y="0"/>
                                      <a:ext cx="5731510" cy="2741295"/>
                                    </a:xfrm>
                                    <a:prstGeom prst="rect">
                                      <a:avLst/>
                                    </a:prstGeom>
                                  </pic:spPr>
                                </pic:pic>
                              </a:graphicData>
                            </a:graphic>
                          </wp:inline>
                        </w:drawing>
                      </w:r>
                      <w:r>
                        <w:t xml:space="preserve">Figure </w:t>
                      </w:r>
                      <w:r>
                        <w:fldChar w:fldCharType="begin"/>
                      </w:r>
                      <w:r>
                        <w:instrText>SEQ Figure \* ARABIC</w:instrText>
                      </w:r>
                      <w:r>
                        <w:fldChar w:fldCharType="separate"/>
                      </w:r>
                      <w:r>
                        <w:t>6</w:t>
                      </w:r>
                      <w:r>
                        <w:fldChar w:fldCharType="end"/>
                      </w:r>
                      <w:r>
                        <w:t>: The organisational hierarchy of Sainsbury’s (The Org, 2018)</w:t>
                      </w:r>
                    </w:p>
                  </w:txbxContent>
                </v:textbox>
                <w10:anchorlock/>
              </v:rect>
            </w:pict>
          </mc:Fallback>
        </mc:AlternateContent>
      </w:r>
    </w:p>
    <w:p w14:paraId="056E090F" w14:textId="7F1D3465" w:rsidR="008E75CB" w:rsidRDefault="00D6337F">
      <w:pPr>
        <w:pStyle w:val="BodyText"/>
      </w:pPr>
      <w:r>
        <w:t xml:space="preserve">The organisational framework of Sainsbury’s is hierarchical as they have a different level of professionals involved in the </w:t>
      </w:r>
      <w:r w:rsidR="008440C6">
        <w:t>organisation’s</w:t>
      </w:r>
      <w:r>
        <w:t xml:space="preserve"> top management level. The power of authority comes from the position of the professional and the executives are very much concern about their position and knowledge they share. The knowledge first comes from the CEO of the company who determines the goals and objectives in the meetings with other subordinates. Based on the information provided by the executives, the manager of the different department works on them to fulfil those objectives.</w:t>
      </w:r>
    </w:p>
    <w:p w14:paraId="695E3D64" w14:textId="344D0922" w:rsidR="008E75CB" w:rsidRDefault="00D6337F">
      <w:pPr>
        <w:pStyle w:val="BodyText"/>
      </w:pPr>
      <w:r>
        <w:t xml:space="preserve">The organisational chart shows the hierarchy of the structure known as the Tree Hierarchy of the framework. All the bodies of the organisation are not interconnected by interrelated so any information and knowledge </w:t>
      </w:r>
      <w:r w:rsidR="008440C6">
        <w:t>cannot</w:t>
      </w:r>
      <w:r>
        <w:t xml:space="preserve"> be directly transferred to the CEO. Rather, the knowledge is transferred through filtering as they pass from one top management to another with proper </w:t>
      </w:r>
      <w:r>
        <w:lastRenderedPageBreak/>
        <w:t xml:space="preserve">evaluation </w:t>
      </w:r>
      <w:r>
        <w:rPr>
          <w:color w:val="000000"/>
        </w:rPr>
        <w:t>(</w:t>
      </w:r>
      <w:proofErr w:type="spellStart"/>
      <w:r>
        <w:rPr>
          <w:color w:val="000000"/>
        </w:rPr>
        <w:t>Perrott</w:t>
      </w:r>
      <w:proofErr w:type="spellEnd"/>
      <w:r>
        <w:rPr>
          <w:color w:val="000000"/>
        </w:rPr>
        <w:t>, 2015)</w:t>
      </w:r>
      <w:r>
        <w:t xml:space="preserve">. Being a large chain of business, the individual store manager </w:t>
      </w:r>
      <w:r w:rsidR="008440C6">
        <w:t>cannot</w:t>
      </w:r>
      <w:r>
        <w:t xml:space="preserve"> directly participate in the general meeting of the company and hence it reduces the effectiveness of the knowledge sharing.</w:t>
      </w:r>
    </w:p>
    <w:p w14:paraId="5F662754" w14:textId="77777777" w:rsidR="008E75CB" w:rsidRDefault="00D6337F">
      <w:pPr>
        <w:pStyle w:val="BodyText"/>
      </w:pPr>
      <w:r>
        <w:t>In the following, the company though provides better incentives than other retail companies in the UK, the transformational leadership they tend to express as their heart of leadership sometimes tends to fall. Transformational leadership suggests that the leader integrates all the employees who have potential innovative ideas for the business. But in the real sense, being a large company, it is sometimes hard to recognise the specific person of the store who has come up with the idea. Also having the autonomous management style in some stores reduce the chance of recognition from the company itself as the store manager can often take the advantage of such power.</w:t>
      </w:r>
    </w:p>
    <w:p w14:paraId="6CFFA0F9" w14:textId="77777777" w:rsidR="008E75CB" w:rsidRDefault="00D6337F">
      <w:pPr>
        <w:pStyle w:val="BodyText"/>
      </w:pPr>
      <w:r>
        <w:tab/>
      </w:r>
      <w:r>
        <w:tab/>
      </w:r>
      <w:r>
        <w:rPr>
          <w:noProof/>
        </w:rPr>
        <mc:AlternateContent>
          <mc:Choice Requires="wps">
            <w:drawing>
              <wp:inline distT="0" distB="0" distL="0" distR="0" wp14:anchorId="59670918" wp14:editId="60D4B682">
                <wp:extent cx="4192270" cy="2856865"/>
                <wp:effectExtent l="0" t="0" r="0" b="0"/>
                <wp:docPr id="25" name="Shape7"/>
                <wp:cNvGraphicFramePr/>
                <a:graphic xmlns:a="http://schemas.openxmlformats.org/drawingml/2006/main">
                  <a:graphicData uri="http://schemas.microsoft.com/office/word/2010/wordprocessingShape">
                    <wps:wsp>
                      <wps:cNvSpPr/>
                      <wps:spPr>
                        <a:xfrm>
                          <a:off x="0" y="0"/>
                          <a:ext cx="4191480" cy="2856240"/>
                        </a:xfrm>
                        <a:prstGeom prst="rect">
                          <a:avLst/>
                        </a:prstGeom>
                        <a:solidFill>
                          <a:srgbClr val="FFFFFF"/>
                        </a:solidFill>
                        <a:ln w="0">
                          <a:noFill/>
                        </a:ln>
                      </wps:spPr>
                      <wps:style>
                        <a:lnRef idx="0">
                          <a:scrgbClr r="0" g="0" b="0"/>
                        </a:lnRef>
                        <a:fillRef idx="0">
                          <a:scrgbClr r="0" g="0" b="0"/>
                        </a:fillRef>
                        <a:effectRef idx="0">
                          <a:scrgbClr r="0" g="0" b="0"/>
                        </a:effectRef>
                        <a:fontRef idx="minor"/>
                      </wps:style>
                      <wps:txbx>
                        <w:txbxContent>
                          <w:p w14:paraId="6C904DCE" w14:textId="49442245" w:rsidR="008E75CB" w:rsidRDefault="00D6337F">
                            <w:pPr>
                              <w:pStyle w:val="Figure"/>
                              <w:jc w:val="center"/>
                            </w:pPr>
                            <w:r>
                              <w:rPr>
                                <w:noProof/>
                              </w:rPr>
                              <w:drawing>
                                <wp:inline distT="0" distB="0" distL="0" distR="0" wp14:anchorId="09D2C9D3" wp14:editId="769568E2">
                                  <wp:extent cx="4191000" cy="2483485"/>
                                  <wp:effectExtent l="0" t="0" r="0" b="0"/>
                                  <wp:docPr id="2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7"/>
                                          <pic:cNvPicPr>
                                            <a:picLocks noChangeAspect="1" noChangeArrowheads="1"/>
                                          </pic:cNvPicPr>
                                        </pic:nvPicPr>
                                        <pic:blipFill>
                                          <a:blip r:embed="rId13"/>
                                          <a:stretch>
                                            <a:fillRect/>
                                          </a:stretch>
                                        </pic:blipFill>
                                        <pic:spPr bwMode="auto">
                                          <a:xfrm>
                                            <a:off x="0" y="0"/>
                                            <a:ext cx="4191000" cy="2483485"/>
                                          </a:xfrm>
                                          <a:prstGeom prst="rect">
                                            <a:avLst/>
                                          </a:prstGeom>
                                        </pic:spPr>
                                      </pic:pic>
                                    </a:graphicData>
                                  </a:graphic>
                                </wp:inline>
                              </w:drawing>
                            </w:r>
                            <w:r>
                              <w:t xml:space="preserve">Figure </w:t>
                            </w:r>
                            <w:r>
                              <w:fldChar w:fldCharType="begin"/>
                            </w:r>
                            <w:r>
                              <w:instrText>SEQ Figure \* ARABIC</w:instrText>
                            </w:r>
                            <w:r>
                              <w:fldChar w:fldCharType="separate"/>
                            </w:r>
                            <w:r>
                              <w:t>7</w:t>
                            </w:r>
                            <w:r>
                              <w:fldChar w:fldCharType="end"/>
                            </w:r>
                            <w:r>
                              <w:t xml:space="preserve">: Knowledge transfer </w:t>
                            </w:r>
                            <w:r w:rsidR="008440C6">
                              <w:t>mode</w:t>
                            </w:r>
                            <w:r>
                              <w:t xml:space="preserve"> (Van Meter, 2020)</w:t>
                            </w:r>
                          </w:p>
                        </w:txbxContent>
                      </wps:txbx>
                      <wps:bodyPr lIns="0" tIns="0" rIns="0" bIns="0">
                        <a:noAutofit/>
                      </wps:bodyPr>
                    </wps:wsp>
                  </a:graphicData>
                </a:graphic>
              </wp:inline>
            </w:drawing>
          </mc:Choice>
          <mc:Fallback>
            <w:pict>
              <v:rect w14:anchorId="59670918" id="Shape7" o:spid="_x0000_s1032" style="width:330.1pt;height:224.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4WsI7AEAAEQEAAAOAAAAZHJzL2Uyb0RvYy54bWysU8Fu2zAMvQ/YPwi6L06MNMuCOMWwIsOA&#13;&#10;YSva7QMUWYoFSKIgqbHz96MYx+22U4f5IFMSH8n3SG1vB2fZScVkwDd8MZtzpryE1vhjw3/+2L9b&#13;&#10;c5ay8K2w4FXDzyrx293bN9s+bFQNHdhWRYZBfNr0oeFdzmFTVUl2yok0g6A8XmqITmTcxmPVRtFj&#13;&#10;dGerej5fVT3ENkSQKiU8vbtc8h3F11rJ/F3rpDKzDcfaMq2R1kNZq91WbI5RhM7IsQzxD1U4YTwm&#13;&#10;nULdiSzYUzR/hXJGRkig80yCq0BrIxVxQDaL+R9sHjsRFHFBcVKYZEr/L6z8drqPzLQNr28488Jh&#13;&#10;jyjt+yJNH9IGPR7DfRx3Cc3Cc9DRlT8yYAPJeZ7kVENmEg+Xiw+L5RpVl3hXr29W9ZIEr57hIab8&#13;&#10;WYFjxWh4xH6RjOL0NWVMia5Xl5ItgTXt3lhLm3g8fLKRnQT2dk9fqRkhv7lZz/pSWoF4KOCLk/Xo&#13;&#10;WwheKJGVz1YVP+sflEZViBnlkmOyy+jgbCOt6wBhRgIUR43xX4kdIQWtaGJfiZ9AlB98nvDOeIik&#13;&#10;yQt2xczDYaCmr65dPkB7xkGwXzwOV3koVyNejcNolCwePj5l0IZaVAJe4KOgOKrUhvFZlbfwck9e&#13;&#10;z49/9wsAAP//AwBQSwMEFAAGAAgAAAAhADyUpk3fAAAACgEAAA8AAABkcnMvZG93bnJldi54bWxM&#13;&#10;j0FPwkAQhe8m/ofNmHiTLQ2pULolREPEG9LG89Au3Up3tukuUP+9oxe8vGTy8t68L1uNthMXPfjW&#13;&#10;kYLpJAKhqXJ1S42Cstg8zUH4gFRj50gr+NYeVvn9XYZp7a70oS/70AguIZ+iAhNCn0rpK6Mt+onr&#13;&#10;NbF3dIPFwOfQyHrAK5fbTsZRlEiLLfEHg71+Mbo67c9WwfPaFZ/x9n27M7sjJuX8621TFko9Poyv&#13;&#10;S5b1EkTQY7gl4JeB90POww7uTLUXnQKmCX/KXpJEMYiDgtlssQCZZ/I/Qv4DAAD//wMAUEsBAi0A&#13;&#10;FAAGAAgAAAAhALaDOJL+AAAA4QEAABMAAAAAAAAAAAAAAAAAAAAAAFtDb250ZW50X1R5cGVzXS54&#13;&#10;bWxQSwECLQAUAAYACAAAACEAOP0h/9YAAACUAQAACwAAAAAAAAAAAAAAAAAvAQAAX3JlbHMvLnJl&#13;&#10;bHNQSwECLQAUAAYACAAAACEAvOFrCOwBAABEBAAADgAAAAAAAAAAAAAAAAAuAgAAZHJzL2Uyb0Rv&#13;&#10;Yy54bWxQSwECLQAUAAYACAAAACEAPJSmTd8AAAAKAQAADwAAAAAAAAAAAAAAAABGBAAAZHJzL2Rv&#13;&#10;d25yZXYueG1sUEsFBgAAAAAEAAQA8wAAAFIFAAAAAA==&#13;&#10;" stroked="f" strokeweight="0">
                <v:textbox inset="0,0,0,0">
                  <w:txbxContent>
                    <w:p w14:paraId="6C904DCE" w14:textId="49442245" w:rsidR="008E75CB" w:rsidRDefault="00D6337F">
                      <w:pPr>
                        <w:pStyle w:val="Figure"/>
                        <w:jc w:val="center"/>
                      </w:pPr>
                      <w:r>
                        <w:rPr>
                          <w:noProof/>
                        </w:rPr>
                        <w:drawing>
                          <wp:inline distT="0" distB="0" distL="0" distR="0" wp14:anchorId="09D2C9D3" wp14:editId="769568E2">
                            <wp:extent cx="4191000" cy="2483485"/>
                            <wp:effectExtent l="0" t="0" r="0" b="0"/>
                            <wp:docPr id="2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7"/>
                                    <pic:cNvPicPr>
                                      <a:picLocks noChangeAspect="1" noChangeArrowheads="1"/>
                                    </pic:cNvPicPr>
                                  </pic:nvPicPr>
                                  <pic:blipFill>
                                    <a:blip r:embed="rId13"/>
                                    <a:stretch>
                                      <a:fillRect/>
                                    </a:stretch>
                                  </pic:blipFill>
                                  <pic:spPr bwMode="auto">
                                    <a:xfrm>
                                      <a:off x="0" y="0"/>
                                      <a:ext cx="4191000" cy="2483485"/>
                                    </a:xfrm>
                                    <a:prstGeom prst="rect">
                                      <a:avLst/>
                                    </a:prstGeom>
                                  </pic:spPr>
                                </pic:pic>
                              </a:graphicData>
                            </a:graphic>
                          </wp:inline>
                        </w:drawing>
                      </w:r>
                      <w:r>
                        <w:t xml:space="preserve">Figure </w:t>
                      </w:r>
                      <w:r>
                        <w:fldChar w:fldCharType="begin"/>
                      </w:r>
                      <w:r>
                        <w:instrText>SEQ Figure \* ARABIC</w:instrText>
                      </w:r>
                      <w:r>
                        <w:fldChar w:fldCharType="separate"/>
                      </w:r>
                      <w:r>
                        <w:t>7</w:t>
                      </w:r>
                      <w:r>
                        <w:fldChar w:fldCharType="end"/>
                      </w:r>
                      <w:r>
                        <w:t xml:space="preserve">: Knowledge transfer </w:t>
                      </w:r>
                      <w:r w:rsidR="008440C6">
                        <w:t>mode</w:t>
                      </w:r>
                      <w:r>
                        <w:t xml:space="preserve"> (Van Meter, 2020)</w:t>
                      </w:r>
                    </w:p>
                  </w:txbxContent>
                </v:textbox>
                <w10:anchorlock/>
              </v:rect>
            </w:pict>
          </mc:Fallback>
        </mc:AlternateContent>
      </w:r>
    </w:p>
    <w:p w14:paraId="25CF5A08" w14:textId="77777777" w:rsidR="008E75CB" w:rsidRDefault="00D6337F">
      <w:pPr>
        <w:pStyle w:val="BodyText"/>
      </w:pPr>
      <w:r>
        <w:t xml:space="preserve">The company tends to build a strong relationship with the employees but often it is not possible for them as they have to manage a huge chunk of the database of the customer and employees. The employees get the information what their senior officer provides and they must decode them to tacit knowledge to make it useful for their workplace. According to the knowledge transfer model, the manager has higher authority in manipulating the knowledge in Sainsbury’s. Because of that, the store manager decides how he wants to transfer the information of the individuals in the workplace. Knowledge sharing is one of the main tasks of Sainsbury's as they have to rely on the information of the customer's behaviour and employee's performance but </w:t>
      </w:r>
      <w:r>
        <w:lastRenderedPageBreak/>
        <w:t>the unfair manipulation of the information and knowledge among the stores to increase the store sales and gain through unfair means is problematic for Sainsbury's.</w:t>
      </w:r>
    </w:p>
    <w:p w14:paraId="1EBDBC33" w14:textId="77777777" w:rsidR="008E75CB" w:rsidRPr="00911026" w:rsidRDefault="00D6337F">
      <w:pPr>
        <w:pStyle w:val="Heading21"/>
        <w:rPr>
          <w:color w:val="000000" w:themeColor="text1"/>
        </w:rPr>
      </w:pPr>
      <w:bookmarkStart w:id="10" w:name="_Toc57501069"/>
      <w:r w:rsidRPr="00911026">
        <w:rPr>
          <w:color w:val="000000" w:themeColor="text1"/>
        </w:rPr>
        <w:t>Recommendations for improving the current framework</w:t>
      </w:r>
      <w:bookmarkEnd w:id="10"/>
    </w:p>
    <w:p w14:paraId="6FE9BB74" w14:textId="56D08895" w:rsidR="008E75CB" w:rsidRDefault="00D6337F">
      <w:pPr>
        <w:pStyle w:val="BodyText"/>
      </w:pPr>
      <w:r>
        <w:t xml:space="preserve">Although the current framework of Sainsbury’s is quite structured and well performed </w:t>
      </w:r>
      <w:r w:rsidR="008440C6">
        <w:t>still,</w:t>
      </w:r>
      <w:r>
        <w:t xml:space="preserve"> they need more inspection of the branches of stores to improve their framework. Further recommendations for the company </w:t>
      </w:r>
      <w:r w:rsidR="008440C6">
        <w:t>are</w:t>
      </w:r>
      <w:r>
        <w:t xml:space="preserve"> given below</w:t>
      </w:r>
      <w:r w:rsidR="008440C6">
        <w:t>:</w:t>
      </w:r>
      <w:r>
        <w:t xml:space="preserve"> </w:t>
      </w:r>
    </w:p>
    <w:p w14:paraId="74C9438E" w14:textId="77777777" w:rsidR="008E75CB" w:rsidRDefault="00D6337F">
      <w:pPr>
        <w:pStyle w:val="BodyText"/>
        <w:numPr>
          <w:ilvl w:val="0"/>
          <w:numId w:val="2"/>
        </w:numPr>
      </w:pPr>
      <w:r>
        <w:t>Sainsbury’s needs to increase the inspection of the stores to ensure that the employees get the proper training and incentives for their skills. Also, the executives need to be sent to the stores to inspect the activities of them to avoid any unfair practice of management in the company.</w:t>
      </w:r>
    </w:p>
    <w:p w14:paraId="68318682" w14:textId="77777777" w:rsidR="008E75CB" w:rsidRDefault="00D6337F">
      <w:pPr>
        <w:pStyle w:val="BodyText"/>
        <w:numPr>
          <w:ilvl w:val="0"/>
          <w:numId w:val="2"/>
        </w:numPr>
      </w:pPr>
      <w:r>
        <w:t xml:space="preserve">To ensure the proper flow of information and knowledge, Sainsbury’s can ensure the internal centralised website or database hub so that everyone can get notified about any changes quickly directly from the CEO. Using this technique, they can avoid knowledge manipulation from the power authorities of the stores in Sainsbury’s </w:t>
      </w:r>
      <w:r>
        <w:rPr>
          <w:color w:val="000000"/>
        </w:rPr>
        <w:t>(Wal, 2017)</w:t>
      </w:r>
      <w:r>
        <w:t>.</w:t>
      </w:r>
    </w:p>
    <w:p w14:paraId="4F022708" w14:textId="77777777" w:rsidR="008E75CB" w:rsidRDefault="00D6337F">
      <w:pPr>
        <w:pStyle w:val="BodyText"/>
        <w:numPr>
          <w:ilvl w:val="0"/>
          <w:numId w:val="2"/>
        </w:numPr>
      </w:pPr>
      <w:r>
        <w:t xml:space="preserve">Along with the customer’s feedback stored in the database, Sainsbury’s can collect the feedback of the individual employees in their database to access the progress and performance of talent management and knowledge management at the same time. In this way, they can ensure that the employees are getting treated properly in their workplace without any bad practice by the manager. </w:t>
      </w:r>
    </w:p>
    <w:p w14:paraId="20A036C6" w14:textId="77777777" w:rsidR="008E75CB" w:rsidRDefault="00D6337F">
      <w:pPr>
        <w:pStyle w:val="BodyText"/>
        <w:numPr>
          <w:ilvl w:val="0"/>
          <w:numId w:val="2"/>
        </w:numPr>
      </w:pPr>
      <w:r>
        <w:t xml:space="preserve">Also, the CEO of Sainsbury’s can hold liable the manager of the shops for any unfair means and review the power authority as well. The manager needs to identify the potential employees, prioritise their creative thinking and ideas, recognise and recommend them to the board of management for enhanced training facilities and better career path for them </w:t>
      </w:r>
      <w:r>
        <w:rPr>
          <w:color w:val="000000"/>
        </w:rPr>
        <w:t>(</w:t>
      </w:r>
      <w:proofErr w:type="spellStart"/>
      <w:r>
        <w:rPr>
          <w:color w:val="000000"/>
        </w:rPr>
        <w:t>Tomita</w:t>
      </w:r>
      <w:proofErr w:type="spellEnd"/>
      <w:r>
        <w:rPr>
          <w:color w:val="000000"/>
        </w:rPr>
        <w:t xml:space="preserve"> et al., 2017)</w:t>
      </w:r>
      <w:r>
        <w:t>. By doing that, they can also motivate the employee to do their best with creativity and dedication towards the organisation.</w:t>
      </w:r>
    </w:p>
    <w:p w14:paraId="3D620DBE" w14:textId="77777777" w:rsidR="008E75CB" w:rsidRPr="00911026" w:rsidRDefault="00D6337F">
      <w:pPr>
        <w:pStyle w:val="Heading11"/>
        <w:rPr>
          <w:color w:val="000000" w:themeColor="text1"/>
        </w:rPr>
      </w:pPr>
      <w:bookmarkStart w:id="11" w:name="_Toc57501070"/>
      <w:r w:rsidRPr="00911026">
        <w:rPr>
          <w:color w:val="000000" w:themeColor="text1"/>
        </w:rPr>
        <w:t>Conclusion</w:t>
      </w:r>
      <w:bookmarkEnd w:id="11"/>
    </w:p>
    <w:p w14:paraId="75B5F442" w14:textId="77777777" w:rsidR="008E75CB" w:rsidRDefault="00D6337F">
      <w:pPr>
        <w:pStyle w:val="BodyText"/>
      </w:pPr>
      <w:r>
        <w:t xml:space="preserve">Knowledge management is an internal process of the organisation that the manager conducts to ensure the proper flow of information. The flow of information can be inside or outside or </w:t>
      </w:r>
      <w:r>
        <w:lastRenderedPageBreak/>
        <w:t xml:space="preserve">both depending upon the situation. As a large organisation, Sainsbury’s needs to maintain transparency and their organisational culture through what they portray outside. The proper inspection, monitoring and controlling of the local shops and the properly implication of the new technology thus can help the company to go ahead further. </w:t>
      </w:r>
    </w:p>
    <w:p w14:paraId="606877B1" w14:textId="77777777" w:rsidR="008E75CB" w:rsidRDefault="008E75CB">
      <w:pPr>
        <w:pStyle w:val="BodyText"/>
      </w:pPr>
    </w:p>
    <w:p w14:paraId="22C4BAE9" w14:textId="77777777" w:rsidR="008E75CB" w:rsidRDefault="00D6337F">
      <w:pPr>
        <w:pStyle w:val="BodyText"/>
      </w:pPr>
      <w:r>
        <w:br w:type="page"/>
      </w:r>
    </w:p>
    <w:p w14:paraId="70434EEA" w14:textId="77777777" w:rsidR="008E75CB" w:rsidRPr="00911026" w:rsidRDefault="00D6337F">
      <w:pPr>
        <w:pStyle w:val="Heading11"/>
        <w:rPr>
          <w:color w:val="000000" w:themeColor="text1"/>
        </w:rPr>
      </w:pPr>
      <w:bookmarkStart w:id="12" w:name="_Toc57501071"/>
      <w:r w:rsidRPr="00911026">
        <w:rPr>
          <w:color w:val="000000" w:themeColor="text1"/>
        </w:rPr>
        <w:lastRenderedPageBreak/>
        <w:t>Reference list</w:t>
      </w:r>
      <w:bookmarkEnd w:id="12"/>
    </w:p>
    <w:p w14:paraId="613751C7" w14:textId="77777777" w:rsidR="008E75CB" w:rsidRDefault="00D6337F">
      <w:pPr>
        <w:pStyle w:val="BodyText"/>
        <w:rPr>
          <w:color w:val="000000"/>
        </w:rPr>
      </w:pPr>
      <w:proofErr w:type="spellStart"/>
      <w:r>
        <w:rPr>
          <w:color w:val="000000"/>
        </w:rPr>
        <w:t>Allameh</w:t>
      </w:r>
      <w:proofErr w:type="spellEnd"/>
      <w:r>
        <w:rPr>
          <w:color w:val="000000"/>
        </w:rPr>
        <w:t xml:space="preserve">, S.M., Hosseini, S.H., </w:t>
      </w:r>
      <w:proofErr w:type="spellStart"/>
      <w:r>
        <w:rPr>
          <w:color w:val="000000"/>
        </w:rPr>
        <w:t>Samadi</w:t>
      </w:r>
      <w:proofErr w:type="spellEnd"/>
      <w:r>
        <w:rPr>
          <w:color w:val="000000"/>
        </w:rPr>
        <w:t xml:space="preserve">, A. and </w:t>
      </w:r>
      <w:proofErr w:type="spellStart"/>
      <w:r>
        <w:rPr>
          <w:color w:val="000000"/>
        </w:rPr>
        <w:t>Darikandeh</w:t>
      </w:r>
      <w:proofErr w:type="spellEnd"/>
      <w:r>
        <w:rPr>
          <w:color w:val="000000"/>
        </w:rPr>
        <w:t>, A. (2017). The Relationship between Intangible Organisational capitals, Knowledge management, and Organisational Learning. </w:t>
      </w:r>
      <w:r>
        <w:rPr>
          <w:i/>
          <w:color w:val="000000"/>
        </w:rPr>
        <w:t>International Journal of Knowledge-Based Development</w:t>
      </w:r>
      <w:r>
        <w:rPr>
          <w:color w:val="000000"/>
        </w:rPr>
        <w:t>, 8(3), p.249.</w:t>
      </w:r>
    </w:p>
    <w:p w14:paraId="2249395A" w14:textId="77777777" w:rsidR="008E75CB" w:rsidRDefault="00D6337F">
      <w:pPr>
        <w:pStyle w:val="BodyText"/>
        <w:rPr>
          <w:color w:val="000000"/>
        </w:rPr>
      </w:pPr>
      <w:r>
        <w:rPr>
          <w:color w:val="000000"/>
        </w:rPr>
        <w:t>BBC (2008). </w:t>
      </w:r>
      <w:r>
        <w:rPr>
          <w:i/>
          <w:color w:val="000000"/>
        </w:rPr>
        <w:t>Easy Name Curry House Climbs down</w:t>
      </w:r>
      <w:r>
        <w:rPr>
          <w:color w:val="000000"/>
        </w:rPr>
        <w:t>. [online] BBC News. Available at: http://news.bbc.co.uk/2/hi/uk_news/england/northamptonshire/7520855.stm [Accessed 28 Nov. 2020].</w:t>
      </w:r>
    </w:p>
    <w:p w14:paraId="6E2A0769" w14:textId="77777777" w:rsidR="008E75CB" w:rsidRDefault="00D6337F">
      <w:pPr>
        <w:pStyle w:val="BodyText"/>
        <w:rPr>
          <w:color w:val="000000"/>
        </w:rPr>
      </w:pPr>
      <w:r>
        <w:rPr>
          <w:color w:val="000000"/>
        </w:rPr>
        <w:t>Edwards, J.S. (2015). </w:t>
      </w:r>
      <w:r>
        <w:rPr>
          <w:i/>
          <w:color w:val="000000"/>
        </w:rPr>
        <w:t>The Essentials of Knowledge Management</w:t>
      </w:r>
      <w:r>
        <w:rPr>
          <w:color w:val="000000"/>
        </w:rPr>
        <w:t xml:space="preserve">. New York: </w:t>
      </w:r>
      <w:proofErr w:type="spellStart"/>
      <w:r>
        <w:rPr>
          <w:color w:val="000000"/>
        </w:rPr>
        <w:t>Palgrave</w:t>
      </w:r>
      <w:proofErr w:type="spellEnd"/>
      <w:r>
        <w:rPr>
          <w:color w:val="000000"/>
        </w:rPr>
        <w:t xml:space="preserve"> Macmillan.</w:t>
      </w:r>
    </w:p>
    <w:p w14:paraId="5D6B3F8E" w14:textId="77777777" w:rsidR="008E75CB" w:rsidRDefault="00D6337F">
      <w:pPr>
        <w:pStyle w:val="BodyText"/>
        <w:rPr>
          <w:color w:val="000000"/>
        </w:rPr>
      </w:pPr>
      <w:r>
        <w:rPr>
          <w:color w:val="000000"/>
        </w:rPr>
        <w:t>G Erickson (2014). </w:t>
      </w:r>
      <w:r>
        <w:rPr>
          <w:i/>
          <w:color w:val="000000"/>
        </w:rPr>
        <w:t>Intelligence in Action : Strategically Managing Knowledge assets.</w:t>
      </w:r>
      <w:r>
        <w:rPr>
          <w:color w:val="000000"/>
        </w:rPr>
        <w:t> </w:t>
      </w:r>
      <w:proofErr w:type="spellStart"/>
      <w:r>
        <w:rPr>
          <w:color w:val="000000"/>
        </w:rPr>
        <w:t>Palgrave</w:t>
      </w:r>
      <w:proofErr w:type="spellEnd"/>
      <w:r>
        <w:rPr>
          <w:color w:val="000000"/>
        </w:rPr>
        <w:t xml:space="preserve"> Macmillan.</w:t>
      </w:r>
    </w:p>
    <w:p w14:paraId="76720087" w14:textId="77777777" w:rsidR="008E75CB" w:rsidRDefault="00D6337F">
      <w:pPr>
        <w:pStyle w:val="BodyText"/>
        <w:rPr>
          <w:color w:val="000000"/>
        </w:rPr>
      </w:pPr>
      <w:proofErr w:type="spellStart"/>
      <w:r>
        <w:rPr>
          <w:color w:val="000000"/>
        </w:rPr>
        <w:t>Handa</w:t>
      </w:r>
      <w:proofErr w:type="spellEnd"/>
      <w:r>
        <w:rPr>
          <w:color w:val="000000"/>
        </w:rPr>
        <w:t xml:space="preserve">, P., </w:t>
      </w:r>
      <w:proofErr w:type="spellStart"/>
      <w:r>
        <w:rPr>
          <w:color w:val="000000"/>
        </w:rPr>
        <w:t>Pagani</w:t>
      </w:r>
      <w:proofErr w:type="spellEnd"/>
      <w:r>
        <w:rPr>
          <w:color w:val="000000"/>
        </w:rPr>
        <w:t>, J. and Bedford, D.A.D. (2019). </w:t>
      </w:r>
      <w:r>
        <w:rPr>
          <w:i/>
          <w:color w:val="000000"/>
        </w:rPr>
        <w:t>Knowledge Assets and Knowledge Audits</w:t>
      </w:r>
      <w:r>
        <w:rPr>
          <w:color w:val="000000"/>
        </w:rPr>
        <w:t xml:space="preserve">. </w:t>
      </w:r>
      <w:proofErr w:type="spellStart"/>
      <w:r>
        <w:rPr>
          <w:color w:val="000000"/>
        </w:rPr>
        <w:t>Bingley</w:t>
      </w:r>
      <w:proofErr w:type="spellEnd"/>
      <w:r>
        <w:rPr>
          <w:color w:val="000000"/>
        </w:rPr>
        <w:t>, Uk: Emerald Publishing Limited.</w:t>
      </w:r>
    </w:p>
    <w:p w14:paraId="0E8B21FF" w14:textId="77777777" w:rsidR="008E75CB" w:rsidRDefault="00D6337F">
      <w:pPr>
        <w:pStyle w:val="BodyText"/>
        <w:rPr>
          <w:color w:val="000000"/>
        </w:rPr>
      </w:pPr>
      <w:proofErr w:type="spellStart"/>
      <w:r>
        <w:rPr>
          <w:color w:val="000000"/>
        </w:rPr>
        <w:t>Jabeen</w:t>
      </w:r>
      <w:proofErr w:type="spellEnd"/>
      <w:r>
        <w:rPr>
          <w:color w:val="000000"/>
        </w:rPr>
        <w:t>, F. and Al Dari, T. (2020). A Framework for Integrating Knowledge Management Benefits in the UAE Organisations. </w:t>
      </w:r>
      <w:r>
        <w:rPr>
          <w:i/>
          <w:color w:val="000000"/>
        </w:rPr>
        <w:t>Knowledge Management Research &amp; Practice</w:t>
      </w:r>
      <w:r>
        <w:rPr>
          <w:color w:val="000000"/>
        </w:rPr>
        <w:t>, pp.1–15.</w:t>
      </w:r>
    </w:p>
    <w:p w14:paraId="0AA3FD4B" w14:textId="77777777" w:rsidR="008E75CB" w:rsidRDefault="00D6337F">
      <w:pPr>
        <w:pStyle w:val="BodyText"/>
        <w:rPr>
          <w:color w:val="000000"/>
        </w:rPr>
      </w:pPr>
      <w:proofErr w:type="spellStart"/>
      <w:r>
        <w:rPr>
          <w:color w:val="000000"/>
        </w:rPr>
        <w:t>Joshi</w:t>
      </w:r>
      <w:proofErr w:type="spellEnd"/>
      <w:r>
        <w:rPr>
          <w:color w:val="000000"/>
        </w:rPr>
        <w:t xml:space="preserve">, H. and </w:t>
      </w:r>
      <w:proofErr w:type="spellStart"/>
      <w:r>
        <w:rPr>
          <w:color w:val="000000"/>
        </w:rPr>
        <w:t>Chawla</w:t>
      </w:r>
      <w:proofErr w:type="spellEnd"/>
      <w:r>
        <w:rPr>
          <w:color w:val="000000"/>
        </w:rPr>
        <w:t>, D. (2018). Knowledge Management and Performance Improvement in Indian Organisations. </w:t>
      </w:r>
      <w:r>
        <w:rPr>
          <w:i/>
          <w:color w:val="000000"/>
        </w:rPr>
        <w:t>International Journal of Knowledge Management Studies</w:t>
      </w:r>
      <w:r>
        <w:rPr>
          <w:color w:val="000000"/>
        </w:rPr>
        <w:t>, 9(2), p.164.</w:t>
      </w:r>
    </w:p>
    <w:p w14:paraId="5038EEED" w14:textId="77777777" w:rsidR="008E75CB" w:rsidRDefault="00D6337F">
      <w:pPr>
        <w:pStyle w:val="BodyText"/>
        <w:rPr>
          <w:color w:val="000000"/>
        </w:rPr>
      </w:pPr>
      <w:proofErr w:type="spellStart"/>
      <w:r>
        <w:rPr>
          <w:color w:val="000000"/>
        </w:rPr>
        <w:t>Orero-Blat</w:t>
      </w:r>
      <w:proofErr w:type="spellEnd"/>
      <w:r>
        <w:rPr>
          <w:color w:val="000000"/>
        </w:rPr>
        <w:t xml:space="preserve">, M., </w:t>
      </w:r>
      <w:proofErr w:type="spellStart"/>
      <w:r>
        <w:rPr>
          <w:color w:val="000000"/>
        </w:rPr>
        <w:t>Palacios-Marqués</w:t>
      </w:r>
      <w:proofErr w:type="spellEnd"/>
      <w:r>
        <w:rPr>
          <w:color w:val="000000"/>
        </w:rPr>
        <w:t xml:space="preserve">, D. and Garzón, D. (2020). Knowledge Assets for </w:t>
      </w:r>
      <w:proofErr w:type="spellStart"/>
      <w:r>
        <w:rPr>
          <w:color w:val="000000"/>
        </w:rPr>
        <w:t>Internationalization</w:t>
      </w:r>
      <w:proofErr w:type="spellEnd"/>
      <w:r>
        <w:rPr>
          <w:color w:val="000000"/>
        </w:rPr>
        <w:t xml:space="preserve"> Strategy Proposal. </w:t>
      </w:r>
      <w:r>
        <w:rPr>
          <w:i/>
          <w:color w:val="000000"/>
        </w:rPr>
        <w:t>Journal of Innovation &amp; Knowledge</w:t>
      </w:r>
      <w:r>
        <w:rPr>
          <w:color w:val="000000"/>
        </w:rPr>
        <w:t>.</w:t>
      </w:r>
    </w:p>
    <w:p w14:paraId="3332DB48" w14:textId="77777777" w:rsidR="008E75CB" w:rsidRDefault="00D6337F">
      <w:pPr>
        <w:pStyle w:val="BodyText"/>
        <w:rPr>
          <w:color w:val="000000"/>
        </w:rPr>
      </w:pPr>
      <w:proofErr w:type="spellStart"/>
      <w:r>
        <w:rPr>
          <w:color w:val="000000"/>
        </w:rPr>
        <w:t>Perrott</w:t>
      </w:r>
      <w:proofErr w:type="spellEnd"/>
      <w:r>
        <w:rPr>
          <w:color w:val="000000"/>
        </w:rPr>
        <w:t>, B. (2015). Including Consumers in the Organisational Knowledge Network. </w:t>
      </w:r>
      <w:r>
        <w:rPr>
          <w:i/>
          <w:color w:val="000000"/>
        </w:rPr>
        <w:t>Knowledge and Process Management</w:t>
      </w:r>
      <w:r>
        <w:rPr>
          <w:color w:val="000000"/>
        </w:rPr>
        <w:t>, 22(4), pp.288–296.</w:t>
      </w:r>
    </w:p>
    <w:p w14:paraId="41132330" w14:textId="77777777" w:rsidR="008E75CB" w:rsidRDefault="00D6337F">
      <w:pPr>
        <w:pStyle w:val="BodyText"/>
        <w:rPr>
          <w:color w:val="000000"/>
        </w:rPr>
      </w:pPr>
      <w:proofErr w:type="spellStart"/>
      <w:r>
        <w:rPr>
          <w:color w:val="000000"/>
        </w:rPr>
        <w:t>Sephton</w:t>
      </w:r>
      <w:proofErr w:type="spellEnd"/>
      <w:r>
        <w:rPr>
          <w:color w:val="000000"/>
        </w:rPr>
        <w:t>, C. (2017). </w:t>
      </w:r>
      <w:proofErr w:type="spellStart"/>
      <w:r>
        <w:rPr>
          <w:i/>
          <w:color w:val="000000"/>
        </w:rPr>
        <w:t>Singhsbury’s</w:t>
      </w:r>
      <w:proofErr w:type="spellEnd"/>
      <w:r>
        <w:rPr>
          <w:i/>
          <w:color w:val="000000"/>
        </w:rPr>
        <w:t xml:space="preserve"> Becomes </w:t>
      </w:r>
      <w:proofErr w:type="spellStart"/>
      <w:r>
        <w:rPr>
          <w:i/>
          <w:color w:val="000000"/>
        </w:rPr>
        <w:t>Morrisinghs</w:t>
      </w:r>
      <w:proofErr w:type="spellEnd"/>
      <w:r>
        <w:rPr>
          <w:i/>
          <w:color w:val="000000"/>
        </w:rPr>
        <w:t xml:space="preserve"> after Sainsbury’s Threatens Legal Action</w:t>
      </w:r>
      <w:r>
        <w:rPr>
          <w:color w:val="000000"/>
        </w:rPr>
        <w:t>. [online] Sky News. Available at: https://news.sky.com/story/singhsburys-becomes-morrisinghs-after-sainsburys-threatens-legal-action-10928534 [Accessed 28 Nov. 2020].</w:t>
      </w:r>
    </w:p>
    <w:p w14:paraId="1639AD99" w14:textId="77777777" w:rsidR="008E75CB" w:rsidRDefault="00D6337F">
      <w:pPr>
        <w:pStyle w:val="BodyText"/>
        <w:rPr>
          <w:color w:val="000000"/>
        </w:rPr>
      </w:pPr>
      <w:r>
        <w:rPr>
          <w:color w:val="000000"/>
        </w:rPr>
        <w:t xml:space="preserve">Singh, S.K., Khan, M. and Al </w:t>
      </w:r>
      <w:proofErr w:type="spellStart"/>
      <w:r>
        <w:rPr>
          <w:color w:val="000000"/>
        </w:rPr>
        <w:t>Mansouri</w:t>
      </w:r>
      <w:proofErr w:type="spellEnd"/>
      <w:r>
        <w:rPr>
          <w:color w:val="000000"/>
        </w:rPr>
        <w:t>, A.A. (2018). Role of Organisational culture, Leadership and Organisational Citizenship Behaviour on Knowledge Management. </w:t>
      </w:r>
      <w:r>
        <w:rPr>
          <w:i/>
          <w:color w:val="000000"/>
        </w:rPr>
        <w:t>International Journal of Knowledge Management Studies</w:t>
      </w:r>
      <w:r>
        <w:rPr>
          <w:color w:val="000000"/>
        </w:rPr>
        <w:t>, 9(2), p.129.</w:t>
      </w:r>
    </w:p>
    <w:p w14:paraId="3DC59329" w14:textId="77777777" w:rsidR="008E75CB" w:rsidRDefault="00D6337F">
      <w:pPr>
        <w:pStyle w:val="BodyText"/>
        <w:rPr>
          <w:color w:val="000000"/>
        </w:rPr>
      </w:pPr>
      <w:r>
        <w:rPr>
          <w:color w:val="000000"/>
        </w:rPr>
        <w:lastRenderedPageBreak/>
        <w:t>The Org (2018). </w:t>
      </w:r>
      <w:r>
        <w:rPr>
          <w:i/>
          <w:color w:val="000000"/>
        </w:rPr>
        <w:t>Sainsbury’s - Org Chart</w:t>
      </w:r>
      <w:r>
        <w:rPr>
          <w:color w:val="000000"/>
        </w:rPr>
        <w:t>. [online] THE ORG. Available at: https://theorg.com/org/sainsburys/org-chart [Accessed 28 Nov. 2020].</w:t>
      </w:r>
    </w:p>
    <w:p w14:paraId="5FAB57CC" w14:textId="77777777" w:rsidR="008E75CB" w:rsidRDefault="00D6337F">
      <w:pPr>
        <w:pStyle w:val="BodyText"/>
        <w:rPr>
          <w:color w:val="000000"/>
        </w:rPr>
      </w:pPr>
      <w:proofErr w:type="spellStart"/>
      <w:r>
        <w:rPr>
          <w:color w:val="000000"/>
        </w:rPr>
        <w:t>Tomita</w:t>
      </w:r>
      <w:proofErr w:type="spellEnd"/>
      <w:r>
        <w:rPr>
          <w:color w:val="000000"/>
        </w:rPr>
        <w:t xml:space="preserve">, Y., Watanabe, K., </w:t>
      </w:r>
      <w:proofErr w:type="spellStart"/>
      <w:r>
        <w:rPr>
          <w:color w:val="000000"/>
        </w:rPr>
        <w:t>Shirasaka</w:t>
      </w:r>
      <w:proofErr w:type="spellEnd"/>
      <w:r>
        <w:rPr>
          <w:color w:val="000000"/>
        </w:rPr>
        <w:t xml:space="preserve">, S. and </w:t>
      </w:r>
      <w:proofErr w:type="spellStart"/>
      <w:r>
        <w:rPr>
          <w:color w:val="000000"/>
        </w:rPr>
        <w:t>Maeno</w:t>
      </w:r>
      <w:proofErr w:type="spellEnd"/>
      <w:r>
        <w:rPr>
          <w:color w:val="000000"/>
        </w:rPr>
        <w:t>, T. (2017). Applying Design Thinking in Systems Engineering Process as an Extended Version of DIKW Model. </w:t>
      </w:r>
      <w:r>
        <w:rPr>
          <w:i/>
          <w:color w:val="000000"/>
        </w:rPr>
        <w:t>INCOSE International Symposium</w:t>
      </w:r>
      <w:r>
        <w:rPr>
          <w:color w:val="000000"/>
        </w:rPr>
        <w:t>, 27(1), pp.858–870.</w:t>
      </w:r>
    </w:p>
    <w:p w14:paraId="4B540706" w14:textId="77777777" w:rsidR="008E75CB" w:rsidRDefault="00D6337F">
      <w:pPr>
        <w:pStyle w:val="BodyText"/>
        <w:rPr>
          <w:color w:val="000000"/>
        </w:rPr>
      </w:pPr>
      <w:r>
        <w:rPr>
          <w:color w:val="000000"/>
        </w:rPr>
        <w:t>Van Meter, H.J. (2020). Revising the DIKW Pyramid and the Real Relationship between Data, Information, Knowledge and Wisdom. </w:t>
      </w:r>
      <w:r>
        <w:rPr>
          <w:i/>
          <w:color w:val="000000"/>
        </w:rPr>
        <w:t>Law, Technology and Humans</w:t>
      </w:r>
      <w:r>
        <w:rPr>
          <w:color w:val="000000"/>
        </w:rPr>
        <w:t>, 2(2), pp.69–80.</w:t>
      </w:r>
    </w:p>
    <w:p w14:paraId="719E49D1" w14:textId="77777777" w:rsidR="008E75CB" w:rsidRDefault="00D6337F">
      <w:pPr>
        <w:pStyle w:val="BodyText"/>
        <w:rPr>
          <w:color w:val="000000"/>
        </w:rPr>
      </w:pPr>
      <w:r>
        <w:rPr>
          <w:color w:val="000000"/>
        </w:rPr>
        <w:t xml:space="preserve">Wal, P.R. van </w:t>
      </w:r>
      <w:proofErr w:type="spellStart"/>
      <w:r>
        <w:rPr>
          <w:color w:val="000000"/>
        </w:rPr>
        <w:t>der</w:t>
      </w:r>
      <w:proofErr w:type="spellEnd"/>
      <w:r>
        <w:rPr>
          <w:color w:val="000000"/>
        </w:rPr>
        <w:t xml:space="preserve"> (2017). Knowledge and Knowledge Assets: Employees Perception. </w:t>
      </w:r>
      <w:r>
        <w:rPr>
          <w:i/>
          <w:color w:val="000000"/>
        </w:rPr>
        <w:t>International Journal of Contemporary Research and Review</w:t>
      </w:r>
      <w:r>
        <w:rPr>
          <w:color w:val="000000"/>
        </w:rPr>
        <w:t>, 08(05).</w:t>
      </w:r>
    </w:p>
    <w:p w14:paraId="6082D28E" w14:textId="77777777" w:rsidR="008E75CB" w:rsidRDefault="00D6337F">
      <w:pPr>
        <w:pStyle w:val="BodyText"/>
        <w:rPr>
          <w:color w:val="000000"/>
        </w:rPr>
      </w:pPr>
      <w:r>
        <w:rPr>
          <w:color w:val="000000"/>
        </w:rPr>
        <w:t>‌</w:t>
      </w:r>
    </w:p>
    <w:p w14:paraId="15D486B4" w14:textId="77777777" w:rsidR="008E75CB" w:rsidRDefault="008E75CB">
      <w:pPr>
        <w:pStyle w:val="BodyText"/>
      </w:pPr>
    </w:p>
    <w:sectPr w:rsidR="008E75CB">
      <w:footerReference w:type="default" r:id="rId14"/>
      <w:pgSz w:w="11906" w:h="16838"/>
      <w:pgMar w:top="1440" w:right="1440" w:bottom="1999" w:left="1440" w:header="0" w:footer="1440" w:gutter="0"/>
      <w:cols w:space="720"/>
      <w:formProt w:val="0"/>
      <w:docGrid w:linePitch="1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AC1841" w14:textId="77777777" w:rsidR="00D6337F" w:rsidRDefault="00D6337F">
      <w:pPr>
        <w:spacing w:line="240" w:lineRule="auto"/>
      </w:pPr>
      <w:r>
        <w:separator/>
      </w:r>
    </w:p>
  </w:endnote>
  <w:endnote w:type="continuationSeparator" w:id="0">
    <w:p w14:paraId="1953D043" w14:textId="77777777" w:rsidR="00D6337F" w:rsidRDefault="00D6337F">
      <w:pPr>
        <w:spacing w:line="240" w:lineRule="auto"/>
      </w:pPr>
      <w:r>
        <w:continuationSeparator/>
      </w:r>
    </w:p>
  </w:endnote>
  <w:endnote w:type="continuationNotice" w:id="1">
    <w:p w14:paraId="5ACB67AD" w14:textId="77777777" w:rsidR="00634599" w:rsidRDefault="0063459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panose1 w:val="020B0604020202020204"/>
    <w:charset w:val="00"/>
    <w:family w:val="roman"/>
    <w:pitch w:val="variable"/>
  </w:font>
  <w:font w:name="NSimSun">
    <w:panose1 w:val="02010609030101010101"/>
    <w:charset w:val="86"/>
    <w:family w:val="modern"/>
    <w:pitch w:val="fixed"/>
    <w:sig w:usb0="0000028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Microsoft YaHei">
    <w:panose1 w:val="020B0503020204020204"/>
    <w:charset w:val="86"/>
    <w:family w:val="swiss"/>
    <w:pitch w:val="variable"/>
    <w:sig w:usb0="80000287" w:usb1="2ACF3C50" w:usb2="00000016" w:usb3="00000000" w:csb0="0004001F" w:csb1="00000000"/>
  </w:font>
  <w:font w:name="OpenSymbol">
    <w:altName w:val="Cambria"/>
    <w:panose1 w:val="020B0604020202020204"/>
    <w:charset w:val="00"/>
    <w:family w:val="roman"/>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8AED8" w14:textId="1D319137" w:rsidR="008E75CB" w:rsidRDefault="008E75CB">
    <w:pPr>
      <w:pStyle w:val="Footer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17298" w14:textId="77777777" w:rsidR="00D6337F" w:rsidRDefault="00D6337F">
      <w:pPr>
        <w:spacing w:line="240" w:lineRule="auto"/>
      </w:pPr>
      <w:r>
        <w:separator/>
      </w:r>
    </w:p>
  </w:footnote>
  <w:footnote w:type="continuationSeparator" w:id="0">
    <w:p w14:paraId="6EFDB1CD" w14:textId="77777777" w:rsidR="00D6337F" w:rsidRDefault="00D6337F">
      <w:pPr>
        <w:spacing w:line="240" w:lineRule="auto"/>
      </w:pPr>
      <w:r>
        <w:continuationSeparator/>
      </w:r>
    </w:p>
  </w:footnote>
  <w:footnote w:type="continuationNotice" w:id="1">
    <w:p w14:paraId="744308EA" w14:textId="77777777" w:rsidR="00634599" w:rsidRDefault="0063459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F94DEC"/>
    <w:multiLevelType w:val="multilevel"/>
    <w:tmpl w:val="54165206"/>
    <w:lvl w:ilvl="0">
      <w:start w:val="1"/>
      <w:numFmt w:val="none"/>
      <w:pStyle w:val="Heading11"/>
      <w:suff w:val="nothing"/>
      <w:lvlText w:val=""/>
      <w:lvlJc w:val="left"/>
      <w:pPr>
        <w:tabs>
          <w:tab w:val="num" w:pos="0"/>
        </w:tabs>
        <w:ind w:left="0" w:firstLine="0"/>
      </w:pPr>
    </w:lvl>
    <w:lvl w:ilvl="1">
      <w:start w:val="1"/>
      <w:numFmt w:val="none"/>
      <w:pStyle w:val="Heading21"/>
      <w:suff w:val="nothing"/>
      <w:lvlText w:val=""/>
      <w:lvlJc w:val="left"/>
      <w:pPr>
        <w:tabs>
          <w:tab w:val="num" w:pos="0"/>
        </w:tabs>
        <w:ind w:left="0" w:firstLine="0"/>
      </w:pPr>
    </w:lvl>
    <w:lvl w:ilvl="2">
      <w:start w:val="1"/>
      <w:numFmt w:val="none"/>
      <w:pStyle w:val="Heading31"/>
      <w:suff w:val="nothing"/>
      <w:lvlText w:val=""/>
      <w:lvlJc w:val="left"/>
      <w:pPr>
        <w:tabs>
          <w:tab w:val="num" w:pos="0"/>
        </w:tabs>
        <w:ind w:left="0" w:firstLine="0"/>
      </w:pPr>
    </w:lvl>
    <w:lvl w:ilvl="3">
      <w:start w:val="1"/>
      <w:numFmt w:val="none"/>
      <w:pStyle w:val="Heading41"/>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1950516F"/>
    <w:multiLevelType w:val="multilevel"/>
    <w:tmpl w:val="AF14171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Symbol" w:hAnsi="Symbol" w:cs="Symbol" w:hint="default"/>
      </w:rPr>
    </w:lvl>
    <w:lvl w:ilvl="2">
      <w:start w:val="1"/>
      <w:numFmt w:val="bullet"/>
      <w:lvlText w:val=""/>
      <w:lvlJc w:val="left"/>
      <w:pPr>
        <w:tabs>
          <w:tab w:val="num" w:pos="1440"/>
        </w:tabs>
        <w:ind w:left="1440" w:hanging="360"/>
      </w:pPr>
      <w:rPr>
        <w:rFonts w:ascii="Symbol" w:hAnsi="Symbol" w:cs="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Symbol" w:hAnsi="Symbol" w:cs="Symbol" w:hint="default"/>
      </w:rPr>
    </w:lvl>
    <w:lvl w:ilvl="5">
      <w:start w:val="1"/>
      <w:numFmt w:val="bullet"/>
      <w:lvlText w:val=""/>
      <w:lvlJc w:val="left"/>
      <w:pPr>
        <w:tabs>
          <w:tab w:val="num" w:pos="2520"/>
        </w:tabs>
        <w:ind w:left="2520" w:hanging="360"/>
      </w:pPr>
      <w:rPr>
        <w:rFonts w:ascii="Symbol" w:hAnsi="Symbol" w:cs="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Symbol" w:hAnsi="Symbol" w:cs="Symbol" w:hint="default"/>
      </w:rPr>
    </w:lvl>
    <w:lvl w:ilvl="8">
      <w:start w:val="1"/>
      <w:numFmt w:val="bullet"/>
      <w:lvlText w:val=""/>
      <w:lvlJc w:val="left"/>
      <w:pPr>
        <w:tabs>
          <w:tab w:val="num" w:pos="3600"/>
        </w:tabs>
        <w:ind w:left="3600" w:hanging="360"/>
      </w:pPr>
      <w:rPr>
        <w:rFonts w:ascii="Symbol" w:hAnsi="Symbol" w:cs="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defaultTabStop w:val="709"/>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wMzAxMjA1NDM2MzVV0lEKTi0uzszPAykwrAUA3c4OJSwAAAA="/>
  </w:docVars>
  <w:rsids>
    <w:rsidRoot w:val="008E75CB"/>
    <w:rsid w:val="000E66D2"/>
    <w:rsid w:val="001E7343"/>
    <w:rsid w:val="00292D6B"/>
    <w:rsid w:val="00453352"/>
    <w:rsid w:val="004929C9"/>
    <w:rsid w:val="0052164F"/>
    <w:rsid w:val="00573E6D"/>
    <w:rsid w:val="00634599"/>
    <w:rsid w:val="00796C34"/>
    <w:rsid w:val="008440C6"/>
    <w:rsid w:val="008E75CB"/>
    <w:rsid w:val="00911026"/>
    <w:rsid w:val="00A650D8"/>
    <w:rsid w:val="00BE1AB1"/>
    <w:rsid w:val="00D6337F"/>
    <w:rsid w:val="00DC26A3"/>
    <w:rsid w:val="00E514AD"/>
    <w:rsid w:val="00F934A4"/>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85AF2"/>
  <w15:docId w15:val="{917B4DFD-7B4B-4F8F-BE4E-468761D42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Liberation Serif" w:eastAsia="NSimSun" w:hAnsi="Liberation Serif" w:cs="Mangal"/>
        <w:kern w:val="2"/>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11">
    <w:name w:val="Heading 11"/>
    <w:basedOn w:val="Heading"/>
    <w:next w:val="BodyText"/>
    <w:qFormat/>
    <w:pPr>
      <w:numPr>
        <w:numId w:val="1"/>
      </w:numPr>
      <w:outlineLvl w:val="0"/>
    </w:pPr>
    <w:rPr>
      <w:b/>
      <w:bCs/>
      <w:szCs w:val="36"/>
    </w:rPr>
  </w:style>
  <w:style w:type="paragraph" w:customStyle="1" w:styleId="Heading21">
    <w:name w:val="Heading 21"/>
    <w:basedOn w:val="Heading"/>
    <w:next w:val="BodyText"/>
    <w:qFormat/>
    <w:pPr>
      <w:numPr>
        <w:ilvl w:val="1"/>
        <w:numId w:val="1"/>
      </w:numPr>
      <w:spacing w:before="200"/>
      <w:outlineLvl w:val="1"/>
    </w:pPr>
    <w:rPr>
      <w:b/>
      <w:sz w:val="26"/>
    </w:rPr>
  </w:style>
  <w:style w:type="paragraph" w:customStyle="1" w:styleId="Heading31">
    <w:name w:val="Heading 31"/>
    <w:basedOn w:val="Heading"/>
    <w:next w:val="BodyText"/>
    <w:qFormat/>
    <w:pPr>
      <w:numPr>
        <w:ilvl w:val="2"/>
        <w:numId w:val="1"/>
      </w:numPr>
      <w:spacing w:before="140"/>
      <w:outlineLvl w:val="2"/>
    </w:pPr>
    <w:rPr>
      <w:b/>
      <w:sz w:val="24"/>
    </w:rPr>
  </w:style>
  <w:style w:type="paragraph" w:customStyle="1" w:styleId="Heading41">
    <w:name w:val="Heading 41"/>
    <w:basedOn w:val="Heading"/>
    <w:next w:val="BodyText"/>
    <w:qFormat/>
    <w:pPr>
      <w:numPr>
        <w:ilvl w:val="3"/>
        <w:numId w:val="1"/>
      </w:numPr>
      <w:spacing w:before="120"/>
      <w:outlineLvl w:val="3"/>
    </w:pPr>
    <w:rPr>
      <w:sz w:val="24"/>
    </w:rPr>
  </w:style>
  <w:style w:type="character" w:styleId="Hyperlink">
    <w:name w:val="Hyperlink"/>
    <w:uiPriority w:val="99"/>
    <w:rPr>
      <w:color w:val="000080"/>
      <w:u w:val="single"/>
    </w:rPr>
  </w:style>
  <w:style w:type="character" w:customStyle="1" w:styleId="IndexLink">
    <w:name w:val="Index Link"/>
    <w:qFormat/>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eastAsia="Microsoft YaHei"/>
      <w:color w:val="3465A4"/>
      <w:sz w:val="28"/>
      <w:szCs w:val="28"/>
    </w:rPr>
  </w:style>
  <w:style w:type="paragraph" w:styleId="BodyText">
    <w:name w:val="Body Text"/>
    <w:basedOn w:val="Normal"/>
    <w:pPr>
      <w:spacing w:after="140"/>
    </w:pPr>
  </w:style>
  <w:style w:type="paragraph" w:styleId="List">
    <w:name w:val="List"/>
    <w:basedOn w:val="BodyText"/>
  </w:style>
  <w:style w:type="paragraph" w:customStyle="1" w:styleId="Caption1">
    <w:name w:val="Caption1"/>
    <w:basedOn w:val="Normal"/>
    <w:qFormat/>
    <w:pPr>
      <w:suppressLineNumbers/>
      <w:spacing w:before="120" w:after="120"/>
    </w:pPr>
    <w:rPr>
      <w:iCs/>
      <w:sz w:val="20"/>
    </w:rPr>
  </w:style>
  <w:style w:type="paragraph" w:customStyle="1" w:styleId="Index">
    <w:name w:val="Index"/>
    <w:basedOn w:val="Normal"/>
    <w:qFormat/>
    <w:pPr>
      <w:suppressLineNumbers/>
    </w:pPr>
  </w:style>
  <w:style w:type="paragraph" w:customStyle="1" w:styleId="Figure">
    <w:name w:val="Figure"/>
    <w:basedOn w:val="Caption1"/>
    <w:qFormat/>
  </w:style>
  <w:style w:type="paragraph" w:customStyle="1" w:styleId="TableContents">
    <w:name w:val="Table Contents"/>
    <w:basedOn w:val="Normal"/>
    <w:qFormat/>
    <w:pPr>
      <w:widowControl w:val="0"/>
      <w:suppressLineNumbers/>
    </w:pPr>
  </w:style>
  <w:style w:type="paragraph" w:customStyle="1" w:styleId="Table">
    <w:name w:val="Table"/>
    <w:basedOn w:val="Caption1"/>
    <w:qFormat/>
  </w:style>
  <w:style w:type="paragraph" w:customStyle="1" w:styleId="IndexHeading1">
    <w:name w:val="Index Heading1"/>
    <w:basedOn w:val="Heading"/>
    <w:pPr>
      <w:suppressLineNumbers/>
    </w:pPr>
    <w:rPr>
      <w:b/>
      <w:bCs/>
      <w:szCs w:val="32"/>
    </w:rPr>
  </w:style>
  <w:style w:type="paragraph" w:customStyle="1" w:styleId="TOAHeading1">
    <w:name w:val="TOA Heading1"/>
    <w:basedOn w:val="IndexHeading1"/>
    <w:qFormat/>
    <w:rPr>
      <w:sz w:val="32"/>
    </w:rPr>
  </w:style>
  <w:style w:type="paragraph" w:customStyle="1" w:styleId="TOC11">
    <w:name w:val="TOC 11"/>
    <w:basedOn w:val="Index"/>
    <w:pPr>
      <w:tabs>
        <w:tab w:val="right" w:leader="dot" w:pos="9026"/>
      </w:tabs>
    </w:pPr>
  </w:style>
  <w:style w:type="paragraph" w:customStyle="1" w:styleId="HeaderandFooter">
    <w:name w:val="Header and Footer"/>
    <w:basedOn w:val="Normal"/>
    <w:qFormat/>
    <w:pPr>
      <w:suppressLineNumbers/>
      <w:tabs>
        <w:tab w:val="center" w:pos="4513"/>
        <w:tab w:val="right" w:pos="9026"/>
      </w:tabs>
    </w:pPr>
  </w:style>
  <w:style w:type="paragraph" w:customStyle="1" w:styleId="Footer1">
    <w:name w:val="Footer1"/>
    <w:basedOn w:val="HeaderandFooter"/>
  </w:style>
  <w:style w:type="paragraph" w:customStyle="1" w:styleId="FrameContents">
    <w:name w:val="Frame Contents"/>
    <w:basedOn w:val="Normal"/>
    <w:qFormat/>
  </w:style>
  <w:style w:type="paragraph" w:styleId="TOAHeading">
    <w:name w:val="toa heading"/>
    <w:basedOn w:val="IndexHeading1"/>
    <w:rPr>
      <w:sz w:val="32"/>
    </w:rPr>
  </w:style>
  <w:style w:type="paragraph" w:styleId="TOC2">
    <w:name w:val="toc 2"/>
    <w:basedOn w:val="Index"/>
    <w:uiPriority w:val="39"/>
    <w:pPr>
      <w:tabs>
        <w:tab w:val="right" w:leader="dot" w:pos="8743"/>
      </w:tabs>
      <w:ind w:left="283"/>
    </w:pPr>
  </w:style>
  <w:style w:type="paragraph" w:styleId="TOC1">
    <w:name w:val="toc 1"/>
    <w:basedOn w:val="Normal"/>
    <w:next w:val="Normal"/>
    <w:autoRedefine/>
    <w:uiPriority w:val="39"/>
    <w:unhideWhenUsed/>
    <w:rsid w:val="008440C6"/>
    <w:pPr>
      <w:spacing w:after="100"/>
    </w:pPr>
    <w:rPr>
      <w:szCs w:val="21"/>
    </w:rPr>
  </w:style>
  <w:style w:type="paragraph" w:styleId="Header">
    <w:name w:val="header"/>
    <w:basedOn w:val="Normal"/>
    <w:link w:val="HeaderChar"/>
    <w:uiPriority w:val="99"/>
    <w:unhideWhenUsed/>
    <w:rsid w:val="00634599"/>
    <w:pPr>
      <w:tabs>
        <w:tab w:val="center" w:pos="4513"/>
        <w:tab w:val="right" w:pos="9026"/>
      </w:tabs>
      <w:spacing w:line="240" w:lineRule="auto"/>
    </w:pPr>
    <w:rPr>
      <w:szCs w:val="21"/>
    </w:rPr>
  </w:style>
  <w:style w:type="character" w:customStyle="1" w:styleId="HeaderChar">
    <w:name w:val="Header Char"/>
    <w:basedOn w:val="DefaultParagraphFont"/>
    <w:link w:val="Header"/>
    <w:uiPriority w:val="99"/>
    <w:rsid w:val="00634599"/>
    <w:rPr>
      <w:rFonts w:ascii="Times New Roman" w:hAnsi="Times New Roman"/>
      <w:szCs w:val="21"/>
    </w:rPr>
  </w:style>
  <w:style w:type="paragraph" w:styleId="Footer">
    <w:name w:val="footer"/>
    <w:basedOn w:val="Normal"/>
    <w:link w:val="FooterChar"/>
    <w:uiPriority w:val="99"/>
    <w:unhideWhenUsed/>
    <w:rsid w:val="00634599"/>
    <w:pPr>
      <w:tabs>
        <w:tab w:val="center" w:pos="4513"/>
        <w:tab w:val="right" w:pos="9026"/>
      </w:tabs>
      <w:spacing w:line="240" w:lineRule="auto"/>
    </w:pPr>
    <w:rPr>
      <w:szCs w:val="21"/>
    </w:rPr>
  </w:style>
  <w:style w:type="character" w:customStyle="1" w:styleId="FooterChar">
    <w:name w:val="Footer Char"/>
    <w:basedOn w:val="DefaultParagraphFont"/>
    <w:link w:val="Footer"/>
    <w:uiPriority w:val="99"/>
    <w:rsid w:val="00634599"/>
    <w:rPr>
      <w:rFonts w:ascii="Times New Roman" w:hAnsi="Times New Roman"/>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4567</Words>
  <Characters>26038</Characters>
  <Application>Microsoft Office Word</Application>
  <DocSecurity>0</DocSecurity>
  <Lines>216</Lines>
  <Paragraphs>61</Paragraphs>
  <ScaleCrop>false</ScaleCrop>
  <Company/>
  <LinksUpToDate>false</LinksUpToDate>
  <CharactersWithSpaces>30544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ATx</dc:title>
  <dc:subject/>
  <dc:creator/>
  <dc:description/>
  <cp:lastModifiedBy>Marin Mirancea</cp:lastModifiedBy>
  <cp:revision>2</cp:revision>
  <dcterms:created xsi:type="dcterms:W3CDTF">2020-12-11T13:18:00Z</dcterms:created>
  <dcterms:modified xsi:type="dcterms:W3CDTF">2020-12-11T13:18:00Z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