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B6755" w14:textId="77777777" w:rsidR="00995241" w:rsidRPr="00674B17" w:rsidRDefault="00995241" w:rsidP="00995241">
      <w:pPr>
        <w:spacing w:after="220"/>
        <w:ind w:right="1438"/>
        <w:jc w:val="right"/>
        <w:rPr>
          <w:rFonts w:ascii="Arial" w:hAnsi="Arial" w:cs="Arial"/>
          <w:sz w:val="24"/>
          <w:szCs w:val="24"/>
        </w:rPr>
      </w:pPr>
      <w:r w:rsidRPr="00674B17">
        <w:rPr>
          <w:rFonts w:ascii="Arial" w:hAnsi="Arial" w:cs="Arial"/>
          <w:noProof/>
          <w:sz w:val="24"/>
          <w:szCs w:val="24"/>
        </w:rPr>
        <w:drawing>
          <wp:inline distT="0" distB="0" distL="0" distR="0" wp14:anchorId="35232D71" wp14:editId="21931F6B">
            <wp:extent cx="596646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6"/>
                    <a:stretch>
                      <a:fillRect/>
                    </a:stretch>
                  </pic:blipFill>
                  <pic:spPr>
                    <a:xfrm>
                      <a:off x="0" y="0"/>
                      <a:ext cx="6000221" cy="1762517"/>
                    </a:xfrm>
                    <a:prstGeom prst="rect">
                      <a:avLst/>
                    </a:prstGeom>
                  </pic:spPr>
                </pic:pic>
              </a:graphicData>
            </a:graphic>
          </wp:inline>
        </w:drawing>
      </w:r>
      <w:r w:rsidRPr="00674B17">
        <w:rPr>
          <w:rFonts w:ascii="Arial" w:eastAsia="Times New Roman" w:hAnsi="Arial" w:cs="Arial"/>
          <w:b/>
          <w:sz w:val="24"/>
          <w:szCs w:val="24"/>
        </w:rPr>
        <w:t xml:space="preserve"> </w:t>
      </w:r>
    </w:p>
    <w:p w14:paraId="3F57DF54" w14:textId="77777777" w:rsidR="00995241" w:rsidRPr="00674B17" w:rsidRDefault="00995241" w:rsidP="00995241">
      <w:pPr>
        <w:spacing w:after="273"/>
        <w:ind w:right="5"/>
        <w:jc w:val="center"/>
        <w:rPr>
          <w:rFonts w:ascii="Arial" w:hAnsi="Arial" w:cs="Arial"/>
          <w:sz w:val="24"/>
          <w:szCs w:val="24"/>
        </w:rPr>
      </w:pPr>
      <w:r w:rsidRPr="00674B17">
        <w:rPr>
          <w:rFonts w:ascii="Arial" w:eastAsia="Times New Roman" w:hAnsi="Arial" w:cs="Arial"/>
          <w:b/>
          <w:sz w:val="24"/>
          <w:szCs w:val="24"/>
        </w:rPr>
        <w:t xml:space="preserve"> </w:t>
      </w:r>
    </w:p>
    <w:p w14:paraId="291F5CE1" w14:textId="77777777" w:rsidR="00995241" w:rsidRPr="00674B17" w:rsidRDefault="00995241" w:rsidP="00995241">
      <w:pPr>
        <w:spacing w:after="274"/>
        <w:rPr>
          <w:rFonts w:ascii="Arial" w:hAnsi="Arial" w:cs="Arial"/>
          <w:sz w:val="24"/>
          <w:szCs w:val="24"/>
        </w:rPr>
      </w:pPr>
      <w:r w:rsidRPr="00674B17">
        <w:rPr>
          <w:rFonts w:ascii="Arial" w:eastAsia="Times New Roman" w:hAnsi="Arial" w:cs="Arial"/>
          <w:b/>
          <w:sz w:val="24"/>
          <w:szCs w:val="24"/>
        </w:rPr>
        <w:t xml:space="preserve"> </w:t>
      </w:r>
    </w:p>
    <w:p w14:paraId="333AE288" w14:textId="77777777" w:rsidR="00995241" w:rsidRPr="00674B17" w:rsidRDefault="00995241" w:rsidP="00995241">
      <w:pPr>
        <w:spacing w:after="276"/>
        <w:jc w:val="center"/>
        <w:rPr>
          <w:rFonts w:ascii="Arial" w:hAnsi="Arial" w:cs="Arial"/>
          <w:sz w:val="24"/>
          <w:szCs w:val="24"/>
        </w:rPr>
      </w:pPr>
    </w:p>
    <w:p w14:paraId="7511371F" w14:textId="77777777" w:rsidR="00995241" w:rsidRPr="00674B17" w:rsidRDefault="00995241" w:rsidP="00995241">
      <w:pPr>
        <w:spacing w:after="274"/>
        <w:rPr>
          <w:rFonts w:ascii="Arial" w:hAnsi="Arial" w:cs="Arial"/>
          <w:sz w:val="24"/>
          <w:szCs w:val="24"/>
        </w:rPr>
      </w:pPr>
      <w:r w:rsidRPr="00674B17">
        <w:rPr>
          <w:rFonts w:ascii="Arial" w:eastAsia="Times New Roman" w:hAnsi="Arial" w:cs="Arial"/>
          <w:b/>
          <w:sz w:val="24"/>
          <w:szCs w:val="24"/>
        </w:rPr>
        <w:t>Programme: Master of Business Administration</w:t>
      </w:r>
    </w:p>
    <w:p w14:paraId="307C978D" w14:textId="77777777" w:rsidR="00995241" w:rsidRPr="00674B17" w:rsidRDefault="00995241" w:rsidP="00995241">
      <w:pPr>
        <w:spacing w:after="274"/>
        <w:rPr>
          <w:rFonts w:ascii="Arial" w:hAnsi="Arial" w:cs="Arial"/>
          <w:sz w:val="24"/>
          <w:szCs w:val="24"/>
        </w:rPr>
      </w:pPr>
      <w:r w:rsidRPr="00674B17">
        <w:rPr>
          <w:rFonts w:ascii="Arial" w:eastAsia="Times New Roman" w:hAnsi="Arial" w:cs="Arial"/>
          <w:b/>
          <w:sz w:val="24"/>
          <w:szCs w:val="24"/>
        </w:rPr>
        <w:t>Module: Human Capital Management</w:t>
      </w:r>
    </w:p>
    <w:p w14:paraId="36CEB64B" w14:textId="77777777" w:rsidR="00995241" w:rsidRPr="00674B17" w:rsidRDefault="00995241" w:rsidP="00995241">
      <w:pPr>
        <w:spacing w:after="274"/>
        <w:ind w:right="66"/>
        <w:rPr>
          <w:rFonts w:ascii="Arial" w:hAnsi="Arial" w:cs="Arial"/>
          <w:sz w:val="24"/>
          <w:szCs w:val="24"/>
        </w:rPr>
      </w:pPr>
      <w:r w:rsidRPr="00674B17">
        <w:rPr>
          <w:rFonts w:ascii="Arial" w:eastAsia="Times New Roman" w:hAnsi="Arial" w:cs="Arial"/>
          <w:b/>
          <w:sz w:val="24"/>
          <w:szCs w:val="24"/>
        </w:rPr>
        <w:t xml:space="preserve">Module code: </w:t>
      </w:r>
      <w:r w:rsidRPr="00674B17">
        <w:rPr>
          <w:rFonts w:ascii="Arial" w:hAnsi="Arial" w:cs="Arial"/>
          <w:b/>
          <w:sz w:val="24"/>
          <w:szCs w:val="24"/>
        </w:rPr>
        <w:t>LCMB7023</w:t>
      </w:r>
    </w:p>
    <w:p w14:paraId="33342C52" w14:textId="77777777" w:rsidR="00995241" w:rsidRDefault="00995241" w:rsidP="00995241">
      <w:pPr>
        <w:spacing w:after="274"/>
        <w:ind w:right="65"/>
        <w:rPr>
          <w:rFonts w:ascii="Arial" w:eastAsia="Times New Roman" w:hAnsi="Arial" w:cs="Arial"/>
          <w:b/>
          <w:sz w:val="24"/>
          <w:szCs w:val="24"/>
        </w:rPr>
      </w:pPr>
      <w:r w:rsidRPr="00674B17">
        <w:rPr>
          <w:rFonts w:ascii="Arial" w:eastAsia="Times New Roman" w:hAnsi="Arial" w:cs="Arial"/>
          <w:b/>
          <w:sz w:val="24"/>
          <w:szCs w:val="24"/>
        </w:rPr>
        <w:t>Title</w:t>
      </w:r>
      <w:r>
        <w:rPr>
          <w:rFonts w:ascii="Arial" w:eastAsia="Times New Roman" w:hAnsi="Arial" w:cs="Arial"/>
          <w:b/>
          <w:sz w:val="24"/>
          <w:szCs w:val="24"/>
        </w:rPr>
        <w:t xml:space="preserve">: </w:t>
      </w:r>
      <w:r w:rsidRPr="004132D0">
        <w:rPr>
          <w:rFonts w:ascii="Arial" w:eastAsia="Times New Roman" w:hAnsi="Arial" w:cs="Arial"/>
          <w:b/>
          <w:sz w:val="24"/>
          <w:szCs w:val="24"/>
        </w:rPr>
        <w:t>Assessment Component 1: Individual Report</w:t>
      </w:r>
    </w:p>
    <w:p w14:paraId="73950DCB" w14:textId="77777777" w:rsidR="00995241" w:rsidRPr="00674B17" w:rsidRDefault="00995241" w:rsidP="00995241">
      <w:pPr>
        <w:spacing w:after="274"/>
        <w:ind w:right="65"/>
        <w:rPr>
          <w:rFonts w:ascii="Arial" w:hAnsi="Arial" w:cs="Arial"/>
          <w:sz w:val="24"/>
          <w:szCs w:val="24"/>
        </w:rPr>
      </w:pPr>
      <w:r w:rsidRPr="00674B17">
        <w:rPr>
          <w:rFonts w:ascii="Arial" w:eastAsia="Times New Roman" w:hAnsi="Arial" w:cs="Arial"/>
          <w:b/>
          <w:sz w:val="24"/>
          <w:szCs w:val="24"/>
        </w:rPr>
        <w:t xml:space="preserve">Word count: </w:t>
      </w:r>
      <w:r>
        <w:rPr>
          <w:rFonts w:ascii="Arial" w:eastAsia="Times New Roman" w:hAnsi="Arial" w:cs="Arial"/>
          <w:b/>
          <w:sz w:val="24"/>
          <w:szCs w:val="24"/>
        </w:rPr>
        <w:t>2818</w:t>
      </w:r>
    </w:p>
    <w:p w14:paraId="383F13F1" w14:textId="77777777" w:rsidR="00995241" w:rsidRPr="00674B17" w:rsidRDefault="00995241" w:rsidP="00995241">
      <w:pPr>
        <w:spacing w:after="165" w:line="352" w:lineRule="auto"/>
        <w:ind w:right="2836"/>
        <w:rPr>
          <w:rFonts w:ascii="Arial" w:eastAsia="Arial" w:hAnsi="Arial" w:cs="Arial"/>
          <w:b/>
          <w:sz w:val="24"/>
          <w:szCs w:val="24"/>
        </w:rPr>
      </w:pPr>
      <w:r w:rsidRPr="00674B17">
        <w:rPr>
          <w:rFonts w:ascii="Arial" w:eastAsia="Arial" w:hAnsi="Arial" w:cs="Arial"/>
          <w:b/>
          <w:sz w:val="24"/>
          <w:szCs w:val="24"/>
        </w:rPr>
        <w:t xml:space="preserve">Lecturer: </w:t>
      </w:r>
      <w:r w:rsidRPr="00674B17">
        <w:rPr>
          <w:rFonts w:ascii="Arial" w:hAnsi="Arial" w:cs="Arial"/>
          <w:b/>
          <w:sz w:val="24"/>
          <w:szCs w:val="24"/>
        </w:rPr>
        <w:t>Ejike Udeogu (Birmingham)</w:t>
      </w:r>
    </w:p>
    <w:p w14:paraId="66ECCD4E" w14:textId="77777777" w:rsidR="00995241" w:rsidRPr="00674B17" w:rsidRDefault="00995241" w:rsidP="00995241">
      <w:pPr>
        <w:spacing w:after="165" w:line="352" w:lineRule="auto"/>
        <w:ind w:right="2836"/>
        <w:rPr>
          <w:rFonts w:ascii="Arial" w:hAnsi="Arial" w:cs="Arial"/>
          <w:sz w:val="24"/>
          <w:szCs w:val="24"/>
        </w:rPr>
      </w:pPr>
      <w:r w:rsidRPr="00674B17">
        <w:rPr>
          <w:rFonts w:ascii="Arial" w:eastAsia="Times New Roman" w:hAnsi="Arial" w:cs="Arial"/>
          <w:b/>
          <w:sz w:val="24"/>
          <w:szCs w:val="24"/>
        </w:rPr>
        <w:t>Student Name:</w:t>
      </w:r>
      <w:r>
        <w:rPr>
          <w:rFonts w:ascii="Arial" w:eastAsia="Times New Roman" w:hAnsi="Arial" w:cs="Arial"/>
          <w:b/>
          <w:sz w:val="24"/>
          <w:szCs w:val="24"/>
        </w:rPr>
        <w:t xml:space="preserve"> Tarikul Islam Tarek</w:t>
      </w:r>
    </w:p>
    <w:p w14:paraId="258D117D" w14:textId="77777777" w:rsidR="00995241" w:rsidRPr="00674B17" w:rsidRDefault="00995241" w:rsidP="00995241">
      <w:pPr>
        <w:spacing w:after="274"/>
        <w:ind w:right="62"/>
        <w:rPr>
          <w:rFonts w:ascii="Arial" w:hAnsi="Arial" w:cs="Arial"/>
          <w:sz w:val="24"/>
          <w:szCs w:val="24"/>
        </w:rPr>
      </w:pPr>
      <w:r w:rsidRPr="00674B17">
        <w:rPr>
          <w:rFonts w:ascii="Arial" w:eastAsia="Times New Roman" w:hAnsi="Arial" w:cs="Arial"/>
          <w:b/>
          <w:sz w:val="24"/>
          <w:szCs w:val="24"/>
        </w:rPr>
        <w:t>Student ID:</w:t>
      </w:r>
      <w:r>
        <w:rPr>
          <w:rFonts w:ascii="Arial" w:eastAsia="Times New Roman" w:hAnsi="Arial" w:cs="Arial"/>
          <w:b/>
          <w:sz w:val="24"/>
          <w:szCs w:val="24"/>
        </w:rPr>
        <w:t xml:space="preserve"> 2435183</w:t>
      </w:r>
    </w:p>
    <w:p w14:paraId="2FE4AE52" w14:textId="77777777" w:rsidR="00995241" w:rsidRPr="00674B17" w:rsidRDefault="00995241" w:rsidP="00995241">
      <w:pPr>
        <w:rPr>
          <w:rFonts w:ascii="Arial" w:hAnsi="Arial" w:cs="Arial"/>
          <w:sz w:val="24"/>
          <w:szCs w:val="24"/>
        </w:rPr>
      </w:pPr>
      <w:r w:rsidRPr="00674B17">
        <w:rPr>
          <w:rFonts w:ascii="Arial" w:hAnsi="Arial" w:cs="Arial"/>
          <w:sz w:val="24"/>
          <w:szCs w:val="24"/>
        </w:rPr>
        <w:br w:type="page"/>
      </w:r>
    </w:p>
    <w:p w14:paraId="73004552" w14:textId="77777777" w:rsidR="00995241" w:rsidRPr="00B66C4E" w:rsidRDefault="00995241" w:rsidP="00995241">
      <w:pPr>
        <w:ind w:left="1440" w:firstLine="720"/>
        <w:rPr>
          <w:rFonts w:ascii="Arial" w:hAnsi="Arial" w:cs="Arial"/>
          <w:b/>
          <w:bCs/>
          <w:sz w:val="24"/>
          <w:szCs w:val="24"/>
        </w:rPr>
      </w:pPr>
      <w:r>
        <w:rPr>
          <w:rFonts w:ascii="Arial" w:hAnsi="Arial" w:cs="Arial"/>
          <w:b/>
          <w:bCs/>
          <w:sz w:val="24"/>
          <w:szCs w:val="24"/>
        </w:rPr>
        <w:lastRenderedPageBreak/>
        <w:t xml:space="preserve">  </w:t>
      </w:r>
      <w:r w:rsidRPr="00B66C4E">
        <w:rPr>
          <w:rFonts w:ascii="Arial" w:hAnsi="Arial" w:cs="Arial"/>
          <w:b/>
          <w:bCs/>
          <w:sz w:val="24"/>
          <w:szCs w:val="24"/>
        </w:rPr>
        <w:t>Table of Contents</w:t>
      </w:r>
    </w:p>
    <w:tbl>
      <w:tblPr>
        <w:tblW w:w="9020" w:type="dxa"/>
        <w:tblCellMar>
          <w:top w:w="15" w:type="dxa"/>
          <w:left w:w="15" w:type="dxa"/>
          <w:bottom w:w="15" w:type="dxa"/>
          <w:right w:w="15" w:type="dxa"/>
        </w:tblCellMar>
        <w:tblLook w:val="04A0" w:firstRow="1" w:lastRow="0" w:firstColumn="1" w:lastColumn="0" w:noHBand="0" w:noVBand="1"/>
      </w:tblPr>
      <w:tblGrid>
        <w:gridCol w:w="897"/>
        <w:gridCol w:w="6840"/>
        <w:gridCol w:w="1247"/>
        <w:gridCol w:w="36"/>
      </w:tblGrid>
      <w:tr w:rsidR="00995241" w:rsidRPr="00B66C4E" w14:paraId="30411181" w14:textId="77777777" w:rsidTr="00BA74B3">
        <w:trPr>
          <w:trHeight w:val="576"/>
          <w:tblHeader/>
        </w:trPr>
        <w:tc>
          <w:tcPr>
            <w:tcW w:w="0" w:type="auto"/>
            <w:noWrap/>
            <w:vAlign w:val="bottom"/>
            <w:hideMark/>
          </w:tcPr>
          <w:p w14:paraId="6C704A34"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Section</w:t>
            </w:r>
          </w:p>
        </w:tc>
        <w:tc>
          <w:tcPr>
            <w:tcW w:w="6840" w:type="dxa"/>
            <w:noWrap/>
            <w:vAlign w:val="bottom"/>
            <w:hideMark/>
          </w:tcPr>
          <w:p w14:paraId="2ADBB0FE"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w:t>
            </w:r>
            <w:r w:rsidRPr="00B66C4E">
              <w:rPr>
                <w:rFonts w:ascii="Arial" w:hAnsi="Arial" w:cs="Arial"/>
                <w:b/>
                <w:bCs/>
                <w:sz w:val="24"/>
                <w:szCs w:val="24"/>
              </w:rPr>
              <w:t>Title</w:t>
            </w:r>
          </w:p>
        </w:tc>
        <w:tc>
          <w:tcPr>
            <w:tcW w:w="1247" w:type="dxa"/>
          </w:tcPr>
          <w:p w14:paraId="4921BCBE" w14:textId="77777777" w:rsidR="00995241" w:rsidRDefault="00995241" w:rsidP="00BA74B3">
            <w:pPr>
              <w:rPr>
                <w:rFonts w:ascii="Arial" w:hAnsi="Arial" w:cs="Arial"/>
                <w:b/>
                <w:bCs/>
                <w:sz w:val="24"/>
                <w:szCs w:val="24"/>
              </w:rPr>
            </w:pPr>
          </w:p>
        </w:tc>
        <w:tc>
          <w:tcPr>
            <w:tcW w:w="0" w:type="auto"/>
          </w:tcPr>
          <w:p w14:paraId="2E528EE7" w14:textId="77777777" w:rsidR="00995241" w:rsidRDefault="00995241" w:rsidP="00BA74B3">
            <w:pPr>
              <w:rPr>
                <w:rFonts w:ascii="Arial" w:hAnsi="Arial" w:cs="Arial"/>
                <w:b/>
                <w:bCs/>
                <w:sz w:val="24"/>
                <w:szCs w:val="24"/>
              </w:rPr>
            </w:pPr>
          </w:p>
        </w:tc>
      </w:tr>
      <w:tr w:rsidR="00995241" w:rsidRPr="00B66C4E" w14:paraId="0F853AEE" w14:textId="77777777" w:rsidTr="00BA74B3">
        <w:trPr>
          <w:trHeight w:val="576"/>
        </w:trPr>
        <w:tc>
          <w:tcPr>
            <w:tcW w:w="0" w:type="auto"/>
            <w:vAlign w:val="bottom"/>
            <w:hideMark/>
          </w:tcPr>
          <w:p w14:paraId="4B4956AF" w14:textId="77777777" w:rsidR="00995241" w:rsidRPr="00B66C4E" w:rsidRDefault="00995241" w:rsidP="00BA74B3">
            <w:pPr>
              <w:rPr>
                <w:rFonts w:ascii="Arial" w:hAnsi="Arial" w:cs="Arial"/>
                <w:b/>
                <w:bCs/>
                <w:sz w:val="24"/>
                <w:szCs w:val="24"/>
              </w:rPr>
            </w:pPr>
          </w:p>
        </w:tc>
        <w:tc>
          <w:tcPr>
            <w:tcW w:w="6840" w:type="dxa"/>
            <w:vAlign w:val="bottom"/>
            <w:hideMark/>
          </w:tcPr>
          <w:p w14:paraId="578F42BA"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Introduction</w:t>
            </w:r>
          </w:p>
        </w:tc>
        <w:tc>
          <w:tcPr>
            <w:tcW w:w="1247" w:type="dxa"/>
          </w:tcPr>
          <w:p w14:paraId="2DFFBA87"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3</w:t>
            </w:r>
          </w:p>
        </w:tc>
        <w:tc>
          <w:tcPr>
            <w:tcW w:w="0" w:type="auto"/>
          </w:tcPr>
          <w:p w14:paraId="46A3A888" w14:textId="77777777" w:rsidR="00995241" w:rsidRPr="00B66C4E" w:rsidRDefault="00995241" w:rsidP="00BA74B3">
            <w:pPr>
              <w:rPr>
                <w:rFonts w:ascii="Arial" w:hAnsi="Arial" w:cs="Arial"/>
                <w:b/>
                <w:bCs/>
                <w:sz w:val="24"/>
                <w:szCs w:val="24"/>
              </w:rPr>
            </w:pPr>
          </w:p>
        </w:tc>
      </w:tr>
      <w:tr w:rsidR="00995241" w:rsidRPr="00B66C4E" w14:paraId="689B5795" w14:textId="77777777" w:rsidTr="00BA74B3">
        <w:trPr>
          <w:trHeight w:val="576"/>
        </w:trPr>
        <w:tc>
          <w:tcPr>
            <w:tcW w:w="0" w:type="auto"/>
            <w:vAlign w:val="bottom"/>
            <w:hideMark/>
          </w:tcPr>
          <w:p w14:paraId="053287EB"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1.</w:t>
            </w:r>
          </w:p>
        </w:tc>
        <w:tc>
          <w:tcPr>
            <w:tcW w:w="6840" w:type="dxa"/>
            <w:vAlign w:val="bottom"/>
            <w:hideMark/>
          </w:tcPr>
          <w:p w14:paraId="7E94F279"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From Employee Satisfaction to Experience Design: The New Frontier of Engagement</w:t>
            </w:r>
          </w:p>
        </w:tc>
        <w:tc>
          <w:tcPr>
            <w:tcW w:w="1247" w:type="dxa"/>
          </w:tcPr>
          <w:p w14:paraId="3326FD53"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3-6</w:t>
            </w:r>
          </w:p>
        </w:tc>
        <w:tc>
          <w:tcPr>
            <w:tcW w:w="0" w:type="auto"/>
          </w:tcPr>
          <w:p w14:paraId="79D12C3F" w14:textId="77777777" w:rsidR="00995241" w:rsidRPr="00B66C4E" w:rsidRDefault="00995241" w:rsidP="00BA74B3">
            <w:pPr>
              <w:rPr>
                <w:rFonts w:ascii="Arial" w:hAnsi="Arial" w:cs="Arial"/>
                <w:b/>
                <w:bCs/>
                <w:sz w:val="24"/>
                <w:szCs w:val="24"/>
              </w:rPr>
            </w:pPr>
          </w:p>
        </w:tc>
      </w:tr>
      <w:tr w:rsidR="00995241" w:rsidRPr="00B66C4E" w14:paraId="2B5CB505" w14:textId="77777777" w:rsidTr="00BA74B3">
        <w:trPr>
          <w:trHeight w:val="576"/>
        </w:trPr>
        <w:tc>
          <w:tcPr>
            <w:tcW w:w="0" w:type="auto"/>
            <w:vAlign w:val="bottom"/>
            <w:hideMark/>
          </w:tcPr>
          <w:p w14:paraId="2A7BE225"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2.</w:t>
            </w:r>
          </w:p>
        </w:tc>
        <w:tc>
          <w:tcPr>
            <w:tcW w:w="6840" w:type="dxa"/>
            <w:vAlign w:val="bottom"/>
            <w:hideMark/>
          </w:tcPr>
          <w:p w14:paraId="6D9F784F"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Agile HR and the Dissolution of Hierarchical Structures</w:t>
            </w:r>
          </w:p>
        </w:tc>
        <w:tc>
          <w:tcPr>
            <w:tcW w:w="1247" w:type="dxa"/>
          </w:tcPr>
          <w:p w14:paraId="19D76ADC"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6-7</w:t>
            </w:r>
          </w:p>
        </w:tc>
        <w:tc>
          <w:tcPr>
            <w:tcW w:w="0" w:type="auto"/>
          </w:tcPr>
          <w:p w14:paraId="782B2CA5" w14:textId="77777777" w:rsidR="00995241" w:rsidRPr="00B66C4E" w:rsidRDefault="00995241" w:rsidP="00BA74B3">
            <w:pPr>
              <w:rPr>
                <w:rFonts w:ascii="Arial" w:hAnsi="Arial" w:cs="Arial"/>
                <w:b/>
                <w:bCs/>
                <w:sz w:val="24"/>
                <w:szCs w:val="24"/>
              </w:rPr>
            </w:pPr>
          </w:p>
        </w:tc>
      </w:tr>
      <w:tr w:rsidR="00995241" w:rsidRPr="00B66C4E" w14:paraId="0C1EB589" w14:textId="77777777" w:rsidTr="00BA74B3">
        <w:trPr>
          <w:trHeight w:val="576"/>
        </w:trPr>
        <w:tc>
          <w:tcPr>
            <w:tcW w:w="0" w:type="auto"/>
            <w:vAlign w:val="bottom"/>
            <w:hideMark/>
          </w:tcPr>
          <w:p w14:paraId="1E995D0E"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3.</w:t>
            </w:r>
          </w:p>
        </w:tc>
        <w:tc>
          <w:tcPr>
            <w:tcW w:w="6840" w:type="dxa"/>
            <w:vAlign w:val="bottom"/>
            <w:hideMark/>
          </w:tcPr>
          <w:p w14:paraId="7C93AC90"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Global Virtual Teams: Redefining Collaboration Across Boundaries</w:t>
            </w:r>
          </w:p>
        </w:tc>
        <w:tc>
          <w:tcPr>
            <w:tcW w:w="1247" w:type="dxa"/>
          </w:tcPr>
          <w:p w14:paraId="484FFF48"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8-9</w:t>
            </w:r>
          </w:p>
        </w:tc>
        <w:tc>
          <w:tcPr>
            <w:tcW w:w="0" w:type="auto"/>
          </w:tcPr>
          <w:p w14:paraId="40014772" w14:textId="77777777" w:rsidR="00995241" w:rsidRPr="00B66C4E" w:rsidRDefault="00995241" w:rsidP="00BA74B3">
            <w:pPr>
              <w:rPr>
                <w:rFonts w:ascii="Arial" w:hAnsi="Arial" w:cs="Arial"/>
                <w:b/>
                <w:bCs/>
                <w:sz w:val="24"/>
                <w:szCs w:val="24"/>
              </w:rPr>
            </w:pPr>
          </w:p>
        </w:tc>
      </w:tr>
      <w:tr w:rsidR="00995241" w:rsidRPr="00B66C4E" w14:paraId="6E99A812" w14:textId="77777777" w:rsidTr="00BA74B3">
        <w:trPr>
          <w:trHeight w:val="576"/>
        </w:trPr>
        <w:tc>
          <w:tcPr>
            <w:tcW w:w="0" w:type="auto"/>
            <w:vAlign w:val="bottom"/>
            <w:hideMark/>
          </w:tcPr>
          <w:p w14:paraId="11270970"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4.</w:t>
            </w:r>
          </w:p>
        </w:tc>
        <w:tc>
          <w:tcPr>
            <w:tcW w:w="6840" w:type="dxa"/>
            <w:vAlign w:val="bottom"/>
            <w:hideMark/>
          </w:tcPr>
          <w:p w14:paraId="21A1B7CD"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Personal Competency Assessment: Navigating the Transformed HR Landscape</w:t>
            </w:r>
          </w:p>
        </w:tc>
        <w:tc>
          <w:tcPr>
            <w:tcW w:w="1247" w:type="dxa"/>
          </w:tcPr>
          <w:p w14:paraId="5414EA18" w14:textId="6014B0CD" w:rsidR="00995241" w:rsidRPr="00B66C4E" w:rsidRDefault="00995241" w:rsidP="00BA74B3">
            <w:pPr>
              <w:rPr>
                <w:rFonts w:ascii="Arial" w:hAnsi="Arial" w:cs="Arial"/>
                <w:b/>
                <w:bCs/>
                <w:sz w:val="24"/>
                <w:szCs w:val="24"/>
              </w:rPr>
            </w:pPr>
            <w:r>
              <w:rPr>
                <w:rFonts w:ascii="Arial" w:hAnsi="Arial" w:cs="Arial"/>
                <w:b/>
                <w:bCs/>
                <w:sz w:val="24"/>
                <w:szCs w:val="24"/>
              </w:rPr>
              <w:t xml:space="preserve"> 9-1</w:t>
            </w:r>
            <w:r w:rsidR="006412B1">
              <w:rPr>
                <w:rFonts w:ascii="Arial" w:hAnsi="Arial" w:cs="Arial"/>
                <w:b/>
                <w:bCs/>
                <w:sz w:val="24"/>
                <w:szCs w:val="24"/>
              </w:rPr>
              <w:t>3</w:t>
            </w:r>
          </w:p>
        </w:tc>
        <w:tc>
          <w:tcPr>
            <w:tcW w:w="0" w:type="auto"/>
          </w:tcPr>
          <w:p w14:paraId="41658485" w14:textId="77777777" w:rsidR="00995241" w:rsidRPr="00B66C4E" w:rsidRDefault="00995241" w:rsidP="00BA74B3">
            <w:pPr>
              <w:rPr>
                <w:rFonts w:ascii="Arial" w:hAnsi="Arial" w:cs="Arial"/>
                <w:b/>
                <w:bCs/>
                <w:sz w:val="24"/>
                <w:szCs w:val="24"/>
              </w:rPr>
            </w:pPr>
          </w:p>
        </w:tc>
      </w:tr>
      <w:tr w:rsidR="00995241" w:rsidRPr="00B66C4E" w14:paraId="6E971B83" w14:textId="77777777" w:rsidTr="00BA74B3">
        <w:trPr>
          <w:trHeight w:val="576"/>
        </w:trPr>
        <w:tc>
          <w:tcPr>
            <w:tcW w:w="0" w:type="auto"/>
            <w:vAlign w:val="bottom"/>
            <w:hideMark/>
          </w:tcPr>
          <w:p w14:paraId="17D1BEDD" w14:textId="77777777" w:rsidR="00995241" w:rsidRPr="00B66C4E" w:rsidRDefault="00995241" w:rsidP="00BA74B3">
            <w:pPr>
              <w:rPr>
                <w:rFonts w:ascii="Arial" w:hAnsi="Arial" w:cs="Arial"/>
                <w:b/>
                <w:bCs/>
                <w:sz w:val="24"/>
                <w:szCs w:val="24"/>
              </w:rPr>
            </w:pPr>
          </w:p>
        </w:tc>
        <w:tc>
          <w:tcPr>
            <w:tcW w:w="6840" w:type="dxa"/>
            <w:vAlign w:val="bottom"/>
            <w:hideMark/>
          </w:tcPr>
          <w:p w14:paraId="6493F5BB"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Conclusion</w:t>
            </w:r>
          </w:p>
        </w:tc>
        <w:tc>
          <w:tcPr>
            <w:tcW w:w="1247" w:type="dxa"/>
          </w:tcPr>
          <w:p w14:paraId="1B46F1C9" w14:textId="431B3128" w:rsidR="00995241" w:rsidRPr="00B66C4E" w:rsidRDefault="00995241" w:rsidP="00BA74B3">
            <w:pPr>
              <w:rPr>
                <w:rFonts w:ascii="Arial" w:hAnsi="Arial" w:cs="Arial"/>
                <w:b/>
                <w:bCs/>
                <w:sz w:val="24"/>
                <w:szCs w:val="24"/>
              </w:rPr>
            </w:pPr>
            <w:r>
              <w:rPr>
                <w:rFonts w:ascii="Arial" w:hAnsi="Arial" w:cs="Arial"/>
                <w:b/>
                <w:bCs/>
                <w:sz w:val="24"/>
                <w:szCs w:val="24"/>
              </w:rPr>
              <w:t xml:space="preserve"> 13</w:t>
            </w:r>
            <w:r w:rsidR="006412B1">
              <w:rPr>
                <w:rFonts w:ascii="Arial" w:hAnsi="Arial" w:cs="Arial"/>
                <w:b/>
                <w:bCs/>
                <w:sz w:val="24"/>
                <w:szCs w:val="24"/>
              </w:rPr>
              <w:t>-14</w:t>
            </w:r>
          </w:p>
        </w:tc>
        <w:tc>
          <w:tcPr>
            <w:tcW w:w="0" w:type="auto"/>
          </w:tcPr>
          <w:p w14:paraId="0BB66040" w14:textId="77777777" w:rsidR="00995241" w:rsidRPr="00B66C4E" w:rsidRDefault="00995241" w:rsidP="00BA74B3">
            <w:pPr>
              <w:rPr>
                <w:rFonts w:ascii="Arial" w:hAnsi="Arial" w:cs="Arial"/>
                <w:b/>
                <w:bCs/>
                <w:sz w:val="24"/>
                <w:szCs w:val="24"/>
              </w:rPr>
            </w:pPr>
          </w:p>
        </w:tc>
      </w:tr>
      <w:tr w:rsidR="00995241" w:rsidRPr="00B66C4E" w14:paraId="21505D66" w14:textId="77777777" w:rsidTr="00BA74B3">
        <w:trPr>
          <w:trHeight w:val="576"/>
        </w:trPr>
        <w:tc>
          <w:tcPr>
            <w:tcW w:w="0" w:type="auto"/>
            <w:vAlign w:val="bottom"/>
            <w:hideMark/>
          </w:tcPr>
          <w:p w14:paraId="36076D7F" w14:textId="77777777" w:rsidR="00995241" w:rsidRPr="00B66C4E" w:rsidRDefault="00995241" w:rsidP="00BA74B3">
            <w:pPr>
              <w:rPr>
                <w:rFonts w:ascii="Arial" w:hAnsi="Arial" w:cs="Arial"/>
                <w:b/>
                <w:bCs/>
                <w:sz w:val="24"/>
                <w:szCs w:val="24"/>
              </w:rPr>
            </w:pPr>
          </w:p>
        </w:tc>
        <w:tc>
          <w:tcPr>
            <w:tcW w:w="6840" w:type="dxa"/>
            <w:vAlign w:val="bottom"/>
            <w:hideMark/>
          </w:tcPr>
          <w:p w14:paraId="5600732F"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References</w:t>
            </w:r>
          </w:p>
        </w:tc>
        <w:tc>
          <w:tcPr>
            <w:tcW w:w="1247" w:type="dxa"/>
          </w:tcPr>
          <w:p w14:paraId="6A4FA7F1" w14:textId="123060AA" w:rsidR="00995241" w:rsidRPr="00B66C4E" w:rsidRDefault="00995241" w:rsidP="00BA74B3">
            <w:pPr>
              <w:rPr>
                <w:rFonts w:ascii="Arial" w:hAnsi="Arial" w:cs="Arial"/>
                <w:b/>
                <w:bCs/>
                <w:sz w:val="24"/>
                <w:szCs w:val="24"/>
              </w:rPr>
            </w:pPr>
            <w:r>
              <w:rPr>
                <w:rFonts w:ascii="Arial" w:hAnsi="Arial" w:cs="Arial"/>
                <w:b/>
                <w:bCs/>
                <w:sz w:val="24"/>
                <w:szCs w:val="24"/>
              </w:rPr>
              <w:t xml:space="preserve"> 1</w:t>
            </w:r>
            <w:r w:rsidR="006412B1">
              <w:rPr>
                <w:rFonts w:ascii="Arial" w:hAnsi="Arial" w:cs="Arial"/>
                <w:b/>
                <w:bCs/>
                <w:sz w:val="24"/>
                <w:szCs w:val="24"/>
              </w:rPr>
              <w:t>4</w:t>
            </w:r>
            <w:r>
              <w:rPr>
                <w:rFonts w:ascii="Arial" w:hAnsi="Arial" w:cs="Arial"/>
                <w:b/>
                <w:bCs/>
                <w:sz w:val="24"/>
                <w:szCs w:val="24"/>
              </w:rPr>
              <w:t>-16</w:t>
            </w:r>
          </w:p>
        </w:tc>
        <w:tc>
          <w:tcPr>
            <w:tcW w:w="0" w:type="auto"/>
          </w:tcPr>
          <w:p w14:paraId="0CEAA88A" w14:textId="77777777" w:rsidR="00995241" w:rsidRPr="00B66C4E" w:rsidRDefault="00995241" w:rsidP="00BA74B3">
            <w:pPr>
              <w:rPr>
                <w:rFonts w:ascii="Arial" w:hAnsi="Arial" w:cs="Arial"/>
                <w:b/>
                <w:bCs/>
                <w:sz w:val="24"/>
                <w:szCs w:val="24"/>
              </w:rPr>
            </w:pPr>
          </w:p>
        </w:tc>
      </w:tr>
    </w:tbl>
    <w:p w14:paraId="231BCC6D" w14:textId="77777777" w:rsidR="00995241" w:rsidRDefault="00995241" w:rsidP="00995241">
      <w:pPr>
        <w:rPr>
          <w:rFonts w:ascii="Arial" w:hAnsi="Arial" w:cs="Arial"/>
          <w:b/>
          <w:bCs/>
          <w:sz w:val="24"/>
          <w:szCs w:val="24"/>
        </w:rPr>
      </w:pPr>
      <w:r>
        <w:rPr>
          <w:rFonts w:ascii="Arial" w:hAnsi="Arial" w:cs="Arial"/>
          <w:b/>
          <w:bCs/>
          <w:sz w:val="24"/>
          <w:szCs w:val="24"/>
        </w:rPr>
        <w:br w:type="page"/>
      </w:r>
    </w:p>
    <w:p w14:paraId="7C7E382D" w14:textId="77777777" w:rsidR="00995241" w:rsidRPr="00E15654" w:rsidRDefault="00995241" w:rsidP="00995241">
      <w:pPr>
        <w:spacing w:line="360" w:lineRule="auto"/>
        <w:rPr>
          <w:rFonts w:ascii="Arial" w:hAnsi="Arial" w:cs="Arial"/>
          <w:b/>
          <w:bCs/>
          <w:sz w:val="24"/>
          <w:szCs w:val="24"/>
        </w:rPr>
      </w:pPr>
      <w:r w:rsidRPr="00E15654">
        <w:rPr>
          <w:rFonts w:ascii="Arial" w:hAnsi="Arial" w:cs="Arial"/>
          <w:b/>
          <w:bCs/>
          <w:sz w:val="24"/>
          <w:szCs w:val="24"/>
        </w:rPr>
        <w:lastRenderedPageBreak/>
        <w:t>INTRODUCTION</w:t>
      </w:r>
    </w:p>
    <w:p w14:paraId="113E1A99" w14:textId="7777777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The convergent forces of energising employees, democratising organisations, and the destruction of geographical boundaries in sourcing and utilisation of talent have had radical changes to Human Resource Management (HRM) (Ulrich and Dulebohn, 2015; Collings et al., 2019). These forces of evolution, as I can observe as a student of Bangladesh pursuing further studies in the field of Human Resource Management in one of the British universities, are differently expressed in developed and developing economies but all towards one set of imperatives - adaptability, inclusivity and innovation (Brewster et al., 2016; Cooke, 2018). The networked, flowing forms that are based on agency of employees, perpetual adjustment, and cross-border collaboration have substituted the command-and-control structures of the twentieth-century organisations (Boudreau and Jesuthasan, 2018; Cascio and Boudreau, 2016). The present piece of critical analysis explores three fundamental developments that are transforming the HRM practise in the modern times the shift towards the provision of employee satisfaction, toward the creation of a comprehensive experience (Morgan, 2017; Plaskoff, 2017), the shift between the hierarchical and the supple team-based systems (Rigby et al., 2016; Cappelli and Tavis, 2018) and the last, but not the least, the transition of teams which are now increasingly solving their problems globally, on a virtual level These changes introduce unprecedented changes and opportunities within the domestic HRM and IHRM fields where the practitioners must alter their skill sets, their paradigms and mental models (Wright and McMahan, 2011; Sparrow et al., 2017).</w:t>
      </w:r>
    </w:p>
    <w:p w14:paraId="168F29FD" w14:textId="7777777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The close segment of this analysis will conclude with a reflective assessment of the personal insights and skillsets that I have that are unique and will help me to adapt and succeed in the new normal - through the prism of my experience in negotiating between South Asian and Western managerial practices as an international student (Meyer, 2014; Hofstede and Minkov, 2013).</w:t>
      </w:r>
    </w:p>
    <w:p w14:paraId="0C0C3ED2" w14:textId="086DC5D4" w:rsidR="0056574F"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1. FROM EMPLOYEE SATISFACTION TO EXPERIENCE DESIGN: THE NEW FRONTIER OF ENGAGEMENT</w:t>
      </w:r>
    </w:p>
    <w:p w14:paraId="687130F0" w14:textId="421A7521" w:rsidR="00995241" w:rsidRPr="0056574F" w:rsidRDefault="00995241" w:rsidP="00995241">
      <w:pPr>
        <w:spacing w:line="360" w:lineRule="auto"/>
        <w:jc w:val="both"/>
        <w:rPr>
          <w:rFonts w:ascii="Arial" w:hAnsi="Arial" w:cs="Arial"/>
          <w:b/>
          <w:bCs/>
          <w:sz w:val="24"/>
          <w:szCs w:val="24"/>
        </w:rPr>
      </w:pPr>
      <w:r w:rsidRPr="0044765C">
        <w:rPr>
          <w:rFonts w:ascii="Arial" w:hAnsi="Arial" w:cs="Arial"/>
          <w:sz w:val="24"/>
          <w:szCs w:val="24"/>
        </w:rPr>
        <w:t xml:space="preserve">Employee engagement has been an emergent notion that in most of its forms is simply an enhanced and holistic version of employee </w:t>
      </w:r>
      <w:r>
        <w:rPr>
          <w:rFonts w:ascii="Arial" w:hAnsi="Arial" w:cs="Arial"/>
          <w:sz w:val="24"/>
          <w:szCs w:val="24"/>
        </w:rPr>
        <w:t>gratification</w:t>
      </w:r>
      <w:r w:rsidRPr="0044765C">
        <w:rPr>
          <w:rFonts w:ascii="Arial" w:hAnsi="Arial" w:cs="Arial"/>
          <w:sz w:val="24"/>
          <w:szCs w:val="24"/>
        </w:rPr>
        <w:t xml:space="preserve"> - where we are currently creating </w:t>
      </w:r>
      <w:r w:rsidRPr="0044765C">
        <w:rPr>
          <w:rFonts w:ascii="Arial" w:hAnsi="Arial" w:cs="Arial"/>
          <w:sz w:val="24"/>
          <w:szCs w:val="24"/>
        </w:rPr>
        <w:lastRenderedPageBreak/>
        <w:t xml:space="preserve">employee experience across all the touchpoints in the employee journey. According to Plaskoff (2017), the principles of design thinking applied to the employee experience give the same value as the investments made to the customer experience, thus transforming the very notions organisations use to approach their talent practices. This shift is not just semantic shift, but it is also a manifestation of a cultural shift in how employees are viewed as the components that can be assembled to make the organizational value and culture. </w:t>
      </w:r>
    </w:p>
    <w:p w14:paraId="596F55DB" w14:textId="77777777" w:rsidR="00995241" w:rsidRDefault="00995241" w:rsidP="00995241">
      <w:pPr>
        <w:spacing w:line="360" w:lineRule="auto"/>
        <w:jc w:val="both"/>
        <w:rPr>
          <w:rFonts w:ascii="Arial" w:hAnsi="Arial" w:cs="Arial"/>
          <w:sz w:val="24"/>
          <w:szCs w:val="24"/>
        </w:rPr>
      </w:pPr>
    </w:p>
    <w:p w14:paraId="1F3DA2BB" w14:textId="77777777" w:rsidR="00995241" w:rsidRDefault="00995241" w:rsidP="00995241">
      <w:pPr>
        <w:spacing w:line="360" w:lineRule="auto"/>
        <w:jc w:val="both"/>
        <w:rPr>
          <w:rFonts w:ascii="Arial" w:hAnsi="Arial" w:cs="Arial"/>
          <w:sz w:val="24"/>
          <w:szCs w:val="24"/>
        </w:rPr>
      </w:pPr>
    </w:p>
    <w:p w14:paraId="1A989031" w14:textId="77777777" w:rsidR="00995241" w:rsidRDefault="00995241" w:rsidP="00995241">
      <w:pPr>
        <w:spacing w:line="360" w:lineRule="auto"/>
        <w:jc w:val="both"/>
        <w:rPr>
          <w:rFonts w:ascii="Arial" w:hAnsi="Arial" w:cs="Arial"/>
          <w:sz w:val="24"/>
          <w:szCs w:val="24"/>
        </w:rPr>
      </w:pPr>
    </w:p>
    <w:p w14:paraId="69E05A60" w14:textId="77777777" w:rsidR="00995241" w:rsidRPr="00D80CF2" w:rsidRDefault="00995241" w:rsidP="00995241">
      <w:pPr>
        <w:spacing w:line="360" w:lineRule="auto"/>
        <w:ind w:left="720"/>
        <w:jc w:val="both"/>
        <w:rPr>
          <w:rFonts w:ascii="Arial" w:hAnsi="Arial" w:cs="Arial"/>
          <w:szCs w:val="24"/>
        </w:rPr>
      </w:pPr>
      <w:r>
        <w:rPr>
          <w:rFonts w:ascii="Arial" w:hAnsi="Arial" w:cs="Arial"/>
          <w:noProof/>
          <w:sz w:val="24"/>
          <w:szCs w:val="24"/>
        </w:rPr>
        <w:drawing>
          <wp:anchor distT="0" distB="0" distL="114300" distR="114300" simplePos="0" relativeHeight="251659264" behindDoc="1" locked="0" layoutInCell="1" allowOverlap="1" wp14:anchorId="24291DC5" wp14:editId="5867D67F">
            <wp:simplePos x="0" y="0"/>
            <wp:positionH relativeFrom="column">
              <wp:posOffset>-274320</wp:posOffset>
            </wp:positionH>
            <wp:positionV relativeFrom="paragraph">
              <wp:posOffset>89</wp:posOffset>
            </wp:positionV>
            <wp:extent cx="6271818" cy="3279051"/>
            <wp:effectExtent l="0" t="0" r="0" b="0"/>
            <wp:wrapTight wrapText="bothSides">
              <wp:wrapPolygon edited="0">
                <wp:start x="0" y="0"/>
                <wp:lineTo x="0" y="21462"/>
                <wp:lineTo x="21521" y="21462"/>
                <wp:lineTo x="21521" y="0"/>
                <wp:lineTo x="0" y="0"/>
              </wp:wrapPolygon>
            </wp:wrapTight>
            <wp:docPr id="1682740509" name="Picture 3" descr="A diagram of a company's design methodolo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40509" name="Picture 3" descr="A diagram of a company's design methodolog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79392" cy="3283011"/>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    Source: </w:t>
      </w:r>
      <w:r w:rsidRPr="00D80CF2">
        <w:rPr>
          <w:rFonts w:ascii="Arial" w:hAnsi="Arial" w:cs="Arial"/>
          <w:szCs w:val="24"/>
        </w:rPr>
        <w:t>Employee Experience Design Methodology (Artofit, 2022)</w:t>
      </w:r>
    </w:p>
    <w:p w14:paraId="5EF80604" w14:textId="77777777" w:rsidR="00995241" w:rsidRDefault="00995241" w:rsidP="00995241">
      <w:pPr>
        <w:spacing w:line="360" w:lineRule="auto"/>
        <w:jc w:val="both"/>
        <w:rPr>
          <w:rFonts w:ascii="Arial" w:hAnsi="Arial" w:cs="Arial"/>
          <w:sz w:val="24"/>
          <w:szCs w:val="24"/>
        </w:rPr>
      </w:pPr>
    </w:p>
    <w:p w14:paraId="6C0BABEE" w14:textId="70EF2F2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 xml:space="preserve">With end-to-end journey mapping, </w:t>
      </w:r>
      <w:r>
        <w:rPr>
          <w:rFonts w:ascii="Arial" w:hAnsi="Arial" w:cs="Arial"/>
          <w:sz w:val="24"/>
          <w:szCs w:val="24"/>
        </w:rPr>
        <w:t>new</w:t>
      </w:r>
      <w:r w:rsidRPr="0044765C">
        <w:rPr>
          <w:rFonts w:ascii="Arial" w:hAnsi="Arial" w:cs="Arial"/>
          <w:sz w:val="24"/>
          <w:szCs w:val="24"/>
        </w:rPr>
        <w:t xml:space="preserve"> HRM practitioners are redefining the employee experience to determine and enhance defining moments in the employee life cycle. As an example, the Employee Experience department at Airbnb (the reinvented HR) is aimed at creating the kind of memorable experience that would emphasize the cultural principles and personal sense of mission (Morgan, 2017). Technology giant Cisco developed elaborate</w:t>
      </w:r>
      <w:r w:rsidR="0056574F">
        <w:rPr>
          <w:rFonts w:ascii="Arial" w:hAnsi="Arial" w:cs="Arial"/>
          <w:sz w:val="24"/>
          <w:szCs w:val="24"/>
        </w:rPr>
        <w:t xml:space="preserve"> </w:t>
      </w:r>
      <w:r w:rsidRPr="0044765C">
        <w:rPr>
          <w:rFonts w:ascii="Arial" w:hAnsi="Arial" w:cs="Arial"/>
          <w:sz w:val="24"/>
          <w:szCs w:val="24"/>
        </w:rPr>
        <w:lastRenderedPageBreak/>
        <w:t xml:space="preserve">profiles of its employees through ethnographic studies that charted out the different groups within its workforce to customize experiences according to different requirements with an engagement score 30 higher than any other industry (Bersin, 2018). They require cross-disciplinary solutions that incorporate behavioural psychology with service design and data analytics to provide meaningful and valuable experiences that will attract more diverse workforce than they did in the past. </w:t>
      </w:r>
    </w:p>
    <w:p w14:paraId="16CFB98E" w14:textId="7777777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 xml:space="preserve">The fact that experience design principles can be implemented in an IHRM background compounds the necessity to have culturally aware and localised approaches. The cultural variations do count- Sull and Sull (2018) demonstrate that populations in collectivistic cultures cherish the community and belong to the collective experience when designing employee experience, whereas individualistic cultures pay more attention to personal and professional growth, which can be vividly observed in the data gathered in 89 countries. These distinctions were further brought out as I went through my own experience of transition between the relationship-based working culture in Bangladesh to the task-based working culture in the UK. Hierarchical organisations in Bangladesh consider personal investment, family activities, and integration in society whereas British companies focus on professional development, work-life, and self-fulfilment (Ahmed and Islam, 2019). To deliver on this, the successful global organisations will need to formulate experience frameworks that are flexible enough to accommodate this distinction in cultures without compromising on cohesive employer brand propositions. Second, the disparity in laws of a single jurisdiction to another also constrains the </w:t>
      </w:r>
      <w:r>
        <w:rPr>
          <w:rFonts w:ascii="Arial" w:hAnsi="Arial" w:cs="Arial"/>
          <w:sz w:val="24"/>
          <w:szCs w:val="24"/>
        </w:rPr>
        <w:t>pleasure</w:t>
      </w:r>
      <w:r w:rsidRPr="0044765C">
        <w:rPr>
          <w:rFonts w:ascii="Arial" w:hAnsi="Arial" w:cs="Arial"/>
          <w:sz w:val="24"/>
          <w:szCs w:val="24"/>
        </w:rPr>
        <w:t xml:space="preserve"> of performance of experience design further (Brewster and Mayrhofer, 2018); in the European countries, such as minimum leave policies and protections of workers </w:t>
      </w:r>
      <w:r>
        <w:rPr>
          <w:rFonts w:ascii="Arial" w:hAnsi="Arial" w:cs="Arial"/>
          <w:sz w:val="24"/>
          <w:szCs w:val="24"/>
        </w:rPr>
        <w:t>vindicate</w:t>
      </w:r>
      <w:r w:rsidRPr="0044765C">
        <w:rPr>
          <w:rFonts w:ascii="Arial" w:hAnsi="Arial" w:cs="Arial"/>
          <w:sz w:val="24"/>
          <w:szCs w:val="24"/>
        </w:rPr>
        <w:t xml:space="preserve"> the role of minimum standards that are far apart than in Asian-Pacific markets.</w:t>
      </w:r>
    </w:p>
    <w:p w14:paraId="3A0E4C3C" w14:textId="77777777" w:rsidR="00995241" w:rsidRDefault="00995241" w:rsidP="00995241">
      <w:pPr>
        <w:spacing w:line="360" w:lineRule="auto"/>
        <w:jc w:val="both"/>
        <w:rPr>
          <w:rFonts w:ascii="Arial" w:hAnsi="Arial" w:cs="Arial"/>
          <w:sz w:val="24"/>
          <w:szCs w:val="24"/>
        </w:rPr>
      </w:pPr>
    </w:p>
    <w:p w14:paraId="518F76DB" w14:textId="77777777" w:rsidR="00995241" w:rsidRPr="00E15654" w:rsidRDefault="00995241" w:rsidP="0099524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29CAE5D" wp14:editId="6FD9F2A9">
            <wp:extent cx="5731510" cy="3806190"/>
            <wp:effectExtent l="0" t="0" r="2540" b="3810"/>
            <wp:docPr id="453819870" name="Picture 2" descr="A diagram of a delivery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19870" name="Picture 2" descr="A diagram of a delivery model&#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07CFA054" w14:textId="77777777" w:rsidR="00995241" w:rsidRPr="00690345" w:rsidRDefault="00995241" w:rsidP="00995241">
      <w:pPr>
        <w:spacing w:line="360" w:lineRule="auto"/>
        <w:ind w:left="720"/>
        <w:jc w:val="both"/>
        <w:rPr>
          <w:rFonts w:ascii="Arial" w:hAnsi="Arial" w:cs="Arial"/>
          <w:b/>
          <w:bCs/>
          <w:szCs w:val="24"/>
        </w:rPr>
      </w:pPr>
      <w:r>
        <w:rPr>
          <w:rFonts w:ascii="Arial" w:hAnsi="Arial" w:cs="Arial"/>
          <w:b/>
          <w:bCs/>
          <w:sz w:val="24"/>
          <w:szCs w:val="24"/>
        </w:rPr>
        <w:t xml:space="preserve">Source: </w:t>
      </w:r>
      <w:r w:rsidRPr="00690345">
        <w:rPr>
          <w:rFonts w:ascii="Arial" w:hAnsi="Arial" w:cs="Arial"/>
          <w:b/>
          <w:bCs/>
          <w:szCs w:val="24"/>
        </w:rPr>
        <w:t>Experience-Driven HR Service Delivery Model (AIHR, 2023)</w:t>
      </w:r>
    </w:p>
    <w:p w14:paraId="43467827" w14:textId="77777777" w:rsidR="00995241" w:rsidRDefault="00995241" w:rsidP="00995241">
      <w:pPr>
        <w:spacing w:line="360" w:lineRule="auto"/>
        <w:jc w:val="both"/>
        <w:rPr>
          <w:rFonts w:ascii="Arial" w:hAnsi="Arial" w:cs="Arial"/>
          <w:b/>
          <w:bCs/>
          <w:sz w:val="24"/>
          <w:szCs w:val="24"/>
        </w:rPr>
      </w:pPr>
      <w:r>
        <w:rPr>
          <w:rFonts w:ascii="Arial" w:hAnsi="Arial" w:cs="Arial"/>
          <w:b/>
          <w:bCs/>
          <w:sz w:val="24"/>
          <w:szCs w:val="24"/>
        </w:rPr>
        <w:t xml:space="preserve"> </w:t>
      </w:r>
    </w:p>
    <w:p w14:paraId="017C4E82" w14:textId="77777777" w:rsidR="00995241" w:rsidRDefault="00995241" w:rsidP="00995241">
      <w:pPr>
        <w:spacing w:line="360" w:lineRule="auto"/>
        <w:jc w:val="both"/>
        <w:rPr>
          <w:rFonts w:ascii="Arial" w:hAnsi="Arial" w:cs="Arial"/>
          <w:b/>
          <w:bCs/>
          <w:sz w:val="24"/>
          <w:szCs w:val="24"/>
        </w:rPr>
      </w:pPr>
    </w:p>
    <w:p w14:paraId="18DC78A4" w14:textId="77777777"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2. AGILE HR AND THE DISSOLUTION OF HIERARCHICAL STRUCTURES</w:t>
      </w:r>
    </w:p>
    <w:p w14:paraId="5D0CF3E2" w14:textId="4D885BF3" w:rsidR="00995241" w:rsidRPr="0037026C"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principles behind Agile, which were </w:t>
      </w:r>
      <w:r>
        <w:rPr>
          <w:rFonts w:ascii="Arial" w:hAnsi="Arial" w:cs="Arial"/>
          <w:sz w:val="24"/>
          <w:szCs w:val="24"/>
        </w:rPr>
        <w:t>principally</w:t>
      </w:r>
      <w:r w:rsidRPr="00860FE0">
        <w:rPr>
          <w:rFonts w:ascii="Arial" w:hAnsi="Arial" w:cs="Arial"/>
          <w:sz w:val="24"/>
          <w:szCs w:val="24"/>
        </w:rPr>
        <w:t xml:space="preserve"> formulated in software </w:t>
      </w:r>
      <w:r w:rsidR="006412B1" w:rsidRPr="00860FE0">
        <w:rPr>
          <w:rFonts w:ascii="Arial" w:hAnsi="Arial" w:cs="Arial"/>
          <w:sz w:val="24"/>
          <w:szCs w:val="24"/>
        </w:rPr>
        <w:t>development,</w:t>
      </w:r>
      <w:r w:rsidRPr="00860FE0">
        <w:rPr>
          <w:rFonts w:ascii="Arial" w:hAnsi="Arial" w:cs="Arial"/>
          <w:sz w:val="24"/>
          <w:szCs w:val="24"/>
        </w:rPr>
        <w:t xml:space="preserve"> have permanently transformed the character of the organisational design and HR operating models. Rigby et al. As it is stated in (2016), agile methodologies rely on self-organising teams, a cycle of iterations, and continuous feedback loops to respond to the changes in the market as rapidly as possible. It extends far beyond the project management to complete organisational architecture change, disingratiating hierarchical organisation, and rebranding HR as process guardian as process enablement catalyst.</w:t>
      </w:r>
    </w:p>
    <w:p w14:paraId="54F5154E" w14:textId="0DD86C36"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most progressive organisations are no longer creating functional silos and instead they are starting to create self-organising multi-disciplinary teams which focus on the customer outcome and not the internal process. A significant way this has remained evident has been </w:t>
      </w:r>
      <w:r w:rsidRPr="00860FE0">
        <w:rPr>
          <w:rFonts w:ascii="Arial" w:hAnsi="Arial" w:cs="Arial"/>
          <w:sz w:val="24"/>
          <w:szCs w:val="24"/>
        </w:rPr>
        <w:lastRenderedPageBreak/>
        <w:t xml:space="preserve">what Spotify terms as a tribe model, where employees are organized into independent </w:t>
      </w:r>
      <w:r w:rsidR="00E81A06">
        <w:rPr>
          <w:rFonts w:ascii="Arial" w:hAnsi="Arial" w:cs="Arial"/>
          <w:sz w:val="24"/>
          <w:szCs w:val="24"/>
        </w:rPr>
        <w:t>team</w:t>
      </w:r>
      <w:r w:rsidRPr="00860FE0">
        <w:rPr>
          <w:rFonts w:ascii="Arial" w:hAnsi="Arial" w:cs="Arial"/>
          <w:sz w:val="24"/>
          <w:szCs w:val="24"/>
        </w:rPr>
        <w:t xml:space="preserve">, </w:t>
      </w:r>
      <w:r w:rsidR="00E81A06">
        <w:rPr>
          <w:rFonts w:ascii="Arial" w:hAnsi="Arial" w:cs="Arial"/>
          <w:sz w:val="24"/>
          <w:szCs w:val="24"/>
        </w:rPr>
        <w:t>nation</w:t>
      </w:r>
      <w:r w:rsidRPr="00860FE0">
        <w:rPr>
          <w:rFonts w:ascii="Arial" w:hAnsi="Arial" w:cs="Arial"/>
          <w:sz w:val="24"/>
          <w:szCs w:val="24"/>
        </w:rPr>
        <w:t xml:space="preserve">, chapters, and </w:t>
      </w:r>
      <w:r w:rsidR="00E81A06">
        <w:rPr>
          <w:rFonts w:ascii="Arial" w:hAnsi="Arial" w:cs="Arial"/>
          <w:sz w:val="24"/>
          <w:szCs w:val="24"/>
        </w:rPr>
        <w:t>establishment</w:t>
      </w:r>
      <w:r w:rsidRPr="00860FE0">
        <w:rPr>
          <w:rFonts w:ascii="Arial" w:hAnsi="Arial" w:cs="Arial"/>
          <w:sz w:val="24"/>
          <w:szCs w:val="24"/>
        </w:rPr>
        <w:t xml:space="preserve"> to </w:t>
      </w:r>
      <w:r w:rsidR="009363CC">
        <w:rPr>
          <w:rFonts w:ascii="Arial" w:hAnsi="Arial" w:cs="Arial"/>
          <w:sz w:val="24"/>
          <w:szCs w:val="24"/>
        </w:rPr>
        <w:t>compatibility</w:t>
      </w:r>
      <w:r w:rsidRPr="00860FE0">
        <w:rPr>
          <w:rFonts w:ascii="Arial" w:hAnsi="Arial" w:cs="Arial"/>
          <w:sz w:val="24"/>
          <w:szCs w:val="24"/>
        </w:rPr>
        <w:t xml:space="preserve"> between autonomy and alignment (Kniberg and Ivarsson, 2012). In the Dutch banking organization ING, all traditional departments were moved away, and the 3,500 employees headquartered in the company transformed into agile squads, enabling product development to be faster, more satisfied customers, and employees (Barton et al, 2018). And even those structural changes require a total overhaul of HR processes, including the performance management systems based on the examination of teams over individuals, and the compensation systems that would encourage teamwork over individual achievement, learning as well as achievement, and horizontal rather than vertical promotion. </w:t>
      </w:r>
    </w:p>
    <w:p w14:paraId="593F3E95"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Implementation of agile HR capabilities, how to HR agile application in global organisations, challenges and obstacles in agile HR implementation Hurdles and challenges of agile in HR fertility and capability differences cultural preparedness, regulatory constraint, enterprise and enterprise HR leadership capabilities In comparison to the principles of agile (self-organisation, distributed decision-making) the power distance dimension in Hofstede remains of high relevance as in the case of most Asian and Middle Eastern countries; the hierarchies are expected (Hofstede and Minkov, 2013). I have been exposed to both hierarchies and British flatter organisations in Bangladesh, and this has helped me realise the radical transformations that need to be made in the mindset. Agile practices should be adopted within complicated change management in a country where the power and seniority play a very significant role in the workplace dynamics, such as Bangladesh, where agile practices must be introduced in a manner that not only allows preserving dignity but also promoting participation (Khan and Panday, 2018). Additionally, labour laws in most European states like the presence of the works councils, and industry-wide collective bargaining agreements which restrict the manoeuvre space of organisations complicate agile changes (Arrowsmith and Parker 2013). Global agile transformations should be won with intricate methods that would adjust the implementation to the local context without losing the major postulates of responsiveness and empowerment.</w:t>
      </w:r>
    </w:p>
    <w:p w14:paraId="0DC20170" w14:textId="77777777" w:rsidR="0056574F" w:rsidRDefault="0056574F" w:rsidP="00995241">
      <w:pPr>
        <w:spacing w:line="360" w:lineRule="auto"/>
        <w:jc w:val="both"/>
        <w:rPr>
          <w:rFonts w:ascii="Arial" w:hAnsi="Arial" w:cs="Arial"/>
          <w:sz w:val="24"/>
          <w:szCs w:val="24"/>
        </w:rPr>
      </w:pPr>
    </w:p>
    <w:p w14:paraId="341DCDE3" w14:textId="22F0DFAF"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lastRenderedPageBreak/>
        <w:t>3. GLOBAL VIRTUAL TEAMS: REDEFINING COLLABORATION ACROSS BOUNDARIES</w:t>
      </w:r>
    </w:p>
    <w:p w14:paraId="76705FFE"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C</w:t>
      </w:r>
      <w:r>
        <w:rPr>
          <w:rFonts w:ascii="Arial" w:hAnsi="Arial" w:cs="Arial"/>
          <w:sz w:val="24"/>
          <w:szCs w:val="24"/>
        </w:rPr>
        <w:t>onnected</w:t>
      </w:r>
      <w:r w:rsidRPr="00860FE0">
        <w:rPr>
          <w:rFonts w:ascii="Arial" w:hAnsi="Arial" w:cs="Arial"/>
          <w:sz w:val="24"/>
          <w:szCs w:val="24"/>
        </w:rPr>
        <w:t xml:space="preserve"> with the recently established trend of remote working which has been caused by the pandemic, the introduction of global virtual teams has transformed how organisations acquire and employ talent beyond the geographical boundaries. According to Gilson et al. (2015), virtual teams are becoming a permanent aspect of organisational life that causes new forms of leadership, new collaboration technologies and mechanisms of crossing cultures. Nevertheless, it is more than a remote work policy because it has become a multi-geo collaboration in exchange of talent and solutions with all the corners of the planet and in face of time zone, language and cultural dilemmas.</w:t>
      </w:r>
    </w:p>
    <w:p w14:paraId="501F8E01" w14:textId="50BEE6C1" w:rsidR="00995241" w:rsidRPr="0037026C"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Innovative organisations are developing sophisticated models of virtual team performance that include both technological and personal dimensions of distributed cooperation. Automattic, the company that owns WordPress, has more than 1,300 employees distributed in 77 countries and proves that the complex software development can be done without having to be co-located (Mullenweg and Berkun, 2020). In a bid to overcome the so-called disrupted informal interaction caused by remote work, SAP has launched so-called virtual coffee breaks and virtual water coolers to recreate informal interaction that is essential in developing relationships and sharing tacit knowledge between teams across geographical boundaries (Neeley, 2021). This work is informed by the fact that good virtual collaboration is not a miracle but something that must be planned, and not only in terms of formal processes, but also informal intercourse which must develop trust, </w:t>
      </w:r>
      <w:r w:rsidR="009363CC">
        <w:rPr>
          <w:rFonts w:ascii="Arial" w:hAnsi="Arial" w:cs="Arial"/>
          <w:sz w:val="24"/>
          <w:szCs w:val="24"/>
        </w:rPr>
        <w:t>conceptual</w:t>
      </w:r>
      <w:r w:rsidRPr="00860FE0">
        <w:rPr>
          <w:rFonts w:ascii="Arial" w:hAnsi="Arial" w:cs="Arial"/>
          <w:sz w:val="24"/>
          <w:szCs w:val="24"/>
        </w:rPr>
        <w:t xml:space="preserve"> </w:t>
      </w:r>
      <w:r w:rsidR="009363CC">
        <w:rPr>
          <w:rFonts w:ascii="Arial" w:hAnsi="Arial" w:cs="Arial"/>
          <w:sz w:val="24"/>
          <w:szCs w:val="24"/>
        </w:rPr>
        <w:t>protection</w:t>
      </w:r>
      <w:r w:rsidRPr="00860FE0">
        <w:rPr>
          <w:rFonts w:ascii="Arial" w:hAnsi="Arial" w:cs="Arial"/>
          <w:sz w:val="24"/>
          <w:szCs w:val="24"/>
        </w:rPr>
        <w:t xml:space="preserve"> and a </w:t>
      </w:r>
      <w:r w:rsidR="009363CC">
        <w:rPr>
          <w:rFonts w:ascii="Arial" w:hAnsi="Arial" w:cs="Arial"/>
          <w:sz w:val="24"/>
          <w:szCs w:val="24"/>
        </w:rPr>
        <w:t>feeling</w:t>
      </w:r>
      <w:r w:rsidRPr="00860FE0">
        <w:rPr>
          <w:rFonts w:ascii="Arial" w:hAnsi="Arial" w:cs="Arial"/>
          <w:sz w:val="24"/>
          <w:szCs w:val="24"/>
        </w:rPr>
        <w:t xml:space="preserve"> of common identity within the physical space.</w:t>
      </w:r>
    </w:p>
    <w:p w14:paraId="6597AA95"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opportunity of global virtual team through IHRM implications extends beyond the technology provision to include complicated legal, cultural and operational consideration. When the team has members working in different jurisdictions, the employment law is infinitely complicated (Collings and Isischei, 2018) and the variations in working hours, data privacy, and employment rights (or not) and numerous other factors arise. The cultural difference exist affect the communications styles and decision making process and relationship building, virtual teams have to address the digital divides of technological infrastructure and digital literacy across locales, although the UK team members have access </w:t>
      </w:r>
      <w:r w:rsidRPr="00860FE0">
        <w:rPr>
          <w:rFonts w:ascii="Arial" w:hAnsi="Arial" w:cs="Arial"/>
          <w:sz w:val="24"/>
          <w:szCs w:val="24"/>
        </w:rPr>
        <w:lastRenderedPageBreak/>
        <w:t>to high-speed internet and superior tools to support the collaboration process, team members in Bangladesh face constraints due to infrastructural factors where the quality of participation depends (Islam and Slack, 2016). Dealing with global virtual teams of such contrasting differences requires delicate skills that despite result in localization without jeopardizing an inclusive and fair range imperative.</w:t>
      </w:r>
    </w:p>
    <w:p w14:paraId="0677F764" w14:textId="77777777" w:rsidR="00995241" w:rsidRDefault="00995241" w:rsidP="00995241">
      <w:pPr>
        <w:spacing w:line="360" w:lineRule="auto"/>
        <w:jc w:val="both"/>
        <w:rPr>
          <w:rFonts w:ascii="Arial" w:hAnsi="Arial" w:cs="Arial"/>
          <w:sz w:val="24"/>
          <w:szCs w:val="24"/>
        </w:rPr>
      </w:pPr>
    </w:p>
    <w:p w14:paraId="435A61F6" w14:textId="77777777"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4. PERSONAL COMPETENCY ASSESSMENT: NAVIGATING THE TRANSFORMED HR LANDSCAPE</w:t>
      </w:r>
    </w:p>
    <w:p w14:paraId="7D6D01C4"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As a student of Bangladeshi background, I will have to employ these competencies to be ready to the regulations of HRM Linguistic, Technological and strategic dimensions. This reflection will evaluate my current preparedness and the best development priorities in 5 essential areas.</w:t>
      </w:r>
    </w:p>
    <w:p w14:paraId="59E9AF84"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Workforce Experience Design &amp; Systemic Thinking</w:t>
      </w:r>
    </w:p>
    <w:p w14:paraId="74FF49C5" w14:textId="1BD696B8"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Bangladesh experience migration to the UK has fostered a sense of difference in experience. As a consultant in a university, I developed an international student journey map, which showed some difficulties not previously known to domestic students, and led to some recommendations to be implemented by the university. This was constructed out of the analytical background which was built based on my engineering background and it aided in the development of system thinking. Yet, I do not have any formal education in design thinking practices. In cases when it has to be mechanically broken down on paper, My mind stumbles and finds itself in a snowball of numbers and fictions, I ignore the emotional part, as well, having been trained in a highly hierarchical education system in Bangladesh, at times I am lost in the co-creative processes of the very fabric of experience design. To cope with it, I will complete the certification of Design Thinking of HR offered by IDEO. I will use those methods to a project that reinvents an onboarding process of international employees to a</w:t>
      </w:r>
      <w:r w:rsidR="0056574F">
        <w:rPr>
          <w:rFonts w:ascii="Arial" w:hAnsi="Arial" w:cs="Arial"/>
          <w:sz w:val="24"/>
          <w:szCs w:val="24"/>
        </w:rPr>
        <w:t xml:space="preserve"> </w:t>
      </w:r>
      <w:r w:rsidRPr="00860FE0">
        <w:rPr>
          <w:rFonts w:ascii="Arial" w:hAnsi="Arial" w:cs="Arial"/>
          <w:sz w:val="24"/>
          <w:szCs w:val="24"/>
        </w:rPr>
        <w:lastRenderedPageBreak/>
        <w:t xml:space="preserve">local company. I will also conduct ethnographic research of professionals of other </w:t>
      </w:r>
      <w:r>
        <w:rPr>
          <w:rFonts w:ascii="Arial" w:hAnsi="Arial" w:cs="Arial"/>
          <w:noProof/>
          <w:sz w:val="24"/>
          <w:szCs w:val="24"/>
        </w:rPr>
        <w:drawing>
          <wp:anchor distT="0" distB="0" distL="114300" distR="114300" simplePos="0" relativeHeight="251660288" behindDoc="1" locked="0" layoutInCell="1" allowOverlap="1" wp14:anchorId="173F252C" wp14:editId="6C81D27D">
            <wp:simplePos x="0" y="0"/>
            <wp:positionH relativeFrom="margin">
              <wp:align>center</wp:align>
            </wp:positionH>
            <wp:positionV relativeFrom="paragraph">
              <wp:posOffset>609600</wp:posOffset>
            </wp:positionV>
            <wp:extent cx="6424930" cy="3627120"/>
            <wp:effectExtent l="0" t="0" r="0" b="0"/>
            <wp:wrapTight wrapText="bothSides">
              <wp:wrapPolygon edited="0">
                <wp:start x="0" y="0"/>
                <wp:lineTo x="0" y="21441"/>
                <wp:lineTo x="21519" y="21441"/>
                <wp:lineTo x="21519" y="0"/>
                <wp:lineTo x="0" y="0"/>
              </wp:wrapPolygon>
            </wp:wrapTight>
            <wp:docPr id="168919725" name="Picture 4" descr="A diagram of a human resources experience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9725" name="Picture 4" descr="A diagram of a human resources experience map&#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424930" cy="3627120"/>
                    </a:xfrm>
                    <a:prstGeom prst="rect">
                      <a:avLst/>
                    </a:prstGeom>
                  </pic:spPr>
                </pic:pic>
              </a:graphicData>
            </a:graphic>
            <wp14:sizeRelH relativeFrom="margin">
              <wp14:pctWidth>0</wp14:pctWidth>
            </wp14:sizeRelH>
            <wp14:sizeRelV relativeFrom="margin">
              <wp14:pctHeight>0</wp14:pctHeight>
            </wp14:sizeRelV>
          </wp:anchor>
        </w:drawing>
      </w:r>
      <w:r w:rsidRPr="00860FE0">
        <w:rPr>
          <w:rFonts w:ascii="Arial" w:hAnsi="Arial" w:cs="Arial"/>
          <w:sz w:val="24"/>
          <w:szCs w:val="24"/>
        </w:rPr>
        <w:t>culture backgrounds to establish multi-layered employee personas.</w:t>
      </w:r>
    </w:p>
    <w:p w14:paraId="00BDFD36" w14:textId="77777777" w:rsidR="00995241" w:rsidRDefault="00995241" w:rsidP="00995241">
      <w:pPr>
        <w:spacing w:line="360" w:lineRule="auto"/>
        <w:jc w:val="both"/>
        <w:rPr>
          <w:rFonts w:ascii="Arial" w:hAnsi="Arial" w:cs="Arial"/>
          <w:sz w:val="24"/>
          <w:szCs w:val="24"/>
        </w:rPr>
      </w:pPr>
      <w:r>
        <w:rPr>
          <w:rFonts w:ascii="Arial" w:hAnsi="Arial" w:cs="Arial"/>
          <w:sz w:val="24"/>
          <w:szCs w:val="24"/>
        </w:rPr>
        <w:t xml:space="preserve">Source: </w:t>
      </w:r>
      <w:r w:rsidRPr="00D80CF2">
        <w:rPr>
          <w:rFonts w:ascii="Arial" w:hAnsi="Arial" w:cs="Arial"/>
          <w:sz w:val="24"/>
          <w:szCs w:val="24"/>
        </w:rPr>
        <w:t>Using Experience Maps to Accelerate Development (The Talent Strategy Group, 2021)</w:t>
      </w:r>
    </w:p>
    <w:p w14:paraId="13A7B0CD" w14:textId="77777777" w:rsidR="00995241" w:rsidRDefault="00995241" w:rsidP="00995241">
      <w:pPr>
        <w:spacing w:line="360" w:lineRule="auto"/>
        <w:jc w:val="both"/>
        <w:rPr>
          <w:rFonts w:ascii="Arial" w:hAnsi="Arial" w:cs="Arial"/>
          <w:sz w:val="24"/>
          <w:szCs w:val="24"/>
        </w:rPr>
      </w:pPr>
    </w:p>
    <w:p w14:paraId="23365416"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Agile Leadership and Adaptive Management</w:t>
      </w:r>
    </w:p>
    <w:p w14:paraId="76448407"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Adaptability is one of my most outstanding strengths and it comes as the result of changing one educational system into another. I applied Scrum to guide an agile project on students and remained on track with the development even when the requirements were constantly changing. P1) Culture Clash: Helping Others to be First -based on my experience of feeling confused by trying to negotiate between the Bangladeshi collectivist and the British individualist culture over the years, I gained insights into the importance of appearing to yield to the team unity but being aware of how to know the thin line between the team cognizance and the individual freedom. Conversely, my style of leadership could be directive behavior with hierarchy. I find it hard to enjoy the kind of radical transparency agile demands, </w:t>
      </w:r>
      <w:r w:rsidRPr="00860FE0">
        <w:rPr>
          <w:rFonts w:ascii="Arial" w:hAnsi="Arial" w:cs="Arial"/>
          <w:sz w:val="24"/>
          <w:szCs w:val="24"/>
        </w:rPr>
        <w:lastRenderedPageBreak/>
        <w:t>particularly in the context of a separation between thoughts and feelings when proposing a best solution and not being afraid of a reprisal on the part of the team when they receive the criticism. Within my action plan, I will gain a Scrum Master certification with some practice by volunteering to assist in agile transformation in a local charity. I will also be involved in a community of practices of agile coaching to listen to the experience of some experienced practitioners on the issues of scaling.</w:t>
      </w:r>
    </w:p>
    <w:p w14:paraId="3D89F34C" w14:textId="77777777" w:rsidR="00995241" w:rsidRDefault="00995241" w:rsidP="00995241">
      <w:pPr>
        <w:spacing w:line="360" w:lineRule="auto"/>
        <w:jc w:val="both"/>
        <w:rPr>
          <w:rFonts w:ascii="Arial" w:hAnsi="Arial" w:cs="Arial"/>
          <w:sz w:val="24"/>
          <w:szCs w:val="24"/>
        </w:rPr>
      </w:pPr>
    </w:p>
    <w:p w14:paraId="7047784F"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Virtual Collaboration and Digital Communication</w:t>
      </w:r>
    </w:p>
    <w:p w14:paraId="00DF5667" w14:textId="77777777" w:rsidR="00995241" w:rsidRDefault="00995241" w:rsidP="00995241">
      <w:pPr>
        <w:spacing w:line="360" w:lineRule="auto"/>
        <w:jc w:val="both"/>
        <w:rPr>
          <w:rFonts w:ascii="Arial" w:hAnsi="Arial" w:cs="Arial"/>
          <w:sz w:val="24"/>
          <w:szCs w:val="24"/>
        </w:rPr>
      </w:pPr>
      <w:r w:rsidRPr="00CB6961">
        <w:rPr>
          <w:rFonts w:ascii="Arial" w:hAnsi="Arial" w:cs="Arial"/>
          <w:sz w:val="24"/>
          <w:szCs w:val="24"/>
        </w:rPr>
        <w:t>As an international student, I am now very skillful in working online and internationally and across countries and at times. It had a cross-continental team (Asia, Europe, and North America) that worked across various continents virtually and coordinated a research project by establishing an effective communication channel. Cross language communication skills because I am a bilingual (Bengali and English) person. Still, I overemphasize the written word and am a bit too stiff in my style, a Bangladeshi business autocrat, who may be uncomfortable in the more relaxed virtual offices of the west. I will be undertaking an international virtual internship, as well as training to communicate differently to become more versatile. I shall also take LinkedIn Learning course on Leading Virtual Teams and test the new collaborative technology.</w:t>
      </w:r>
    </w:p>
    <w:p w14:paraId="2521B1EC" w14:textId="77777777" w:rsidR="0056574F" w:rsidRDefault="0056574F" w:rsidP="00995241">
      <w:pPr>
        <w:spacing w:line="360" w:lineRule="auto"/>
        <w:jc w:val="both"/>
        <w:rPr>
          <w:rFonts w:ascii="Arial" w:hAnsi="Arial" w:cs="Arial"/>
          <w:sz w:val="24"/>
          <w:szCs w:val="24"/>
        </w:rPr>
      </w:pPr>
    </w:p>
    <w:p w14:paraId="5F8AE8FF" w14:textId="1260C2E6"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Cultural Intelligence and Global Mindset</w:t>
      </w:r>
    </w:p>
    <w:p w14:paraId="6F19774E" w14:textId="77777777" w:rsidR="00995241" w:rsidRDefault="00995241" w:rsidP="00995241">
      <w:pPr>
        <w:spacing w:line="360" w:lineRule="auto"/>
        <w:jc w:val="both"/>
        <w:rPr>
          <w:rFonts w:ascii="Arial" w:hAnsi="Arial" w:cs="Arial"/>
          <w:sz w:val="24"/>
          <w:szCs w:val="24"/>
        </w:rPr>
      </w:pPr>
      <w:r w:rsidRPr="00CB6961">
        <w:rPr>
          <w:rFonts w:ascii="Arial" w:hAnsi="Arial" w:cs="Arial"/>
          <w:sz w:val="24"/>
          <w:szCs w:val="24"/>
        </w:rPr>
        <w:t xml:space="preserve">Being a person who has traversed the South Asian and the Western cultures in life, I realize the subtlety in cultures. I have helped to solve the conflicts within heterogeneous project teams since I could identify the differences in values. That is an advantage, however, my cultural exposure is pegged on the two contexts, and it forms some possible blind spots. Similarly to them I am also attempting to make up my mind only where there is the necessity of being performative, blunt or direct and where there is not, a sense which is bred out of an innate culture grounded value and harmony. I will also undertake a global leadership exchange programme to gain broader experience in the world by seeking an organisation in </w:t>
      </w:r>
      <w:r w:rsidRPr="00CB6961">
        <w:rPr>
          <w:rFonts w:ascii="Arial" w:hAnsi="Arial" w:cs="Arial"/>
          <w:sz w:val="24"/>
          <w:szCs w:val="24"/>
        </w:rPr>
        <w:lastRenderedPageBreak/>
        <w:t>either Africa or Latin America. This will also involve the Cultural Intelligence built and development programme completion to target the gap in certain capabilities.</w:t>
      </w:r>
    </w:p>
    <w:p w14:paraId="3F02ECD0" w14:textId="77777777" w:rsidR="00995241" w:rsidRPr="0037026C" w:rsidRDefault="00995241" w:rsidP="00995241">
      <w:pPr>
        <w:spacing w:line="360" w:lineRule="auto"/>
        <w:jc w:val="both"/>
        <w:rPr>
          <w:rFonts w:ascii="Arial" w:hAnsi="Arial" w:cs="Arial"/>
          <w:sz w:val="24"/>
          <w:szCs w:val="24"/>
        </w:rPr>
      </w:pPr>
    </w:p>
    <w:p w14:paraId="6E43BC9B"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Strategic Business Acumen</w:t>
      </w:r>
    </w:p>
    <w:p w14:paraId="37A7665E" w14:textId="77777777" w:rsidR="00995241" w:rsidRDefault="00995241" w:rsidP="00995241">
      <w:pPr>
        <w:spacing w:line="360" w:lineRule="auto"/>
        <w:jc w:val="both"/>
        <w:rPr>
          <w:rFonts w:ascii="Arial" w:hAnsi="Arial" w:cs="Arial"/>
          <w:sz w:val="24"/>
          <w:szCs w:val="24"/>
        </w:rPr>
      </w:pPr>
      <w:r w:rsidRPr="00CB6961">
        <w:rPr>
          <w:rFonts w:ascii="Arial" w:hAnsi="Arial" w:cs="Arial"/>
          <w:sz w:val="24"/>
          <w:szCs w:val="24"/>
        </w:rPr>
        <w:t>My engineering and business education provides me with good analytical skills in terms of business models because of the interdisciplinary nature of my education. When I was an intern at a UK consulting firm, I was drafting strategic HR transformation recommendations to ensure that people’s initiatives were aligned with business outcomes; I was also commented on my commercial awareness. It is also essential that I have a shallow experience with decisions taken by senior leadership; thus, leaving me little opportunity to learn about and negotiate strategic trade-offs. And being accustomed to the developing economy, I am not exposed to the mature market. To fill this gap, I intend to use a professional association to have a senior HR executive serve as my mentor. I will also undergo a business strategy simulation program to get to practice and to perfect strategic thinking under the tutelage of real-life relevant context with tangible outcome measures.</w:t>
      </w:r>
    </w:p>
    <w:p w14:paraId="2C0EF8E5" w14:textId="77777777" w:rsidR="00995241" w:rsidRDefault="00995241" w:rsidP="00995241">
      <w:pPr>
        <w:spacing w:line="360" w:lineRule="auto"/>
        <w:jc w:val="both"/>
        <w:rPr>
          <w:rFonts w:ascii="Arial" w:hAnsi="Arial" w:cs="Arial"/>
          <w:sz w:val="24"/>
          <w:szCs w:val="24"/>
        </w:rPr>
      </w:pPr>
    </w:p>
    <w:p w14:paraId="556F2D60" w14:textId="77777777" w:rsidR="00995241" w:rsidRDefault="00995241" w:rsidP="0099524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B74E684" wp14:editId="5EBC3F60">
            <wp:extent cx="5814060" cy="4462145"/>
            <wp:effectExtent l="0" t="0" r="0" b="0"/>
            <wp:docPr id="2127962530" name="Picture 5" descr="A person sitting in a chair with a chair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62530" name="Picture 5" descr="A person sitting in a chair with a chair and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814060" cy="4462145"/>
                    </a:xfrm>
                    <a:prstGeom prst="rect">
                      <a:avLst/>
                    </a:prstGeom>
                  </pic:spPr>
                </pic:pic>
              </a:graphicData>
            </a:graphic>
          </wp:inline>
        </w:drawing>
      </w:r>
    </w:p>
    <w:p w14:paraId="252CA0F5" w14:textId="77777777" w:rsidR="00995241" w:rsidRDefault="00995241" w:rsidP="00995241">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Source: </w:t>
      </w:r>
      <w:r w:rsidRPr="00D80CF2">
        <w:rPr>
          <w:rFonts w:ascii="Arial" w:hAnsi="Arial" w:cs="Arial"/>
          <w:sz w:val="24"/>
          <w:szCs w:val="24"/>
        </w:rPr>
        <w:t>HR Dashboard Template (Venngage, 2023)</w:t>
      </w:r>
    </w:p>
    <w:p w14:paraId="3C278BC1" w14:textId="77777777" w:rsidR="00995241" w:rsidRDefault="00995241" w:rsidP="00995241">
      <w:pPr>
        <w:spacing w:line="360" w:lineRule="auto"/>
        <w:jc w:val="both"/>
        <w:rPr>
          <w:rFonts w:ascii="Arial" w:hAnsi="Arial" w:cs="Arial"/>
          <w:sz w:val="24"/>
          <w:szCs w:val="24"/>
        </w:rPr>
      </w:pPr>
      <w:r>
        <w:rPr>
          <w:rFonts w:ascii="Arial" w:hAnsi="Arial" w:cs="Arial"/>
          <w:sz w:val="24"/>
          <w:szCs w:val="24"/>
        </w:rPr>
        <w:tab/>
      </w:r>
    </w:p>
    <w:p w14:paraId="54294028" w14:textId="77777777"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CONCLUSION</w:t>
      </w:r>
    </w:p>
    <w:p w14:paraId="4D8F1E97"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shifts in HRM being transformed into a staff role and then a strategic donor is reflective of a bigger organisational shift towards employee-focus, agility and global integration. The landscape of this nature demands the HR practitioners to be less of administrators and more of experienced architects and change agents who balance technology with humans. </w:t>
      </w:r>
    </w:p>
    <w:p w14:paraId="06955B74"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transformations are very much as compared to the previous one and that the process of my migration in Bangladesh to the UK has provided me with an insight into changes. The greatest benefit of international students in a globalized job market is their cross-cultural experience. To be outstanding, one must take specific steps towards developing new skills and eliminate cultural blind spots. </w:t>
      </w:r>
    </w:p>
    <w:p w14:paraId="2AE22764" w14:textId="77777777" w:rsidR="00995241" w:rsidRPr="00674B17" w:rsidRDefault="00995241" w:rsidP="00995241">
      <w:pPr>
        <w:spacing w:line="360" w:lineRule="auto"/>
        <w:jc w:val="both"/>
        <w:rPr>
          <w:rFonts w:ascii="Arial" w:hAnsi="Arial" w:cs="Arial"/>
          <w:b/>
          <w:bCs/>
          <w:sz w:val="24"/>
          <w:szCs w:val="24"/>
        </w:rPr>
      </w:pPr>
      <w:r w:rsidRPr="00860FE0">
        <w:rPr>
          <w:rFonts w:ascii="Arial" w:hAnsi="Arial" w:cs="Arial"/>
          <w:sz w:val="24"/>
          <w:szCs w:val="24"/>
        </w:rPr>
        <w:lastRenderedPageBreak/>
        <w:t>Future HR is the one that will be driven by the culturally fluent but also strategically sensitive ones. Having the advantage of our differences of thinking, as well as creating new abilities in a conscious manner, we are ready to build human-focused, nimble and agile organisations. Respect for human dignity, coupled with the ability to offer business value, is what makes this approach to a long-term success in the world that is rapidly transforming.</w:t>
      </w:r>
    </w:p>
    <w:p w14:paraId="410DEE49" w14:textId="77777777" w:rsidR="00995241" w:rsidRDefault="00995241" w:rsidP="00995241">
      <w:pPr>
        <w:rPr>
          <w:rFonts w:ascii="Arial" w:hAnsi="Arial" w:cs="Arial"/>
          <w:b/>
          <w:bCs/>
          <w:sz w:val="24"/>
          <w:szCs w:val="24"/>
        </w:rPr>
      </w:pPr>
    </w:p>
    <w:p w14:paraId="4E7B40E2" w14:textId="77777777" w:rsidR="00995241" w:rsidRPr="00E15654" w:rsidRDefault="00995241" w:rsidP="00995241">
      <w:pPr>
        <w:rPr>
          <w:rFonts w:ascii="Arial" w:hAnsi="Arial" w:cs="Arial"/>
          <w:b/>
          <w:bCs/>
          <w:sz w:val="24"/>
          <w:szCs w:val="24"/>
        </w:rPr>
      </w:pPr>
      <w:r w:rsidRPr="00E15654">
        <w:rPr>
          <w:rFonts w:ascii="Arial" w:hAnsi="Arial" w:cs="Arial"/>
          <w:b/>
          <w:bCs/>
          <w:sz w:val="24"/>
          <w:szCs w:val="24"/>
        </w:rPr>
        <w:t>REFERENCES</w:t>
      </w:r>
    </w:p>
    <w:p w14:paraId="6974FA30" w14:textId="77777777" w:rsidR="00995241" w:rsidRPr="00E15654" w:rsidRDefault="00995241" w:rsidP="00995241">
      <w:pPr>
        <w:rPr>
          <w:rFonts w:ascii="Arial" w:hAnsi="Arial" w:cs="Arial"/>
          <w:sz w:val="24"/>
          <w:szCs w:val="24"/>
        </w:rPr>
      </w:pPr>
      <w:r w:rsidRPr="00E15654">
        <w:rPr>
          <w:rFonts w:ascii="Arial" w:hAnsi="Arial" w:cs="Arial"/>
          <w:sz w:val="24"/>
          <w:szCs w:val="24"/>
        </w:rPr>
        <w:t>Ahmed, S. and Islam, N. (2019) 'Employee engagement in Bangladesh: Cultural dimensions and organizational practices', </w:t>
      </w:r>
      <w:r w:rsidRPr="00E15654">
        <w:rPr>
          <w:rFonts w:ascii="Arial" w:hAnsi="Arial" w:cs="Arial"/>
          <w:i/>
          <w:iCs/>
          <w:sz w:val="24"/>
          <w:szCs w:val="24"/>
        </w:rPr>
        <w:t>South Asian Journal of Human Resources Management</w:t>
      </w:r>
      <w:r w:rsidRPr="00E15654">
        <w:rPr>
          <w:rFonts w:ascii="Arial" w:hAnsi="Arial" w:cs="Arial"/>
          <w:sz w:val="24"/>
          <w:szCs w:val="24"/>
        </w:rPr>
        <w:t>, 6(2), pp. 202-220.</w:t>
      </w:r>
    </w:p>
    <w:p w14:paraId="47AEE658" w14:textId="77777777" w:rsidR="00995241" w:rsidRDefault="00995241" w:rsidP="00995241">
      <w:pPr>
        <w:rPr>
          <w:rFonts w:ascii="Arial" w:hAnsi="Arial" w:cs="Arial"/>
          <w:sz w:val="24"/>
          <w:szCs w:val="24"/>
        </w:rPr>
      </w:pPr>
      <w:r w:rsidRPr="000B6F92">
        <w:rPr>
          <w:rFonts w:ascii="Arial" w:hAnsi="Arial" w:cs="Arial"/>
          <w:sz w:val="24"/>
          <w:szCs w:val="24"/>
        </w:rPr>
        <w:t>AIHR. (2023) </w:t>
      </w:r>
      <w:r w:rsidRPr="000B6F92">
        <w:rPr>
          <w:rFonts w:ascii="Arial" w:hAnsi="Arial" w:cs="Arial"/>
          <w:i/>
          <w:iCs/>
          <w:sz w:val="24"/>
          <w:szCs w:val="24"/>
        </w:rPr>
        <w:t>Experience-Driven HR Service Delivery Model: The Way Forward</w:t>
      </w:r>
      <w:r w:rsidRPr="000B6F92">
        <w:rPr>
          <w:rFonts w:ascii="Arial" w:hAnsi="Arial" w:cs="Arial"/>
          <w:sz w:val="24"/>
          <w:szCs w:val="24"/>
        </w:rPr>
        <w:t>. Available at: </w:t>
      </w:r>
      <w:hyperlink r:id="rId11" w:history="1">
        <w:r w:rsidRPr="000B6F92">
          <w:rPr>
            <w:rStyle w:val="Hyperlink"/>
            <w:rFonts w:ascii="Arial" w:hAnsi="Arial" w:cs="Arial"/>
            <w:sz w:val="24"/>
            <w:szCs w:val="24"/>
          </w:rPr>
          <w:t>https://www.aihr.com/blog/hr-service-model/</w:t>
        </w:r>
      </w:hyperlink>
      <w:r w:rsidRPr="000B6F92">
        <w:rPr>
          <w:rFonts w:ascii="Arial" w:hAnsi="Arial" w:cs="Arial"/>
          <w:sz w:val="24"/>
          <w:szCs w:val="24"/>
        </w:rPr>
        <w:t> (Accessed: 16 October 2025).</w:t>
      </w:r>
    </w:p>
    <w:p w14:paraId="1BC78ED2" w14:textId="77777777" w:rsidR="00995241" w:rsidRPr="00E15654" w:rsidRDefault="00995241" w:rsidP="00995241">
      <w:pPr>
        <w:rPr>
          <w:rFonts w:ascii="Arial" w:hAnsi="Arial" w:cs="Arial"/>
          <w:sz w:val="24"/>
          <w:szCs w:val="24"/>
        </w:rPr>
      </w:pPr>
      <w:r w:rsidRPr="00E15654">
        <w:rPr>
          <w:rFonts w:ascii="Arial" w:hAnsi="Arial" w:cs="Arial"/>
          <w:sz w:val="24"/>
          <w:szCs w:val="24"/>
        </w:rPr>
        <w:t>Arrowsmith, J. and Parker, J. (2013) 'The meaning of employee engagement for the values and roles of the HRM function', </w:t>
      </w:r>
      <w:r w:rsidRPr="00E15654">
        <w:rPr>
          <w:rFonts w:ascii="Arial" w:hAnsi="Arial" w:cs="Arial"/>
          <w:i/>
          <w:iCs/>
          <w:sz w:val="24"/>
          <w:szCs w:val="24"/>
        </w:rPr>
        <w:t>The International Journal of Human Resource Management</w:t>
      </w:r>
      <w:r w:rsidRPr="00E15654">
        <w:rPr>
          <w:rFonts w:ascii="Arial" w:hAnsi="Arial" w:cs="Arial"/>
          <w:sz w:val="24"/>
          <w:szCs w:val="24"/>
        </w:rPr>
        <w:t>, 24(14), pp. 2692-2712.</w:t>
      </w:r>
    </w:p>
    <w:p w14:paraId="51BEC164" w14:textId="77777777" w:rsidR="00995241" w:rsidRPr="009F1A81" w:rsidRDefault="00995241" w:rsidP="00995241">
      <w:pPr>
        <w:rPr>
          <w:rFonts w:ascii="Arial" w:hAnsi="Arial" w:cs="Arial"/>
          <w:sz w:val="24"/>
          <w:szCs w:val="24"/>
        </w:rPr>
      </w:pPr>
      <w:r w:rsidRPr="00F84DE4">
        <w:rPr>
          <w:rFonts w:ascii="Arial" w:hAnsi="Arial" w:cs="Arial"/>
          <w:sz w:val="24"/>
          <w:szCs w:val="24"/>
        </w:rPr>
        <w:t xml:space="preserve">Artofit. (2022) </w:t>
      </w:r>
      <w:r w:rsidRPr="00F84DE4">
        <w:rPr>
          <w:rFonts w:ascii="Arial" w:hAnsi="Arial" w:cs="Arial"/>
          <w:i/>
          <w:iCs/>
          <w:sz w:val="24"/>
          <w:szCs w:val="24"/>
        </w:rPr>
        <w:t>Employee Experience Design: Methodology &amp; Framework</w:t>
      </w:r>
      <w:r w:rsidRPr="00F84DE4">
        <w:rPr>
          <w:rFonts w:ascii="Arial" w:hAnsi="Arial" w:cs="Arial"/>
          <w:sz w:val="24"/>
          <w:szCs w:val="24"/>
        </w:rPr>
        <w:t xml:space="preserve">. Available at: </w:t>
      </w:r>
      <w:hyperlink r:id="rId12" w:tgtFrame="_new" w:history="1">
        <w:r w:rsidRPr="00F84DE4">
          <w:rPr>
            <w:rStyle w:val="Hyperlink"/>
            <w:rFonts w:ascii="Arial" w:hAnsi="Arial" w:cs="Arial"/>
            <w:sz w:val="24"/>
            <w:szCs w:val="24"/>
          </w:rPr>
          <w:t>https://www.artofit.org/image-gallery/406379566386317049/employee-experience-design-all-hr-needs-to-know/</w:t>
        </w:r>
      </w:hyperlink>
      <w:r w:rsidRPr="00F84DE4">
        <w:rPr>
          <w:rFonts w:ascii="Arial" w:hAnsi="Arial" w:cs="Arial"/>
          <w:sz w:val="24"/>
          <w:szCs w:val="24"/>
        </w:rPr>
        <w:t xml:space="preserve"> (Accessed: 16 October 2025).</w:t>
      </w:r>
    </w:p>
    <w:p w14:paraId="1E0DEE86" w14:textId="77777777" w:rsidR="00995241" w:rsidRPr="00E15654" w:rsidRDefault="00995241" w:rsidP="00995241">
      <w:pPr>
        <w:rPr>
          <w:rFonts w:ascii="Arial" w:hAnsi="Arial" w:cs="Arial"/>
          <w:sz w:val="24"/>
          <w:szCs w:val="24"/>
        </w:rPr>
      </w:pPr>
      <w:r w:rsidRPr="00E15654">
        <w:rPr>
          <w:rFonts w:ascii="Arial" w:hAnsi="Arial" w:cs="Arial"/>
          <w:sz w:val="24"/>
          <w:szCs w:val="24"/>
        </w:rPr>
        <w:t>Barton, D., Carey, D. and Charan, R. (2018) 'One bank's agile team experiment', </w:t>
      </w:r>
      <w:r w:rsidRPr="00E15654">
        <w:rPr>
          <w:rFonts w:ascii="Arial" w:hAnsi="Arial" w:cs="Arial"/>
          <w:i/>
          <w:iCs/>
          <w:sz w:val="24"/>
          <w:szCs w:val="24"/>
        </w:rPr>
        <w:t>Harvard Business Review</w:t>
      </w:r>
      <w:r w:rsidRPr="00E15654">
        <w:rPr>
          <w:rFonts w:ascii="Arial" w:hAnsi="Arial" w:cs="Arial"/>
          <w:sz w:val="24"/>
          <w:szCs w:val="24"/>
        </w:rPr>
        <w:t>, 96(2), pp. 59-61.</w:t>
      </w:r>
    </w:p>
    <w:p w14:paraId="17845250" w14:textId="77777777" w:rsidR="00995241" w:rsidRPr="00E15654" w:rsidRDefault="00995241" w:rsidP="00995241">
      <w:pPr>
        <w:rPr>
          <w:rFonts w:ascii="Arial" w:hAnsi="Arial" w:cs="Arial"/>
          <w:sz w:val="24"/>
          <w:szCs w:val="24"/>
        </w:rPr>
      </w:pPr>
      <w:r w:rsidRPr="00E15654">
        <w:rPr>
          <w:rFonts w:ascii="Arial" w:hAnsi="Arial" w:cs="Arial"/>
          <w:sz w:val="24"/>
          <w:szCs w:val="24"/>
        </w:rPr>
        <w:t>Bersin, J. (2018) </w:t>
      </w:r>
      <w:r w:rsidRPr="00E15654">
        <w:rPr>
          <w:rFonts w:ascii="Arial" w:hAnsi="Arial" w:cs="Arial"/>
          <w:i/>
          <w:iCs/>
          <w:sz w:val="24"/>
          <w:szCs w:val="24"/>
        </w:rPr>
        <w:t>The employee experience platform: A new category arrives</w:t>
      </w:r>
      <w:r w:rsidRPr="00E15654">
        <w:rPr>
          <w:rFonts w:ascii="Arial" w:hAnsi="Arial" w:cs="Arial"/>
          <w:sz w:val="24"/>
          <w:szCs w:val="24"/>
        </w:rPr>
        <w:t>. Available at: </w:t>
      </w:r>
      <w:hyperlink r:id="rId13" w:history="1">
        <w:r w:rsidRPr="00E15654">
          <w:rPr>
            <w:rStyle w:val="Hyperlink"/>
            <w:rFonts w:ascii="Arial" w:hAnsi="Arial" w:cs="Arial"/>
            <w:sz w:val="24"/>
            <w:szCs w:val="24"/>
          </w:rPr>
          <w:t>https://joshbersin.com/2018/02/the-employee-experience-platform-a-new-category-arrives/</w:t>
        </w:r>
      </w:hyperlink>
      <w:r w:rsidRPr="00E15654">
        <w:rPr>
          <w:rFonts w:ascii="Arial" w:hAnsi="Arial" w:cs="Arial"/>
          <w:sz w:val="24"/>
          <w:szCs w:val="24"/>
        </w:rPr>
        <w:t> </w:t>
      </w:r>
      <w:r w:rsidRPr="00674B17">
        <w:rPr>
          <w:rFonts w:ascii="Arial" w:hAnsi="Arial" w:cs="Arial"/>
          <w:sz w:val="24"/>
          <w:szCs w:val="24"/>
        </w:rPr>
        <w:t>(Accessed: 16 October 2025)</w:t>
      </w:r>
    </w:p>
    <w:p w14:paraId="4A56936A" w14:textId="77777777" w:rsidR="00995241" w:rsidRPr="009F1A81" w:rsidRDefault="00995241" w:rsidP="00995241">
      <w:pPr>
        <w:rPr>
          <w:rFonts w:ascii="Arial" w:hAnsi="Arial" w:cs="Arial"/>
          <w:sz w:val="24"/>
          <w:szCs w:val="24"/>
        </w:rPr>
      </w:pPr>
      <w:r w:rsidRPr="009F1A81">
        <w:rPr>
          <w:rFonts w:ascii="Arial" w:hAnsi="Arial" w:cs="Arial"/>
          <w:sz w:val="24"/>
          <w:szCs w:val="24"/>
        </w:rPr>
        <w:t>Boudreau, J.W. and Jesuthasan, R. (2018) 'The future of HR: From service provider to value creator', </w:t>
      </w:r>
      <w:r w:rsidRPr="009F1A81">
        <w:rPr>
          <w:rFonts w:ascii="Arial" w:hAnsi="Arial" w:cs="Arial"/>
          <w:i/>
          <w:iCs/>
          <w:sz w:val="24"/>
          <w:szCs w:val="24"/>
        </w:rPr>
        <w:t>Organizational Dynamics</w:t>
      </w:r>
      <w:r w:rsidRPr="009F1A81">
        <w:rPr>
          <w:rFonts w:ascii="Arial" w:hAnsi="Arial" w:cs="Arial"/>
          <w:sz w:val="24"/>
          <w:szCs w:val="24"/>
        </w:rPr>
        <w:t>, 47(2), pp. 67-75.</w:t>
      </w:r>
    </w:p>
    <w:p w14:paraId="766226DE" w14:textId="77777777" w:rsidR="00995241" w:rsidRPr="00E15654" w:rsidRDefault="00995241" w:rsidP="00995241">
      <w:pPr>
        <w:rPr>
          <w:rFonts w:ascii="Arial" w:hAnsi="Arial" w:cs="Arial"/>
          <w:sz w:val="24"/>
          <w:szCs w:val="24"/>
        </w:rPr>
      </w:pPr>
      <w:r w:rsidRPr="00E15654">
        <w:rPr>
          <w:rFonts w:ascii="Arial" w:hAnsi="Arial" w:cs="Arial"/>
          <w:sz w:val="24"/>
          <w:szCs w:val="24"/>
        </w:rPr>
        <w:t>Brewster, C. and Mayrhofer, W. (2018) </w:t>
      </w:r>
      <w:r w:rsidRPr="00E15654">
        <w:rPr>
          <w:rFonts w:ascii="Arial" w:hAnsi="Arial" w:cs="Arial"/>
          <w:i/>
          <w:iCs/>
          <w:sz w:val="24"/>
          <w:szCs w:val="24"/>
        </w:rPr>
        <w:t>Handbook of research on comparative human resource management</w:t>
      </w:r>
      <w:r w:rsidRPr="00E15654">
        <w:rPr>
          <w:rFonts w:ascii="Arial" w:hAnsi="Arial" w:cs="Arial"/>
          <w:sz w:val="24"/>
          <w:szCs w:val="24"/>
        </w:rPr>
        <w:t>. 2nd edn. Cheltenham: Edward Elgar Publishing.</w:t>
      </w:r>
    </w:p>
    <w:p w14:paraId="2E79F8ED" w14:textId="77777777" w:rsidR="00995241" w:rsidRPr="009F1A81" w:rsidRDefault="00995241" w:rsidP="00995241">
      <w:pPr>
        <w:rPr>
          <w:rFonts w:ascii="Arial" w:hAnsi="Arial" w:cs="Arial"/>
          <w:sz w:val="24"/>
          <w:szCs w:val="24"/>
        </w:rPr>
      </w:pPr>
      <w:r w:rsidRPr="009F1A81">
        <w:rPr>
          <w:rFonts w:ascii="Arial" w:hAnsi="Arial" w:cs="Arial"/>
          <w:sz w:val="24"/>
          <w:szCs w:val="24"/>
        </w:rPr>
        <w:t>Cappelli, P. and Tavis, A. (2018) 'HR goes agile', </w:t>
      </w:r>
      <w:r w:rsidRPr="009F1A81">
        <w:rPr>
          <w:rFonts w:ascii="Arial" w:hAnsi="Arial" w:cs="Arial"/>
          <w:i/>
          <w:iCs/>
          <w:sz w:val="24"/>
          <w:szCs w:val="24"/>
        </w:rPr>
        <w:t>Harvard Business Review</w:t>
      </w:r>
      <w:r w:rsidRPr="009F1A81">
        <w:rPr>
          <w:rFonts w:ascii="Arial" w:hAnsi="Arial" w:cs="Arial"/>
          <w:sz w:val="24"/>
          <w:szCs w:val="24"/>
        </w:rPr>
        <w:t>, 96(2), pp. 46-52.</w:t>
      </w:r>
    </w:p>
    <w:p w14:paraId="184F73B1" w14:textId="77777777" w:rsidR="00995241" w:rsidRPr="00E15654" w:rsidRDefault="00995241" w:rsidP="00995241">
      <w:pPr>
        <w:rPr>
          <w:rFonts w:ascii="Arial" w:hAnsi="Arial" w:cs="Arial"/>
          <w:sz w:val="24"/>
          <w:szCs w:val="24"/>
        </w:rPr>
      </w:pPr>
      <w:r w:rsidRPr="00E15654">
        <w:rPr>
          <w:rFonts w:ascii="Arial" w:hAnsi="Arial" w:cs="Arial"/>
          <w:sz w:val="24"/>
          <w:szCs w:val="24"/>
        </w:rPr>
        <w:t>Cascio, W.F. and Boudreau, J.W. (2016) 'The search for global competence: From international HR to talent management', </w:t>
      </w:r>
      <w:r w:rsidRPr="00E15654">
        <w:rPr>
          <w:rFonts w:ascii="Arial" w:hAnsi="Arial" w:cs="Arial"/>
          <w:i/>
          <w:iCs/>
          <w:sz w:val="24"/>
          <w:szCs w:val="24"/>
        </w:rPr>
        <w:t>Journal of World Business</w:t>
      </w:r>
      <w:r w:rsidRPr="00E15654">
        <w:rPr>
          <w:rFonts w:ascii="Arial" w:hAnsi="Arial" w:cs="Arial"/>
          <w:sz w:val="24"/>
          <w:szCs w:val="24"/>
        </w:rPr>
        <w:t>, 51(1), pp. 103-114.</w:t>
      </w:r>
    </w:p>
    <w:p w14:paraId="3B160DBD" w14:textId="77777777" w:rsidR="00995241" w:rsidRPr="009F1A81" w:rsidRDefault="00995241" w:rsidP="00995241">
      <w:pPr>
        <w:rPr>
          <w:rFonts w:ascii="Arial" w:hAnsi="Arial" w:cs="Arial"/>
          <w:sz w:val="24"/>
          <w:szCs w:val="24"/>
        </w:rPr>
      </w:pPr>
      <w:r w:rsidRPr="009F1A81">
        <w:rPr>
          <w:rFonts w:ascii="Arial" w:hAnsi="Arial" w:cs="Arial"/>
          <w:sz w:val="24"/>
          <w:szCs w:val="24"/>
        </w:rPr>
        <w:t>Cascio, W.F. and Boudreau, J.W. (2016) 'The search for global competence: From international HR to talent management', </w:t>
      </w:r>
      <w:r w:rsidRPr="009F1A81">
        <w:rPr>
          <w:rFonts w:ascii="Arial" w:hAnsi="Arial" w:cs="Arial"/>
          <w:i/>
          <w:iCs/>
          <w:sz w:val="24"/>
          <w:szCs w:val="24"/>
        </w:rPr>
        <w:t>Journal of World Business</w:t>
      </w:r>
      <w:r w:rsidRPr="009F1A81">
        <w:rPr>
          <w:rFonts w:ascii="Arial" w:hAnsi="Arial" w:cs="Arial"/>
          <w:sz w:val="24"/>
          <w:szCs w:val="24"/>
        </w:rPr>
        <w:t>, 51(1), pp. 103-114.</w:t>
      </w:r>
    </w:p>
    <w:p w14:paraId="5819ED97" w14:textId="77777777" w:rsidR="00995241" w:rsidRPr="00E15654" w:rsidRDefault="00995241" w:rsidP="00995241">
      <w:pPr>
        <w:rPr>
          <w:rFonts w:ascii="Arial" w:hAnsi="Arial" w:cs="Arial"/>
          <w:sz w:val="24"/>
          <w:szCs w:val="24"/>
        </w:rPr>
      </w:pPr>
      <w:r w:rsidRPr="00E15654">
        <w:rPr>
          <w:rFonts w:ascii="Arial" w:hAnsi="Arial" w:cs="Arial"/>
          <w:sz w:val="24"/>
          <w:szCs w:val="24"/>
        </w:rPr>
        <w:lastRenderedPageBreak/>
        <w:t>CIPD (2023) </w:t>
      </w:r>
      <w:r w:rsidRPr="00E15654">
        <w:rPr>
          <w:rFonts w:ascii="Arial" w:hAnsi="Arial" w:cs="Arial"/>
          <w:i/>
          <w:iCs/>
          <w:sz w:val="24"/>
          <w:szCs w:val="24"/>
        </w:rPr>
        <w:t>Employee experience: Culture, engagement and performance</w:t>
      </w:r>
      <w:r w:rsidRPr="00E15654">
        <w:rPr>
          <w:rFonts w:ascii="Arial" w:hAnsi="Arial" w:cs="Arial"/>
          <w:sz w:val="24"/>
          <w:szCs w:val="24"/>
        </w:rPr>
        <w:t>. Available at: </w:t>
      </w:r>
      <w:hyperlink r:id="rId14" w:history="1">
        <w:r w:rsidRPr="00E15654">
          <w:rPr>
            <w:rStyle w:val="Hyperlink"/>
            <w:rFonts w:ascii="Arial" w:hAnsi="Arial" w:cs="Arial"/>
            <w:sz w:val="24"/>
            <w:szCs w:val="24"/>
          </w:rPr>
          <w:t>https://www.cipd.co.uk/knowledge/culture/employee-experience-factsheet</w:t>
        </w:r>
      </w:hyperlink>
      <w:r w:rsidRPr="00E15654">
        <w:rPr>
          <w:rFonts w:ascii="Arial" w:hAnsi="Arial" w:cs="Arial"/>
          <w:sz w:val="24"/>
          <w:szCs w:val="24"/>
        </w:rPr>
        <w:t> </w:t>
      </w:r>
      <w:r w:rsidRPr="00674B17">
        <w:rPr>
          <w:rFonts w:ascii="Arial" w:hAnsi="Arial" w:cs="Arial"/>
          <w:sz w:val="24"/>
          <w:szCs w:val="24"/>
        </w:rPr>
        <w:t>(Accessed: 16 October 2025).</w:t>
      </w:r>
    </w:p>
    <w:p w14:paraId="75BCA334" w14:textId="77777777" w:rsidR="00995241" w:rsidRPr="00E15654" w:rsidRDefault="00995241" w:rsidP="00995241">
      <w:pPr>
        <w:rPr>
          <w:rFonts w:ascii="Arial" w:hAnsi="Arial" w:cs="Arial"/>
          <w:sz w:val="24"/>
          <w:szCs w:val="24"/>
        </w:rPr>
      </w:pPr>
      <w:r w:rsidRPr="00E15654">
        <w:rPr>
          <w:rFonts w:ascii="Arial" w:hAnsi="Arial" w:cs="Arial"/>
          <w:sz w:val="24"/>
          <w:szCs w:val="24"/>
        </w:rPr>
        <w:t>Collings, D.G. and Isichei, M. (2018) 'The shifting boundaries of global staffing: Integrating global talent management, alternative forms of international assignments and non-employees into the discussion', </w:t>
      </w:r>
      <w:r w:rsidRPr="00E15654">
        <w:rPr>
          <w:rFonts w:ascii="Arial" w:hAnsi="Arial" w:cs="Arial"/>
          <w:i/>
          <w:iCs/>
          <w:sz w:val="24"/>
          <w:szCs w:val="24"/>
        </w:rPr>
        <w:t>The International Journal of Human Resource Management</w:t>
      </w:r>
      <w:r w:rsidRPr="00E15654">
        <w:rPr>
          <w:rFonts w:ascii="Arial" w:hAnsi="Arial" w:cs="Arial"/>
          <w:sz w:val="24"/>
          <w:szCs w:val="24"/>
        </w:rPr>
        <w:t>, 29(1), pp. 165-187.</w:t>
      </w:r>
    </w:p>
    <w:p w14:paraId="60CDEA90" w14:textId="77777777" w:rsidR="00995241" w:rsidRPr="009F1A81" w:rsidRDefault="00995241" w:rsidP="00995241">
      <w:pPr>
        <w:rPr>
          <w:rFonts w:ascii="Arial" w:hAnsi="Arial" w:cs="Arial"/>
          <w:sz w:val="24"/>
          <w:szCs w:val="24"/>
        </w:rPr>
      </w:pPr>
      <w:r w:rsidRPr="009F1A81">
        <w:rPr>
          <w:rFonts w:ascii="Arial" w:hAnsi="Arial" w:cs="Arial"/>
          <w:sz w:val="24"/>
          <w:szCs w:val="24"/>
        </w:rPr>
        <w:t>Collings, D.G., Wood, G.T. and Szamosi, L.T. (2019) </w:t>
      </w:r>
      <w:r w:rsidRPr="009F1A81">
        <w:rPr>
          <w:rFonts w:ascii="Arial" w:hAnsi="Arial" w:cs="Arial"/>
          <w:i/>
          <w:iCs/>
          <w:sz w:val="24"/>
          <w:szCs w:val="24"/>
        </w:rPr>
        <w:t>Human resource management: A critical approach</w:t>
      </w:r>
      <w:r w:rsidRPr="009F1A81">
        <w:rPr>
          <w:rFonts w:ascii="Arial" w:hAnsi="Arial" w:cs="Arial"/>
          <w:sz w:val="24"/>
          <w:szCs w:val="24"/>
        </w:rPr>
        <w:t>. 2nd edn. London: Routledge.</w:t>
      </w:r>
    </w:p>
    <w:p w14:paraId="56AC8D13" w14:textId="77777777" w:rsidR="00995241" w:rsidRPr="009F1A81" w:rsidRDefault="00995241" w:rsidP="00995241">
      <w:pPr>
        <w:rPr>
          <w:rFonts w:ascii="Arial" w:hAnsi="Arial" w:cs="Arial"/>
          <w:sz w:val="24"/>
          <w:szCs w:val="24"/>
        </w:rPr>
      </w:pPr>
      <w:r w:rsidRPr="009F1A81">
        <w:rPr>
          <w:rFonts w:ascii="Arial" w:hAnsi="Arial" w:cs="Arial"/>
          <w:sz w:val="24"/>
          <w:szCs w:val="24"/>
        </w:rPr>
        <w:t>Cooke, F.L. (2018) 'Concepts, contexts, and mindsets: Putting human resource management research in perspectives', </w:t>
      </w:r>
      <w:r w:rsidRPr="009F1A81">
        <w:rPr>
          <w:rFonts w:ascii="Arial" w:hAnsi="Arial" w:cs="Arial"/>
          <w:i/>
          <w:iCs/>
          <w:sz w:val="24"/>
          <w:szCs w:val="24"/>
        </w:rPr>
        <w:t>Human Resource Management Journal</w:t>
      </w:r>
      <w:r w:rsidRPr="009F1A81">
        <w:rPr>
          <w:rFonts w:ascii="Arial" w:hAnsi="Arial" w:cs="Arial"/>
          <w:sz w:val="24"/>
          <w:szCs w:val="24"/>
        </w:rPr>
        <w:t>, 28(1), pp. 1-13.</w:t>
      </w:r>
    </w:p>
    <w:p w14:paraId="34ACE7EC" w14:textId="77777777" w:rsidR="00995241" w:rsidRPr="00E15654" w:rsidRDefault="00995241" w:rsidP="00995241">
      <w:pPr>
        <w:rPr>
          <w:rFonts w:ascii="Arial" w:hAnsi="Arial" w:cs="Arial"/>
          <w:sz w:val="24"/>
          <w:szCs w:val="24"/>
        </w:rPr>
      </w:pPr>
      <w:r w:rsidRPr="00E15654">
        <w:rPr>
          <w:rFonts w:ascii="Arial" w:hAnsi="Arial" w:cs="Arial"/>
          <w:sz w:val="24"/>
          <w:szCs w:val="24"/>
        </w:rPr>
        <w:t>Doz, Y. (2020) 'Fostering strategic agility: How individual executives and human resource practices contribute', </w:t>
      </w:r>
      <w:r w:rsidRPr="00E15654">
        <w:rPr>
          <w:rFonts w:ascii="Arial" w:hAnsi="Arial" w:cs="Arial"/>
          <w:i/>
          <w:iCs/>
          <w:sz w:val="24"/>
          <w:szCs w:val="24"/>
        </w:rPr>
        <w:t>Human Resource Management Review</w:t>
      </w:r>
      <w:r w:rsidRPr="00E15654">
        <w:rPr>
          <w:rFonts w:ascii="Arial" w:hAnsi="Arial" w:cs="Arial"/>
          <w:sz w:val="24"/>
          <w:szCs w:val="24"/>
        </w:rPr>
        <w:t>, 30(1), pp. 100693.</w:t>
      </w:r>
    </w:p>
    <w:p w14:paraId="684A104A" w14:textId="77777777" w:rsidR="00995241" w:rsidRPr="00E15654" w:rsidRDefault="00995241" w:rsidP="00995241">
      <w:pPr>
        <w:rPr>
          <w:rFonts w:ascii="Arial" w:hAnsi="Arial" w:cs="Arial"/>
          <w:sz w:val="24"/>
          <w:szCs w:val="24"/>
        </w:rPr>
      </w:pPr>
      <w:r w:rsidRPr="00E15654">
        <w:rPr>
          <w:rFonts w:ascii="Arial" w:hAnsi="Arial" w:cs="Arial"/>
          <w:sz w:val="24"/>
          <w:szCs w:val="24"/>
        </w:rPr>
        <w:t>Gartner (2023) </w:t>
      </w:r>
      <w:r w:rsidRPr="00E15654">
        <w:rPr>
          <w:rFonts w:ascii="Arial" w:hAnsi="Arial" w:cs="Arial"/>
          <w:i/>
          <w:iCs/>
          <w:sz w:val="24"/>
          <w:szCs w:val="24"/>
        </w:rPr>
        <w:t>Top priorities for HR leaders in 2024</w:t>
      </w:r>
      <w:r w:rsidRPr="00E15654">
        <w:rPr>
          <w:rFonts w:ascii="Arial" w:hAnsi="Arial" w:cs="Arial"/>
          <w:sz w:val="24"/>
          <w:szCs w:val="24"/>
        </w:rPr>
        <w:t>. Available at: </w:t>
      </w:r>
      <w:hyperlink r:id="rId15" w:history="1">
        <w:r w:rsidRPr="00E15654">
          <w:rPr>
            <w:rStyle w:val="Hyperlink"/>
            <w:rFonts w:ascii="Arial" w:hAnsi="Arial" w:cs="Arial"/>
            <w:sz w:val="24"/>
            <w:szCs w:val="24"/>
          </w:rPr>
          <w:t>https://www.gartner.com/en/human-resources/trends/top-priorities-for-hr-leaders</w:t>
        </w:r>
      </w:hyperlink>
      <w:r w:rsidRPr="00E15654">
        <w:rPr>
          <w:rFonts w:ascii="Arial" w:hAnsi="Arial" w:cs="Arial"/>
          <w:sz w:val="24"/>
          <w:szCs w:val="24"/>
        </w:rPr>
        <w:t> </w:t>
      </w:r>
      <w:r w:rsidRPr="00674B17">
        <w:rPr>
          <w:rFonts w:ascii="Arial" w:hAnsi="Arial" w:cs="Arial"/>
          <w:sz w:val="24"/>
          <w:szCs w:val="24"/>
        </w:rPr>
        <w:t>(Accessed: 16 October 2025).</w:t>
      </w:r>
    </w:p>
    <w:p w14:paraId="7C5FD2A0" w14:textId="77777777" w:rsidR="00995241" w:rsidRPr="00E15654" w:rsidRDefault="00995241" w:rsidP="00995241">
      <w:pPr>
        <w:rPr>
          <w:rFonts w:ascii="Arial" w:hAnsi="Arial" w:cs="Arial"/>
          <w:sz w:val="24"/>
          <w:szCs w:val="24"/>
        </w:rPr>
      </w:pPr>
      <w:r w:rsidRPr="00E15654">
        <w:rPr>
          <w:rFonts w:ascii="Arial" w:hAnsi="Arial" w:cs="Arial"/>
          <w:sz w:val="24"/>
          <w:szCs w:val="24"/>
        </w:rPr>
        <w:t>Gilson, L.L., Maynard, M.T., Young, N.C.J., Vartiainen, M. and Hakonen, M. (2015) 'Virtual teams research: 10 years, 10 themes, and 10 opportunities', </w:t>
      </w:r>
      <w:r w:rsidRPr="00E15654">
        <w:rPr>
          <w:rFonts w:ascii="Arial" w:hAnsi="Arial" w:cs="Arial"/>
          <w:i/>
          <w:iCs/>
          <w:sz w:val="24"/>
          <w:szCs w:val="24"/>
        </w:rPr>
        <w:t>Journal of Management</w:t>
      </w:r>
      <w:r w:rsidRPr="00E15654">
        <w:rPr>
          <w:rFonts w:ascii="Arial" w:hAnsi="Arial" w:cs="Arial"/>
          <w:sz w:val="24"/>
          <w:szCs w:val="24"/>
        </w:rPr>
        <w:t>, 41(5), pp. 1313-1337.</w:t>
      </w:r>
    </w:p>
    <w:p w14:paraId="03204BF9" w14:textId="77777777" w:rsidR="00995241" w:rsidRPr="00E15654" w:rsidRDefault="00995241" w:rsidP="00995241">
      <w:pPr>
        <w:rPr>
          <w:rFonts w:ascii="Arial" w:hAnsi="Arial" w:cs="Arial"/>
          <w:sz w:val="24"/>
          <w:szCs w:val="24"/>
        </w:rPr>
      </w:pPr>
      <w:r w:rsidRPr="00E15654">
        <w:rPr>
          <w:rFonts w:ascii="Arial" w:hAnsi="Arial" w:cs="Arial"/>
          <w:sz w:val="24"/>
          <w:szCs w:val="24"/>
        </w:rPr>
        <w:t>Hofstede, G. and Minkov, M. (2013) </w:t>
      </w:r>
      <w:r w:rsidRPr="00E15654">
        <w:rPr>
          <w:rFonts w:ascii="Arial" w:hAnsi="Arial" w:cs="Arial"/>
          <w:i/>
          <w:iCs/>
          <w:sz w:val="24"/>
          <w:szCs w:val="24"/>
        </w:rPr>
        <w:t>Values survey module 2013 manual</w:t>
      </w:r>
      <w:r w:rsidRPr="00E15654">
        <w:rPr>
          <w:rFonts w:ascii="Arial" w:hAnsi="Arial" w:cs="Arial"/>
          <w:sz w:val="24"/>
          <w:szCs w:val="24"/>
        </w:rPr>
        <w:t>. Available at: </w:t>
      </w:r>
      <w:hyperlink r:id="rId16" w:history="1">
        <w:r w:rsidRPr="00E15654">
          <w:rPr>
            <w:rStyle w:val="Hyperlink"/>
            <w:rFonts w:ascii="Arial" w:hAnsi="Arial" w:cs="Arial"/>
            <w:sz w:val="24"/>
            <w:szCs w:val="24"/>
          </w:rPr>
          <w:t>https://geerthofstede.com/research-and-vsm/vsm-2013/</w:t>
        </w:r>
      </w:hyperlink>
      <w:r w:rsidRPr="00E15654">
        <w:rPr>
          <w:rFonts w:ascii="Arial" w:hAnsi="Arial" w:cs="Arial"/>
          <w:sz w:val="24"/>
          <w:szCs w:val="24"/>
        </w:rPr>
        <w:t> </w:t>
      </w:r>
      <w:r w:rsidRPr="00674B17">
        <w:rPr>
          <w:rFonts w:ascii="Arial" w:hAnsi="Arial" w:cs="Arial"/>
          <w:sz w:val="24"/>
          <w:szCs w:val="24"/>
        </w:rPr>
        <w:t>(Accessed: 16 October 2025).</w:t>
      </w:r>
    </w:p>
    <w:p w14:paraId="090F4F13" w14:textId="77777777" w:rsidR="00995241" w:rsidRPr="00E15654" w:rsidRDefault="00995241" w:rsidP="00995241">
      <w:pPr>
        <w:rPr>
          <w:rFonts w:ascii="Arial" w:hAnsi="Arial" w:cs="Arial"/>
          <w:sz w:val="24"/>
          <w:szCs w:val="24"/>
        </w:rPr>
      </w:pPr>
      <w:r w:rsidRPr="00E15654">
        <w:rPr>
          <w:rFonts w:ascii="Arial" w:hAnsi="Arial" w:cs="Arial"/>
          <w:sz w:val="24"/>
          <w:szCs w:val="24"/>
        </w:rPr>
        <w:t>Islam, G. and Slack, F. (2016) 'Digital divides and implications for human resource development', </w:t>
      </w:r>
      <w:r w:rsidRPr="00E15654">
        <w:rPr>
          <w:rFonts w:ascii="Arial" w:hAnsi="Arial" w:cs="Arial"/>
          <w:i/>
          <w:iCs/>
          <w:sz w:val="24"/>
          <w:szCs w:val="24"/>
        </w:rPr>
        <w:t>Human Resource Development International</w:t>
      </w:r>
      <w:r w:rsidRPr="00E15654">
        <w:rPr>
          <w:rFonts w:ascii="Arial" w:hAnsi="Arial" w:cs="Arial"/>
          <w:sz w:val="24"/>
          <w:szCs w:val="24"/>
        </w:rPr>
        <w:t>, 19(5), pp. 383-388.</w:t>
      </w:r>
    </w:p>
    <w:p w14:paraId="2B59478D" w14:textId="77777777" w:rsidR="00995241" w:rsidRPr="00E15654" w:rsidRDefault="00995241" w:rsidP="00995241">
      <w:pPr>
        <w:rPr>
          <w:rFonts w:ascii="Arial" w:hAnsi="Arial" w:cs="Arial"/>
          <w:sz w:val="24"/>
          <w:szCs w:val="24"/>
        </w:rPr>
      </w:pPr>
      <w:r w:rsidRPr="00E15654">
        <w:rPr>
          <w:rFonts w:ascii="Arial" w:hAnsi="Arial" w:cs="Arial"/>
          <w:sz w:val="24"/>
          <w:szCs w:val="24"/>
        </w:rPr>
        <w:t>Khan, M.M.R. and Panday, P.K. (2018) </w:t>
      </w:r>
      <w:r w:rsidRPr="00E15654">
        <w:rPr>
          <w:rFonts w:ascii="Arial" w:hAnsi="Arial" w:cs="Arial"/>
          <w:i/>
          <w:iCs/>
          <w:sz w:val="24"/>
          <w:szCs w:val="24"/>
        </w:rPr>
        <w:t>Public administration in South Asia: Bangladesh</w:t>
      </w:r>
      <w:r w:rsidRPr="00E15654">
        <w:rPr>
          <w:rFonts w:ascii="Arial" w:hAnsi="Arial" w:cs="Arial"/>
          <w:sz w:val="24"/>
          <w:szCs w:val="24"/>
        </w:rPr>
        <w:t>. London: Routledge.</w:t>
      </w:r>
    </w:p>
    <w:p w14:paraId="1B1AA6CF" w14:textId="77777777" w:rsidR="00995241" w:rsidRPr="00E15654" w:rsidRDefault="00995241" w:rsidP="00995241">
      <w:pPr>
        <w:rPr>
          <w:rFonts w:ascii="Arial" w:hAnsi="Arial" w:cs="Arial"/>
          <w:sz w:val="24"/>
          <w:szCs w:val="24"/>
        </w:rPr>
      </w:pPr>
      <w:r w:rsidRPr="00E15654">
        <w:rPr>
          <w:rFonts w:ascii="Arial" w:hAnsi="Arial" w:cs="Arial"/>
          <w:sz w:val="24"/>
          <w:szCs w:val="24"/>
        </w:rPr>
        <w:t>Kniberg, H. and Ivarsson, A. (2012) </w:t>
      </w:r>
      <w:r w:rsidRPr="00E15654">
        <w:rPr>
          <w:rFonts w:ascii="Arial" w:hAnsi="Arial" w:cs="Arial"/>
          <w:i/>
          <w:iCs/>
          <w:sz w:val="24"/>
          <w:szCs w:val="24"/>
        </w:rPr>
        <w:t>Scaling agile @ Spotify</w:t>
      </w:r>
      <w:r w:rsidRPr="00E15654">
        <w:rPr>
          <w:rFonts w:ascii="Arial" w:hAnsi="Arial" w:cs="Arial"/>
          <w:sz w:val="24"/>
          <w:szCs w:val="24"/>
        </w:rPr>
        <w:t>. Available at: </w:t>
      </w:r>
      <w:hyperlink r:id="rId17" w:history="1">
        <w:r w:rsidRPr="00E15654">
          <w:rPr>
            <w:rStyle w:val="Hyperlink"/>
            <w:rFonts w:ascii="Arial" w:hAnsi="Arial" w:cs="Arial"/>
            <w:sz w:val="24"/>
            <w:szCs w:val="24"/>
          </w:rPr>
          <w:t>https://blog.crisp.se/wp-content/uploads/2012/11/SpotifyScaling.pdf</w:t>
        </w:r>
      </w:hyperlink>
      <w:r w:rsidRPr="00E15654">
        <w:rPr>
          <w:rFonts w:ascii="Arial" w:hAnsi="Arial" w:cs="Arial"/>
          <w:sz w:val="24"/>
          <w:szCs w:val="24"/>
        </w:rPr>
        <w:t> </w:t>
      </w:r>
      <w:r w:rsidRPr="00674B17">
        <w:rPr>
          <w:rFonts w:ascii="Arial" w:hAnsi="Arial" w:cs="Arial"/>
          <w:sz w:val="24"/>
          <w:szCs w:val="24"/>
        </w:rPr>
        <w:t>(Accessed: 16 October 2025)</w:t>
      </w:r>
      <w:r w:rsidRPr="00E15654">
        <w:rPr>
          <w:rFonts w:ascii="Arial" w:hAnsi="Arial" w:cs="Arial"/>
          <w:sz w:val="24"/>
          <w:szCs w:val="24"/>
        </w:rPr>
        <w:t>.</w:t>
      </w:r>
    </w:p>
    <w:p w14:paraId="687E1F70" w14:textId="77777777" w:rsidR="00995241" w:rsidRPr="00E15654" w:rsidRDefault="00995241" w:rsidP="00995241">
      <w:pPr>
        <w:rPr>
          <w:rFonts w:ascii="Arial" w:hAnsi="Arial" w:cs="Arial"/>
          <w:sz w:val="24"/>
          <w:szCs w:val="24"/>
        </w:rPr>
      </w:pPr>
      <w:r w:rsidRPr="00E15654">
        <w:rPr>
          <w:rFonts w:ascii="Arial" w:hAnsi="Arial" w:cs="Arial"/>
          <w:sz w:val="24"/>
          <w:szCs w:val="24"/>
        </w:rPr>
        <w:t>Morgan, J. (2017) </w:t>
      </w:r>
      <w:r w:rsidRPr="00E15654">
        <w:rPr>
          <w:rFonts w:ascii="Arial" w:hAnsi="Arial" w:cs="Arial"/>
          <w:i/>
          <w:iCs/>
          <w:sz w:val="24"/>
          <w:szCs w:val="24"/>
        </w:rPr>
        <w:t>The employee experience advantage: How to win the war for talent by giving employees the workspaces they want</w:t>
      </w:r>
      <w:r w:rsidRPr="00E15654">
        <w:rPr>
          <w:rFonts w:ascii="Arial" w:hAnsi="Arial" w:cs="Arial"/>
          <w:sz w:val="24"/>
          <w:szCs w:val="24"/>
        </w:rPr>
        <w:t>. Hoboken, NJ: John Wiley &amp; Sons.</w:t>
      </w:r>
    </w:p>
    <w:p w14:paraId="4988F1C7" w14:textId="77777777" w:rsidR="00995241" w:rsidRPr="00E15654" w:rsidRDefault="00995241" w:rsidP="00995241">
      <w:pPr>
        <w:rPr>
          <w:rFonts w:ascii="Arial" w:hAnsi="Arial" w:cs="Arial"/>
          <w:sz w:val="24"/>
          <w:szCs w:val="24"/>
        </w:rPr>
      </w:pPr>
      <w:r w:rsidRPr="00E15654">
        <w:rPr>
          <w:rFonts w:ascii="Arial" w:hAnsi="Arial" w:cs="Arial"/>
          <w:sz w:val="24"/>
          <w:szCs w:val="24"/>
        </w:rPr>
        <w:t>Mullenweg, M. and Berkun, S. (2020) </w:t>
      </w:r>
      <w:r w:rsidRPr="00E15654">
        <w:rPr>
          <w:rFonts w:ascii="Arial" w:hAnsi="Arial" w:cs="Arial"/>
          <w:i/>
          <w:iCs/>
          <w:sz w:val="24"/>
          <w:szCs w:val="24"/>
        </w:rPr>
        <w:t>The year without pants: WordPress.com and the future of work</w:t>
      </w:r>
      <w:r w:rsidRPr="00E15654">
        <w:rPr>
          <w:rFonts w:ascii="Arial" w:hAnsi="Arial" w:cs="Arial"/>
          <w:sz w:val="24"/>
          <w:szCs w:val="24"/>
        </w:rPr>
        <w:t>. 2nd edn. San Francisco: Jossey-Bass.</w:t>
      </w:r>
    </w:p>
    <w:p w14:paraId="25B0389C" w14:textId="77777777" w:rsidR="00995241" w:rsidRPr="00E15654" w:rsidRDefault="00995241" w:rsidP="00995241">
      <w:pPr>
        <w:rPr>
          <w:rFonts w:ascii="Arial" w:hAnsi="Arial" w:cs="Arial"/>
          <w:sz w:val="24"/>
          <w:szCs w:val="24"/>
        </w:rPr>
      </w:pPr>
      <w:r w:rsidRPr="00E15654">
        <w:rPr>
          <w:rFonts w:ascii="Arial" w:hAnsi="Arial" w:cs="Arial"/>
          <w:sz w:val="24"/>
          <w:szCs w:val="24"/>
        </w:rPr>
        <w:t>Neeley, T. (2021) </w:t>
      </w:r>
      <w:r w:rsidRPr="00E15654">
        <w:rPr>
          <w:rFonts w:ascii="Arial" w:hAnsi="Arial" w:cs="Arial"/>
          <w:i/>
          <w:iCs/>
          <w:sz w:val="24"/>
          <w:szCs w:val="24"/>
        </w:rPr>
        <w:t>Remote work revolution: Succeeding from anywhere</w:t>
      </w:r>
      <w:r w:rsidRPr="00E15654">
        <w:rPr>
          <w:rFonts w:ascii="Arial" w:hAnsi="Arial" w:cs="Arial"/>
          <w:sz w:val="24"/>
          <w:szCs w:val="24"/>
        </w:rPr>
        <w:t>. New York: HarperBusiness.</w:t>
      </w:r>
    </w:p>
    <w:p w14:paraId="74787FED" w14:textId="77777777" w:rsidR="00995241" w:rsidRPr="00E15654" w:rsidRDefault="00995241" w:rsidP="00995241">
      <w:pPr>
        <w:rPr>
          <w:rFonts w:ascii="Arial" w:hAnsi="Arial" w:cs="Arial"/>
          <w:sz w:val="24"/>
          <w:szCs w:val="24"/>
        </w:rPr>
      </w:pPr>
      <w:r w:rsidRPr="00E15654">
        <w:rPr>
          <w:rFonts w:ascii="Arial" w:hAnsi="Arial" w:cs="Arial"/>
          <w:sz w:val="24"/>
          <w:szCs w:val="24"/>
        </w:rPr>
        <w:lastRenderedPageBreak/>
        <w:t>Plaskoff, J. (2017) 'Employee experience: The new human resource management approach', </w:t>
      </w:r>
      <w:r w:rsidRPr="00E15654">
        <w:rPr>
          <w:rFonts w:ascii="Arial" w:hAnsi="Arial" w:cs="Arial"/>
          <w:i/>
          <w:iCs/>
          <w:sz w:val="24"/>
          <w:szCs w:val="24"/>
        </w:rPr>
        <w:t>Strategic HR Review</w:t>
      </w:r>
      <w:r w:rsidRPr="00E15654">
        <w:rPr>
          <w:rFonts w:ascii="Arial" w:hAnsi="Arial" w:cs="Arial"/>
          <w:sz w:val="24"/>
          <w:szCs w:val="24"/>
        </w:rPr>
        <w:t>, 16(3), pp. 136-141.</w:t>
      </w:r>
    </w:p>
    <w:p w14:paraId="4DD09D56" w14:textId="77777777" w:rsidR="00995241" w:rsidRPr="00E15654" w:rsidRDefault="00995241" w:rsidP="00995241">
      <w:pPr>
        <w:rPr>
          <w:rFonts w:ascii="Arial" w:hAnsi="Arial" w:cs="Arial"/>
          <w:sz w:val="24"/>
          <w:szCs w:val="24"/>
        </w:rPr>
      </w:pPr>
      <w:r w:rsidRPr="00E15654">
        <w:rPr>
          <w:rFonts w:ascii="Arial" w:hAnsi="Arial" w:cs="Arial"/>
          <w:sz w:val="24"/>
          <w:szCs w:val="24"/>
        </w:rPr>
        <w:t>PwC (2023) </w:t>
      </w:r>
      <w:r w:rsidRPr="00E15654">
        <w:rPr>
          <w:rFonts w:ascii="Arial" w:hAnsi="Arial" w:cs="Arial"/>
          <w:i/>
          <w:iCs/>
          <w:sz w:val="24"/>
          <w:szCs w:val="24"/>
        </w:rPr>
        <w:t>Global workforce hopes and fears survey 2023</w:t>
      </w:r>
      <w:r w:rsidRPr="00E15654">
        <w:rPr>
          <w:rFonts w:ascii="Arial" w:hAnsi="Arial" w:cs="Arial"/>
          <w:sz w:val="24"/>
          <w:szCs w:val="24"/>
        </w:rPr>
        <w:t>. Available at: </w:t>
      </w:r>
      <w:hyperlink r:id="rId18" w:history="1">
        <w:r w:rsidRPr="00E15654">
          <w:rPr>
            <w:rStyle w:val="Hyperlink"/>
            <w:rFonts w:ascii="Arial" w:hAnsi="Arial" w:cs="Arial"/>
            <w:sz w:val="24"/>
            <w:szCs w:val="24"/>
          </w:rPr>
          <w:t>https://www.pwc.com/gx/en/issues/workforce/hopes-and-fears.html</w:t>
        </w:r>
      </w:hyperlink>
      <w:r w:rsidRPr="00E15654">
        <w:rPr>
          <w:rFonts w:ascii="Arial" w:hAnsi="Arial" w:cs="Arial"/>
          <w:sz w:val="24"/>
          <w:szCs w:val="24"/>
        </w:rPr>
        <w:t> </w:t>
      </w:r>
      <w:r w:rsidRPr="00674B17">
        <w:rPr>
          <w:rFonts w:ascii="Arial" w:hAnsi="Arial" w:cs="Arial"/>
          <w:sz w:val="24"/>
          <w:szCs w:val="24"/>
        </w:rPr>
        <w:t>(Accessed: 16 October 2025).</w:t>
      </w:r>
    </w:p>
    <w:p w14:paraId="5730B7FE" w14:textId="77777777" w:rsidR="00995241" w:rsidRPr="00E15654" w:rsidRDefault="00995241" w:rsidP="00995241">
      <w:pPr>
        <w:rPr>
          <w:rFonts w:ascii="Arial" w:hAnsi="Arial" w:cs="Arial"/>
          <w:sz w:val="24"/>
          <w:szCs w:val="24"/>
        </w:rPr>
      </w:pPr>
      <w:r w:rsidRPr="00E15654">
        <w:rPr>
          <w:rFonts w:ascii="Arial" w:hAnsi="Arial" w:cs="Arial"/>
          <w:sz w:val="24"/>
          <w:szCs w:val="24"/>
        </w:rPr>
        <w:t>Rigby, D.K., Sutherland, J. and Takeuchi, H. (2016) 'Embracing agile', </w:t>
      </w:r>
      <w:r w:rsidRPr="00E15654">
        <w:rPr>
          <w:rFonts w:ascii="Arial" w:hAnsi="Arial" w:cs="Arial"/>
          <w:i/>
          <w:iCs/>
          <w:sz w:val="24"/>
          <w:szCs w:val="24"/>
        </w:rPr>
        <w:t>Harvard Business Review</w:t>
      </w:r>
      <w:r w:rsidRPr="00E15654">
        <w:rPr>
          <w:rFonts w:ascii="Arial" w:hAnsi="Arial" w:cs="Arial"/>
          <w:sz w:val="24"/>
          <w:szCs w:val="24"/>
        </w:rPr>
        <w:t>, 94(5), pp. 40-50.</w:t>
      </w:r>
    </w:p>
    <w:p w14:paraId="030F7D9E" w14:textId="77777777" w:rsidR="00995241" w:rsidRPr="009F1A81" w:rsidRDefault="00995241" w:rsidP="00995241">
      <w:pPr>
        <w:rPr>
          <w:rFonts w:ascii="Arial" w:hAnsi="Arial" w:cs="Arial"/>
          <w:sz w:val="24"/>
          <w:szCs w:val="24"/>
        </w:rPr>
      </w:pPr>
      <w:r w:rsidRPr="009F1A81">
        <w:rPr>
          <w:rFonts w:ascii="Arial" w:hAnsi="Arial" w:cs="Arial"/>
          <w:sz w:val="24"/>
          <w:szCs w:val="24"/>
        </w:rPr>
        <w:t>Sparrow, P., Brewster, C. and Chung, C. (2017) </w:t>
      </w:r>
      <w:r w:rsidRPr="009F1A81">
        <w:rPr>
          <w:rFonts w:ascii="Arial" w:hAnsi="Arial" w:cs="Arial"/>
          <w:i/>
          <w:iCs/>
          <w:sz w:val="24"/>
          <w:szCs w:val="24"/>
        </w:rPr>
        <w:t>Globalizing human resource management</w:t>
      </w:r>
      <w:r w:rsidRPr="009F1A81">
        <w:rPr>
          <w:rFonts w:ascii="Arial" w:hAnsi="Arial" w:cs="Arial"/>
          <w:sz w:val="24"/>
          <w:szCs w:val="24"/>
        </w:rPr>
        <w:t>. 2nd edn. London: Routledge.</w:t>
      </w:r>
    </w:p>
    <w:p w14:paraId="0452D0EC" w14:textId="77777777" w:rsidR="00995241" w:rsidRPr="00E15654" w:rsidRDefault="00995241" w:rsidP="00995241">
      <w:pPr>
        <w:rPr>
          <w:rFonts w:ascii="Arial" w:hAnsi="Arial" w:cs="Arial"/>
          <w:sz w:val="24"/>
          <w:szCs w:val="24"/>
        </w:rPr>
      </w:pPr>
      <w:r w:rsidRPr="00E15654">
        <w:rPr>
          <w:rFonts w:ascii="Arial" w:hAnsi="Arial" w:cs="Arial"/>
          <w:sz w:val="24"/>
          <w:szCs w:val="24"/>
        </w:rPr>
        <w:t>Sull, D. and Sull, C. (2018) 'With goals, FAST beats SMART', </w:t>
      </w:r>
      <w:r w:rsidRPr="00E15654">
        <w:rPr>
          <w:rFonts w:ascii="Arial" w:hAnsi="Arial" w:cs="Arial"/>
          <w:i/>
          <w:iCs/>
          <w:sz w:val="24"/>
          <w:szCs w:val="24"/>
        </w:rPr>
        <w:t>MIT Sloan Management Review</w:t>
      </w:r>
      <w:r w:rsidRPr="00E15654">
        <w:rPr>
          <w:rFonts w:ascii="Arial" w:hAnsi="Arial" w:cs="Arial"/>
          <w:sz w:val="24"/>
          <w:szCs w:val="24"/>
        </w:rPr>
        <w:t>, 59(4), pp. 1-11.</w:t>
      </w:r>
    </w:p>
    <w:p w14:paraId="78259BE4" w14:textId="77777777" w:rsidR="00995241" w:rsidRDefault="00995241" w:rsidP="00995241">
      <w:pPr>
        <w:rPr>
          <w:rFonts w:ascii="Arial" w:hAnsi="Arial" w:cs="Arial"/>
          <w:sz w:val="24"/>
          <w:szCs w:val="24"/>
        </w:rPr>
      </w:pPr>
      <w:r w:rsidRPr="000B6F92">
        <w:rPr>
          <w:rFonts w:ascii="Arial" w:hAnsi="Arial" w:cs="Arial"/>
          <w:sz w:val="24"/>
          <w:szCs w:val="24"/>
        </w:rPr>
        <w:t>The Talent Strategy Group. (2021) </w:t>
      </w:r>
      <w:r w:rsidRPr="000B6F92">
        <w:rPr>
          <w:rFonts w:ascii="Arial" w:hAnsi="Arial" w:cs="Arial"/>
          <w:i/>
          <w:iCs/>
          <w:sz w:val="24"/>
          <w:szCs w:val="24"/>
        </w:rPr>
        <w:t>Using Experience Maps to Accelerate Development</w:t>
      </w:r>
      <w:r w:rsidRPr="000B6F92">
        <w:rPr>
          <w:rFonts w:ascii="Arial" w:hAnsi="Arial" w:cs="Arial"/>
          <w:sz w:val="24"/>
          <w:szCs w:val="24"/>
        </w:rPr>
        <w:t>. Available at: </w:t>
      </w:r>
      <w:hyperlink r:id="rId19" w:history="1">
        <w:r w:rsidRPr="000B6F92">
          <w:rPr>
            <w:rStyle w:val="Hyperlink"/>
            <w:rFonts w:ascii="Arial" w:hAnsi="Arial" w:cs="Arial"/>
            <w:sz w:val="24"/>
            <w:szCs w:val="24"/>
          </w:rPr>
          <w:t>https://talentstrategygroup.com/using-experience-maps-to-accelerate-development/</w:t>
        </w:r>
      </w:hyperlink>
      <w:r w:rsidRPr="000B6F92">
        <w:rPr>
          <w:rFonts w:ascii="Arial" w:hAnsi="Arial" w:cs="Arial"/>
          <w:sz w:val="24"/>
          <w:szCs w:val="24"/>
        </w:rPr>
        <w:t> (Accessed: 16 October 2025).</w:t>
      </w:r>
    </w:p>
    <w:p w14:paraId="55DA6677" w14:textId="77777777" w:rsidR="00995241" w:rsidRPr="00E15654" w:rsidRDefault="00995241" w:rsidP="00995241">
      <w:pPr>
        <w:rPr>
          <w:rFonts w:ascii="Arial" w:hAnsi="Arial" w:cs="Arial"/>
          <w:sz w:val="24"/>
          <w:szCs w:val="24"/>
        </w:rPr>
      </w:pPr>
      <w:r w:rsidRPr="00E15654">
        <w:rPr>
          <w:rFonts w:ascii="Arial" w:hAnsi="Arial" w:cs="Arial"/>
          <w:sz w:val="24"/>
          <w:szCs w:val="24"/>
        </w:rPr>
        <w:t>Ulrich, D. and Yeung, A. (2019) 'Agility: The new response to dynamic change', </w:t>
      </w:r>
      <w:r w:rsidRPr="00E15654">
        <w:rPr>
          <w:rFonts w:ascii="Arial" w:hAnsi="Arial" w:cs="Arial"/>
          <w:i/>
          <w:iCs/>
          <w:sz w:val="24"/>
          <w:szCs w:val="24"/>
        </w:rPr>
        <w:t>Strategic HR Review</w:t>
      </w:r>
      <w:r w:rsidRPr="00E15654">
        <w:rPr>
          <w:rFonts w:ascii="Arial" w:hAnsi="Arial" w:cs="Arial"/>
          <w:sz w:val="24"/>
          <w:szCs w:val="24"/>
        </w:rPr>
        <w:t>, 18(4), pp. 161-167.</w:t>
      </w:r>
    </w:p>
    <w:p w14:paraId="3699BC79" w14:textId="77777777" w:rsidR="00995241" w:rsidRPr="00E15654" w:rsidRDefault="00995241" w:rsidP="00995241">
      <w:pPr>
        <w:rPr>
          <w:rFonts w:ascii="Arial" w:hAnsi="Arial" w:cs="Arial"/>
          <w:sz w:val="24"/>
          <w:szCs w:val="24"/>
        </w:rPr>
      </w:pPr>
      <w:r w:rsidRPr="000B6F92">
        <w:rPr>
          <w:rFonts w:ascii="Arial" w:hAnsi="Arial" w:cs="Arial"/>
          <w:sz w:val="24"/>
          <w:szCs w:val="24"/>
        </w:rPr>
        <w:t>Venngage. (2023) </w:t>
      </w:r>
      <w:r w:rsidRPr="000B6F92">
        <w:rPr>
          <w:rFonts w:ascii="Arial" w:hAnsi="Arial" w:cs="Arial"/>
          <w:i/>
          <w:iCs/>
          <w:sz w:val="24"/>
          <w:szCs w:val="24"/>
        </w:rPr>
        <w:t>HR Dashboard | Free HR Dashboard Templates</w:t>
      </w:r>
      <w:r w:rsidRPr="000B6F92">
        <w:rPr>
          <w:rFonts w:ascii="Arial" w:hAnsi="Arial" w:cs="Arial"/>
          <w:sz w:val="24"/>
          <w:szCs w:val="24"/>
        </w:rPr>
        <w:t>. Available at: </w:t>
      </w:r>
      <w:hyperlink r:id="rId20" w:history="1">
        <w:r w:rsidRPr="000B6F92">
          <w:rPr>
            <w:rStyle w:val="Hyperlink"/>
            <w:rFonts w:ascii="Arial" w:hAnsi="Arial" w:cs="Arial"/>
            <w:sz w:val="24"/>
            <w:szCs w:val="24"/>
          </w:rPr>
          <w:t>https://venngage.com/templates/dashboards/hr-dashboard</w:t>
        </w:r>
      </w:hyperlink>
      <w:r w:rsidRPr="000B6F92">
        <w:rPr>
          <w:rFonts w:ascii="Arial" w:hAnsi="Arial" w:cs="Arial"/>
          <w:sz w:val="24"/>
          <w:szCs w:val="24"/>
        </w:rPr>
        <w:t> (Accessed: 16 October 2025).</w:t>
      </w:r>
    </w:p>
    <w:p w14:paraId="42E02E3F" w14:textId="77777777" w:rsidR="00995241" w:rsidRDefault="00995241" w:rsidP="00995241">
      <w:pPr>
        <w:rPr>
          <w:rFonts w:ascii="Arial" w:hAnsi="Arial" w:cs="Arial"/>
          <w:sz w:val="24"/>
          <w:szCs w:val="24"/>
        </w:rPr>
      </w:pPr>
      <w:r w:rsidRPr="00E15654">
        <w:rPr>
          <w:rFonts w:ascii="Arial" w:hAnsi="Arial" w:cs="Arial"/>
          <w:sz w:val="24"/>
          <w:szCs w:val="24"/>
        </w:rPr>
        <w:t>World Economic Forum (2023) </w:t>
      </w:r>
      <w:r w:rsidRPr="00E15654">
        <w:rPr>
          <w:rFonts w:ascii="Arial" w:hAnsi="Arial" w:cs="Arial"/>
          <w:i/>
          <w:iCs/>
          <w:sz w:val="24"/>
          <w:szCs w:val="24"/>
        </w:rPr>
        <w:t>Future of jobs report 2023</w:t>
      </w:r>
      <w:r w:rsidRPr="00E15654">
        <w:rPr>
          <w:rFonts w:ascii="Arial" w:hAnsi="Arial" w:cs="Arial"/>
          <w:sz w:val="24"/>
          <w:szCs w:val="24"/>
        </w:rPr>
        <w:t>. Available at: </w:t>
      </w:r>
      <w:hyperlink r:id="rId21" w:history="1">
        <w:r w:rsidRPr="00E15654">
          <w:rPr>
            <w:rStyle w:val="Hyperlink"/>
            <w:rFonts w:ascii="Arial" w:hAnsi="Arial" w:cs="Arial"/>
            <w:sz w:val="24"/>
            <w:szCs w:val="24"/>
          </w:rPr>
          <w:t>https://www.weforum.org/reports/the-future-of-jobs-report-2023/</w:t>
        </w:r>
      </w:hyperlink>
      <w:r w:rsidRPr="00E15654">
        <w:rPr>
          <w:rFonts w:ascii="Arial" w:hAnsi="Arial" w:cs="Arial"/>
          <w:sz w:val="24"/>
          <w:szCs w:val="24"/>
        </w:rPr>
        <w:t> </w:t>
      </w:r>
      <w:r w:rsidRPr="00674B17">
        <w:rPr>
          <w:rFonts w:ascii="Arial" w:hAnsi="Arial" w:cs="Arial"/>
          <w:sz w:val="24"/>
          <w:szCs w:val="24"/>
        </w:rPr>
        <w:t>(Accessed: 16 October 2025).</w:t>
      </w:r>
    </w:p>
    <w:p w14:paraId="2D5AFAE2" w14:textId="77777777" w:rsidR="00995241" w:rsidRDefault="00995241" w:rsidP="00995241">
      <w:pPr>
        <w:rPr>
          <w:rFonts w:ascii="Arial" w:hAnsi="Arial" w:cs="Arial"/>
          <w:sz w:val="24"/>
          <w:szCs w:val="24"/>
        </w:rPr>
      </w:pPr>
      <w:r w:rsidRPr="009F1A81">
        <w:rPr>
          <w:rFonts w:ascii="Arial" w:hAnsi="Arial" w:cs="Arial"/>
          <w:sz w:val="24"/>
          <w:szCs w:val="24"/>
        </w:rPr>
        <w:t>Wright, P.M. and McMahan, G.C. (2011) 'Exploring human capital: Putting human back into strategic human resource management', </w:t>
      </w:r>
      <w:r w:rsidRPr="009F1A81">
        <w:rPr>
          <w:rFonts w:ascii="Arial" w:hAnsi="Arial" w:cs="Arial"/>
          <w:i/>
          <w:iCs/>
          <w:sz w:val="24"/>
          <w:szCs w:val="24"/>
        </w:rPr>
        <w:t>Human Resource Management Journal</w:t>
      </w:r>
      <w:r w:rsidRPr="009F1A81">
        <w:rPr>
          <w:rFonts w:ascii="Arial" w:hAnsi="Arial" w:cs="Arial"/>
          <w:sz w:val="24"/>
          <w:szCs w:val="24"/>
        </w:rPr>
        <w:t>, 21(2), pp. 93-104.</w:t>
      </w:r>
    </w:p>
    <w:p w14:paraId="16577B55" w14:textId="77777777" w:rsidR="00995241" w:rsidRPr="00E15654" w:rsidRDefault="00995241" w:rsidP="00995241">
      <w:pPr>
        <w:rPr>
          <w:rFonts w:ascii="Arial" w:hAnsi="Arial" w:cs="Arial"/>
          <w:sz w:val="24"/>
          <w:szCs w:val="24"/>
        </w:rPr>
      </w:pPr>
      <w:r w:rsidRPr="00E15654">
        <w:rPr>
          <w:rFonts w:ascii="Arial" w:hAnsi="Arial" w:cs="Arial"/>
          <w:sz w:val="24"/>
          <w:szCs w:val="24"/>
        </w:rPr>
        <w:t>Zakaria, N. (2017) 'Emergent patterns of switching behaviors and intercultural communication styles of global virtual teams during distributed decision making', </w:t>
      </w:r>
      <w:r w:rsidRPr="00E15654">
        <w:rPr>
          <w:rFonts w:ascii="Arial" w:hAnsi="Arial" w:cs="Arial"/>
          <w:i/>
          <w:iCs/>
          <w:sz w:val="24"/>
          <w:szCs w:val="24"/>
        </w:rPr>
        <w:t>Journal of International Management</w:t>
      </w:r>
      <w:r w:rsidRPr="00E15654">
        <w:rPr>
          <w:rFonts w:ascii="Arial" w:hAnsi="Arial" w:cs="Arial"/>
          <w:sz w:val="24"/>
          <w:szCs w:val="24"/>
        </w:rPr>
        <w:t>, 23(4), pp. 350-366.</w:t>
      </w:r>
    </w:p>
    <w:p w14:paraId="5C8DBEDB" w14:textId="77777777" w:rsidR="002175DC" w:rsidRDefault="002175DC"/>
    <w:sectPr w:rsidR="002175DC" w:rsidSect="002175DC">
      <w:footerReference w:type="default" r:id="rId22"/>
      <w:pgSz w:w="12240" w:h="15840"/>
      <w:pgMar w:top="1685" w:right="1080" w:bottom="274"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0EDC1" w14:textId="77777777" w:rsidR="002D401C" w:rsidRDefault="002D401C" w:rsidP="00995241">
      <w:pPr>
        <w:spacing w:after="0" w:line="240" w:lineRule="auto"/>
      </w:pPr>
      <w:r>
        <w:separator/>
      </w:r>
    </w:p>
  </w:endnote>
  <w:endnote w:type="continuationSeparator" w:id="0">
    <w:p w14:paraId="573C5834" w14:textId="77777777" w:rsidR="002D401C" w:rsidRDefault="002D401C" w:rsidP="00995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42140"/>
      <w:docPartObj>
        <w:docPartGallery w:val="Page Numbers (Bottom of Page)"/>
        <w:docPartUnique/>
      </w:docPartObj>
    </w:sdtPr>
    <w:sdtEndPr>
      <w:rPr>
        <w:noProof/>
      </w:rPr>
    </w:sdtEndPr>
    <w:sdtContent>
      <w:p w14:paraId="5A6E49E3" w14:textId="52D78149" w:rsidR="00995241" w:rsidRDefault="009952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84363" w14:textId="77777777" w:rsidR="00995241" w:rsidRDefault="00995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1FB82" w14:textId="77777777" w:rsidR="002D401C" w:rsidRDefault="002D401C" w:rsidP="00995241">
      <w:pPr>
        <w:spacing w:after="0" w:line="240" w:lineRule="auto"/>
      </w:pPr>
      <w:r>
        <w:separator/>
      </w:r>
    </w:p>
  </w:footnote>
  <w:footnote w:type="continuationSeparator" w:id="0">
    <w:p w14:paraId="62D36CBF" w14:textId="77777777" w:rsidR="002D401C" w:rsidRDefault="002D401C" w:rsidP="009952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241"/>
    <w:rsid w:val="000B5401"/>
    <w:rsid w:val="001C21E5"/>
    <w:rsid w:val="002175DC"/>
    <w:rsid w:val="00253AE0"/>
    <w:rsid w:val="002D401C"/>
    <w:rsid w:val="0048101B"/>
    <w:rsid w:val="0056574F"/>
    <w:rsid w:val="00603B91"/>
    <w:rsid w:val="006412B1"/>
    <w:rsid w:val="006C4EEF"/>
    <w:rsid w:val="00794461"/>
    <w:rsid w:val="008A5DA4"/>
    <w:rsid w:val="009363CC"/>
    <w:rsid w:val="00995241"/>
    <w:rsid w:val="00E81A0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3D73D"/>
  <w15:chartTrackingRefBased/>
  <w15:docId w15:val="{927C5579-4D09-47AD-AC63-9C9CAE234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241"/>
    <w:pPr>
      <w:spacing w:line="259" w:lineRule="auto"/>
    </w:pPr>
    <w:rPr>
      <w:rFonts w:cs="Vrinda"/>
      <w:kern w:val="0"/>
      <w:sz w:val="22"/>
      <w:szCs w:val="28"/>
    </w:rPr>
  </w:style>
  <w:style w:type="paragraph" w:styleId="Heading1">
    <w:name w:val="heading 1"/>
    <w:basedOn w:val="Normal"/>
    <w:next w:val="Normal"/>
    <w:link w:val="Heading1Char"/>
    <w:uiPriority w:val="9"/>
    <w:qFormat/>
    <w:rsid w:val="00995241"/>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50"/>
    </w:rPr>
  </w:style>
  <w:style w:type="paragraph" w:styleId="Heading2">
    <w:name w:val="heading 2"/>
    <w:basedOn w:val="Normal"/>
    <w:next w:val="Normal"/>
    <w:link w:val="Heading2Char"/>
    <w:uiPriority w:val="9"/>
    <w:semiHidden/>
    <w:unhideWhenUsed/>
    <w:qFormat/>
    <w:rsid w:val="00995241"/>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40"/>
    </w:rPr>
  </w:style>
  <w:style w:type="paragraph" w:styleId="Heading3">
    <w:name w:val="heading 3"/>
    <w:basedOn w:val="Normal"/>
    <w:next w:val="Normal"/>
    <w:link w:val="Heading3Char"/>
    <w:uiPriority w:val="9"/>
    <w:semiHidden/>
    <w:unhideWhenUsed/>
    <w:qFormat/>
    <w:rsid w:val="00995241"/>
    <w:pPr>
      <w:keepNext/>
      <w:keepLines/>
      <w:spacing w:before="160" w:after="80" w:line="278" w:lineRule="auto"/>
      <w:outlineLvl w:val="2"/>
    </w:pPr>
    <w:rPr>
      <w:rFonts w:eastAsiaTheme="majorEastAsia" w:cstheme="majorBidi"/>
      <w:color w:val="2F5496" w:themeColor="accent1" w:themeShade="BF"/>
      <w:kern w:val="2"/>
      <w:sz w:val="28"/>
      <w:szCs w:val="35"/>
    </w:rPr>
  </w:style>
  <w:style w:type="paragraph" w:styleId="Heading4">
    <w:name w:val="heading 4"/>
    <w:basedOn w:val="Normal"/>
    <w:next w:val="Normal"/>
    <w:link w:val="Heading4Char"/>
    <w:uiPriority w:val="9"/>
    <w:semiHidden/>
    <w:unhideWhenUsed/>
    <w:qFormat/>
    <w:rsid w:val="00995241"/>
    <w:pPr>
      <w:keepNext/>
      <w:keepLines/>
      <w:spacing w:before="80" w:after="40" w:line="278" w:lineRule="auto"/>
      <w:outlineLvl w:val="3"/>
    </w:pPr>
    <w:rPr>
      <w:rFonts w:eastAsiaTheme="majorEastAsia" w:cstheme="majorBidi"/>
      <w:i/>
      <w:iCs/>
      <w:color w:val="2F5496" w:themeColor="accent1" w:themeShade="BF"/>
      <w:kern w:val="2"/>
      <w:sz w:val="24"/>
      <w:szCs w:val="30"/>
    </w:rPr>
  </w:style>
  <w:style w:type="paragraph" w:styleId="Heading5">
    <w:name w:val="heading 5"/>
    <w:basedOn w:val="Normal"/>
    <w:next w:val="Normal"/>
    <w:link w:val="Heading5Char"/>
    <w:uiPriority w:val="9"/>
    <w:semiHidden/>
    <w:unhideWhenUsed/>
    <w:qFormat/>
    <w:rsid w:val="00995241"/>
    <w:pPr>
      <w:keepNext/>
      <w:keepLines/>
      <w:spacing w:before="80" w:after="40" w:line="278" w:lineRule="auto"/>
      <w:outlineLvl w:val="4"/>
    </w:pPr>
    <w:rPr>
      <w:rFonts w:eastAsiaTheme="majorEastAsia" w:cstheme="majorBidi"/>
      <w:color w:val="2F5496" w:themeColor="accent1" w:themeShade="BF"/>
      <w:kern w:val="2"/>
      <w:sz w:val="24"/>
      <w:szCs w:val="30"/>
    </w:rPr>
  </w:style>
  <w:style w:type="paragraph" w:styleId="Heading6">
    <w:name w:val="heading 6"/>
    <w:basedOn w:val="Normal"/>
    <w:next w:val="Normal"/>
    <w:link w:val="Heading6Char"/>
    <w:uiPriority w:val="9"/>
    <w:semiHidden/>
    <w:unhideWhenUsed/>
    <w:qFormat/>
    <w:rsid w:val="00995241"/>
    <w:pPr>
      <w:keepNext/>
      <w:keepLines/>
      <w:spacing w:before="40" w:after="0" w:line="278" w:lineRule="auto"/>
      <w:outlineLvl w:val="5"/>
    </w:pPr>
    <w:rPr>
      <w:rFonts w:eastAsiaTheme="majorEastAsia" w:cstheme="majorBidi"/>
      <w:i/>
      <w:iCs/>
      <w:color w:val="595959" w:themeColor="text1" w:themeTint="A6"/>
      <w:kern w:val="2"/>
      <w:sz w:val="24"/>
      <w:szCs w:val="30"/>
    </w:rPr>
  </w:style>
  <w:style w:type="paragraph" w:styleId="Heading7">
    <w:name w:val="heading 7"/>
    <w:basedOn w:val="Normal"/>
    <w:next w:val="Normal"/>
    <w:link w:val="Heading7Char"/>
    <w:uiPriority w:val="9"/>
    <w:semiHidden/>
    <w:unhideWhenUsed/>
    <w:qFormat/>
    <w:rsid w:val="00995241"/>
    <w:pPr>
      <w:keepNext/>
      <w:keepLines/>
      <w:spacing w:before="40" w:after="0" w:line="278" w:lineRule="auto"/>
      <w:outlineLvl w:val="6"/>
    </w:pPr>
    <w:rPr>
      <w:rFonts w:eastAsiaTheme="majorEastAsia" w:cstheme="majorBidi"/>
      <w:color w:val="595959" w:themeColor="text1" w:themeTint="A6"/>
      <w:kern w:val="2"/>
      <w:sz w:val="24"/>
      <w:szCs w:val="30"/>
    </w:rPr>
  </w:style>
  <w:style w:type="paragraph" w:styleId="Heading8">
    <w:name w:val="heading 8"/>
    <w:basedOn w:val="Normal"/>
    <w:next w:val="Normal"/>
    <w:link w:val="Heading8Char"/>
    <w:uiPriority w:val="9"/>
    <w:semiHidden/>
    <w:unhideWhenUsed/>
    <w:qFormat/>
    <w:rsid w:val="00995241"/>
    <w:pPr>
      <w:keepNext/>
      <w:keepLines/>
      <w:spacing w:after="0" w:line="278" w:lineRule="auto"/>
      <w:outlineLvl w:val="7"/>
    </w:pPr>
    <w:rPr>
      <w:rFonts w:eastAsiaTheme="majorEastAsia" w:cstheme="majorBidi"/>
      <w:i/>
      <w:iCs/>
      <w:color w:val="272727" w:themeColor="text1" w:themeTint="D8"/>
      <w:kern w:val="2"/>
      <w:sz w:val="24"/>
      <w:szCs w:val="30"/>
    </w:rPr>
  </w:style>
  <w:style w:type="paragraph" w:styleId="Heading9">
    <w:name w:val="heading 9"/>
    <w:basedOn w:val="Normal"/>
    <w:next w:val="Normal"/>
    <w:link w:val="Heading9Char"/>
    <w:uiPriority w:val="9"/>
    <w:semiHidden/>
    <w:unhideWhenUsed/>
    <w:qFormat/>
    <w:rsid w:val="00995241"/>
    <w:pPr>
      <w:keepNext/>
      <w:keepLines/>
      <w:spacing w:after="0" w:line="278" w:lineRule="auto"/>
      <w:outlineLvl w:val="8"/>
    </w:pPr>
    <w:rPr>
      <w:rFonts w:eastAsiaTheme="majorEastAsia" w:cstheme="majorBidi"/>
      <w:color w:val="272727" w:themeColor="text1" w:themeTint="D8"/>
      <w:kern w:val="2"/>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241"/>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semiHidden/>
    <w:rsid w:val="00995241"/>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995241"/>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9952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52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5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241"/>
    <w:rPr>
      <w:rFonts w:eastAsiaTheme="majorEastAsia" w:cstheme="majorBidi"/>
      <w:color w:val="272727" w:themeColor="text1" w:themeTint="D8"/>
    </w:rPr>
  </w:style>
  <w:style w:type="paragraph" w:styleId="Title">
    <w:name w:val="Title"/>
    <w:basedOn w:val="Normal"/>
    <w:next w:val="Normal"/>
    <w:link w:val="TitleChar"/>
    <w:uiPriority w:val="10"/>
    <w:qFormat/>
    <w:rsid w:val="0099524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9524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95241"/>
    <w:pPr>
      <w:numPr>
        <w:ilvl w:val="1"/>
      </w:numPr>
      <w:spacing w:line="278" w:lineRule="auto"/>
    </w:pPr>
    <w:rPr>
      <w:rFonts w:eastAsiaTheme="majorEastAsia" w:cstheme="majorBidi"/>
      <w:color w:val="595959" w:themeColor="text1" w:themeTint="A6"/>
      <w:spacing w:val="15"/>
      <w:kern w:val="2"/>
      <w:sz w:val="28"/>
      <w:szCs w:val="35"/>
    </w:rPr>
  </w:style>
  <w:style w:type="character" w:customStyle="1" w:styleId="SubtitleChar">
    <w:name w:val="Subtitle Char"/>
    <w:basedOn w:val="DefaultParagraphFont"/>
    <w:link w:val="Subtitle"/>
    <w:uiPriority w:val="11"/>
    <w:rsid w:val="0099524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95241"/>
    <w:pPr>
      <w:spacing w:before="160" w:line="278" w:lineRule="auto"/>
      <w:jc w:val="center"/>
    </w:pPr>
    <w:rPr>
      <w:rFonts w:cstheme="minorBidi"/>
      <w:i/>
      <w:iCs/>
      <w:color w:val="404040" w:themeColor="text1" w:themeTint="BF"/>
      <w:kern w:val="2"/>
      <w:sz w:val="24"/>
      <w:szCs w:val="30"/>
    </w:rPr>
  </w:style>
  <w:style w:type="character" w:customStyle="1" w:styleId="QuoteChar">
    <w:name w:val="Quote Char"/>
    <w:basedOn w:val="DefaultParagraphFont"/>
    <w:link w:val="Quote"/>
    <w:uiPriority w:val="29"/>
    <w:rsid w:val="00995241"/>
    <w:rPr>
      <w:i/>
      <w:iCs/>
      <w:color w:val="404040" w:themeColor="text1" w:themeTint="BF"/>
    </w:rPr>
  </w:style>
  <w:style w:type="paragraph" w:styleId="ListParagraph">
    <w:name w:val="List Paragraph"/>
    <w:basedOn w:val="Normal"/>
    <w:uiPriority w:val="34"/>
    <w:qFormat/>
    <w:rsid w:val="00995241"/>
    <w:pPr>
      <w:spacing w:line="278" w:lineRule="auto"/>
      <w:ind w:left="720"/>
      <w:contextualSpacing/>
    </w:pPr>
    <w:rPr>
      <w:rFonts w:cstheme="minorBidi"/>
      <w:kern w:val="2"/>
      <w:sz w:val="24"/>
      <w:szCs w:val="30"/>
    </w:rPr>
  </w:style>
  <w:style w:type="character" w:styleId="IntenseEmphasis">
    <w:name w:val="Intense Emphasis"/>
    <w:basedOn w:val="DefaultParagraphFont"/>
    <w:uiPriority w:val="21"/>
    <w:qFormat/>
    <w:rsid w:val="00995241"/>
    <w:rPr>
      <w:i/>
      <w:iCs/>
      <w:color w:val="2F5496" w:themeColor="accent1" w:themeShade="BF"/>
    </w:rPr>
  </w:style>
  <w:style w:type="paragraph" w:styleId="IntenseQuote">
    <w:name w:val="Intense Quote"/>
    <w:basedOn w:val="Normal"/>
    <w:next w:val="Normal"/>
    <w:link w:val="IntenseQuoteChar"/>
    <w:uiPriority w:val="30"/>
    <w:qFormat/>
    <w:rsid w:val="00995241"/>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cstheme="minorBidi"/>
      <w:i/>
      <w:iCs/>
      <w:color w:val="2F5496" w:themeColor="accent1" w:themeShade="BF"/>
      <w:kern w:val="2"/>
      <w:sz w:val="24"/>
      <w:szCs w:val="30"/>
    </w:rPr>
  </w:style>
  <w:style w:type="character" w:customStyle="1" w:styleId="IntenseQuoteChar">
    <w:name w:val="Intense Quote Char"/>
    <w:basedOn w:val="DefaultParagraphFont"/>
    <w:link w:val="IntenseQuote"/>
    <w:uiPriority w:val="30"/>
    <w:rsid w:val="00995241"/>
    <w:rPr>
      <w:i/>
      <w:iCs/>
      <w:color w:val="2F5496" w:themeColor="accent1" w:themeShade="BF"/>
    </w:rPr>
  </w:style>
  <w:style w:type="character" w:styleId="IntenseReference">
    <w:name w:val="Intense Reference"/>
    <w:basedOn w:val="DefaultParagraphFont"/>
    <w:uiPriority w:val="32"/>
    <w:qFormat/>
    <w:rsid w:val="00995241"/>
    <w:rPr>
      <w:b/>
      <w:bCs/>
      <w:smallCaps/>
      <w:color w:val="2F5496" w:themeColor="accent1" w:themeShade="BF"/>
      <w:spacing w:val="5"/>
    </w:rPr>
  </w:style>
  <w:style w:type="character" w:styleId="Hyperlink">
    <w:name w:val="Hyperlink"/>
    <w:basedOn w:val="DefaultParagraphFont"/>
    <w:uiPriority w:val="99"/>
    <w:unhideWhenUsed/>
    <w:rsid w:val="00995241"/>
    <w:rPr>
      <w:color w:val="0563C1" w:themeColor="hyperlink"/>
      <w:u w:val="single"/>
    </w:rPr>
  </w:style>
  <w:style w:type="paragraph" w:styleId="Header">
    <w:name w:val="header"/>
    <w:basedOn w:val="Normal"/>
    <w:link w:val="HeaderChar"/>
    <w:uiPriority w:val="99"/>
    <w:unhideWhenUsed/>
    <w:rsid w:val="009952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241"/>
    <w:rPr>
      <w:rFonts w:cs="Vrinda"/>
      <w:kern w:val="0"/>
      <w:sz w:val="22"/>
      <w:szCs w:val="28"/>
    </w:rPr>
  </w:style>
  <w:style w:type="paragraph" w:styleId="Footer">
    <w:name w:val="footer"/>
    <w:basedOn w:val="Normal"/>
    <w:link w:val="FooterChar"/>
    <w:uiPriority w:val="99"/>
    <w:unhideWhenUsed/>
    <w:rsid w:val="009952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241"/>
    <w:rPr>
      <w:rFonts w:cs="Vrinda"/>
      <w:kern w:val="0"/>
      <w:sz w:val="22"/>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joshbersin.com/2018/02/the-employee-experience-platform-a-new-category-arrives/" TargetMode="External"/><Relationship Id="rId18" Type="http://schemas.openxmlformats.org/officeDocument/2006/relationships/hyperlink" Target="https://www.pwc.com/gx/en/issues/workforce/hopes-and-fears.html" TargetMode="External"/><Relationship Id="rId3" Type="http://schemas.openxmlformats.org/officeDocument/2006/relationships/webSettings" Target="webSettings.xml"/><Relationship Id="rId21" Type="http://schemas.openxmlformats.org/officeDocument/2006/relationships/hyperlink" Target="https://www.weforum.org/reports/the-future-of-jobs-report-2023/" TargetMode="External"/><Relationship Id="rId7" Type="http://schemas.openxmlformats.org/officeDocument/2006/relationships/image" Target="media/image2.png"/><Relationship Id="rId12" Type="http://schemas.openxmlformats.org/officeDocument/2006/relationships/hyperlink" Target="https://www.artofit.org/image-gallery/406379566386317049/employee-experience-design-all-hr-needs-to-know/" TargetMode="External"/><Relationship Id="rId17" Type="http://schemas.openxmlformats.org/officeDocument/2006/relationships/hyperlink" Target="https://blog.crisp.se/wp-content/uploads/2012/11/SpotifyScaling.pdf" TargetMode="External"/><Relationship Id="rId2" Type="http://schemas.openxmlformats.org/officeDocument/2006/relationships/settings" Target="settings.xml"/><Relationship Id="rId16" Type="http://schemas.openxmlformats.org/officeDocument/2006/relationships/hyperlink" Target="https://geerthofstede.com/research-and-vsm/vsm-2013/" TargetMode="External"/><Relationship Id="rId20" Type="http://schemas.openxmlformats.org/officeDocument/2006/relationships/hyperlink" Target="https://venngage.com/templates/dashboards/hr-dashboard"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aihr.com/blog/hr-service-mode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artner.com/en/human-resources/trends/top-priorities-for-hr-leaders"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talentstrategygroup.com/using-experience-maps-to-accelerate-development/"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cipd.co.uk/knowledge/culture/employee-experience-factshe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16</Pages>
  <Words>3928</Words>
  <Characters>22393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Tarikul Islam Tarek</dc:creator>
  <cp:keywords/>
  <dc:description/>
  <cp:lastModifiedBy>Tarikul Islam Tarek</cp:lastModifiedBy>
  <cp:revision>4</cp:revision>
  <dcterms:created xsi:type="dcterms:W3CDTF">2025-10-17T02:09:00Z</dcterms:created>
  <dcterms:modified xsi:type="dcterms:W3CDTF">2025-10-17T02:44:00Z</dcterms:modified>
</cp:coreProperties>
</file>