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4"/>
        <w:tblW w:w="0" w:type="auto"/>
        <w:tblLook w:val="04A0" w:firstRow="1" w:lastRow="0" w:firstColumn="1" w:lastColumn="0" w:noHBand="0" w:noVBand="1"/>
      </w:tblPr>
      <w:tblGrid>
        <w:gridCol w:w="1838"/>
        <w:gridCol w:w="6822"/>
      </w:tblGrid>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bookmarkStart w:id="0" w:name="_GoBack"/>
            <w:r w:rsidRPr="00BB227A">
              <w:rPr>
                <w:rFonts w:cs="Arial"/>
                <w:b/>
              </w:rPr>
              <w:t>Module Code</w:t>
            </w:r>
          </w:p>
        </w:tc>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ECYW4003</w:t>
            </w:r>
          </w:p>
        </w:tc>
      </w:tr>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Title</w:t>
            </w:r>
          </w:p>
        </w:tc>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Understanding Adolescence</w:t>
            </w:r>
          </w:p>
        </w:tc>
      </w:tr>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Date</w:t>
            </w:r>
          </w:p>
        </w:tc>
        <w:sdt>
          <w:sdtPr>
            <w:rPr>
              <w:rFonts w:cs="Arial"/>
              <w:b/>
            </w:rPr>
            <w:id w:val="-948241055"/>
            <w:placeholder>
              <w:docPart w:val="2DFCAFD0E9D54177BC741492C6085503"/>
            </w:placeholder>
            <w:date w:fullDate="2020-03-04T00:00:00Z">
              <w:dateFormat w:val="dd/MM/yyyy"/>
              <w:lid w:val="en-GB"/>
              <w:storeMappedDataAs w:val="dateTime"/>
              <w:calendar w:val="gregorian"/>
            </w:date>
          </w:sdtPr>
          <w:sdtContent>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04/03/2020</w:t>
                </w:r>
              </w:p>
            </w:tc>
          </w:sdtContent>
        </w:sdt>
      </w:tr>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Level</w:t>
            </w:r>
          </w:p>
        </w:tc>
        <w:sdt>
          <w:sdtPr>
            <w:rPr>
              <w:rFonts w:cs="Arial"/>
              <w:b/>
            </w:rPr>
            <w:id w:val="-572575434"/>
            <w:placeholder>
              <w:docPart w:val="8DDBE295012E4D62B55FD50A28A2F8C9"/>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4</w:t>
                </w:r>
              </w:p>
            </w:tc>
          </w:sdtContent>
        </w:sdt>
      </w:tr>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Credits</w:t>
            </w:r>
          </w:p>
        </w:tc>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20</w:t>
            </w:r>
          </w:p>
        </w:tc>
      </w:tr>
      <w:tr w:rsidR="00BB227A" w:rsidRPr="00BB227A" w:rsidTr="00BB227A">
        <w:tc>
          <w:tcPr>
            <w:tcW w:w="1838"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Pre-Requisites</w:t>
            </w:r>
          </w:p>
        </w:tc>
        <w:tc>
          <w:tcPr>
            <w:tcW w:w="6822" w:type="dxa"/>
          </w:tcPr>
          <w:p w:rsidR="00BB227A" w:rsidRPr="00BB227A" w:rsidRDefault="00BB227A" w:rsidP="007F78E2">
            <w:pPr>
              <w:tabs>
                <w:tab w:val="left" w:pos="720"/>
                <w:tab w:val="left" w:pos="1440"/>
                <w:tab w:val="left" w:pos="2160"/>
                <w:tab w:val="left" w:pos="2880"/>
              </w:tabs>
              <w:rPr>
                <w:rFonts w:cs="Arial"/>
                <w:b/>
              </w:rPr>
            </w:pPr>
            <w:r w:rsidRPr="00BB227A">
              <w:rPr>
                <w:rFonts w:cs="Arial"/>
                <w:b/>
              </w:rPr>
              <w:t>None</w:t>
            </w:r>
          </w:p>
        </w:tc>
      </w:tr>
    </w:tbl>
    <w:p w:rsidR="00BB227A" w:rsidRPr="00BB227A" w:rsidRDefault="00BB227A" w:rsidP="00BB227A">
      <w:pPr>
        <w:pBdr>
          <w:bottom w:val="single" w:sz="6" w:space="1" w:color="auto"/>
        </w:pBdr>
        <w:rPr>
          <w:rFonts w:cs="Arial"/>
        </w:rPr>
      </w:pPr>
    </w:p>
    <w:p w:rsidR="00BB227A" w:rsidRPr="00BB227A" w:rsidRDefault="00BB227A" w:rsidP="00BB227A">
      <w:pPr>
        <w:rPr>
          <w:rFonts w:cs="Arial"/>
          <w:b/>
        </w:rPr>
      </w:pPr>
    </w:p>
    <w:p w:rsidR="00BB227A" w:rsidRPr="00BB227A" w:rsidRDefault="00BB227A" w:rsidP="00BB227A">
      <w:pPr>
        <w:rPr>
          <w:rFonts w:cs="Arial"/>
          <w:b/>
        </w:rPr>
      </w:pPr>
      <w:r w:rsidRPr="00BB227A">
        <w:rPr>
          <w:rFonts w:cs="Arial"/>
          <w:b/>
        </w:rPr>
        <w:t>AIM(S)</w:t>
      </w:r>
    </w:p>
    <w:p w:rsidR="00BB227A" w:rsidRPr="00BB227A" w:rsidRDefault="00BB227A" w:rsidP="00BB227A">
      <w:pPr>
        <w:numPr>
          <w:ilvl w:val="0"/>
          <w:numId w:val="1"/>
        </w:numPr>
        <w:spacing w:before="240"/>
        <w:rPr>
          <w:rFonts w:cs="Arial"/>
          <w:b/>
        </w:rPr>
      </w:pPr>
      <w:r w:rsidRPr="00BB227A">
        <w:rPr>
          <w:rFonts w:cs="Arial"/>
        </w:rPr>
        <w:t>To introduce to students psychological and sociological perspectives, models and meanings of development through the life course of young people, and provide students with an understanding of the concept of youth within society and how this informs and enhances practice with young people.</w:t>
      </w:r>
    </w:p>
    <w:p w:rsidR="00BB227A" w:rsidRPr="00BB227A" w:rsidRDefault="00BB227A" w:rsidP="00BB227A">
      <w:pPr>
        <w:rPr>
          <w:rFonts w:cs="Arial"/>
          <w:b/>
        </w:rPr>
      </w:pPr>
    </w:p>
    <w:p w:rsidR="00BB227A" w:rsidRPr="00BB227A" w:rsidRDefault="00BB227A" w:rsidP="00BB227A">
      <w:pPr>
        <w:rPr>
          <w:rFonts w:cs="Arial"/>
          <w:b/>
        </w:rPr>
      </w:pPr>
      <w:r w:rsidRPr="00BB227A">
        <w:rPr>
          <w:rFonts w:cs="Arial"/>
          <w:b/>
        </w:rPr>
        <w:t>LEARNING OUTCOMES</w:t>
      </w:r>
    </w:p>
    <w:p w:rsidR="00BB227A" w:rsidRPr="00BB227A" w:rsidRDefault="00BB227A" w:rsidP="00BB227A">
      <w:pPr>
        <w:rPr>
          <w:rFonts w:cs="Arial"/>
          <w:b/>
        </w:rPr>
      </w:pPr>
    </w:p>
    <w:p w:rsidR="00BB227A" w:rsidRPr="00BB227A" w:rsidRDefault="00BB227A" w:rsidP="00BB227A">
      <w:pPr>
        <w:rPr>
          <w:rFonts w:cs="Arial"/>
        </w:rPr>
      </w:pPr>
      <w:r w:rsidRPr="00BB227A">
        <w:rPr>
          <w:rFonts w:cs="Arial"/>
        </w:rPr>
        <w:t>Upon the successful completion of this module, the student should be able to:</w:t>
      </w:r>
    </w:p>
    <w:p w:rsidR="00BB227A" w:rsidRPr="00BB227A" w:rsidRDefault="00BB227A" w:rsidP="00BB227A">
      <w:pPr>
        <w:numPr>
          <w:ilvl w:val="0"/>
          <w:numId w:val="1"/>
        </w:numPr>
        <w:spacing w:before="240"/>
        <w:rPr>
          <w:rFonts w:cs="Arial"/>
        </w:rPr>
      </w:pPr>
      <w:r w:rsidRPr="00BB227A">
        <w:rPr>
          <w:rFonts w:cs="Arial"/>
        </w:rPr>
        <w:t>Demonstrate an understanding of the transitions that occur during adolescent development, and examine the psychological nature of changes in relationships that occur within families, and the influence of peer group;</w:t>
      </w:r>
    </w:p>
    <w:p w:rsidR="00BB227A" w:rsidRPr="00BB227A" w:rsidRDefault="00BB227A" w:rsidP="00BB227A">
      <w:pPr>
        <w:numPr>
          <w:ilvl w:val="0"/>
          <w:numId w:val="1"/>
        </w:numPr>
        <w:spacing w:before="240"/>
        <w:rPr>
          <w:rFonts w:cs="Arial"/>
        </w:rPr>
      </w:pPr>
      <w:r w:rsidRPr="00BB227A">
        <w:rPr>
          <w:rFonts w:cs="Arial"/>
        </w:rPr>
        <w:t>Discuss social change and social pressures within society, such as unemployment and poverty, and their impact on young people and their communities;</w:t>
      </w:r>
    </w:p>
    <w:p w:rsidR="00BB227A" w:rsidRPr="00BB227A" w:rsidRDefault="00BB227A" w:rsidP="00BB227A">
      <w:pPr>
        <w:numPr>
          <w:ilvl w:val="0"/>
          <w:numId w:val="1"/>
        </w:numPr>
        <w:spacing w:before="240"/>
        <w:rPr>
          <w:rFonts w:cs="Arial"/>
        </w:rPr>
      </w:pPr>
      <w:r w:rsidRPr="00BB227A">
        <w:rPr>
          <w:rFonts w:cs="Arial"/>
        </w:rPr>
        <w:t>Explore perceptions of youth in society, and the role of youth workers and other professionals in promoting young people’s positive roles, and how this can be applied in their work with young people;</w:t>
      </w:r>
    </w:p>
    <w:p w:rsidR="00BB227A" w:rsidRPr="00BB227A" w:rsidRDefault="00BB227A" w:rsidP="00BB227A">
      <w:pPr>
        <w:numPr>
          <w:ilvl w:val="0"/>
          <w:numId w:val="1"/>
        </w:numPr>
        <w:spacing w:before="240"/>
        <w:rPr>
          <w:rFonts w:cs="Arial"/>
        </w:rPr>
      </w:pPr>
      <w:r w:rsidRPr="00BB227A">
        <w:rPr>
          <w:rFonts w:cs="Arial"/>
        </w:rPr>
        <w:t>Organise their knowledge and learning through the use of a range of information resources and present their work appropriately.</w:t>
      </w:r>
    </w:p>
    <w:p w:rsidR="00BB227A" w:rsidRPr="00BB227A" w:rsidRDefault="00BB227A" w:rsidP="00BB227A">
      <w:pPr>
        <w:spacing w:before="240"/>
        <w:rPr>
          <w:rFonts w:cs="Arial"/>
        </w:rPr>
      </w:pPr>
    </w:p>
    <w:p w:rsidR="00BB227A" w:rsidRPr="00BB227A" w:rsidRDefault="00BB227A" w:rsidP="00BB227A">
      <w:pPr>
        <w:tabs>
          <w:tab w:val="left" w:pos="720"/>
          <w:tab w:val="left" w:pos="1440"/>
          <w:tab w:val="left" w:pos="2160"/>
          <w:tab w:val="left" w:pos="2880"/>
        </w:tabs>
        <w:ind w:left="3600" w:hanging="3600"/>
        <w:rPr>
          <w:rFonts w:cs="Arial"/>
          <w:b/>
        </w:rPr>
      </w:pPr>
      <w:r w:rsidRPr="00BB227A">
        <w:rPr>
          <w:rFonts w:cs="Arial"/>
          <w:b/>
        </w:rPr>
        <w:t>INDICATIVE CONTENT</w:t>
      </w:r>
    </w:p>
    <w:p w:rsidR="00BB227A" w:rsidRPr="00BB227A" w:rsidRDefault="00BB227A" w:rsidP="00BB227A">
      <w:pPr>
        <w:tabs>
          <w:tab w:val="left" w:pos="720"/>
          <w:tab w:val="left" w:pos="1440"/>
          <w:tab w:val="left" w:pos="2160"/>
          <w:tab w:val="left" w:pos="2880"/>
        </w:tabs>
        <w:ind w:left="3600" w:hanging="3600"/>
        <w:rPr>
          <w:rFonts w:cs="Arial"/>
          <w:b/>
        </w:rPr>
      </w:pPr>
    </w:p>
    <w:p w:rsidR="00BB227A" w:rsidRPr="00BB227A" w:rsidRDefault="00BB227A" w:rsidP="00BB227A">
      <w:pPr>
        <w:numPr>
          <w:ilvl w:val="0"/>
          <w:numId w:val="2"/>
        </w:numPr>
        <w:tabs>
          <w:tab w:val="left" w:pos="720"/>
          <w:tab w:val="left" w:pos="1440"/>
          <w:tab w:val="left" w:pos="2160"/>
          <w:tab w:val="left" w:pos="2880"/>
        </w:tabs>
        <w:rPr>
          <w:rFonts w:cs="Arial"/>
        </w:rPr>
      </w:pPr>
      <w:r w:rsidRPr="00BB227A">
        <w:rPr>
          <w:rFonts w:cs="Arial"/>
        </w:rPr>
        <w:t>Examination of the biological, cognitive and social transitions that young people undergo during adolescence, and their impact on young people.</w:t>
      </w:r>
    </w:p>
    <w:p w:rsidR="00BB227A" w:rsidRPr="00BB227A" w:rsidRDefault="00BB227A" w:rsidP="00BB227A">
      <w:pPr>
        <w:numPr>
          <w:ilvl w:val="0"/>
          <w:numId w:val="2"/>
        </w:numPr>
        <w:tabs>
          <w:tab w:val="left" w:pos="720"/>
          <w:tab w:val="left" w:pos="1440"/>
          <w:tab w:val="left" w:pos="2160"/>
          <w:tab w:val="left" w:pos="2880"/>
        </w:tabs>
        <w:rPr>
          <w:rFonts w:cs="Arial"/>
        </w:rPr>
      </w:pPr>
      <w:r w:rsidRPr="00BB227A">
        <w:rPr>
          <w:rFonts w:cs="Arial"/>
        </w:rPr>
        <w:t>Examination of the family from a sociological and psychological perspective, in terms of changing family units, parental style, the so-called  generation gap,  relationships with others, particularly peer groups – their increasing influence in young people’s lives.</w:t>
      </w:r>
    </w:p>
    <w:p w:rsidR="00BB227A" w:rsidRPr="00BB227A" w:rsidRDefault="00BB227A" w:rsidP="00BB227A">
      <w:pPr>
        <w:numPr>
          <w:ilvl w:val="0"/>
          <w:numId w:val="2"/>
        </w:numPr>
        <w:tabs>
          <w:tab w:val="left" w:pos="720"/>
          <w:tab w:val="left" w:pos="1440"/>
          <w:tab w:val="left" w:pos="2160"/>
          <w:tab w:val="left" w:pos="2880"/>
        </w:tabs>
        <w:rPr>
          <w:rFonts w:cs="Arial"/>
        </w:rPr>
      </w:pPr>
      <w:r w:rsidRPr="00BB227A">
        <w:rPr>
          <w:rFonts w:cs="Arial"/>
        </w:rPr>
        <w:t>Investigation of social pressures within contemporary society, and how poverty and unemployment affects young people in society;</w:t>
      </w:r>
    </w:p>
    <w:p w:rsidR="00BB227A" w:rsidRPr="00BB227A" w:rsidRDefault="00BB227A" w:rsidP="00BB227A">
      <w:pPr>
        <w:numPr>
          <w:ilvl w:val="0"/>
          <w:numId w:val="2"/>
        </w:numPr>
        <w:rPr>
          <w:rFonts w:cs="Arial"/>
        </w:rPr>
      </w:pPr>
      <w:r w:rsidRPr="00BB227A">
        <w:rPr>
          <w:rFonts w:cs="Arial"/>
        </w:rPr>
        <w:t xml:space="preserve">Discussion on the role of youth workers and other professionals in promoting the personal and social development of young people and their “positive roles in society”; </w:t>
      </w:r>
    </w:p>
    <w:p w:rsidR="00BB227A" w:rsidRPr="00BB227A" w:rsidRDefault="00BB227A" w:rsidP="00BB227A">
      <w:pPr>
        <w:numPr>
          <w:ilvl w:val="0"/>
          <w:numId w:val="2"/>
        </w:numPr>
        <w:rPr>
          <w:rFonts w:cs="Arial"/>
        </w:rPr>
      </w:pPr>
      <w:r w:rsidRPr="00BB227A">
        <w:rPr>
          <w:rFonts w:cs="Arial"/>
        </w:rPr>
        <w:t>Exploration of holistic approaches that promote the physical, mental, emotional and spiritual aspects of resourcefulness and resilience with young people.</w:t>
      </w:r>
    </w:p>
    <w:p w:rsidR="00BB227A" w:rsidRPr="00BB227A" w:rsidRDefault="00BB227A" w:rsidP="00BB227A">
      <w:pPr>
        <w:rPr>
          <w:rFonts w:cs="Arial"/>
        </w:rPr>
      </w:pPr>
    </w:p>
    <w:p w:rsidR="00BB227A" w:rsidRPr="00BB227A" w:rsidRDefault="00BB227A" w:rsidP="00BB227A">
      <w:pPr>
        <w:rPr>
          <w:rFonts w:cs="Arial"/>
        </w:rPr>
      </w:pPr>
    </w:p>
    <w:p w:rsidR="00BB227A" w:rsidRPr="00BB227A" w:rsidRDefault="00BB227A" w:rsidP="00BB227A">
      <w:pPr>
        <w:rPr>
          <w:rFonts w:cs="Arial"/>
        </w:rPr>
      </w:pPr>
    </w:p>
    <w:p w:rsidR="00BB227A" w:rsidRPr="00BB227A" w:rsidRDefault="00BB227A" w:rsidP="00BB227A">
      <w:pPr>
        <w:rPr>
          <w:rFonts w:cs="Arial"/>
        </w:rPr>
      </w:pPr>
    </w:p>
    <w:p w:rsidR="00BB227A" w:rsidRPr="00BB227A" w:rsidRDefault="00BB227A" w:rsidP="00BB227A">
      <w:pPr>
        <w:rPr>
          <w:rFonts w:cs="Arial"/>
        </w:rPr>
      </w:pPr>
    </w:p>
    <w:p w:rsidR="00BB227A" w:rsidRPr="00BB227A" w:rsidRDefault="00BB227A" w:rsidP="00BB227A">
      <w:pPr>
        <w:rPr>
          <w:rFonts w:cs="Arial"/>
        </w:rPr>
      </w:pPr>
    </w:p>
    <w:p w:rsidR="00BB227A" w:rsidRPr="00BB227A" w:rsidRDefault="00BB227A" w:rsidP="00BB227A">
      <w:pPr>
        <w:tabs>
          <w:tab w:val="left" w:pos="720"/>
          <w:tab w:val="left" w:pos="1440"/>
          <w:tab w:val="left" w:pos="2160"/>
          <w:tab w:val="left" w:pos="2880"/>
        </w:tabs>
        <w:ind w:left="3600" w:hanging="3600"/>
        <w:rPr>
          <w:rFonts w:cs="Arial"/>
          <w:b/>
        </w:rPr>
      </w:pPr>
    </w:p>
    <w:p w:rsidR="00BB227A" w:rsidRPr="00BB227A" w:rsidRDefault="00BB227A" w:rsidP="00BB227A">
      <w:pPr>
        <w:tabs>
          <w:tab w:val="left" w:pos="720"/>
          <w:tab w:val="left" w:pos="1440"/>
          <w:tab w:val="left" w:pos="2160"/>
          <w:tab w:val="left" w:pos="2880"/>
        </w:tabs>
        <w:ind w:left="3600" w:hanging="3600"/>
        <w:rPr>
          <w:rFonts w:cs="Arial"/>
          <w:b/>
        </w:rPr>
      </w:pPr>
      <w:r w:rsidRPr="00BB227A">
        <w:rPr>
          <w:rFonts w:cs="Arial"/>
          <w:b/>
        </w:rPr>
        <w:lastRenderedPageBreak/>
        <w:t>Study Time Allocation</w:t>
      </w:r>
    </w:p>
    <w:p w:rsidR="00BB227A" w:rsidRPr="00BB227A" w:rsidRDefault="00BB227A" w:rsidP="00BB227A">
      <w:pPr>
        <w:tabs>
          <w:tab w:val="left" w:pos="720"/>
          <w:tab w:val="left" w:pos="1440"/>
          <w:tab w:val="left" w:pos="2160"/>
          <w:tab w:val="left" w:pos="2880"/>
        </w:tabs>
        <w:ind w:left="3600" w:hanging="3600"/>
        <w:rPr>
          <w:rFonts w:cs="Arial"/>
          <w:b/>
        </w:rPr>
      </w:pPr>
    </w:p>
    <w:p w:rsidR="00BB227A" w:rsidRPr="00BB227A" w:rsidRDefault="00BB227A" w:rsidP="00BB227A">
      <w:pPr>
        <w:keepNext/>
        <w:rPr>
          <w:rFonts w:cs="Arial"/>
        </w:rPr>
      </w:pPr>
      <w:r w:rsidRPr="00BB227A">
        <w:rPr>
          <w:rFonts w:cs="Arial"/>
        </w:rPr>
        <w:t>The study time for the module is divided as follows:</w:t>
      </w:r>
    </w:p>
    <w:p w:rsidR="00BB227A" w:rsidRPr="00BB227A" w:rsidRDefault="00BB227A" w:rsidP="00BB227A">
      <w:pPr>
        <w:keepNext/>
        <w:rPr>
          <w:rFonts w:cs="Arial"/>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BB227A" w:rsidRPr="00BB227A" w:rsidTr="00BB227A">
        <w:tc>
          <w:tcPr>
            <w:tcW w:w="3969" w:type="dxa"/>
            <w:tcBorders>
              <w:top w:val="single" w:sz="4" w:space="0" w:color="auto"/>
              <w:left w:val="single" w:sz="4" w:space="0" w:color="auto"/>
            </w:tcBorders>
          </w:tcPr>
          <w:p w:rsidR="00BB227A" w:rsidRPr="00BB227A" w:rsidRDefault="00BB227A" w:rsidP="007F78E2">
            <w:pPr>
              <w:keepNext/>
              <w:rPr>
                <w:rFonts w:cs="Arial"/>
                <w:b/>
              </w:rPr>
            </w:pPr>
            <w:r w:rsidRPr="00BB227A">
              <w:rPr>
                <w:rFonts w:cs="Arial"/>
                <w:b/>
              </w:rPr>
              <w:t>Activity type</w:t>
            </w:r>
          </w:p>
        </w:tc>
        <w:tc>
          <w:tcPr>
            <w:tcW w:w="1701" w:type="dxa"/>
            <w:tcBorders>
              <w:top w:val="single" w:sz="4" w:space="0" w:color="auto"/>
            </w:tcBorders>
          </w:tcPr>
          <w:p w:rsidR="00BB227A" w:rsidRPr="00BB227A" w:rsidRDefault="00BB227A" w:rsidP="007F78E2">
            <w:pPr>
              <w:keepNext/>
              <w:jc w:val="center"/>
              <w:rPr>
                <w:rFonts w:cs="Arial"/>
                <w:b/>
              </w:rPr>
            </w:pPr>
            <w:r w:rsidRPr="00BB227A">
              <w:rPr>
                <w:rFonts w:cs="Arial"/>
                <w:b/>
              </w:rPr>
              <w:t>Hours</w:t>
            </w:r>
          </w:p>
        </w:tc>
        <w:tc>
          <w:tcPr>
            <w:tcW w:w="1843" w:type="dxa"/>
            <w:tcBorders>
              <w:top w:val="single" w:sz="4" w:space="0" w:color="auto"/>
            </w:tcBorders>
          </w:tcPr>
          <w:p w:rsidR="00BB227A" w:rsidRPr="00BB227A" w:rsidRDefault="00BB227A" w:rsidP="007F78E2">
            <w:pPr>
              <w:keepNext/>
              <w:jc w:val="center"/>
              <w:rPr>
                <w:rFonts w:cs="Arial"/>
                <w:b/>
              </w:rPr>
            </w:pPr>
            <w:r w:rsidRPr="00BB227A">
              <w:rPr>
                <w:rFonts w:cs="Arial"/>
                <w:b/>
              </w:rPr>
              <w:t>Percentage</w:t>
            </w:r>
          </w:p>
        </w:tc>
      </w:tr>
      <w:tr w:rsidR="00BB227A" w:rsidRPr="00BB227A" w:rsidTr="00BB227A">
        <w:tc>
          <w:tcPr>
            <w:tcW w:w="3969" w:type="dxa"/>
          </w:tcPr>
          <w:p w:rsidR="00BB227A" w:rsidRPr="00BB227A" w:rsidRDefault="00BB227A" w:rsidP="007F78E2">
            <w:pPr>
              <w:keepNext/>
              <w:rPr>
                <w:rFonts w:cs="Arial"/>
              </w:rPr>
            </w:pPr>
            <w:r w:rsidRPr="00BB227A">
              <w:rPr>
                <w:rFonts w:cs="Arial"/>
              </w:rPr>
              <w:t>Scheduled learning</w:t>
            </w:r>
          </w:p>
        </w:tc>
        <w:tc>
          <w:tcPr>
            <w:tcW w:w="1701" w:type="dxa"/>
          </w:tcPr>
          <w:p w:rsidR="00BB227A" w:rsidRPr="00BB227A" w:rsidRDefault="00BB227A" w:rsidP="007F78E2">
            <w:pPr>
              <w:keepNext/>
              <w:jc w:val="center"/>
              <w:rPr>
                <w:rFonts w:cs="Arial"/>
              </w:rPr>
            </w:pPr>
            <w:r w:rsidRPr="00BB227A">
              <w:rPr>
                <w:rFonts w:cs="Arial"/>
              </w:rPr>
              <w:t>30</w:t>
            </w:r>
          </w:p>
        </w:tc>
        <w:tc>
          <w:tcPr>
            <w:tcW w:w="1843" w:type="dxa"/>
          </w:tcPr>
          <w:p w:rsidR="00BB227A" w:rsidRPr="00BB227A" w:rsidRDefault="00BB227A" w:rsidP="007F78E2">
            <w:pPr>
              <w:keepNext/>
              <w:jc w:val="center"/>
              <w:rPr>
                <w:rFonts w:cs="Arial"/>
              </w:rPr>
            </w:pPr>
            <w:r w:rsidRPr="00BB227A">
              <w:rPr>
                <w:rFonts w:cs="Arial"/>
              </w:rPr>
              <w:t>15</w:t>
            </w:r>
          </w:p>
        </w:tc>
      </w:tr>
      <w:tr w:rsidR="00BB227A" w:rsidRPr="00BB227A" w:rsidTr="00BB227A">
        <w:tc>
          <w:tcPr>
            <w:tcW w:w="3969" w:type="dxa"/>
          </w:tcPr>
          <w:p w:rsidR="00BB227A" w:rsidRPr="00BB227A" w:rsidRDefault="00BB227A" w:rsidP="007F78E2">
            <w:pPr>
              <w:keepNext/>
              <w:rPr>
                <w:rFonts w:cs="Arial"/>
              </w:rPr>
            </w:pPr>
            <w:r w:rsidRPr="00BB227A">
              <w:rPr>
                <w:rFonts w:cs="Arial"/>
              </w:rPr>
              <w:t>Independent learning</w:t>
            </w:r>
          </w:p>
        </w:tc>
        <w:tc>
          <w:tcPr>
            <w:tcW w:w="1701" w:type="dxa"/>
          </w:tcPr>
          <w:p w:rsidR="00BB227A" w:rsidRPr="00BB227A" w:rsidRDefault="00BB227A" w:rsidP="007F78E2">
            <w:pPr>
              <w:keepNext/>
              <w:jc w:val="center"/>
              <w:rPr>
                <w:rFonts w:cs="Arial"/>
              </w:rPr>
            </w:pPr>
            <w:r w:rsidRPr="00BB227A">
              <w:rPr>
                <w:rFonts w:cs="Arial"/>
              </w:rPr>
              <w:t>170</w:t>
            </w:r>
          </w:p>
        </w:tc>
        <w:tc>
          <w:tcPr>
            <w:tcW w:w="1843" w:type="dxa"/>
          </w:tcPr>
          <w:p w:rsidR="00BB227A" w:rsidRPr="00BB227A" w:rsidRDefault="00BB227A" w:rsidP="007F78E2">
            <w:pPr>
              <w:keepNext/>
              <w:jc w:val="center"/>
              <w:rPr>
                <w:rFonts w:cs="Arial"/>
              </w:rPr>
            </w:pPr>
            <w:r w:rsidRPr="00BB227A">
              <w:rPr>
                <w:rFonts w:cs="Arial"/>
              </w:rPr>
              <w:t>85</w:t>
            </w:r>
          </w:p>
        </w:tc>
      </w:tr>
      <w:tr w:rsidR="00BB227A" w:rsidRPr="00BB227A" w:rsidTr="00BB227A">
        <w:tc>
          <w:tcPr>
            <w:tcW w:w="3969" w:type="dxa"/>
          </w:tcPr>
          <w:p w:rsidR="00BB227A" w:rsidRPr="00BB227A" w:rsidRDefault="00BB227A" w:rsidP="007F78E2">
            <w:pPr>
              <w:keepNext/>
              <w:rPr>
                <w:rFonts w:cs="Arial"/>
              </w:rPr>
            </w:pPr>
            <w:r w:rsidRPr="00BB227A">
              <w:rPr>
                <w:rFonts w:cs="Arial"/>
              </w:rPr>
              <w:t>Placement learning</w:t>
            </w:r>
          </w:p>
        </w:tc>
        <w:tc>
          <w:tcPr>
            <w:tcW w:w="1701" w:type="dxa"/>
          </w:tcPr>
          <w:p w:rsidR="00BB227A" w:rsidRPr="00BB227A" w:rsidRDefault="00BB227A" w:rsidP="007F78E2">
            <w:pPr>
              <w:keepNext/>
              <w:jc w:val="center"/>
              <w:rPr>
                <w:rFonts w:cs="Arial"/>
              </w:rPr>
            </w:pPr>
            <w:r w:rsidRPr="00BB227A">
              <w:rPr>
                <w:rFonts w:cs="Arial"/>
              </w:rPr>
              <w:t>0</w:t>
            </w:r>
          </w:p>
        </w:tc>
        <w:tc>
          <w:tcPr>
            <w:tcW w:w="1843" w:type="dxa"/>
          </w:tcPr>
          <w:p w:rsidR="00BB227A" w:rsidRPr="00BB227A" w:rsidRDefault="00BB227A" w:rsidP="007F78E2">
            <w:pPr>
              <w:keepNext/>
              <w:jc w:val="center"/>
              <w:rPr>
                <w:rFonts w:cs="Arial"/>
              </w:rPr>
            </w:pPr>
            <w:r w:rsidRPr="00BB227A">
              <w:rPr>
                <w:rFonts w:cs="Arial"/>
              </w:rPr>
              <w:t>0</w:t>
            </w:r>
          </w:p>
        </w:tc>
      </w:tr>
      <w:tr w:rsidR="00BB227A" w:rsidRPr="00BB227A" w:rsidTr="00BB227A">
        <w:tc>
          <w:tcPr>
            <w:tcW w:w="3969" w:type="dxa"/>
          </w:tcPr>
          <w:p w:rsidR="00BB227A" w:rsidRPr="00BB227A" w:rsidRDefault="00BB227A" w:rsidP="007F78E2">
            <w:pPr>
              <w:keepNext/>
              <w:rPr>
                <w:rFonts w:cs="Arial"/>
              </w:rPr>
            </w:pPr>
            <w:r w:rsidRPr="00BB227A">
              <w:rPr>
                <w:rFonts w:cs="Arial"/>
                <w:b/>
              </w:rPr>
              <w:t>TOTAL</w:t>
            </w:r>
          </w:p>
        </w:tc>
        <w:tc>
          <w:tcPr>
            <w:tcW w:w="1701" w:type="dxa"/>
          </w:tcPr>
          <w:p w:rsidR="00BB227A" w:rsidRPr="00BB227A" w:rsidRDefault="00BB227A" w:rsidP="007F78E2">
            <w:pPr>
              <w:keepNext/>
              <w:jc w:val="center"/>
              <w:rPr>
                <w:rFonts w:cs="Arial"/>
                <w:b/>
              </w:rPr>
            </w:pPr>
            <w:r w:rsidRPr="00BB227A">
              <w:rPr>
                <w:rFonts w:cs="Arial"/>
                <w:b/>
              </w:rPr>
              <w:t>200</w:t>
            </w:r>
          </w:p>
        </w:tc>
        <w:tc>
          <w:tcPr>
            <w:tcW w:w="1843" w:type="dxa"/>
          </w:tcPr>
          <w:p w:rsidR="00BB227A" w:rsidRPr="00BB227A" w:rsidRDefault="00BB227A" w:rsidP="007F78E2">
            <w:pPr>
              <w:keepNext/>
              <w:jc w:val="center"/>
              <w:rPr>
                <w:rFonts w:cs="Arial"/>
                <w:b/>
              </w:rPr>
            </w:pPr>
            <w:r w:rsidRPr="00BB227A">
              <w:rPr>
                <w:rFonts w:cs="Arial"/>
                <w:b/>
              </w:rPr>
              <w:t>100%</w:t>
            </w:r>
          </w:p>
        </w:tc>
      </w:tr>
    </w:tbl>
    <w:p w:rsidR="00BB227A" w:rsidRPr="00BB227A" w:rsidRDefault="00BB227A" w:rsidP="00BB227A">
      <w:pPr>
        <w:tabs>
          <w:tab w:val="left" w:pos="720"/>
          <w:tab w:val="left" w:pos="1440"/>
          <w:tab w:val="left" w:pos="2160"/>
          <w:tab w:val="left" w:pos="2880"/>
        </w:tabs>
        <w:rPr>
          <w:rFonts w:cs="Arial"/>
          <w:b/>
        </w:rPr>
      </w:pPr>
    </w:p>
    <w:p w:rsidR="00BB227A" w:rsidRPr="00BB227A" w:rsidRDefault="00BB227A" w:rsidP="00BB227A">
      <w:pPr>
        <w:tabs>
          <w:tab w:val="left" w:pos="720"/>
          <w:tab w:val="left" w:pos="1440"/>
          <w:tab w:val="left" w:pos="2160"/>
          <w:tab w:val="left" w:pos="2880"/>
        </w:tabs>
        <w:rPr>
          <w:rFonts w:cs="Arial"/>
          <w:b/>
        </w:rPr>
      </w:pPr>
      <w:r w:rsidRPr="00BB227A">
        <w:rPr>
          <w:rFonts w:cs="Arial"/>
          <w:b/>
        </w:rPr>
        <w:t>ASSESSMENT</w:t>
      </w:r>
    </w:p>
    <w:p w:rsidR="00BB227A" w:rsidRPr="00BB227A" w:rsidRDefault="00BB227A" w:rsidP="00BB227A">
      <w:pPr>
        <w:tabs>
          <w:tab w:val="left" w:pos="720"/>
          <w:tab w:val="left" w:pos="1440"/>
          <w:tab w:val="left" w:pos="2160"/>
          <w:tab w:val="left" w:pos="2880"/>
        </w:tabs>
        <w:ind w:hanging="3600"/>
        <w:rPr>
          <w:rFonts w:cs="Arial"/>
          <w:b/>
        </w:rPr>
      </w:pPr>
    </w:p>
    <w:p w:rsidR="00BB227A" w:rsidRPr="00BB227A" w:rsidRDefault="00BB227A" w:rsidP="00BB227A">
      <w:pPr>
        <w:rPr>
          <w:rFonts w:cs="Arial"/>
          <w:b/>
        </w:rPr>
      </w:pPr>
      <w:r w:rsidRPr="00BB227A">
        <w:rPr>
          <w:rFonts w:cs="Arial"/>
          <w:b/>
        </w:rPr>
        <w:t>Assessment Component 1</w:t>
      </w:r>
    </w:p>
    <w:p w:rsidR="00BB227A" w:rsidRPr="00BB227A" w:rsidRDefault="00BB227A" w:rsidP="00BB227A">
      <w:pPr>
        <w:rPr>
          <w:rFonts w:cs="Arial"/>
          <w:b/>
          <w:i/>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B227A" w:rsidRPr="00BB227A" w:rsidTr="00BB227A">
        <w:sdt>
          <w:sdtPr>
            <w:rPr>
              <w:rFonts w:cs="Arial"/>
            </w:rPr>
            <w:id w:val="922619670"/>
            <w14:checkbox>
              <w14:checked w14:val="0"/>
              <w14:checkedState w14:val="2612" w14:font="MS Gothic"/>
              <w14:uncheckedState w14:val="2610" w14:font="MS Gothic"/>
            </w14:checkbox>
          </w:sdtPr>
          <w:sdtContent>
            <w:tc>
              <w:tcPr>
                <w:tcW w:w="562" w:type="dxa"/>
              </w:tcPr>
              <w:p w:rsidR="00BB227A" w:rsidRPr="00BB227A" w:rsidRDefault="00BB227A" w:rsidP="007F78E2">
                <w:pPr>
                  <w:rPr>
                    <w:rFonts w:cs="Arial"/>
                    <w:b/>
                  </w:rPr>
                </w:pPr>
                <w:r w:rsidRPr="00BB227A">
                  <w:rPr>
                    <w:rFonts w:cs="Arial"/>
                  </w:rPr>
                  <w:t>☐</w:t>
                </w:r>
              </w:p>
            </w:tc>
          </w:sdtContent>
        </w:sdt>
        <w:tc>
          <w:tcPr>
            <w:tcW w:w="2458" w:type="dxa"/>
          </w:tcPr>
          <w:p w:rsidR="00BB227A" w:rsidRPr="00BB227A" w:rsidRDefault="00BB227A" w:rsidP="007F78E2">
            <w:pPr>
              <w:rPr>
                <w:rFonts w:cs="Arial"/>
                <w:b/>
              </w:rPr>
            </w:pPr>
            <w:r w:rsidRPr="00BB227A">
              <w:rPr>
                <w:rFonts w:cs="Arial"/>
                <w:b/>
              </w:rPr>
              <w:t>Written exam</w:t>
            </w:r>
          </w:p>
        </w:tc>
        <w:sdt>
          <w:sdtPr>
            <w:rPr>
              <w:rFonts w:cs="Arial"/>
            </w:rPr>
            <w:id w:val="171000535"/>
            <w14:checkbox>
              <w14:checked w14:val="1"/>
              <w14:checkedState w14:val="2612" w14:font="MS Gothic"/>
              <w14:uncheckedState w14:val="2610" w14:font="MS Gothic"/>
            </w14:checkbox>
          </w:sdtPr>
          <w:sdtContent>
            <w:tc>
              <w:tcPr>
                <w:tcW w:w="538" w:type="dxa"/>
              </w:tcPr>
              <w:p w:rsidR="00BB227A" w:rsidRPr="00BB227A" w:rsidRDefault="00BB227A" w:rsidP="007F78E2">
                <w:pPr>
                  <w:rPr>
                    <w:rFonts w:cs="Arial"/>
                    <w:b/>
                  </w:rPr>
                </w:pPr>
                <w:r w:rsidRPr="00BB227A">
                  <w:rPr>
                    <w:rFonts w:cs="Arial"/>
                  </w:rPr>
                  <w:t>☒</w:t>
                </w:r>
              </w:p>
            </w:tc>
          </w:sdtContent>
        </w:sdt>
        <w:tc>
          <w:tcPr>
            <w:tcW w:w="2482" w:type="dxa"/>
          </w:tcPr>
          <w:p w:rsidR="00BB227A" w:rsidRPr="00BB227A" w:rsidRDefault="00BB227A" w:rsidP="007F78E2">
            <w:pPr>
              <w:rPr>
                <w:rFonts w:cs="Arial"/>
                <w:b/>
              </w:rPr>
            </w:pPr>
            <w:r w:rsidRPr="00BB227A">
              <w:rPr>
                <w:rFonts w:cs="Arial"/>
                <w:b/>
              </w:rPr>
              <w:t>Coursework</w:t>
            </w:r>
          </w:p>
        </w:tc>
        <w:sdt>
          <w:sdtPr>
            <w:rPr>
              <w:rFonts w:cs="Arial"/>
            </w:rPr>
            <w:id w:val="-2049212506"/>
            <w14:checkbox>
              <w14:checked w14:val="0"/>
              <w14:checkedState w14:val="2612" w14:font="MS Gothic"/>
              <w14:uncheckedState w14:val="2610" w14:font="MS Gothic"/>
            </w14:checkbox>
          </w:sdtPr>
          <w:sdtContent>
            <w:tc>
              <w:tcPr>
                <w:tcW w:w="538" w:type="dxa"/>
              </w:tcPr>
              <w:p w:rsidR="00BB227A" w:rsidRPr="00BB227A" w:rsidRDefault="00BB227A" w:rsidP="007F78E2">
                <w:pPr>
                  <w:rPr>
                    <w:rFonts w:cs="Arial"/>
                    <w:b/>
                  </w:rPr>
                </w:pPr>
                <w:r w:rsidRPr="00BB227A">
                  <w:rPr>
                    <w:rFonts w:cs="Arial"/>
                  </w:rPr>
                  <w:t>☐</w:t>
                </w:r>
              </w:p>
            </w:tc>
          </w:sdtContent>
        </w:sdt>
        <w:tc>
          <w:tcPr>
            <w:tcW w:w="2482" w:type="dxa"/>
          </w:tcPr>
          <w:p w:rsidR="00BB227A" w:rsidRPr="00BB227A" w:rsidRDefault="00BB227A" w:rsidP="007F78E2">
            <w:pPr>
              <w:rPr>
                <w:rFonts w:cs="Arial"/>
                <w:b/>
              </w:rPr>
            </w:pPr>
            <w:r w:rsidRPr="00BB227A">
              <w:rPr>
                <w:rFonts w:cs="Arial"/>
                <w:b/>
              </w:rPr>
              <w:t>Practical</w:t>
            </w:r>
          </w:p>
        </w:tc>
      </w:tr>
    </w:tbl>
    <w:p w:rsidR="00BB227A" w:rsidRPr="00BB227A" w:rsidRDefault="00BB227A" w:rsidP="00BB227A">
      <w:pPr>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BB227A" w:rsidRPr="00BB227A" w:rsidTr="00BB227A">
        <w:tc>
          <w:tcPr>
            <w:tcW w:w="3256" w:type="dxa"/>
          </w:tcPr>
          <w:p w:rsidR="00BB227A" w:rsidRPr="00BB227A" w:rsidRDefault="00BB227A" w:rsidP="007F78E2">
            <w:pPr>
              <w:jc w:val="center"/>
              <w:rPr>
                <w:rFonts w:cs="Arial"/>
                <w:b/>
              </w:rPr>
            </w:pPr>
            <w:r w:rsidRPr="00BB227A">
              <w:rPr>
                <w:rFonts w:cs="Arial"/>
                <w:b/>
              </w:rPr>
              <w:t>Mode of assessment</w:t>
            </w:r>
          </w:p>
        </w:tc>
        <w:tc>
          <w:tcPr>
            <w:tcW w:w="3969" w:type="dxa"/>
          </w:tcPr>
          <w:p w:rsidR="00BB227A" w:rsidRPr="00BB227A" w:rsidRDefault="00BB227A" w:rsidP="007F78E2">
            <w:pPr>
              <w:rPr>
                <w:rFonts w:cs="Arial"/>
              </w:rPr>
            </w:pPr>
            <w:r w:rsidRPr="00BB227A">
              <w:rPr>
                <w:rFonts w:cs="Arial"/>
                <w:b/>
              </w:rPr>
              <w:t>Volume</w:t>
            </w:r>
          </w:p>
        </w:tc>
        <w:tc>
          <w:tcPr>
            <w:tcW w:w="1559" w:type="dxa"/>
          </w:tcPr>
          <w:p w:rsidR="00BB227A" w:rsidRPr="00BB227A" w:rsidRDefault="00BB227A" w:rsidP="007F78E2">
            <w:pPr>
              <w:rPr>
                <w:rFonts w:cs="Arial"/>
              </w:rPr>
            </w:pPr>
            <w:r w:rsidRPr="00BB227A">
              <w:rPr>
                <w:rFonts w:cs="Arial"/>
                <w:b/>
              </w:rPr>
              <w:t>Weighting</w:t>
            </w:r>
          </w:p>
        </w:tc>
      </w:tr>
      <w:tr w:rsidR="00BB227A" w:rsidRPr="00BB227A" w:rsidTr="00BB227A">
        <w:tc>
          <w:tcPr>
            <w:tcW w:w="3256" w:type="dxa"/>
          </w:tcPr>
          <w:p w:rsidR="00BB227A" w:rsidRPr="00BB227A" w:rsidRDefault="00BB227A" w:rsidP="007F78E2">
            <w:pPr>
              <w:rPr>
                <w:rFonts w:cs="Arial"/>
              </w:rPr>
            </w:pPr>
            <w:r w:rsidRPr="00BB227A">
              <w:rPr>
                <w:rFonts w:cs="Arial"/>
              </w:rPr>
              <w:t xml:space="preserve">Observational Report </w:t>
            </w:r>
          </w:p>
        </w:tc>
        <w:tc>
          <w:tcPr>
            <w:tcW w:w="3969" w:type="dxa"/>
          </w:tcPr>
          <w:p w:rsidR="00BB227A" w:rsidRPr="00BB227A" w:rsidRDefault="00BB227A" w:rsidP="007F78E2">
            <w:pPr>
              <w:rPr>
                <w:rFonts w:cs="Arial"/>
              </w:rPr>
            </w:pPr>
            <w:r w:rsidRPr="00BB227A">
              <w:rPr>
                <w:rFonts w:cs="Arial"/>
              </w:rPr>
              <w:t xml:space="preserve">3,000 words </w:t>
            </w:r>
          </w:p>
        </w:tc>
        <w:tc>
          <w:tcPr>
            <w:tcW w:w="1559" w:type="dxa"/>
          </w:tcPr>
          <w:p w:rsidR="00BB227A" w:rsidRPr="00BB227A" w:rsidRDefault="00BB227A" w:rsidP="007F78E2">
            <w:pPr>
              <w:rPr>
                <w:rFonts w:cs="Arial"/>
              </w:rPr>
            </w:pPr>
            <w:r w:rsidRPr="00BB227A">
              <w:rPr>
                <w:rFonts w:cs="Arial"/>
              </w:rPr>
              <w:t>100%</w:t>
            </w:r>
          </w:p>
        </w:tc>
      </w:tr>
    </w:tbl>
    <w:p w:rsidR="00BB227A" w:rsidRPr="00BB227A" w:rsidRDefault="00BB227A" w:rsidP="00BB227A">
      <w:pPr>
        <w:rPr>
          <w:rFonts w:cs="Arial"/>
          <w:b/>
        </w:rPr>
      </w:pPr>
    </w:p>
    <w:p w:rsidR="00BB227A" w:rsidRPr="00BB227A" w:rsidRDefault="00BB227A" w:rsidP="00BB227A">
      <w:pPr>
        <w:keepNext/>
        <w:tabs>
          <w:tab w:val="left" w:pos="720"/>
          <w:tab w:val="left" w:pos="1440"/>
          <w:tab w:val="left" w:pos="2160"/>
          <w:tab w:val="left" w:pos="2880"/>
        </w:tabs>
        <w:rPr>
          <w:rFonts w:cs="Arial"/>
          <w:b/>
        </w:rPr>
      </w:pPr>
      <w:r w:rsidRPr="00BB227A">
        <w:rPr>
          <w:rFonts w:cs="Arial"/>
          <w:b/>
        </w:rPr>
        <w:t>Assessment Summary</w:t>
      </w:r>
    </w:p>
    <w:tbl>
      <w:tblPr>
        <w:tblStyle w:val="TableGrid4"/>
        <w:tblW w:w="0" w:type="auto"/>
        <w:tblLayout w:type="fixed"/>
        <w:tblLook w:val="04A0" w:firstRow="1" w:lastRow="0" w:firstColumn="1" w:lastColumn="0" w:noHBand="0" w:noVBand="1"/>
      </w:tblPr>
      <w:tblGrid>
        <w:gridCol w:w="3261"/>
        <w:gridCol w:w="1842"/>
      </w:tblGrid>
      <w:tr w:rsidR="00BB227A" w:rsidRPr="00BB227A" w:rsidTr="00BB227A">
        <w:tc>
          <w:tcPr>
            <w:tcW w:w="3261" w:type="dxa"/>
            <w:tcBorders>
              <w:top w:val="single" w:sz="4" w:space="0" w:color="auto"/>
              <w:left w:val="single" w:sz="4" w:space="0" w:color="auto"/>
            </w:tcBorders>
          </w:tcPr>
          <w:p w:rsidR="00BB227A" w:rsidRPr="00BB227A" w:rsidRDefault="00BB227A" w:rsidP="007F78E2">
            <w:pPr>
              <w:keepNext/>
              <w:rPr>
                <w:rFonts w:cs="Arial"/>
                <w:b/>
              </w:rPr>
            </w:pPr>
            <w:r w:rsidRPr="00BB227A">
              <w:rPr>
                <w:rFonts w:cs="Arial"/>
                <w:b/>
              </w:rPr>
              <w:t>Activity type</w:t>
            </w:r>
          </w:p>
        </w:tc>
        <w:tc>
          <w:tcPr>
            <w:tcW w:w="1842" w:type="dxa"/>
          </w:tcPr>
          <w:p w:rsidR="00BB227A" w:rsidRPr="00BB227A" w:rsidRDefault="00BB227A" w:rsidP="007F78E2">
            <w:pPr>
              <w:keepNext/>
              <w:jc w:val="center"/>
              <w:rPr>
                <w:rFonts w:cs="Arial"/>
                <w:b/>
              </w:rPr>
            </w:pPr>
            <w:r w:rsidRPr="00BB227A">
              <w:rPr>
                <w:rFonts w:cs="Arial"/>
                <w:b/>
              </w:rPr>
              <w:t>Percentage</w:t>
            </w:r>
          </w:p>
        </w:tc>
      </w:tr>
      <w:tr w:rsidR="00BB227A" w:rsidRPr="00BB227A" w:rsidTr="00BB227A">
        <w:tc>
          <w:tcPr>
            <w:tcW w:w="3261" w:type="dxa"/>
          </w:tcPr>
          <w:p w:rsidR="00BB227A" w:rsidRPr="00BB227A" w:rsidRDefault="00BB227A" w:rsidP="007F78E2">
            <w:pPr>
              <w:keepNext/>
              <w:rPr>
                <w:rFonts w:cs="Arial"/>
              </w:rPr>
            </w:pPr>
            <w:r w:rsidRPr="00BB227A">
              <w:rPr>
                <w:rFonts w:cs="Arial"/>
              </w:rPr>
              <w:t>Written exam</w:t>
            </w:r>
          </w:p>
        </w:tc>
        <w:tc>
          <w:tcPr>
            <w:tcW w:w="1842" w:type="dxa"/>
          </w:tcPr>
          <w:p w:rsidR="00BB227A" w:rsidRPr="00BB227A" w:rsidRDefault="00BB227A" w:rsidP="007F78E2">
            <w:pPr>
              <w:keepNext/>
              <w:jc w:val="center"/>
              <w:rPr>
                <w:rFonts w:cs="Arial"/>
              </w:rPr>
            </w:pPr>
          </w:p>
        </w:tc>
      </w:tr>
      <w:tr w:rsidR="00BB227A" w:rsidRPr="00BB227A" w:rsidTr="00BB227A">
        <w:tc>
          <w:tcPr>
            <w:tcW w:w="3261" w:type="dxa"/>
          </w:tcPr>
          <w:p w:rsidR="00BB227A" w:rsidRPr="00BB227A" w:rsidRDefault="00BB227A" w:rsidP="007F78E2">
            <w:pPr>
              <w:keepNext/>
              <w:rPr>
                <w:rFonts w:cs="Arial"/>
              </w:rPr>
            </w:pPr>
            <w:r w:rsidRPr="00BB227A">
              <w:rPr>
                <w:rFonts w:cs="Arial"/>
              </w:rPr>
              <w:t>Coursework</w:t>
            </w:r>
          </w:p>
        </w:tc>
        <w:tc>
          <w:tcPr>
            <w:tcW w:w="1842" w:type="dxa"/>
          </w:tcPr>
          <w:p w:rsidR="00BB227A" w:rsidRPr="00BB227A" w:rsidRDefault="00BB227A" w:rsidP="007F78E2">
            <w:pPr>
              <w:keepNext/>
              <w:jc w:val="center"/>
              <w:rPr>
                <w:rFonts w:cs="Arial"/>
              </w:rPr>
            </w:pPr>
            <w:r w:rsidRPr="00BB227A">
              <w:rPr>
                <w:rFonts w:cs="Arial"/>
              </w:rPr>
              <w:t>100%</w:t>
            </w:r>
          </w:p>
        </w:tc>
      </w:tr>
      <w:tr w:rsidR="00BB227A" w:rsidRPr="00BB227A" w:rsidTr="00BB227A">
        <w:tc>
          <w:tcPr>
            <w:tcW w:w="3261" w:type="dxa"/>
          </w:tcPr>
          <w:p w:rsidR="00BB227A" w:rsidRPr="00BB227A" w:rsidRDefault="00BB227A" w:rsidP="007F78E2">
            <w:pPr>
              <w:keepNext/>
              <w:rPr>
                <w:rFonts w:cs="Arial"/>
              </w:rPr>
            </w:pPr>
            <w:r w:rsidRPr="00BB227A">
              <w:rPr>
                <w:rFonts w:cs="Arial"/>
              </w:rPr>
              <w:t>Practical</w:t>
            </w:r>
          </w:p>
        </w:tc>
        <w:tc>
          <w:tcPr>
            <w:tcW w:w="1842" w:type="dxa"/>
          </w:tcPr>
          <w:p w:rsidR="00BB227A" w:rsidRPr="00BB227A" w:rsidRDefault="00BB227A" w:rsidP="007F78E2">
            <w:pPr>
              <w:keepNext/>
              <w:jc w:val="center"/>
              <w:rPr>
                <w:rFonts w:cs="Arial"/>
              </w:rPr>
            </w:pPr>
          </w:p>
        </w:tc>
      </w:tr>
      <w:tr w:rsidR="00BB227A" w:rsidRPr="00BB227A" w:rsidTr="00BB227A">
        <w:tc>
          <w:tcPr>
            <w:tcW w:w="3261" w:type="dxa"/>
          </w:tcPr>
          <w:p w:rsidR="00BB227A" w:rsidRPr="00BB227A" w:rsidRDefault="00BB227A" w:rsidP="007F78E2">
            <w:pPr>
              <w:keepNext/>
              <w:rPr>
                <w:rFonts w:cs="Arial"/>
              </w:rPr>
            </w:pPr>
            <w:r w:rsidRPr="00BB227A">
              <w:rPr>
                <w:rFonts w:cs="Arial"/>
                <w:b/>
              </w:rPr>
              <w:t>TOTAL</w:t>
            </w:r>
          </w:p>
        </w:tc>
        <w:tc>
          <w:tcPr>
            <w:tcW w:w="1842" w:type="dxa"/>
          </w:tcPr>
          <w:p w:rsidR="00BB227A" w:rsidRPr="00BB227A" w:rsidRDefault="00BB227A" w:rsidP="007F78E2">
            <w:pPr>
              <w:keepNext/>
              <w:jc w:val="center"/>
              <w:rPr>
                <w:rFonts w:cs="Arial"/>
                <w:b/>
              </w:rPr>
            </w:pPr>
            <w:r w:rsidRPr="00BB227A">
              <w:rPr>
                <w:rFonts w:cs="Arial"/>
                <w:b/>
              </w:rPr>
              <w:t>100%</w:t>
            </w:r>
          </w:p>
        </w:tc>
      </w:tr>
    </w:tbl>
    <w:p w:rsidR="00BB227A" w:rsidRPr="00BB227A" w:rsidRDefault="00BB227A" w:rsidP="00BB227A">
      <w:pPr>
        <w:rPr>
          <w:rFonts w:cs="Arial"/>
        </w:rPr>
      </w:pPr>
    </w:p>
    <w:p w:rsidR="00BB227A" w:rsidRPr="00BB227A" w:rsidRDefault="00BB227A" w:rsidP="00BB227A">
      <w:pPr>
        <w:rPr>
          <w:rFonts w:cs="Arial"/>
          <w:color w:val="000000"/>
        </w:rPr>
      </w:pPr>
      <w:r w:rsidRPr="00BB227A">
        <w:rPr>
          <w:rFonts w:cs="Arial"/>
          <w:color w:val="000000"/>
        </w:rPr>
        <w:t>This module is part of a degree programme which is professionally endorsed by ETS Cymru.</w:t>
      </w:r>
    </w:p>
    <w:p w:rsidR="00BB227A" w:rsidRPr="00BB227A" w:rsidRDefault="00BB227A" w:rsidP="00BB227A">
      <w:pPr>
        <w:rPr>
          <w:rFonts w:cs="Arial"/>
          <w:b/>
        </w:rPr>
      </w:pPr>
      <w:r w:rsidRPr="00BB227A">
        <w:rPr>
          <w:rFonts w:cs="Arial"/>
          <w:b/>
        </w:rPr>
        <w:t>INDICATIVE READING LIST</w:t>
      </w:r>
    </w:p>
    <w:p w:rsidR="00BB227A" w:rsidRPr="00BB227A" w:rsidRDefault="00BB227A" w:rsidP="00BB227A">
      <w:pPr>
        <w:rPr>
          <w:rFonts w:cs="Arial"/>
          <w:b/>
        </w:rPr>
      </w:pPr>
    </w:p>
    <w:tbl>
      <w:tblPr>
        <w:tblStyle w:val="TableGrid4"/>
        <w:tblW w:w="0" w:type="auto"/>
        <w:tblLook w:val="04A0" w:firstRow="1" w:lastRow="0" w:firstColumn="1" w:lastColumn="0" w:noHBand="0" w:noVBand="1"/>
      </w:tblPr>
      <w:tblGrid>
        <w:gridCol w:w="1777"/>
        <w:gridCol w:w="5413"/>
        <w:gridCol w:w="1470"/>
      </w:tblGrid>
      <w:tr w:rsidR="00BB227A" w:rsidRPr="00BB227A" w:rsidTr="00BB227A">
        <w:tc>
          <w:tcPr>
            <w:tcW w:w="1777" w:type="dxa"/>
            <w:shd w:val="clear" w:color="auto" w:fill="BFBFBF" w:themeFill="background1" w:themeFillShade="BF"/>
          </w:tcPr>
          <w:p w:rsidR="00BB227A" w:rsidRPr="00BB227A" w:rsidRDefault="00BB227A" w:rsidP="007F78E2">
            <w:pPr>
              <w:tabs>
                <w:tab w:val="num" w:pos="720"/>
                <w:tab w:val="left" w:pos="1440"/>
              </w:tabs>
              <w:rPr>
                <w:rFonts w:cs="Arial"/>
                <w:b/>
              </w:rPr>
            </w:pPr>
            <w:r w:rsidRPr="00BB227A">
              <w:rPr>
                <w:rFonts w:cs="Arial"/>
                <w:b/>
              </w:rPr>
              <w:t>Module Code</w:t>
            </w:r>
          </w:p>
        </w:tc>
        <w:tc>
          <w:tcPr>
            <w:tcW w:w="6883" w:type="dxa"/>
            <w:gridSpan w:val="2"/>
          </w:tcPr>
          <w:p w:rsidR="00BB227A" w:rsidRPr="00BB227A" w:rsidRDefault="00BB227A" w:rsidP="007F78E2">
            <w:pPr>
              <w:tabs>
                <w:tab w:val="num" w:pos="720"/>
                <w:tab w:val="left" w:pos="1440"/>
              </w:tabs>
              <w:rPr>
                <w:rFonts w:cs="Arial"/>
                <w:b/>
              </w:rPr>
            </w:pPr>
            <w:r w:rsidRPr="00BB227A">
              <w:rPr>
                <w:rFonts w:cs="Arial"/>
                <w:b/>
              </w:rPr>
              <w:t>ECYW4003</w:t>
            </w:r>
          </w:p>
        </w:tc>
      </w:tr>
      <w:tr w:rsidR="00BB227A" w:rsidRPr="00BB227A" w:rsidTr="00BB227A">
        <w:tc>
          <w:tcPr>
            <w:tcW w:w="1777" w:type="dxa"/>
            <w:shd w:val="clear" w:color="auto" w:fill="BFBFBF" w:themeFill="background1" w:themeFillShade="BF"/>
          </w:tcPr>
          <w:p w:rsidR="00BB227A" w:rsidRPr="00BB227A" w:rsidRDefault="00BB227A" w:rsidP="007F78E2">
            <w:pPr>
              <w:tabs>
                <w:tab w:val="num" w:pos="720"/>
                <w:tab w:val="left" w:pos="1440"/>
              </w:tabs>
              <w:rPr>
                <w:rFonts w:cs="Arial"/>
                <w:b/>
              </w:rPr>
            </w:pPr>
            <w:r w:rsidRPr="00BB227A">
              <w:rPr>
                <w:rFonts w:cs="Arial"/>
                <w:b/>
              </w:rPr>
              <w:t>Module Title</w:t>
            </w:r>
          </w:p>
        </w:tc>
        <w:tc>
          <w:tcPr>
            <w:tcW w:w="6883" w:type="dxa"/>
            <w:gridSpan w:val="2"/>
          </w:tcPr>
          <w:p w:rsidR="00BB227A" w:rsidRPr="00BB227A" w:rsidRDefault="00BB227A" w:rsidP="007F78E2">
            <w:pPr>
              <w:tabs>
                <w:tab w:val="num" w:pos="720"/>
                <w:tab w:val="left" w:pos="1440"/>
              </w:tabs>
              <w:rPr>
                <w:rFonts w:cs="Arial"/>
                <w:b/>
              </w:rPr>
            </w:pPr>
            <w:r w:rsidRPr="00BB227A">
              <w:rPr>
                <w:rFonts w:cs="Arial"/>
                <w:b/>
              </w:rPr>
              <w:t xml:space="preserve">Understanding Adolescence </w:t>
            </w:r>
          </w:p>
        </w:tc>
      </w:tr>
      <w:tr w:rsidR="00BB227A" w:rsidRPr="00BB227A" w:rsidTr="00BB227A">
        <w:tc>
          <w:tcPr>
            <w:tcW w:w="1777" w:type="dxa"/>
            <w:shd w:val="clear" w:color="auto" w:fill="BFBFBF" w:themeFill="background1" w:themeFillShade="BF"/>
          </w:tcPr>
          <w:p w:rsidR="00BB227A" w:rsidRPr="00BB227A" w:rsidRDefault="00BB227A" w:rsidP="007F78E2">
            <w:pPr>
              <w:tabs>
                <w:tab w:val="num" w:pos="720"/>
                <w:tab w:val="left" w:pos="1440"/>
              </w:tabs>
              <w:rPr>
                <w:rFonts w:cs="Arial"/>
                <w:b/>
              </w:rPr>
            </w:pPr>
            <w:r w:rsidRPr="00BB227A">
              <w:rPr>
                <w:rFonts w:cs="Arial"/>
                <w:b/>
              </w:rPr>
              <w:t>Classification</w:t>
            </w:r>
          </w:p>
        </w:tc>
        <w:tc>
          <w:tcPr>
            <w:tcW w:w="5413" w:type="dxa"/>
            <w:shd w:val="clear" w:color="auto" w:fill="BFBFBF" w:themeFill="background1" w:themeFillShade="BF"/>
          </w:tcPr>
          <w:p w:rsidR="00BB227A" w:rsidRPr="00BB227A" w:rsidRDefault="00BB227A" w:rsidP="007F78E2">
            <w:pPr>
              <w:tabs>
                <w:tab w:val="num" w:pos="720"/>
                <w:tab w:val="left" w:pos="1440"/>
              </w:tabs>
              <w:rPr>
                <w:rFonts w:cs="Arial"/>
                <w:b/>
              </w:rPr>
            </w:pPr>
            <w:r w:rsidRPr="00BB227A">
              <w:rPr>
                <w:rFonts w:cs="Arial"/>
                <w:b/>
              </w:rPr>
              <w:t>Reading List entry</w:t>
            </w:r>
          </w:p>
        </w:tc>
        <w:tc>
          <w:tcPr>
            <w:tcW w:w="1470" w:type="dxa"/>
            <w:shd w:val="clear" w:color="auto" w:fill="BFBFBF" w:themeFill="background1" w:themeFillShade="BF"/>
          </w:tcPr>
          <w:p w:rsidR="00BB227A" w:rsidRPr="00BB227A" w:rsidRDefault="00BB227A" w:rsidP="007F78E2">
            <w:pPr>
              <w:tabs>
                <w:tab w:val="num" w:pos="720"/>
                <w:tab w:val="left" w:pos="1440"/>
              </w:tabs>
              <w:rPr>
                <w:rFonts w:cs="Arial"/>
                <w:b/>
              </w:rPr>
            </w:pPr>
            <w:r w:rsidRPr="00BB227A">
              <w:rPr>
                <w:rFonts w:cs="Arial"/>
                <w:b/>
              </w:rPr>
              <w:t>Electronic*</w:t>
            </w:r>
          </w:p>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tabs>
                <w:tab w:val="num" w:pos="720"/>
                <w:tab w:val="left" w:pos="1440"/>
              </w:tabs>
              <w:rPr>
                <w:rFonts w:cs="Arial"/>
              </w:rPr>
            </w:pPr>
            <w:r w:rsidRPr="00BB227A">
              <w:rPr>
                <w:rFonts w:cs="Arial"/>
                <w:color w:val="000000"/>
              </w:rPr>
              <w:t xml:space="preserve">Adams, G. R. (2006) </w:t>
            </w:r>
            <w:r w:rsidRPr="00BB227A">
              <w:rPr>
                <w:rFonts w:cs="Arial"/>
                <w:i/>
                <w:iCs/>
                <w:color w:val="000000"/>
              </w:rPr>
              <w:t>Blackwell Handbook of Adolescence</w:t>
            </w:r>
            <w:r w:rsidRPr="00BB227A">
              <w:rPr>
                <w:rFonts w:cs="Arial"/>
                <w:color w:val="000000"/>
              </w:rPr>
              <w:t>. Oxford: Blackwell Publishing Ltd</w:t>
            </w:r>
          </w:p>
        </w:tc>
        <w:tc>
          <w:tcPr>
            <w:tcW w:w="1470" w:type="dxa"/>
          </w:tcPr>
          <w:sdt>
            <w:sdtPr>
              <w:rPr>
                <w:rFonts w:cs="Arial"/>
              </w:rPr>
              <w:id w:val="1116330333"/>
              <w14:checkbox>
                <w14:checked w14:val="0"/>
                <w14:checkedState w14:val="2612" w14:font="MS Gothic"/>
                <w14:uncheckedState w14:val="2610" w14:font="MS Gothic"/>
              </w14:checkbox>
            </w:sdtPr>
            <w:sdtContent>
              <w:p w:rsidR="00BB227A" w:rsidRPr="00BB227A" w:rsidRDefault="00BB227A" w:rsidP="007F78E2">
                <w:pPr>
                  <w:jc w:val="center"/>
                  <w:rPr>
                    <w:rFonts w:cs="Arial"/>
                  </w:rPr>
                </w:pPr>
                <w:r w:rsidRPr="00BB227A">
                  <w:rPr>
                    <w:rFonts w:cs="Arial"/>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rPr>
                <w:rFonts w:cs="Arial"/>
                <w:color w:val="000000"/>
              </w:rPr>
            </w:pPr>
            <w:r w:rsidRPr="00BB227A">
              <w:rPr>
                <w:rFonts w:cs="Arial"/>
                <w:color w:val="000000"/>
              </w:rPr>
              <w:t xml:space="preserve">Arnett, J.J. (ed) (2011) </w:t>
            </w:r>
            <w:r w:rsidRPr="00BB227A">
              <w:rPr>
                <w:rFonts w:cs="Arial"/>
                <w:i/>
                <w:color w:val="000000"/>
              </w:rPr>
              <w:t>Adolescent Psychology around the world:</w:t>
            </w:r>
            <w:r w:rsidRPr="00BB227A">
              <w:rPr>
                <w:rFonts w:cs="Arial"/>
                <w:color w:val="000000"/>
              </w:rPr>
              <w:t xml:space="preserve"> Psychology Press.</w:t>
            </w:r>
          </w:p>
        </w:tc>
        <w:tc>
          <w:tcPr>
            <w:tcW w:w="1470" w:type="dxa"/>
          </w:tcPr>
          <w:sdt>
            <w:sdtPr>
              <w:rPr>
                <w:rFonts w:cs="Arial"/>
                <w:szCs w:val="20"/>
              </w:rPr>
              <w:id w:val="96986777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tabs>
                <w:tab w:val="num" w:pos="720"/>
                <w:tab w:val="left" w:pos="1440"/>
              </w:tabs>
              <w:rPr>
                <w:rFonts w:cs="Arial"/>
              </w:rPr>
            </w:pPr>
            <w:r w:rsidRPr="00BB227A">
              <w:rPr>
                <w:rFonts w:cs="Arial"/>
                <w:color w:val="000000"/>
              </w:rPr>
              <w:t xml:space="preserve">Belton, B. (2010) </w:t>
            </w:r>
            <w:r w:rsidRPr="00BB227A">
              <w:rPr>
                <w:rFonts w:cs="Arial"/>
                <w:i/>
                <w:color w:val="000000"/>
              </w:rPr>
              <w:t xml:space="preserve">Radical youth work: developing critical perspectives and professional judgment. </w:t>
            </w:r>
            <w:r w:rsidRPr="00BB227A">
              <w:rPr>
                <w:rFonts w:eastAsia="Arial Unicode MS" w:cs="Arial"/>
              </w:rPr>
              <w:t>Lyme Regis, Dorset: Russell House Pub.</w:t>
            </w:r>
          </w:p>
        </w:tc>
        <w:tc>
          <w:tcPr>
            <w:tcW w:w="1470" w:type="dxa"/>
          </w:tcPr>
          <w:sdt>
            <w:sdtPr>
              <w:rPr>
                <w:rFonts w:cs="Arial"/>
                <w:szCs w:val="20"/>
              </w:rPr>
              <w:id w:val="-672342637"/>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rPr>
                <w:rFonts w:cs="Arial"/>
                <w:color w:val="006666"/>
              </w:rPr>
            </w:pPr>
            <w:r w:rsidRPr="00BB227A">
              <w:rPr>
                <w:rFonts w:cs="Arial"/>
                <w:color w:val="000000"/>
              </w:rPr>
              <w:t xml:space="preserve">Boyd, D., &amp; Bee, H. (2013). </w:t>
            </w:r>
            <w:r w:rsidRPr="00BB227A">
              <w:rPr>
                <w:rFonts w:cs="Arial"/>
                <w:i/>
                <w:iCs/>
                <w:color w:val="000000"/>
              </w:rPr>
              <w:t xml:space="preserve">Lifespan development </w:t>
            </w:r>
            <w:r w:rsidRPr="00BB227A">
              <w:rPr>
                <w:rFonts w:cs="Arial"/>
                <w:color w:val="000000"/>
              </w:rPr>
              <w:t>(6</w:t>
            </w:r>
            <w:r w:rsidRPr="00BB227A">
              <w:rPr>
                <w:rFonts w:cs="Arial"/>
                <w:color w:val="000000"/>
                <w:vertAlign w:val="superscript"/>
              </w:rPr>
              <w:t>th</w:t>
            </w:r>
            <w:r w:rsidRPr="00BB227A">
              <w:rPr>
                <w:rFonts w:cs="Arial"/>
                <w:color w:val="000000"/>
              </w:rPr>
              <w:t xml:space="preserve"> ed.). Harlow: Pearson.</w:t>
            </w:r>
          </w:p>
        </w:tc>
        <w:tc>
          <w:tcPr>
            <w:tcW w:w="1470" w:type="dxa"/>
          </w:tcPr>
          <w:sdt>
            <w:sdtPr>
              <w:rPr>
                <w:rFonts w:cs="Arial"/>
                <w:szCs w:val="20"/>
              </w:rPr>
              <w:id w:val="-121588971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rPr>
                <w:rFonts w:cs="Arial"/>
              </w:rPr>
            </w:pPr>
            <w:r w:rsidRPr="00BB227A">
              <w:rPr>
                <w:rFonts w:cs="Arial"/>
              </w:rPr>
              <w:t xml:space="preserve">Browne, K. (2011) </w:t>
            </w:r>
            <w:r w:rsidRPr="00BB227A">
              <w:rPr>
                <w:rFonts w:cs="Arial"/>
                <w:i/>
                <w:iCs/>
              </w:rPr>
              <w:t xml:space="preserve">An Introduction to Sociology </w:t>
            </w:r>
            <w:r w:rsidRPr="00BB227A">
              <w:rPr>
                <w:rFonts w:cs="Arial"/>
              </w:rPr>
              <w:t>(4</w:t>
            </w:r>
            <w:r w:rsidRPr="00BB227A">
              <w:rPr>
                <w:rFonts w:cs="Arial"/>
                <w:vertAlign w:val="superscript"/>
              </w:rPr>
              <w:t>th</w:t>
            </w:r>
            <w:r w:rsidRPr="00BB227A">
              <w:rPr>
                <w:rFonts w:cs="Arial"/>
              </w:rPr>
              <w:t xml:space="preserve"> ed), London: Polity.</w:t>
            </w:r>
          </w:p>
        </w:tc>
        <w:tc>
          <w:tcPr>
            <w:tcW w:w="1470" w:type="dxa"/>
          </w:tcPr>
          <w:sdt>
            <w:sdtPr>
              <w:rPr>
                <w:rFonts w:cs="Arial"/>
                <w:szCs w:val="20"/>
              </w:rPr>
              <w:id w:val="-745105027"/>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Coleman, J. C. (2010) </w:t>
            </w:r>
            <w:r w:rsidRPr="00BB227A">
              <w:rPr>
                <w:rFonts w:cs="Arial"/>
                <w:i/>
                <w:iCs/>
                <w:color w:val="000000"/>
                <w:kern w:val="24"/>
              </w:rPr>
              <w:t xml:space="preserve">The Nature of Adolescence, </w:t>
            </w:r>
            <w:r w:rsidRPr="00BB227A">
              <w:rPr>
                <w:rFonts w:cs="Arial"/>
                <w:iCs/>
                <w:color w:val="000000"/>
                <w:kern w:val="24"/>
              </w:rPr>
              <w:t>(4</w:t>
            </w:r>
            <w:r w:rsidRPr="00BB227A">
              <w:rPr>
                <w:rFonts w:cs="Arial"/>
                <w:iCs/>
                <w:color w:val="000000"/>
                <w:kern w:val="24"/>
                <w:vertAlign w:val="superscript"/>
              </w:rPr>
              <w:t>th</w:t>
            </w:r>
            <w:r w:rsidRPr="00BB227A">
              <w:rPr>
                <w:rFonts w:cs="Arial"/>
                <w:iCs/>
                <w:color w:val="000000"/>
                <w:kern w:val="24"/>
              </w:rPr>
              <w:t xml:space="preserve"> ed.)</w:t>
            </w:r>
            <w:r w:rsidRPr="00BB227A">
              <w:rPr>
                <w:rFonts w:cs="Arial"/>
                <w:i/>
                <w:iCs/>
                <w:color w:val="000000"/>
                <w:kern w:val="24"/>
              </w:rPr>
              <w:t xml:space="preserve"> </w:t>
            </w:r>
            <w:r w:rsidRPr="00BB227A">
              <w:rPr>
                <w:rFonts w:cs="Arial"/>
                <w:color w:val="000000"/>
                <w:kern w:val="24"/>
              </w:rPr>
              <w:t>London: Routledge.</w:t>
            </w:r>
          </w:p>
        </w:tc>
        <w:tc>
          <w:tcPr>
            <w:tcW w:w="1470" w:type="dxa"/>
          </w:tcPr>
          <w:sdt>
            <w:sdtPr>
              <w:rPr>
                <w:rFonts w:cs="Arial"/>
                <w:szCs w:val="20"/>
              </w:rPr>
              <w:id w:val="-1123846409"/>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Essential</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Jeffs, T, &amp; Smith, M. (2010) </w:t>
            </w:r>
            <w:r w:rsidRPr="00BB227A">
              <w:rPr>
                <w:rFonts w:cs="Arial"/>
                <w:i/>
                <w:color w:val="000000"/>
                <w:kern w:val="24"/>
              </w:rPr>
              <w:t>Youth work Practice</w:t>
            </w:r>
            <w:r w:rsidRPr="00BB227A">
              <w:rPr>
                <w:rFonts w:cs="Arial"/>
                <w:color w:val="000000"/>
                <w:kern w:val="24"/>
              </w:rPr>
              <w:t xml:space="preserve">. </w:t>
            </w:r>
            <w:r w:rsidRPr="00BB227A">
              <w:rPr>
                <w:rFonts w:eastAsia="Arial Unicode MS" w:cs="Arial"/>
              </w:rPr>
              <w:t>Houndmills, Basingstoke, Hampshire; New York: Palgrave Macmillan,</w:t>
            </w:r>
          </w:p>
        </w:tc>
        <w:tc>
          <w:tcPr>
            <w:tcW w:w="1470" w:type="dxa"/>
          </w:tcPr>
          <w:sdt>
            <w:sdtPr>
              <w:rPr>
                <w:rFonts w:cs="Arial"/>
                <w:szCs w:val="20"/>
              </w:rPr>
              <w:id w:val="-1334607097"/>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tabs>
                <w:tab w:val="left" w:pos="720"/>
                <w:tab w:val="left" w:pos="1440"/>
                <w:tab w:val="left" w:pos="2160"/>
                <w:tab w:val="left" w:pos="2880"/>
              </w:tabs>
              <w:rPr>
                <w:rFonts w:cs="Arial"/>
                <w:bCs/>
              </w:rPr>
            </w:pPr>
            <w:r w:rsidRPr="00BB227A">
              <w:rPr>
                <w:rFonts w:cs="Arial"/>
                <w:bCs/>
              </w:rPr>
              <w:t xml:space="preserve">Bukowski, W. A., Newcomb, A. F. and Hartup, W. W. (eds). (1998) </w:t>
            </w:r>
            <w:r w:rsidRPr="00BB227A">
              <w:rPr>
                <w:rFonts w:cs="Arial"/>
                <w:bCs/>
                <w:i/>
              </w:rPr>
              <w:t xml:space="preserve">The company they keep: friendship in childhood and adolescence, </w:t>
            </w:r>
            <w:r w:rsidRPr="00BB227A">
              <w:rPr>
                <w:rFonts w:cs="Arial"/>
                <w:bCs/>
              </w:rPr>
              <w:t>Cambridge: Cambridge University Press.</w:t>
            </w:r>
          </w:p>
        </w:tc>
        <w:tc>
          <w:tcPr>
            <w:tcW w:w="1470" w:type="dxa"/>
          </w:tcPr>
          <w:sdt>
            <w:sdtPr>
              <w:rPr>
                <w:rFonts w:cs="Arial"/>
                <w:szCs w:val="20"/>
              </w:rPr>
              <w:id w:val="151695279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tabs>
                <w:tab w:val="left" w:pos="720"/>
                <w:tab w:val="left" w:pos="1440"/>
                <w:tab w:val="left" w:pos="2160"/>
                <w:tab w:val="left" w:pos="2880"/>
              </w:tabs>
              <w:rPr>
                <w:rFonts w:cs="Arial"/>
                <w:bCs/>
              </w:rPr>
            </w:pPr>
            <w:r w:rsidRPr="00BB227A">
              <w:rPr>
                <w:rFonts w:cs="Arial"/>
                <w:bCs/>
              </w:rPr>
              <w:t xml:space="preserve">Connor, D. F. (2000) </w:t>
            </w:r>
            <w:r w:rsidRPr="00BB227A">
              <w:rPr>
                <w:rFonts w:cs="Arial"/>
                <w:bCs/>
                <w:i/>
              </w:rPr>
              <w:t>The Development of Values, Attitudes and personal qualities: A review of recent research</w:t>
            </w:r>
            <w:r w:rsidRPr="00BB227A">
              <w:rPr>
                <w:rFonts w:cs="Arial"/>
                <w:bCs/>
              </w:rPr>
              <w:t>, Slough: NFER.</w:t>
            </w:r>
          </w:p>
        </w:tc>
        <w:tc>
          <w:tcPr>
            <w:tcW w:w="1470" w:type="dxa"/>
          </w:tcPr>
          <w:sdt>
            <w:sdtPr>
              <w:rPr>
                <w:rFonts w:cs="Arial"/>
                <w:szCs w:val="20"/>
              </w:rPr>
              <w:id w:val="-98230098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tabs>
                <w:tab w:val="left" w:pos="720"/>
                <w:tab w:val="left" w:pos="1440"/>
                <w:tab w:val="left" w:pos="2160"/>
                <w:tab w:val="left" w:pos="2880"/>
              </w:tabs>
              <w:rPr>
                <w:rFonts w:cs="Arial"/>
                <w:bCs/>
              </w:rPr>
            </w:pPr>
            <w:r w:rsidRPr="00BB227A">
              <w:rPr>
                <w:rFonts w:cs="Arial"/>
                <w:bCs/>
              </w:rPr>
              <w:t xml:space="preserve">Connor, D. F. (2002) </w:t>
            </w:r>
            <w:r w:rsidRPr="00BB227A">
              <w:rPr>
                <w:rFonts w:cs="Arial"/>
                <w:bCs/>
                <w:i/>
              </w:rPr>
              <w:t xml:space="preserve">Aggression and antisocial behavior in children and adolescents: research and treatment, </w:t>
            </w:r>
            <w:r w:rsidRPr="00BB227A">
              <w:rPr>
                <w:rFonts w:cs="Arial"/>
                <w:bCs/>
              </w:rPr>
              <w:t>New York: Guilford Press.</w:t>
            </w:r>
          </w:p>
        </w:tc>
        <w:tc>
          <w:tcPr>
            <w:tcW w:w="1470" w:type="dxa"/>
          </w:tcPr>
          <w:sdt>
            <w:sdtPr>
              <w:rPr>
                <w:rFonts w:cs="Arial"/>
                <w:szCs w:val="20"/>
              </w:rPr>
              <w:id w:val="310996049"/>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rPr>
              <w:t xml:space="preserve">Gross, R. (2010) </w:t>
            </w:r>
            <w:r w:rsidRPr="00BB227A">
              <w:rPr>
                <w:rFonts w:cs="Arial"/>
                <w:i/>
                <w:iCs/>
              </w:rPr>
              <w:t xml:space="preserve">Psychology: The Science of Mind and Behaviour </w:t>
            </w:r>
            <w:r w:rsidRPr="00BB227A">
              <w:rPr>
                <w:rFonts w:cs="Arial"/>
              </w:rPr>
              <w:t>(6</w:t>
            </w:r>
            <w:r w:rsidRPr="00BB227A">
              <w:rPr>
                <w:rFonts w:cs="Arial"/>
                <w:vertAlign w:val="superscript"/>
              </w:rPr>
              <w:t>th</w:t>
            </w:r>
            <w:r w:rsidRPr="00BB227A">
              <w:rPr>
                <w:rFonts w:cs="Arial"/>
              </w:rPr>
              <w:t xml:space="preserve"> ed),  London: Hodder &amp; Stoughton.</w:t>
            </w:r>
          </w:p>
        </w:tc>
        <w:tc>
          <w:tcPr>
            <w:tcW w:w="1470" w:type="dxa"/>
          </w:tcPr>
          <w:sdt>
            <w:sdtPr>
              <w:rPr>
                <w:rFonts w:cs="Arial"/>
                <w:szCs w:val="20"/>
              </w:rPr>
              <w:id w:val="-916717811"/>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color w:val="000000"/>
              </w:rPr>
            </w:pPr>
            <w:r w:rsidRPr="00BB227A">
              <w:rPr>
                <w:rFonts w:cs="Arial"/>
                <w:color w:val="000000"/>
              </w:rPr>
              <w:t xml:space="preserve">Geldard, G &amp; Geldard, D. (2010) </w:t>
            </w:r>
            <w:r w:rsidRPr="00BB227A">
              <w:rPr>
                <w:rFonts w:cs="Arial"/>
                <w:i/>
                <w:iCs/>
                <w:color w:val="000000"/>
              </w:rPr>
              <w:t xml:space="preserve">Counselling Adolescents: the proactive approach to young people </w:t>
            </w:r>
            <w:r w:rsidRPr="00BB227A">
              <w:rPr>
                <w:rFonts w:cs="Arial"/>
                <w:iCs/>
                <w:color w:val="000000"/>
              </w:rPr>
              <w:t>(3</w:t>
            </w:r>
            <w:r w:rsidRPr="00BB227A">
              <w:rPr>
                <w:rFonts w:cs="Arial"/>
                <w:iCs/>
                <w:color w:val="000000"/>
                <w:vertAlign w:val="superscript"/>
              </w:rPr>
              <w:t>rd</w:t>
            </w:r>
            <w:r w:rsidRPr="00BB227A">
              <w:rPr>
                <w:rFonts w:cs="Arial"/>
                <w:iCs/>
                <w:color w:val="000000"/>
              </w:rPr>
              <w:t xml:space="preserve"> ed)</w:t>
            </w:r>
            <w:r w:rsidRPr="00BB227A">
              <w:rPr>
                <w:rFonts w:cs="Arial"/>
                <w:i/>
                <w:iCs/>
                <w:color w:val="000000"/>
              </w:rPr>
              <w:t xml:space="preserve">. </w:t>
            </w:r>
            <w:r w:rsidRPr="00BB227A">
              <w:rPr>
                <w:rFonts w:cs="Arial"/>
                <w:color w:val="000000"/>
              </w:rPr>
              <w:t>London: Sage Publications Ltd. </w:t>
            </w:r>
          </w:p>
        </w:tc>
        <w:tc>
          <w:tcPr>
            <w:tcW w:w="1470" w:type="dxa"/>
          </w:tcPr>
          <w:sdt>
            <w:sdtPr>
              <w:rPr>
                <w:rFonts w:cs="Arial"/>
                <w:szCs w:val="20"/>
              </w:rPr>
              <w:id w:val="405278611"/>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Hendry, L. &amp; Kloep, M. (2012) </w:t>
            </w:r>
            <w:r w:rsidRPr="00BB227A">
              <w:rPr>
                <w:rFonts w:cs="Arial"/>
                <w:i/>
                <w:color w:val="000000"/>
                <w:kern w:val="24"/>
              </w:rPr>
              <w:t>Adolescence and Adulthood: transitions and transformations:</w:t>
            </w:r>
            <w:r w:rsidRPr="00BB227A">
              <w:rPr>
                <w:rFonts w:cs="Arial"/>
                <w:color w:val="000000"/>
                <w:kern w:val="24"/>
              </w:rPr>
              <w:t xml:space="preserve"> Palgrave Macmillan</w:t>
            </w:r>
          </w:p>
        </w:tc>
        <w:tc>
          <w:tcPr>
            <w:tcW w:w="1470" w:type="dxa"/>
          </w:tcPr>
          <w:sdt>
            <w:sdtPr>
              <w:rPr>
                <w:rFonts w:cs="Arial"/>
                <w:szCs w:val="20"/>
              </w:rPr>
              <w:id w:val="-1185442971"/>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Jeffs, T. &amp; Smith.M (1990) </w:t>
            </w:r>
            <w:r w:rsidRPr="00BB227A">
              <w:rPr>
                <w:rFonts w:cs="Arial"/>
                <w:i/>
                <w:color w:val="000000"/>
                <w:kern w:val="24"/>
              </w:rPr>
              <w:t xml:space="preserve">Young people, inequality and youth work. </w:t>
            </w:r>
            <w:r w:rsidRPr="00BB227A">
              <w:rPr>
                <w:rFonts w:eastAsia="Arial Unicode MS" w:cs="Arial"/>
              </w:rPr>
              <w:t>Basingstoke: Macmillan Education.</w:t>
            </w:r>
          </w:p>
        </w:tc>
        <w:tc>
          <w:tcPr>
            <w:tcW w:w="1470" w:type="dxa"/>
          </w:tcPr>
          <w:sdt>
            <w:sdtPr>
              <w:rPr>
                <w:rFonts w:cs="Arial"/>
                <w:szCs w:val="20"/>
              </w:rPr>
              <w:id w:val="-502194187"/>
              <w14:checkbox>
                <w14:checked w14:val="0"/>
                <w14:checkedState w14:val="2612" w14:font="MS Gothic"/>
                <w14:uncheckedState w14:val="2610" w14:font="MS Gothic"/>
              </w14:checkbox>
            </w:sdtPr>
            <w:sdtContent>
              <w:p w:rsidR="00BB227A" w:rsidRPr="00BB227A" w:rsidRDefault="00BB227A" w:rsidP="007F78E2">
                <w:pPr>
                  <w:jc w:val="center"/>
                  <w:rPr>
                    <w:rFonts w:eastAsia="MS Gothic"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Kroger, J. (2007) </w:t>
            </w:r>
            <w:r w:rsidRPr="00BB227A">
              <w:rPr>
                <w:rFonts w:cs="Arial"/>
                <w:i/>
                <w:iCs/>
                <w:color w:val="000000"/>
                <w:kern w:val="24"/>
              </w:rPr>
              <w:t>Identity Development: Adolescence through Adulthood</w:t>
            </w:r>
            <w:r w:rsidRPr="00BB227A">
              <w:rPr>
                <w:rFonts w:cs="Arial"/>
                <w:bCs/>
                <w:i/>
                <w:iCs/>
                <w:color w:val="000000"/>
                <w:kern w:val="24"/>
              </w:rPr>
              <w:t xml:space="preserve"> </w:t>
            </w:r>
            <w:r w:rsidRPr="00BB227A">
              <w:rPr>
                <w:rFonts w:cs="Arial"/>
                <w:color w:val="000000"/>
                <w:kern w:val="24"/>
              </w:rPr>
              <w:t>(2</w:t>
            </w:r>
            <w:r w:rsidRPr="00BB227A">
              <w:rPr>
                <w:rFonts w:cs="Arial"/>
                <w:color w:val="000000"/>
                <w:kern w:val="24"/>
                <w:vertAlign w:val="superscript"/>
              </w:rPr>
              <w:t>nd</w:t>
            </w:r>
            <w:r w:rsidRPr="00BB227A">
              <w:rPr>
                <w:rFonts w:cs="Arial"/>
                <w:color w:val="000000"/>
                <w:kern w:val="24"/>
              </w:rPr>
              <w:t xml:space="preserve"> ed), London: Sage Publications. </w:t>
            </w:r>
          </w:p>
        </w:tc>
        <w:tc>
          <w:tcPr>
            <w:tcW w:w="1470" w:type="dxa"/>
          </w:tcPr>
          <w:sdt>
            <w:sdtPr>
              <w:rPr>
                <w:rFonts w:cs="Arial"/>
                <w:szCs w:val="20"/>
              </w:rPr>
              <w:id w:val="1481421129"/>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kinsoku w:val="0"/>
              <w:rPr>
                <w:rFonts w:cs="Arial"/>
                <w:color w:val="000000"/>
              </w:rPr>
            </w:pPr>
            <w:r w:rsidRPr="00BB227A">
              <w:rPr>
                <w:rFonts w:cs="Arial"/>
                <w:color w:val="000000"/>
              </w:rPr>
              <w:t xml:space="preserve">Lerner M.R. (2009) </w:t>
            </w:r>
            <w:r w:rsidRPr="00BB227A">
              <w:rPr>
                <w:rFonts w:cs="Arial"/>
                <w:i/>
                <w:color w:val="000000"/>
              </w:rPr>
              <w:t>The Good Teen: rescuing adolescence from the myths of the storm and stress years:</w:t>
            </w:r>
            <w:r w:rsidRPr="00BB227A">
              <w:rPr>
                <w:rFonts w:cs="Arial"/>
                <w:color w:val="000000"/>
              </w:rPr>
              <w:t xml:space="preserve"> Three Rivers Press.</w:t>
            </w:r>
          </w:p>
        </w:tc>
        <w:tc>
          <w:tcPr>
            <w:tcW w:w="1470" w:type="dxa"/>
          </w:tcPr>
          <w:sdt>
            <w:sdtPr>
              <w:rPr>
                <w:rFonts w:cs="Arial"/>
                <w:szCs w:val="20"/>
              </w:rPr>
              <w:id w:val="872581840"/>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rPr>
              <w:t xml:space="preserve">Levine, M. (2008) </w:t>
            </w:r>
            <w:r w:rsidRPr="00BB227A">
              <w:rPr>
                <w:rFonts w:cs="Arial"/>
                <w:i/>
                <w:iCs/>
              </w:rPr>
              <w:t xml:space="preserve">The Price of Privilege: How parental pressure and material advantage are creating a generation of disconnected and unhappy kids, </w:t>
            </w:r>
            <w:r w:rsidRPr="00BB227A">
              <w:rPr>
                <w:rFonts w:cs="Arial"/>
              </w:rPr>
              <w:t>New York: Harper.</w:t>
            </w:r>
          </w:p>
        </w:tc>
        <w:tc>
          <w:tcPr>
            <w:tcW w:w="1470" w:type="dxa"/>
          </w:tcPr>
          <w:sdt>
            <w:sdtPr>
              <w:rPr>
                <w:rFonts w:cs="Arial"/>
                <w:szCs w:val="20"/>
              </w:rPr>
              <w:id w:val="-1601717828"/>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rPr>
              <w:t xml:space="preserve">Luxmoore N. (2008) </w:t>
            </w:r>
            <w:r w:rsidRPr="00BB227A">
              <w:rPr>
                <w:rFonts w:cs="Arial"/>
                <w:i/>
                <w:iCs/>
              </w:rPr>
              <w:t xml:space="preserve">Feeling like Crap: Young People and the Meaning of Self-Esteem, </w:t>
            </w:r>
            <w:r w:rsidRPr="00BB227A">
              <w:rPr>
                <w:rFonts w:cs="Arial"/>
              </w:rPr>
              <w:t>Jessica Kingsley Publishers.</w:t>
            </w:r>
          </w:p>
        </w:tc>
        <w:tc>
          <w:tcPr>
            <w:tcW w:w="1470" w:type="dxa"/>
          </w:tcPr>
          <w:sdt>
            <w:sdtPr>
              <w:rPr>
                <w:rFonts w:cs="Arial"/>
                <w:szCs w:val="20"/>
              </w:rPr>
              <w:id w:val="980971779"/>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rPr>
              <w:t xml:space="preserve">MacDonald, R. (ed). (1997) </w:t>
            </w:r>
            <w:r w:rsidRPr="00BB227A">
              <w:rPr>
                <w:rFonts w:cs="Arial"/>
                <w:i/>
                <w:iCs/>
              </w:rPr>
              <w:t xml:space="preserve">Youth, the ‘Underclass’ and Social Exclusion, </w:t>
            </w:r>
            <w:r w:rsidRPr="00BB227A">
              <w:rPr>
                <w:rFonts w:cs="Arial"/>
              </w:rPr>
              <w:t>London: Routledge.</w:t>
            </w:r>
          </w:p>
        </w:tc>
        <w:tc>
          <w:tcPr>
            <w:tcW w:w="1470" w:type="dxa"/>
          </w:tcPr>
          <w:sdt>
            <w:sdtPr>
              <w:rPr>
                <w:rFonts w:cs="Arial"/>
                <w:szCs w:val="20"/>
              </w:rPr>
              <w:id w:val="-937592709"/>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bCs/>
              </w:rPr>
              <w:t xml:space="preserve">Moore, S. (2001) </w:t>
            </w:r>
            <w:r w:rsidRPr="00BB227A">
              <w:rPr>
                <w:rFonts w:cs="Arial"/>
                <w:bCs/>
                <w:i/>
              </w:rPr>
              <w:t xml:space="preserve">Sociology Alive </w:t>
            </w:r>
            <w:r w:rsidRPr="00BB227A">
              <w:rPr>
                <w:rFonts w:cs="Arial"/>
                <w:bCs/>
              </w:rPr>
              <w:t>(3</w:t>
            </w:r>
            <w:r w:rsidRPr="00BB227A">
              <w:rPr>
                <w:rFonts w:cs="Arial"/>
                <w:bCs/>
                <w:vertAlign w:val="superscript"/>
              </w:rPr>
              <w:t>rd</w:t>
            </w:r>
            <w:r w:rsidRPr="00BB227A">
              <w:rPr>
                <w:rFonts w:cs="Arial"/>
                <w:bCs/>
              </w:rPr>
              <w:t xml:space="preserve"> ed), London: Nelson Thomas.</w:t>
            </w:r>
          </w:p>
        </w:tc>
        <w:tc>
          <w:tcPr>
            <w:tcW w:w="1470" w:type="dxa"/>
          </w:tcPr>
          <w:sdt>
            <w:sdtPr>
              <w:rPr>
                <w:rFonts w:cs="Arial"/>
                <w:szCs w:val="20"/>
              </w:rPr>
              <w:id w:val="114855686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rPr>
          <w:trHeight w:val="497"/>
        </w:trPr>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bCs/>
              </w:rPr>
              <w:t xml:space="preserve">Moore, S. (2002) </w:t>
            </w:r>
            <w:r w:rsidRPr="00BB227A">
              <w:rPr>
                <w:rFonts w:cs="Arial"/>
                <w:bCs/>
                <w:i/>
              </w:rPr>
              <w:t xml:space="preserve">Social Welfare Alive, </w:t>
            </w:r>
            <w:r w:rsidRPr="00BB227A">
              <w:rPr>
                <w:rFonts w:cs="Arial"/>
                <w:bCs/>
              </w:rPr>
              <w:t>London:</w:t>
            </w:r>
            <w:r w:rsidRPr="00BB227A">
              <w:rPr>
                <w:rFonts w:cs="Arial"/>
                <w:bCs/>
                <w:i/>
              </w:rPr>
              <w:t xml:space="preserve"> </w:t>
            </w:r>
            <w:r w:rsidRPr="00BB227A">
              <w:rPr>
                <w:rFonts w:cs="Arial"/>
                <w:bCs/>
              </w:rPr>
              <w:t>Nelson Thomas.</w:t>
            </w:r>
          </w:p>
        </w:tc>
        <w:tc>
          <w:tcPr>
            <w:tcW w:w="1470" w:type="dxa"/>
          </w:tcPr>
          <w:sdt>
            <w:sdtPr>
              <w:rPr>
                <w:rFonts w:cs="Arial"/>
                <w:szCs w:val="20"/>
              </w:rPr>
              <w:id w:val="174429173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color w:val="000000"/>
                <w:kern w:val="24"/>
              </w:rPr>
            </w:pPr>
            <w:r w:rsidRPr="00BB227A">
              <w:rPr>
                <w:rFonts w:cs="Arial"/>
                <w:color w:val="000000"/>
                <w:kern w:val="24"/>
              </w:rPr>
              <w:t xml:space="preserve">Roche, J., Tucker, S., Thomson, R. &amp; Flynn, R. (eds). (2004) </w:t>
            </w:r>
            <w:r w:rsidRPr="00BB227A">
              <w:rPr>
                <w:rFonts w:cs="Arial"/>
                <w:i/>
                <w:iCs/>
                <w:color w:val="000000"/>
                <w:kern w:val="24"/>
              </w:rPr>
              <w:t xml:space="preserve">Youth in Society: contemporary theory, policy and practice </w:t>
            </w:r>
            <w:r w:rsidRPr="00BB227A">
              <w:rPr>
                <w:rFonts w:cs="Arial"/>
                <w:color w:val="000000"/>
                <w:kern w:val="24"/>
              </w:rPr>
              <w:t>(2</w:t>
            </w:r>
            <w:r w:rsidRPr="00BB227A">
              <w:rPr>
                <w:rFonts w:cs="Arial"/>
                <w:color w:val="000000"/>
                <w:kern w:val="24"/>
                <w:vertAlign w:val="superscript"/>
              </w:rPr>
              <w:t>nd</w:t>
            </w:r>
            <w:r w:rsidRPr="00BB227A">
              <w:rPr>
                <w:rFonts w:cs="Arial"/>
                <w:color w:val="000000"/>
                <w:kern w:val="24"/>
              </w:rPr>
              <w:t xml:space="preserve"> ed), London: Sage.</w:t>
            </w:r>
          </w:p>
        </w:tc>
        <w:tc>
          <w:tcPr>
            <w:tcW w:w="1470" w:type="dxa"/>
          </w:tcPr>
          <w:sdt>
            <w:sdtPr>
              <w:rPr>
                <w:rFonts w:cs="Arial"/>
                <w:szCs w:val="20"/>
              </w:rPr>
              <w:id w:val="-228395900"/>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bCs/>
              </w:rPr>
              <w:t xml:space="preserve">Smith, E. E., Nolen-Hoeksema, S., Fredrickson, B. and Lotus, G. R. (2003) </w:t>
            </w:r>
            <w:r w:rsidRPr="00BB227A">
              <w:rPr>
                <w:rFonts w:cs="Arial"/>
                <w:bCs/>
                <w:i/>
              </w:rPr>
              <w:t xml:space="preserve">Atkinson &amp; Hilgard’s Introduction to Psychology </w:t>
            </w:r>
            <w:r w:rsidRPr="00BB227A">
              <w:rPr>
                <w:rFonts w:cs="Arial"/>
                <w:bCs/>
              </w:rPr>
              <w:t>(14</w:t>
            </w:r>
            <w:r w:rsidRPr="00BB227A">
              <w:rPr>
                <w:rFonts w:cs="Arial"/>
                <w:bCs/>
                <w:vertAlign w:val="superscript"/>
              </w:rPr>
              <w:t>th</w:t>
            </w:r>
            <w:r w:rsidRPr="00BB227A">
              <w:rPr>
                <w:rFonts w:cs="Arial"/>
                <w:bCs/>
              </w:rPr>
              <w:t xml:space="preserve"> ed), Belmont: Wadsworth/Thomson Learning.</w:t>
            </w:r>
          </w:p>
        </w:tc>
        <w:tc>
          <w:tcPr>
            <w:tcW w:w="1470" w:type="dxa"/>
          </w:tcPr>
          <w:sdt>
            <w:sdtPr>
              <w:rPr>
                <w:rFonts w:cs="Arial"/>
                <w:szCs w:val="20"/>
              </w:rPr>
              <w:id w:val="-793362458"/>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rPr>
              <w:t xml:space="preserve">Smith. C; Rogers. W, S; &amp; Tucker, S. Risk (2007) </w:t>
            </w:r>
            <w:r w:rsidRPr="00BB227A">
              <w:rPr>
                <w:rFonts w:cs="Arial"/>
                <w:i/>
                <w:iCs/>
              </w:rPr>
              <w:t>Youth in Context: Frameworks. Settings and encounters</w:t>
            </w:r>
            <w:r w:rsidRPr="00BB227A">
              <w:rPr>
                <w:rFonts w:cs="Arial"/>
              </w:rPr>
              <w:t xml:space="preserve"> pp 219-250 (2007), London, Milton Keynes / Sage Open University Press</w:t>
            </w:r>
          </w:p>
        </w:tc>
        <w:tc>
          <w:tcPr>
            <w:tcW w:w="1470" w:type="dxa"/>
          </w:tcPr>
          <w:sdt>
            <w:sdtPr>
              <w:rPr>
                <w:rFonts w:cs="Arial"/>
                <w:szCs w:val="20"/>
              </w:rPr>
              <w:id w:val="-1473509883"/>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rPr>
                <w:rFonts w:cs="Arial"/>
              </w:rPr>
            </w:pPr>
            <w:r w:rsidRPr="00BB227A">
              <w:rPr>
                <w:rFonts w:cs="Arial"/>
                <w:color w:val="000000"/>
              </w:rPr>
              <w:t xml:space="preserve">Smith, P.K., Cowie, H. and Blades. M., (2011) </w:t>
            </w:r>
            <w:r w:rsidRPr="00BB227A">
              <w:rPr>
                <w:rFonts w:cs="Arial"/>
                <w:i/>
                <w:iCs/>
                <w:color w:val="000000"/>
              </w:rPr>
              <w:t xml:space="preserve">Understanding Children’s Development. </w:t>
            </w:r>
            <w:r w:rsidRPr="00BB227A">
              <w:rPr>
                <w:rFonts w:cs="Arial"/>
                <w:iCs/>
                <w:color w:val="000000"/>
              </w:rPr>
              <w:t>5</w:t>
            </w:r>
            <w:r w:rsidRPr="00BB227A">
              <w:rPr>
                <w:rFonts w:cs="Arial"/>
                <w:iCs/>
                <w:color w:val="000000"/>
                <w:vertAlign w:val="superscript"/>
              </w:rPr>
              <w:t xml:space="preserve">th </w:t>
            </w:r>
            <w:r w:rsidRPr="00BB227A">
              <w:rPr>
                <w:rFonts w:cs="Arial"/>
                <w:iCs/>
                <w:color w:val="000000"/>
              </w:rPr>
              <w:t>ed.</w:t>
            </w:r>
            <w:r w:rsidRPr="00BB227A">
              <w:rPr>
                <w:rFonts w:cs="Arial"/>
                <w:i/>
                <w:iCs/>
                <w:color w:val="000000"/>
              </w:rPr>
              <w:t xml:space="preserve"> </w:t>
            </w:r>
            <w:r w:rsidRPr="00BB227A">
              <w:rPr>
                <w:rFonts w:cs="Arial"/>
                <w:color w:val="000000"/>
              </w:rPr>
              <w:t xml:space="preserve">Oxford: Blackwell </w:t>
            </w:r>
            <w:r w:rsidRPr="00BB227A">
              <w:rPr>
                <w:rFonts w:cs="Arial"/>
              </w:rPr>
              <w:t>Publishing. </w:t>
            </w:r>
          </w:p>
        </w:tc>
        <w:tc>
          <w:tcPr>
            <w:tcW w:w="1470" w:type="dxa"/>
          </w:tcPr>
          <w:sdt>
            <w:sdtPr>
              <w:rPr>
                <w:rFonts w:cs="Arial"/>
                <w:szCs w:val="20"/>
              </w:rPr>
              <w:id w:val="1135061797"/>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kinsoku w:val="0"/>
              <w:rPr>
                <w:rFonts w:cs="Arial"/>
              </w:rPr>
            </w:pPr>
            <w:r w:rsidRPr="00BB227A">
              <w:rPr>
                <w:rFonts w:cs="Arial"/>
                <w:color w:val="000000"/>
              </w:rPr>
              <w:t xml:space="preserve">Steinberg, L. (2010) </w:t>
            </w:r>
            <w:r w:rsidRPr="00BB227A">
              <w:rPr>
                <w:rFonts w:cs="Arial"/>
                <w:i/>
                <w:iCs/>
                <w:color w:val="000000"/>
              </w:rPr>
              <w:t xml:space="preserve">Adolescence. </w:t>
            </w:r>
            <w:r w:rsidRPr="00BB227A">
              <w:rPr>
                <w:rFonts w:cs="Arial"/>
                <w:iCs/>
                <w:color w:val="000000"/>
              </w:rPr>
              <w:t>(9</w:t>
            </w:r>
            <w:r w:rsidRPr="00BB227A">
              <w:rPr>
                <w:rFonts w:cs="Arial"/>
                <w:iCs/>
                <w:color w:val="000000"/>
                <w:vertAlign w:val="superscript"/>
              </w:rPr>
              <w:t>th</w:t>
            </w:r>
            <w:r w:rsidRPr="00BB227A">
              <w:rPr>
                <w:rFonts w:cs="Arial"/>
                <w:iCs/>
                <w:color w:val="000000"/>
              </w:rPr>
              <w:t xml:space="preserve"> ed),</w:t>
            </w:r>
            <w:r w:rsidRPr="00BB227A">
              <w:rPr>
                <w:rFonts w:cs="Arial"/>
                <w:i/>
                <w:iCs/>
                <w:color w:val="000000"/>
              </w:rPr>
              <w:t xml:space="preserve"> </w:t>
            </w:r>
            <w:r w:rsidRPr="00BB227A">
              <w:rPr>
                <w:rFonts w:cs="Arial"/>
                <w:color w:val="000000"/>
              </w:rPr>
              <w:t>New York: McGraw-Hill.</w:t>
            </w:r>
          </w:p>
        </w:tc>
        <w:tc>
          <w:tcPr>
            <w:tcW w:w="1470" w:type="dxa"/>
          </w:tcPr>
          <w:sdt>
            <w:sdtPr>
              <w:rPr>
                <w:rFonts w:cs="Arial"/>
                <w:szCs w:val="20"/>
              </w:rPr>
              <w:id w:val="1135603845"/>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kinsoku w:val="0"/>
              <w:rPr>
                <w:rFonts w:cs="Arial"/>
                <w:color w:val="000000"/>
                <w:kern w:val="24"/>
              </w:rPr>
            </w:pPr>
            <w:r w:rsidRPr="00BB227A">
              <w:rPr>
                <w:rFonts w:cs="Arial"/>
                <w:color w:val="000000"/>
                <w:kern w:val="24"/>
              </w:rPr>
              <w:t xml:space="preserve">Strasburger, V. C., Wilson, B. J. &amp; Jordan, A. (2009) </w:t>
            </w:r>
            <w:r w:rsidRPr="00BB227A">
              <w:rPr>
                <w:rFonts w:cs="Arial"/>
                <w:i/>
                <w:iCs/>
                <w:color w:val="000000"/>
                <w:kern w:val="24"/>
              </w:rPr>
              <w:t xml:space="preserve">Children, Adolescents, and the Media </w:t>
            </w:r>
            <w:r w:rsidRPr="00BB227A">
              <w:rPr>
                <w:rFonts w:cs="Arial"/>
                <w:color w:val="000000"/>
                <w:kern w:val="24"/>
              </w:rPr>
              <w:t>(2</w:t>
            </w:r>
            <w:r w:rsidRPr="00BB227A">
              <w:rPr>
                <w:rFonts w:cs="Arial"/>
                <w:color w:val="000000"/>
                <w:kern w:val="24"/>
                <w:vertAlign w:val="superscript"/>
              </w:rPr>
              <w:t>nd</w:t>
            </w:r>
            <w:r w:rsidRPr="00BB227A">
              <w:rPr>
                <w:rFonts w:cs="Arial"/>
                <w:color w:val="000000"/>
                <w:kern w:val="24"/>
                <w:position w:val="12"/>
                <w:vertAlign w:val="superscript"/>
              </w:rPr>
              <w:t xml:space="preserve"> </w:t>
            </w:r>
            <w:r w:rsidRPr="00BB227A">
              <w:rPr>
                <w:rFonts w:cs="Arial"/>
                <w:color w:val="000000"/>
                <w:kern w:val="24"/>
              </w:rPr>
              <w:t>ed), California: Sage Publications.</w:t>
            </w:r>
          </w:p>
        </w:tc>
        <w:tc>
          <w:tcPr>
            <w:tcW w:w="1470" w:type="dxa"/>
          </w:tcPr>
          <w:sdt>
            <w:sdtPr>
              <w:rPr>
                <w:rFonts w:cs="Arial"/>
                <w:szCs w:val="20"/>
              </w:rPr>
              <w:id w:val="76019112"/>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tr w:rsidR="00BB227A" w:rsidRPr="00BB227A" w:rsidTr="00BB227A">
        <w:tc>
          <w:tcPr>
            <w:tcW w:w="1777" w:type="dxa"/>
          </w:tcPr>
          <w:p w:rsidR="00BB227A" w:rsidRPr="00BB227A" w:rsidRDefault="00BB227A" w:rsidP="007F78E2">
            <w:pPr>
              <w:tabs>
                <w:tab w:val="num" w:pos="720"/>
                <w:tab w:val="left" w:pos="1440"/>
              </w:tabs>
              <w:rPr>
                <w:rFonts w:cs="Arial"/>
              </w:rPr>
            </w:pPr>
            <w:r w:rsidRPr="00BB227A">
              <w:rPr>
                <w:rFonts w:cs="Arial"/>
              </w:rPr>
              <w:t>Further</w:t>
            </w:r>
          </w:p>
        </w:tc>
        <w:tc>
          <w:tcPr>
            <w:tcW w:w="5413" w:type="dxa"/>
          </w:tcPr>
          <w:p w:rsidR="00BB227A" w:rsidRPr="00BB227A" w:rsidRDefault="00BB227A" w:rsidP="007F78E2">
            <w:pPr>
              <w:kinsoku w:val="0"/>
              <w:rPr>
                <w:rFonts w:cs="Arial"/>
                <w:color w:val="000000"/>
                <w:kern w:val="24"/>
              </w:rPr>
            </w:pPr>
            <w:r w:rsidRPr="00BB227A">
              <w:rPr>
                <w:rFonts w:cs="Arial"/>
                <w:color w:val="000000"/>
              </w:rPr>
              <w:t xml:space="preserve">Williams, A. and Thurlow, C. (2005) </w:t>
            </w:r>
            <w:r w:rsidRPr="00BB227A">
              <w:rPr>
                <w:rFonts w:cs="Arial"/>
                <w:i/>
                <w:iCs/>
                <w:color w:val="000000"/>
              </w:rPr>
              <w:t xml:space="preserve">Talking Adolescence. </w:t>
            </w:r>
            <w:r w:rsidRPr="00BB227A">
              <w:rPr>
                <w:rFonts w:cs="Arial"/>
                <w:color w:val="000000"/>
              </w:rPr>
              <w:t>New York: Peter Lang Publishing.</w:t>
            </w:r>
            <w:r w:rsidRPr="00BB227A">
              <w:rPr>
                <w:rFonts w:cs="Arial"/>
                <w:i/>
                <w:iCs/>
                <w:color w:val="000000"/>
              </w:rPr>
              <w:t xml:space="preserve">  </w:t>
            </w:r>
          </w:p>
        </w:tc>
        <w:tc>
          <w:tcPr>
            <w:tcW w:w="1470" w:type="dxa"/>
          </w:tcPr>
          <w:sdt>
            <w:sdtPr>
              <w:rPr>
                <w:rFonts w:cs="Arial"/>
                <w:szCs w:val="20"/>
              </w:rPr>
              <w:id w:val="-1898122040"/>
              <w14:checkbox>
                <w14:checked w14:val="0"/>
                <w14:checkedState w14:val="2612" w14:font="MS Gothic"/>
                <w14:uncheckedState w14:val="2610" w14:font="MS Gothic"/>
              </w14:checkbox>
            </w:sdtPr>
            <w:sdtContent>
              <w:p w:rsidR="00BB227A" w:rsidRPr="00BB227A" w:rsidRDefault="00BB227A" w:rsidP="007F78E2">
                <w:pPr>
                  <w:jc w:val="center"/>
                  <w:rPr>
                    <w:rFonts w:cs="Arial"/>
                    <w:szCs w:val="20"/>
                  </w:rPr>
                </w:pPr>
                <w:r w:rsidRPr="00BB227A">
                  <w:rPr>
                    <w:rFonts w:cs="Arial"/>
                    <w:szCs w:val="20"/>
                  </w:rPr>
                  <w:t>☐</w:t>
                </w:r>
              </w:p>
            </w:sdtContent>
          </w:sdt>
        </w:tc>
      </w:tr>
      <w:bookmarkEnd w:id="0"/>
    </w:tbl>
    <w:p w:rsidR="00B3318C" w:rsidRPr="00BB227A" w:rsidRDefault="00B3318C" w:rsidP="002E13CA">
      <w:pPr>
        <w:pStyle w:val="HTMLPreformatted"/>
        <w:rPr>
          <w:rFonts w:cs="Arial"/>
        </w:rPr>
      </w:pPr>
    </w:p>
    <w:sectPr w:rsidR="00B3318C" w:rsidRPr="00BB227A"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 w15:restartNumberingAfterBreak="0">
    <w:nsid w:val="7DFF7344"/>
    <w:multiLevelType w:val="hybridMultilevel"/>
    <w:tmpl w:val="7BBE9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227A"/>
    <w:rsid w:val="000205AE"/>
    <w:rsid w:val="002E13CA"/>
    <w:rsid w:val="003743BC"/>
    <w:rsid w:val="004369BC"/>
    <w:rsid w:val="004820AF"/>
    <w:rsid w:val="005E3C6A"/>
    <w:rsid w:val="006279FE"/>
    <w:rsid w:val="00642FF8"/>
    <w:rsid w:val="007C29BA"/>
    <w:rsid w:val="009D57EC"/>
    <w:rsid w:val="00B3318C"/>
    <w:rsid w:val="00BB227A"/>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6300B6D-9F63-403C-9D45-9FB8A58D5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table" w:customStyle="1" w:styleId="TableGrid4">
    <w:name w:val="Table Grid4"/>
    <w:basedOn w:val="TableNormal"/>
    <w:next w:val="TableGrid"/>
    <w:uiPriority w:val="59"/>
    <w:rsid w:val="00BB227A"/>
    <w:rPr>
      <w:rFonts w:ascii="Calibri" w:eastAsia="Calibri" w:hAnsi="Calibr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BB22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DFCAFD0E9D54177BC741492C6085503"/>
        <w:category>
          <w:name w:val="General"/>
          <w:gallery w:val="placeholder"/>
        </w:category>
        <w:types>
          <w:type w:val="bbPlcHdr"/>
        </w:types>
        <w:behaviors>
          <w:behavior w:val="content"/>
        </w:behaviors>
        <w:guid w:val="{D3827BA5-CD87-419D-98B7-0231CA76384D}"/>
      </w:docPartPr>
      <w:docPartBody>
        <w:p w:rsidR="00000000" w:rsidRDefault="00E60B80" w:rsidP="00E60B80">
          <w:pPr>
            <w:pStyle w:val="2DFCAFD0E9D54177BC741492C6085503"/>
          </w:pPr>
          <w:r w:rsidRPr="00CE712F">
            <w:rPr>
              <w:rStyle w:val="PlaceholderText"/>
            </w:rPr>
            <w:t>Click or tap to enter a date.</w:t>
          </w:r>
        </w:p>
      </w:docPartBody>
    </w:docPart>
    <w:docPart>
      <w:docPartPr>
        <w:name w:val="8DDBE295012E4D62B55FD50A28A2F8C9"/>
        <w:category>
          <w:name w:val="General"/>
          <w:gallery w:val="placeholder"/>
        </w:category>
        <w:types>
          <w:type w:val="bbPlcHdr"/>
        </w:types>
        <w:behaviors>
          <w:behavior w:val="content"/>
        </w:behaviors>
        <w:guid w:val="{6B65743F-FEF6-4F06-9F51-BECB4D8D573B}"/>
      </w:docPartPr>
      <w:docPartBody>
        <w:p w:rsidR="00000000" w:rsidRDefault="00E60B80" w:rsidP="00E60B80">
          <w:pPr>
            <w:pStyle w:val="8DDBE295012E4D62B55FD50A28A2F8C9"/>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B80"/>
    <w:rsid w:val="00E60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60B80"/>
    <w:rPr>
      <w:color w:val="808080"/>
    </w:rPr>
  </w:style>
  <w:style w:type="paragraph" w:customStyle="1" w:styleId="2DFCAFD0E9D54177BC741492C6085503">
    <w:name w:val="2DFCAFD0E9D54177BC741492C6085503"/>
    <w:rsid w:val="00E60B80"/>
  </w:style>
  <w:style w:type="paragraph" w:customStyle="1" w:styleId="8DDBE295012E4D62B55FD50A28A2F8C9">
    <w:name w:val="8DDBE295012E4D62B55FD50A28A2F8C9"/>
    <w:rsid w:val="00E60B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944</Words>
  <Characters>5385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Gwion Ramage</dc:creator>
  <cp:keywords/>
  <cp:lastModifiedBy>Gwion Ramage</cp:lastModifiedBy>
  <cp:revision>1</cp:revision>
  <cp:lastPrinted>1900-01-01T00:00:00Z</cp:lastPrinted>
  <dcterms:created xsi:type="dcterms:W3CDTF">2020-03-10T13:36:00Z</dcterms:created>
  <dcterms:modified xsi:type="dcterms:W3CDTF">2020-03-10T13:36:00Z</dcterms:modified>
</cp:coreProperties>
</file>