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D48FA" w14:textId="77777777" w:rsidR="007B4691" w:rsidRPr="00793E15" w:rsidRDefault="00000000">
      <w:r w:rsidRPr="00793E15">
        <w:t xml:space="preserve"> </w:t>
      </w:r>
    </w:p>
    <w:p w14:paraId="16B56EEC" w14:textId="77777777" w:rsidR="007B4691" w:rsidRPr="00793E15" w:rsidRDefault="007B4691"/>
    <w:p w14:paraId="496D0DE1" w14:textId="77777777" w:rsidR="007B4691" w:rsidRPr="00793E15" w:rsidRDefault="007B4691"/>
    <w:p w14:paraId="77BA48C7" w14:textId="77777777" w:rsidR="007B4691" w:rsidRPr="00793E15" w:rsidRDefault="007B4691"/>
    <w:p w14:paraId="4086E48B" w14:textId="77777777" w:rsidR="007B4691" w:rsidRPr="00793E15" w:rsidRDefault="007B4691"/>
    <w:p w14:paraId="11FA71DB" w14:textId="77777777" w:rsidR="007B4691" w:rsidRPr="00793E15" w:rsidRDefault="00000000">
      <w:pPr>
        <w:jc w:val="center"/>
        <w:rPr>
          <w:b/>
          <w:bCs/>
          <w:sz w:val="32"/>
          <w:szCs w:val="32"/>
        </w:rPr>
      </w:pPr>
      <w:r w:rsidRPr="00793E15">
        <w:rPr>
          <w:b/>
          <w:bCs/>
          <w:sz w:val="32"/>
          <w:szCs w:val="32"/>
        </w:rPr>
        <w:t>PROGRAMME: MASTER OF BUSINESS ADMINISTRATION</w:t>
      </w:r>
    </w:p>
    <w:p w14:paraId="4FEE8B5D" w14:textId="77777777" w:rsidR="007B4691" w:rsidRPr="00793E15" w:rsidRDefault="00000000">
      <w:pPr>
        <w:jc w:val="center"/>
        <w:rPr>
          <w:b/>
          <w:bCs/>
          <w:sz w:val="32"/>
          <w:szCs w:val="32"/>
        </w:rPr>
      </w:pPr>
      <w:r w:rsidRPr="00793E15">
        <w:rPr>
          <w:b/>
          <w:bCs/>
          <w:sz w:val="32"/>
          <w:szCs w:val="32"/>
        </w:rPr>
        <w:t>MODULE: MARKETING MANAGEMENT</w:t>
      </w:r>
    </w:p>
    <w:p w14:paraId="0D656074" w14:textId="77777777" w:rsidR="007B4691" w:rsidRPr="00793E15" w:rsidRDefault="00000000">
      <w:pPr>
        <w:jc w:val="center"/>
        <w:rPr>
          <w:b/>
          <w:bCs/>
          <w:sz w:val="32"/>
          <w:szCs w:val="32"/>
        </w:rPr>
      </w:pPr>
      <w:r w:rsidRPr="00793E15">
        <w:rPr>
          <w:b/>
          <w:bCs/>
          <w:sz w:val="32"/>
          <w:szCs w:val="32"/>
        </w:rPr>
        <w:t>MODULE CODE: LCMB7024</w:t>
      </w:r>
    </w:p>
    <w:p w14:paraId="05320AAD" w14:textId="77777777" w:rsidR="007B4691" w:rsidRPr="00793E15" w:rsidRDefault="00000000">
      <w:pPr>
        <w:jc w:val="center"/>
        <w:rPr>
          <w:b/>
          <w:bCs/>
          <w:sz w:val="32"/>
          <w:szCs w:val="32"/>
        </w:rPr>
      </w:pPr>
      <w:r w:rsidRPr="00793E15">
        <w:rPr>
          <w:b/>
          <w:bCs/>
          <w:sz w:val="32"/>
          <w:szCs w:val="32"/>
        </w:rPr>
        <w:t>ASSIGNMENT TITLE: MARKETING ENVIRONMENT ANALYSIS</w:t>
      </w:r>
    </w:p>
    <w:p w14:paraId="6BD03BBA" w14:textId="77777777" w:rsidR="007B4691" w:rsidRPr="00793E15" w:rsidRDefault="00000000">
      <w:pPr>
        <w:jc w:val="center"/>
        <w:rPr>
          <w:b/>
          <w:bCs/>
          <w:sz w:val="32"/>
          <w:szCs w:val="32"/>
        </w:rPr>
      </w:pPr>
      <w:r w:rsidRPr="00793E15">
        <w:rPr>
          <w:b/>
          <w:bCs/>
          <w:sz w:val="32"/>
          <w:szCs w:val="32"/>
        </w:rPr>
        <w:t>LECTURER’S NAME: Haoran Liu</w:t>
      </w:r>
    </w:p>
    <w:p w14:paraId="2E904735" w14:textId="77777777" w:rsidR="007B4691" w:rsidRPr="00793E15" w:rsidRDefault="00000000">
      <w:pPr>
        <w:jc w:val="center"/>
        <w:rPr>
          <w:b/>
          <w:bCs/>
          <w:sz w:val="32"/>
          <w:szCs w:val="32"/>
        </w:rPr>
      </w:pPr>
      <w:r w:rsidRPr="00793E15">
        <w:rPr>
          <w:b/>
          <w:bCs/>
          <w:sz w:val="32"/>
          <w:szCs w:val="32"/>
        </w:rPr>
        <w:t xml:space="preserve">Taonga Kaonga </w:t>
      </w:r>
      <w:proofErr w:type="spellStart"/>
      <w:r w:rsidRPr="00793E15">
        <w:rPr>
          <w:b/>
          <w:bCs/>
          <w:sz w:val="32"/>
          <w:szCs w:val="32"/>
        </w:rPr>
        <w:t>Sobere</w:t>
      </w:r>
      <w:proofErr w:type="spellEnd"/>
      <w:r w:rsidRPr="00793E15">
        <w:rPr>
          <w:b/>
          <w:bCs/>
          <w:sz w:val="32"/>
          <w:szCs w:val="32"/>
        </w:rPr>
        <w:t xml:space="preserve"> </w:t>
      </w:r>
      <w:proofErr w:type="spellStart"/>
      <w:r w:rsidRPr="00793E15">
        <w:rPr>
          <w:b/>
          <w:bCs/>
          <w:sz w:val="32"/>
          <w:szCs w:val="32"/>
        </w:rPr>
        <w:t>Snithers</w:t>
      </w:r>
      <w:proofErr w:type="spellEnd"/>
    </w:p>
    <w:p w14:paraId="700880D0" w14:textId="77777777" w:rsidR="007B4691" w:rsidRPr="00793E15" w:rsidRDefault="00000000">
      <w:pPr>
        <w:jc w:val="center"/>
        <w:rPr>
          <w:b/>
          <w:bCs/>
          <w:sz w:val="32"/>
          <w:szCs w:val="32"/>
        </w:rPr>
      </w:pPr>
      <w:r w:rsidRPr="00793E15">
        <w:rPr>
          <w:b/>
          <w:bCs/>
          <w:sz w:val="32"/>
          <w:szCs w:val="32"/>
        </w:rPr>
        <w:t xml:space="preserve">STUDENT NAME: </w:t>
      </w:r>
      <w:proofErr w:type="spellStart"/>
      <w:r w:rsidRPr="00793E15">
        <w:rPr>
          <w:b/>
          <w:bCs/>
          <w:sz w:val="32"/>
          <w:szCs w:val="32"/>
        </w:rPr>
        <w:t>Karankumar</w:t>
      </w:r>
      <w:proofErr w:type="spellEnd"/>
      <w:r w:rsidRPr="00793E15">
        <w:rPr>
          <w:b/>
          <w:bCs/>
          <w:sz w:val="32"/>
          <w:szCs w:val="32"/>
        </w:rPr>
        <w:t xml:space="preserve"> </w:t>
      </w:r>
      <w:proofErr w:type="spellStart"/>
      <w:r w:rsidRPr="00793E15">
        <w:rPr>
          <w:b/>
          <w:bCs/>
          <w:sz w:val="32"/>
          <w:szCs w:val="32"/>
        </w:rPr>
        <w:t>Rameshbhai</w:t>
      </w:r>
      <w:proofErr w:type="spellEnd"/>
      <w:r w:rsidRPr="00793E15">
        <w:rPr>
          <w:b/>
          <w:bCs/>
          <w:sz w:val="32"/>
          <w:szCs w:val="32"/>
        </w:rPr>
        <w:t xml:space="preserve"> Chaudhary</w:t>
      </w:r>
    </w:p>
    <w:p w14:paraId="11428D1F" w14:textId="77777777" w:rsidR="007B4691" w:rsidRPr="00793E15" w:rsidRDefault="00000000">
      <w:pPr>
        <w:jc w:val="center"/>
        <w:rPr>
          <w:b/>
          <w:bCs/>
          <w:sz w:val="32"/>
          <w:szCs w:val="32"/>
        </w:rPr>
      </w:pPr>
      <w:r w:rsidRPr="00793E15">
        <w:rPr>
          <w:b/>
          <w:bCs/>
          <w:sz w:val="32"/>
          <w:szCs w:val="32"/>
        </w:rPr>
        <w:t>STUDENT ID: 2538332</w:t>
      </w:r>
    </w:p>
    <w:p w14:paraId="412CA4EB" w14:textId="77777777" w:rsidR="007B4691" w:rsidRPr="00793E15" w:rsidRDefault="00000000">
      <w:pPr>
        <w:jc w:val="center"/>
        <w:rPr>
          <w:b/>
          <w:bCs/>
          <w:sz w:val="32"/>
          <w:szCs w:val="32"/>
        </w:rPr>
      </w:pPr>
      <w:r w:rsidRPr="00793E15">
        <w:rPr>
          <w:b/>
          <w:bCs/>
          <w:sz w:val="32"/>
          <w:szCs w:val="32"/>
        </w:rPr>
        <w:t>Word count: 2643</w:t>
      </w:r>
    </w:p>
    <w:p w14:paraId="68BFB039" w14:textId="77777777" w:rsidR="007B4691" w:rsidRPr="00793E15" w:rsidRDefault="007B4691">
      <w:pPr>
        <w:jc w:val="center"/>
        <w:rPr>
          <w:b/>
          <w:bCs/>
          <w:sz w:val="32"/>
          <w:szCs w:val="32"/>
        </w:rPr>
      </w:pPr>
    </w:p>
    <w:p w14:paraId="1CD86748" w14:textId="77777777" w:rsidR="007B4691" w:rsidRPr="00793E15" w:rsidRDefault="00000000">
      <w:pPr>
        <w:jc w:val="center"/>
      </w:pPr>
      <w:r w:rsidRPr="00793E15">
        <w:rPr>
          <w:b/>
          <w:bCs/>
          <w:sz w:val="32"/>
          <w:szCs w:val="32"/>
        </w:rPr>
        <w:t>SUBMISSION DATE: Friday 24th July 2026 by 2 PM</w:t>
      </w:r>
      <w:r w:rsidRPr="00793E15">
        <w:t xml:space="preserve"> </w:t>
      </w:r>
      <w:r w:rsidRPr="00793E15">
        <w:br w:type="page"/>
      </w:r>
    </w:p>
    <w:p w14:paraId="34FEF033" w14:textId="77777777" w:rsidR="007B4691" w:rsidRPr="00793E15" w:rsidRDefault="00000000">
      <w:pPr>
        <w:jc w:val="center"/>
        <w:rPr>
          <w:b/>
          <w:bCs/>
        </w:rPr>
      </w:pPr>
      <w:r w:rsidRPr="00793E15">
        <w:rPr>
          <w:b/>
          <w:bCs/>
        </w:rPr>
        <w:lastRenderedPageBreak/>
        <w:t>Table of Contents</w:t>
      </w:r>
    </w:p>
    <w:sdt>
      <w:sdtPr>
        <w:id w:val="50710560"/>
        <w:docPartObj>
          <w:docPartGallery w:val="Table of Contents"/>
          <w:docPartUnique/>
        </w:docPartObj>
      </w:sdtPr>
      <w:sdtContent>
        <w:p w14:paraId="3B396395" w14:textId="45DAA23E" w:rsidR="00793E15" w:rsidRDefault="00000000">
          <w:pPr>
            <w:pStyle w:val="TOC1"/>
            <w:tabs>
              <w:tab w:val="right" w:leader="dot" w:pos="9350"/>
            </w:tabs>
            <w:rPr>
              <w:noProof/>
            </w:rPr>
          </w:pPr>
          <w:r w:rsidRPr="00793E15">
            <w:fldChar w:fldCharType="begin"/>
          </w:r>
          <w:r w:rsidRPr="00793E15">
            <w:instrText xml:space="preserve"> TOC \h \u \z \t "Heading 1,1,Heading 2,2,Heading 3,3,Heading 4,4,Heading 5,5,Heading 6,6,"</w:instrText>
          </w:r>
          <w:r w:rsidRPr="00793E15">
            <w:fldChar w:fldCharType="separate"/>
          </w:r>
          <w:hyperlink w:anchor="_Toc235743268" w:history="1">
            <w:r w:rsidR="00793E15" w:rsidRPr="00D05E55">
              <w:rPr>
                <w:rStyle w:val="Hyperlink"/>
                <w:noProof/>
              </w:rPr>
              <w:t>Task 1: Marketing Environment Analysis</w:t>
            </w:r>
            <w:r w:rsidR="00793E15">
              <w:rPr>
                <w:noProof/>
                <w:webHidden/>
              </w:rPr>
              <w:tab/>
            </w:r>
            <w:r w:rsidR="00793E15">
              <w:rPr>
                <w:noProof/>
                <w:webHidden/>
              </w:rPr>
              <w:fldChar w:fldCharType="begin"/>
            </w:r>
            <w:r w:rsidR="00793E15">
              <w:rPr>
                <w:noProof/>
                <w:webHidden/>
              </w:rPr>
              <w:instrText xml:space="preserve"> PAGEREF _Toc235743268 \h </w:instrText>
            </w:r>
            <w:r w:rsidR="00793E15">
              <w:rPr>
                <w:noProof/>
                <w:webHidden/>
              </w:rPr>
            </w:r>
            <w:r w:rsidR="00793E15">
              <w:rPr>
                <w:noProof/>
                <w:webHidden/>
              </w:rPr>
              <w:fldChar w:fldCharType="separate"/>
            </w:r>
            <w:r w:rsidR="00793E15">
              <w:rPr>
                <w:noProof/>
                <w:webHidden/>
              </w:rPr>
              <w:t>3</w:t>
            </w:r>
            <w:r w:rsidR="00793E15">
              <w:rPr>
                <w:noProof/>
                <w:webHidden/>
              </w:rPr>
              <w:fldChar w:fldCharType="end"/>
            </w:r>
          </w:hyperlink>
        </w:p>
        <w:p w14:paraId="23AE29FD" w14:textId="5C6A9FD3" w:rsidR="00793E15" w:rsidRDefault="00793E15">
          <w:pPr>
            <w:pStyle w:val="TOC2"/>
            <w:tabs>
              <w:tab w:val="left" w:pos="960"/>
              <w:tab w:val="right" w:leader="dot" w:pos="9350"/>
            </w:tabs>
            <w:rPr>
              <w:noProof/>
            </w:rPr>
          </w:pPr>
          <w:hyperlink w:anchor="_Toc235743269" w:history="1">
            <w:r w:rsidRPr="00D05E55">
              <w:rPr>
                <w:rStyle w:val="Hyperlink"/>
                <w:noProof/>
              </w:rPr>
              <w:t>1.1</w:t>
            </w:r>
            <w:r>
              <w:rPr>
                <w:noProof/>
              </w:rPr>
              <w:tab/>
            </w:r>
            <w:r w:rsidRPr="00D05E55">
              <w:rPr>
                <w:rStyle w:val="Hyperlink"/>
                <w:noProof/>
              </w:rPr>
              <w:t>Company selection and context</w:t>
            </w:r>
            <w:r>
              <w:rPr>
                <w:noProof/>
                <w:webHidden/>
              </w:rPr>
              <w:tab/>
            </w:r>
            <w:r>
              <w:rPr>
                <w:noProof/>
                <w:webHidden/>
              </w:rPr>
              <w:fldChar w:fldCharType="begin"/>
            </w:r>
            <w:r>
              <w:rPr>
                <w:noProof/>
                <w:webHidden/>
              </w:rPr>
              <w:instrText xml:space="preserve"> PAGEREF _Toc235743269 \h </w:instrText>
            </w:r>
            <w:r>
              <w:rPr>
                <w:noProof/>
                <w:webHidden/>
              </w:rPr>
            </w:r>
            <w:r>
              <w:rPr>
                <w:noProof/>
                <w:webHidden/>
              </w:rPr>
              <w:fldChar w:fldCharType="separate"/>
            </w:r>
            <w:r>
              <w:rPr>
                <w:noProof/>
                <w:webHidden/>
              </w:rPr>
              <w:t>3</w:t>
            </w:r>
            <w:r>
              <w:rPr>
                <w:noProof/>
                <w:webHidden/>
              </w:rPr>
              <w:fldChar w:fldCharType="end"/>
            </w:r>
          </w:hyperlink>
        </w:p>
        <w:p w14:paraId="6B8DA719" w14:textId="7FF1373F" w:rsidR="00793E15" w:rsidRDefault="00793E15">
          <w:pPr>
            <w:pStyle w:val="TOC2"/>
            <w:tabs>
              <w:tab w:val="right" w:leader="dot" w:pos="9350"/>
            </w:tabs>
            <w:rPr>
              <w:noProof/>
            </w:rPr>
          </w:pPr>
          <w:hyperlink w:anchor="_Toc235743270" w:history="1">
            <w:r w:rsidRPr="00D05E55">
              <w:rPr>
                <w:rStyle w:val="Hyperlink"/>
                <w:noProof/>
              </w:rPr>
              <w:t>1.2 Analysis of Two External Marketing Environment Actors</w:t>
            </w:r>
            <w:r>
              <w:rPr>
                <w:noProof/>
                <w:webHidden/>
              </w:rPr>
              <w:tab/>
            </w:r>
            <w:r>
              <w:rPr>
                <w:noProof/>
                <w:webHidden/>
              </w:rPr>
              <w:fldChar w:fldCharType="begin"/>
            </w:r>
            <w:r>
              <w:rPr>
                <w:noProof/>
                <w:webHidden/>
              </w:rPr>
              <w:instrText xml:space="preserve"> PAGEREF _Toc235743270 \h </w:instrText>
            </w:r>
            <w:r>
              <w:rPr>
                <w:noProof/>
                <w:webHidden/>
              </w:rPr>
            </w:r>
            <w:r>
              <w:rPr>
                <w:noProof/>
                <w:webHidden/>
              </w:rPr>
              <w:fldChar w:fldCharType="separate"/>
            </w:r>
            <w:r>
              <w:rPr>
                <w:noProof/>
                <w:webHidden/>
              </w:rPr>
              <w:t>3</w:t>
            </w:r>
            <w:r>
              <w:rPr>
                <w:noProof/>
                <w:webHidden/>
              </w:rPr>
              <w:fldChar w:fldCharType="end"/>
            </w:r>
          </w:hyperlink>
        </w:p>
        <w:p w14:paraId="34506245" w14:textId="5A9D8466" w:rsidR="00793E15" w:rsidRDefault="00793E15">
          <w:pPr>
            <w:pStyle w:val="TOC3"/>
            <w:tabs>
              <w:tab w:val="right" w:leader="dot" w:pos="9350"/>
            </w:tabs>
            <w:rPr>
              <w:noProof/>
            </w:rPr>
          </w:pPr>
          <w:hyperlink w:anchor="_Toc235743271" w:history="1">
            <w:r w:rsidRPr="00D05E55">
              <w:rPr>
                <w:rStyle w:val="Hyperlink"/>
                <w:noProof/>
              </w:rPr>
              <w:t>1.2.1 Environmental actors</w:t>
            </w:r>
            <w:r>
              <w:rPr>
                <w:noProof/>
                <w:webHidden/>
              </w:rPr>
              <w:tab/>
            </w:r>
            <w:r>
              <w:rPr>
                <w:noProof/>
                <w:webHidden/>
              </w:rPr>
              <w:fldChar w:fldCharType="begin"/>
            </w:r>
            <w:r>
              <w:rPr>
                <w:noProof/>
                <w:webHidden/>
              </w:rPr>
              <w:instrText xml:space="preserve"> PAGEREF _Toc235743271 \h </w:instrText>
            </w:r>
            <w:r>
              <w:rPr>
                <w:noProof/>
                <w:webHidden/>
              </w:rPr>
            </w:r>
            <w:r>
              <w:rPr>
                <w:noProof/>
                <w:webHidden/>
              </w:rPr>
              <w:fldChar w:fldCharType="separate"/>
            </w:r>
            <w:r>
              <w:rPr>
                <w:noProof/>
                <w:webHidden/>
              </w:rPr>
              <w:t>3</w:t>
            </w:r>
            <w:r>
              <w:rPr>
                <w:noProof/>
                <w:webHidden/>
              </w:rPr>
              <w:fldChar w:fldCharType="end"/>
            </w:r>
          </w:hyperlink>
        </w:p>
        <w:p w14:paraId="0AD6B208" w14:textId="0E4EF876" w:rsidR="00793E15" w:rsidRDefault="00793E15">
          <w:pPr>
            <w:pStyle w:val="TOC3"/>
            <w:tabs>
              <w:tab w:val="right" w:leader="dot" w:pos="9350"/>
            </w:tabs>
            <w:rPr>
              <w:noProof/>
            </w:rPr>
          </w:pPr>
          <w:hyperlink w:anchor="_Toc235743272" w:history="1">
            <w:r w:rsidRPr="00D05E55">
              <w:rPr>
                <w:rStyle w:val="Hyperlink"/>
                <w:noProof/>
              </w:rPr>
              <w:t>1.2.2 Political and regulatory environment actors</w:t>
            </w:r>
            <w:r>
              <w:rPr>
                <w:noProof/>
                <w:webHidden/>
              </w:rPr>
              <w:tab/>
            </w:r>
            <w:r>
              <w:rPr>
                <w:noProof/>
                <w:webHidden/>
              </w:rPr>
              <w:fldChar w:fldCharType="begin"/>
            </w:r>
            <w:r>
              <w:rPr>
                <w:noProof/>
                <w:webHidden/>
              </w:rPr>
              <w:instrText xml:space="preserve"> PAGEREF _Toc235743272 \h </w:instrText>
            </w:r>
            <w:r>
              <w:rPr>
                <w:noProof/>
                <w:webHidden/>
              </w:rPr>
            </w:r>
            <w:r>
              <w:rPr>
                <w:noProof/>
                <w:webHidden/>
              </w:rPr>
              <w:fldChar w:fldCharType="separate"/>
            </w:r>
            <w:r>
              <w:rPr>
                <w:noProof/>
                <w:webHidden/>
              </w:rPr>
              <w:t>8</w:t>
            </w:r>
            <w:r>
              <w:rPr>
                <w:noProof/>
                <w:webHidden/>
              </w:rPr>
              <w:fldChar w:fldCharType="end"/>
            </w:r>
          </w:hyperlink>
        </w:p>
        <w:p w14:paraId="6978A2E3" w14:textId="08D0F342" w:rsidR="00793E15" w:rsidRDefault="00793E15">
          <w:pPr>
            <w:pStyle w:val="TOC1"/>
            <w:tabs>
              <w:tab w:val="right" w:leader="dot" w:pos="9350"/>
            </w:tabs>
            <w:rPr>
              <w:noProof/>
            </w:rPr>
          </w:pPr>
          <w:hyperlink w:anchor="_Toc235743273" w:history="1">
            <w:r w:rsidRPr="00D05E55">
              <w:rPr>
                <w:rStyle w:val="Hyperlink"/>
                <w:noProof/>
              </w:rPr>
              <w:t>Task 2: Strategic Growth and Competitive Positioning</w:t>
            </w:r>
            <w:r>
              <w:rPr>
                <w:noProof/>
                <w:webHidden/>
              </w:rPr>
              <w:tab/>
            </w:r>
            <w:r>
              <w:rPr>
                <w:noProof/>
                <w:webHidden/>
              </w:rPr>
              <w:fldChar w:fldCharType="begin"/>
            </w:r>
            <w:r>
              <w:rPr>
                <w:noProof/>
                <w:webHidden/>
              </w:rPr>
              <w:instrText xml:space="preserve"> PAGEREF _Toc235743273 \h </w:instrText>
            </w:r>
            <w:r>
              <w:rPr>
                <w:noProof/>
                <w:webHidden/>
              </w:rPr>
            </w:r>
            <w:r>
              <w:rPr>
                <w:noProof/>
                <w:webHidden/>
              </w:rPr>
              <w:fldChar w:fldCharType="separate"/>
            </w:r>
            <w:r>
              <w:rPr>
                <w:noProof/>
                <w:webHidden/>
              </w:rPr>
              <w:t>10</w:t>
            </w:r>
            <w:r>
              <w:rPr>
                <w:noProof/>
                <w:webHidden/>
              </w:rPr>
              <w:fldChar w:fldCharType="end"/>
            </w:r>
          </w:hyperlink>
        </w:p>
        <w:p w14:paraId="540DD154" w14:textId="47474FED" w:rsidR="00793E15" w:rsidRDefault="00793E15">
          <w:pPr>
            <w:pStyle w:val="TOC2"/>
            <w:tabs>
              <w:tab w:val="right" w:leader="dot" w:pos="9350"/>
            </w:tabs>
            <w:rPr>
              <w:noProof/>
            </w:rPr>
          </w:pPr>
          <w:hyperlink w:anchor="_Toc235743274" w:history="1">
            <w:r w:rsidRPr="00D05E55">
              <w:rPr>
                <w:rStyle w:val="Hyperlink"/>
                <w:noProof/>
              </w:rPr>
              <w:t>2.1 Recommendation of a Strategic Growth Approach</w:t>
            </w:r>
            <w:r>
              <w:rPr>
                <w:noProof/>
                <w:webHidden/>
              </w:rPr>
              <w:tab/>
            </w:r>
            <w:r>
              <w:rPr>
                <w:noProof/>
                <w:webHidden/>
              </w:rPr>
              <w:fldChar w:fldCharType="begin"/>
            </w:r>
            <w:r>
              <w:rPr>
                <w:noProof/>
                <w:webHidden/>
              </w:rPr>
              <w:instrText xml:space="preserve"> PAGEREF _Toc235743274 \h </w:instrText>
            </w:r>
            <w:r>
              <w:rPr>
                <w:noProof/>
                <w:webHidden/>
              </w:rPr>
            </w:r>
            <w:r>
              <w:rPr>
                <w:noProof/>
                <w:webHidden/>
              </w:rPr>
              <w:fldChar w:fldCharType="separate"/>
            </w:r>
            <w:r>
              <w:rPr>
                <w:noProof/>
                <w:webHidden/>
              </w:rPr>
              <w:t>10</w:t>
            </w:r>
            <w:r>
              <w:rPr>
                <w:noProof/>
                <w:webHidden/>
              </w:rPr>
              <w:fldChar w:fldCharType="end"/>
            </w:r>
          </w:hyperlink>
        </w:p>
        <w:p w14:paraId="31246ED0" w14:textId="38EEA132" w:rsidR="00793E15" w:rsidRDefault="00793E15">
          <w:pPr>
            <w:pStyle w:val="TOC3"/>
            <w:tabs>
              <w:tab w:val="right" w:leader="dot" w:pos="9350"/>
            </w:tabs>
            <w:rPr>
              <w:noProof/>
            </w:rPr>
          </w:pPr>
          <w:hyperlink w:anchor="_Toc235743275" w:history="1">
            <w:r w:rsidRPr="00D05E55">
              <w:rPr>
                <w:rStyle w:val="Hyperlink"/>
                <w:noProof/>
              </w:rPr>
              <w:t>2.1.1 Application of the Ansoff Matrix</w:t>
            </w:r>
            <w:r>
              <w:rPr>
                <w:noProof/>
                <w:webHidden/>
              </w:rPr>
              <w:tab/>
            </w:r>
            <w:r>
              <w:rPr>
                <w:noProof/>
                <w:webHidden/>
              </w:rPr>
              <w:fldChar w:fldCharType="begin"/>
            </w:r>
            <w:r>
              <w:rPr>
                <w:noProof/>
                <w:webHidden/>
              </w:rPr>
              <w:instrText xml:space="preserve"> PAGEREF _Toc235743275 \h </w:instrText>
            </w:r>
            <w:r>
              <w:rPr>
                <w:noProof/>
                <w:webHidden/>
              </w:rPr>
            </w:r>
            <w:r>
              <w:rPr>
                <w:noProof/>
                <w:webHidden/>
              </w:rPr>
              <w:fldChar w:fldCharType="separate"/>
            </w:r>
            <w:r>
              <w:rPr>
                <w:noProof/>
                <w:webHidden/>
              </w:rPr>
              <w:t>10</w:t>
            </w:r>
            <w:r>
              <w:rPr>
                <w:noProof/>
                <w:webHidden/>
              </w:rPr>
              <w:fldChar w:fldCharType="end"/>
            </w:r>
          </w:hyperlink>
        </w:p>
        <w:p w14:paraId="5DBBFF99" w14:textId="71E06564" w:rsidR="00793E15" w:rsidRDefault="00793E15">
          <w:pPr>
            <w:pStyle w:val="TOC3"/>
            <w:tabs>
              <w:tab w:val="right" w:leader="dot" w:pos="9350"/>
            </w:tabs>
            <w:rPr>
              <w:noProof/>
            </w:rPr>
          </w:pPr>
          <w:hyperlink w:anchor="_Toc235743276" w:history="1">
            <w:r w:rsidRPr="00D05E55">
              <w:rPr>
                <w:rStyle w:val="Hyperlink"/>
                <w:noProof/>
              </w:rPr>
              <w:t>2.1.2 Justification for Product Development Strategy</w:t>
            </w:r>
            <w:r>
              <w:rPr>
                <w:noProof/>
                <w:webHidden/>
              </w:rPr>
              <w:tab/>
            </w:r>
            <w:r>
              <w:rPr>
                <w:noProof/>
                <w:webHidden/>
              </w:rPr>
              <w:fldChar w:fldCharType="begin"/>
            </w:r>
            <w:r>
              <w:rPr>
                <w:noProof/>
                <w:webHidden/>
              </w:rPr>
              <w:instrText xml:space="preserve"> PAGEREF _Toc235743276 \h </w:instrText>
            </w:r>
            <w:r>
              <w:rPr>
                <w:noProof/>
                <w:webHidden/>
              </w:rPr>
            </w:r>
            <w:r>
              <w:rPr>
                <w:noProof/>
                <w:webHidden/>
              </w:rPr>
              <w:fldChar w:fldCharType="separate"/>
            </w:r>
            <w:r>
              <w:rPr>
                <w:noProof/>
                <w:webHidden/>
              </w:rPr>
              <w:t>13</w:t>
            </w:r>
            <w:r>
              <w:rPr>
                <w:noProof/>
                <w:webHidden/>
              </w:rPr>
              <w:fldChar w:fldCharType="end"/>
            </w:r>
          </w:hyperlink>
        </w:p>
        <w:p w14:paraId="104968DA" w14:textId="097FB739" w:rsidR="00793E15" w:rsidRDefault="00793E15">
          <w:pPr>
            <w:pStyle w:val="TOC3"/>
            <w:tabs>
              <w:tab w:val="right" w:leader="dot" w:pos="9350"/>
            </w:tabs>
            <w:rPr>
              <w:noProof/>
            </w:rPr>
          </w:pPr>
          <w:hyperlink w:anchor="_Toc235743277" w:history="1">
            <w:r w:rsidRPr="00D05E55">
              <w:rPr>
                <w:rStyle w:val="Hyperlink"/>
                <w:noProof/>
              </w:rPr>
              <w:t>2.1.3 Growth Opportunities in the Green Steel Market</w:t>
            </w:r>
            <w:r>
              <w:rPr>
                <w:noProof/>
                <w:webHidden/>
              </w:rPr>
              <w:tab/>
            </w:r>
            <w:r>
              <w:rPr>
                <w:noProof/>
                <w:webHidden/>
              </w:rPr>
              <w:fldChar w:fldCharType="begin"/>
            </w:r>
            <w:r>
              <w:rPr>
                <w:noProof/>
                <w:webHidden/>
              </w:rPr>
              <w:instrText xml:space="preserve"> PAGEREF _Toc235743277 \h </w:instrText>
            </w:r>
            <w:r>
              <w:rPr>
                <w:noProof/>
                <w:webHidden/>
              </w:rPr>
            </w:r>
            <w:r>
              <w:rPr>
                <w:noProof/>
                <w:webHidden/>
              </w:rPr>
              <w:fldChar w:fldCharType="separate"/>
            </w:r>
            <w:r>
              <w:rPr>
                <w:noProof/>
                <w:webHidden/>
              </w:rPr>
              <w:t>14</w:t>
            </w:r>
            <w:r>
              <w:rPr>
                <w:noProof/>
                <w:webHidden/>
              </w:rPr>
              <w:fldChar w:fldCharType="end"/>
            </w:r>
          </w:hyperlink>
        </w:p>
        <w:p w14:paraId="6B48259F" w14:textId="642711CD" w:rsidR="00793E15" w:rsidRDefault="00793E15">
          <w:pPr>
            <w:pStyle w:val="TOC2"/>
            <w:tabs>
              <w:tab w:val="right" w:leader="dot" w:pos="9350"/>
            </w:tabs>
            <w:rPr>
              <w:noProof/>
            </w:rPr>
          </w:pPr>
          <w:hyperlink w:anchor="_Toc235743278" w:history="1">
            <w:r w:rsidRPr="00D05E55">
              <w:rPr>
                <w:rStyle w:val="Hyperlink"/>
                <w:noProof/>
              </w:rPr>
              <w:t>2.2 Achieving the Competitive Edge through the Lower-Carbon Business Model</w:t>
            </w:r>
            <w:r>
              <w:rPr>
                <w:noProof/>
                <w:webHidden/>
              </w:rPr>
              <w:tab/>
            </w:r>
            <w:r>
              <w:rPr>
                <w:noProof/>
                <w:webHidden/>
              </w:rPr>
              <w:fldChar w:fldCharType="begin"/>
            </w:r>
            <w:r>
              <w:rPr>
                <w:noProof/>
                <w:webHidden/>
              </w:rPr>
              <w:instrText xml:space="preserve"> PAGEREF _Toc235743278 \h </w:instrText>
            </w:r>
            <w:r>
              <w:rPr>
                <w:noProof/>
                <w:webHidden/>
              </w:rPr>
            </w:r>
            <w:r>
              <w:rPr>
                <w:noProof/>
                <w:webHidden/>
              </w:rPr>
              <w:fldChar w:fldCharType="separate"/>
            </w:r>
            <w:r>
              <w:rPr>
                <w:noProof/>
                <w:webHidden/>
              </w:rPr>
              <w:t>14</w:t>
            </w:r>
            <w:r>
              <w:rPr>
                <w:noProof/>
                <w:webHidden/>
              </w:rPr>
              <w:fldChar w:fldCharType="end"/>
            </w:r>
          </w:hyperlink>
        </w:p>
        <w:p w14:paraId="49D827F7" w14:textId="1D6FF39B" w:rsidR="00793E15" w:rsidRDefault="00793E15">
          <w:pPr>
            <w:pStyle w:val="TOC3"/>
            <w:tabs>
              <w:tab w:val="right" w:leader="dot" w:pos="9350"/>
            </w:tabs>
            <w:rPr>
              <w:noProof/>
            </w:rPr>
          </w:pPr>
          <w:hyperlink w:anchor="_Toc235743279" w:history="1">
            <w:r w:rsidRPr="00D05E55">
              <w:rPr>
                <w:rStyle w:val="Hyperlink"/>
                <w:noProof/>
              </w:rPr>
              <w:t>2.2.1 Porter’s Generic Model for Competitive Advantage Perspective</w:t>
            </w:r>
            <w:r>
              <w:rPr>
                <w:noProof/>
                <w:webHidden/>
              </w:rPr>
              <w:tab/>
            </w:r>
            <w:r>
              <w:rPr>
                <w:noProof/>
                <w:webHidden/>
              </w:rPr>
              <w:fldChar w:fldCharType="begin"/>
            </w:r>
            <w:r>
              <w:rPr>
                <w:noProof/>
                <w:webHidden/>
              </w:rPr>
              <w:instrText xml:space="preserve"> PAGEREF _Toc235743279 \h </w:instrText>
            </w:r>
            <w:r>
              <w:rPr>
                <w:noProof/>
                <w:webHidden/>
              </w:rPr>
            </w:r>
            <w:r>
              <w:rPr>
                <w:noProof/>
                <w:webHidden/>
              </w:rPr>
              <w:fldChar w:fldCharType="separate"/>
            </w:r>
            <w:r>
              <w:rPr>
                <w:noProof/>
                <w:webHidden/>
              </w:rPr>
              <w:t>14</w:t>
            </w:r>
            <w:r>
              <w:rPr>
                <w:noProof/>
                <w:webHidden/>
              </w:rPr>
              <w:fldChar w:fldCharType="end"/>
            </w:r>
          </w:hyperlink>
        </w:p>
        <w:p w14:paraId="04821B75" w14:textId="5C767768" w:rsidR="00793E15" w:rsidRDefault="00793E15">
          <w:pPr>
            <w:pStyle w:val="TOC3"/>
            <w:tabs>
              <w:tab w:val="right" w:leader="dot" w:pos="9350"/>
            </w:tabs>
            <w:rPr>
              <w:noProof/>
            </w:rPr>
          </w:pPr>
          <w:hyperlink w:anchor="_Toc235743280" w:history="1">
            <w:r w:rsidRPr="00D05E55">
              <w:rPr>
                <w:rStyle w:val="Hyperlink"/>
                <w:noProof/>
              </w:rPr>
              <w:t>2.2.2 Sustainability as a Source of Differentiation</w:t>
            </w:r>
            <w:r>
              <w:rPr>
                <w:noProof/>
                <w:webHidden/>
              </w:rPr>
              <w:tab/>
            </w:r>
            <w:r>
              <w:rPr>
                <w:noProof/>
                <w:webHidden/>
              </w:rPr>
              <w:fldChar w:fldCharType="begin"/>
            </w:r>
            <w:r>
              <w:rPr>
                <w:noProof/>
                <w:webHidden/>
              </w:rPr>
              <w:instrText xml:space="preserve"> PAGEREF _Toc235743280 \h </w:instrText>
            </w:r>
            <w:r>
              <w:rPr>
                <w:noProof/>
                <w:webHidden/>
              </w:rPr>
            </w:r>
            <w:r>
              <w:rPr>
                <w:noProof/>
                <w:webHidden/>
              </w:rPr>
              <w:fldChar w:fldCharType="separate"/>
            </w:r>
            <w:r>
              <w:rPr>
                <w:noProof/>
                <w:webHidden/>
              </w:rPr>
              <w:t>15</w:t>
            </w:r>
            <w:r>
              <w:rPr>
                <w:noProof/>
                <w:webHidden/>
              </w:rPr>
              <w:fldChar w:fldCharType="end"/>
            </w:r>
          </w:hyperlink>
        </w:p>
        <w:p w14:paraId="0E63FA20" w14:textId="063B9724" w:rsidR="00793E15" w:rsidRDefault="00793E15">
          <w:pPr>
            <w:pStyle w:val="TOC3"/>
            <w:tabs>
              <w:tab w:val="right" w:leader="dot" w:pos="9350"/>
            </w:tabs>
            <w:rPr>
              <w:noProof/>
            </w:rPr>
          </w:pPr>
          <w:hyperlink w:anchor="_Toc235743281" w:history="1">
            <w:r w:rsidRPr="00D05E55">
              <w:rPr>
                <w:rStyle w:val="Hyperlink"/>
                <w:noProof/>
              </w:rPr>
              <w:t>2.2.3 Long-Term Competitive Positioning of Tata Steel</w:t>
            </w:r>
            <w:r>
              <w:rPr>
                <w:noProof/>
                <w:webHidden/>
              </w:rPr>
              <w:tab/>
            </w:r>
            <w:r>
              <w:rPr>
                <w:noProof/>
                <w:webHidden/>
              </w:rPr>
              <w:fldChar w:fldCharType="begin"/>
            </w:r>
            <w:r>
              <w:rPr>
                <w:noProof/>
                <w:webHidden/>
              </w:rPr>
              <w:instrText xml:space="preserve"> PAGEREF _Toc235743281 \h </w:instrText>
            </w:r>
            <w:r>
              <w:rPr>
                <w:noProof/>
                <w:webHidden/>
              </w:rPr>
            </w:r>
            <w:r>
              <w:rPr>
                <w:noProof/>
                <w:webHidden/>
              </w:rPr>
              <w:fldChar w:fldCharType="separate"/>
            </w:r>
            <w:r>
              <w:rPr>
                <w:noProof/>
                <w:webHidden/>
              </w:rPr>
              <w:t>16</w:t>
            </w:r>
            <w:r>
              <w:rPr>
                <w:noProof/>
                <w:webHidden/>
              </w:rPr>
              <w:fldChar w:fldCharType="end"/>
            </w:r>
          </w:hyperlink>
        </w:p>
        <w:p w14:paraId="2C7F4DF5" w14:textId="2F244241" w:rsidR="00793E15" w:rsidRDefault="00793E15">
          <w:pPr>
            <w:pStyle w:val="TOC1"/>
            <w:tabs>
              <w:tab w:val="right" w:leader="dot" w:pos="9350"/>
            </w:tabs>
            <w:rPr>
              <w:noProof/>
            </w:rPr>
          </w:pPr>
          <w:hyperlink w:anchor="_Toc235743282" w:history="1">
            <w:r w:rsidRPr="00D05E55">
              <w:rPr>
                <w:rStyle w:val="Hyperlink"/>
                <w:noProof/>
              </w:rPr>
              <w:t>Task 3: Critical Reflection on AI Usage</w:t>
            </w:r>
            <w:r>
              <w:rPr>
                <w:noProof/>
                <w:webHidden/>
              </w:rPr>
              <w:tab/>
            </w:r>
            <w:r>
              <w:rPr>
                <w:noProof/>
                <w:webHidden/>
              </w:rPr>
              <w:fldChar w:fldCharType="begin"/>
            </w:r>
            <w:r>
              <w:rPr>
                <w:noProof/>
                <w:webHidden/>
              </w:rPr>
              <w:instrText xml:space="preserve"> PAGEREF _Toc235743282 \h </w:instrText>
            </w:r>
            <w:r>
              <w:rPr>
                <w:noProof/>
                <w:webHidden/>
              </w:rPr>
            </w:r>
            <w:r>
              <w:rPr>
                <w:noProof/>
                <w:webHidden/>
              </w:rPr>
              <w:fldChar w:fldCharType="separate"/>
            </w:r>
            <w:r>
              <w:rPr>
                <w:noProof/>
                <w:webHidden/>
              </w:rPr>
              <w:t>17</w:t>
            </w:r>
            <w:r>
              <w:rPr>
                <w:noProof/>
                <w:webHidden/>
              </w:rPr>
              <w:fldChar w:fldCharType="end"/>
            </w:r>
          </w:hyperlink>
        </w:p>
        <w:p w14:paraId="2ADE698D" w14:textId="53509C6A" w:rsidR="00793E15" w:rsidRDefault="00793E15">
          <w:pPr>
            <w:pStyle w:val="TOC2"/>
            <w:tabs>
              <w:tab w:val="right" w:leader="dot" w:pos="9350"/>
            </w:tabs>
            <w:rPr>
              <w:noProof/>
            </w:rPr>
          </w:pPr>
          <w:hyperlink w:anchor="_Toc235743283" w:history="1">
            <w:r w:rsidRPr="00D05E55">
              <w:rPr>
                <w:rStyle w:val="Hyperlink"/>
                <w:noProof/>
              </w:rPr>
              <w:t>3.1 Tool Disclosure</w:t>
            </w:r>
            <w:r>
              <w:rPr>
                <w:noProof/>
                <w:webHidden/>
              </w:rPr>
              <w:tab/>
            </w:r>
            <w:r>
              <w:rPr>
                <w:noProof/>
                <w:webHidden/>
              </w:rPr>
              <w:fldChar w:fldCharType="begin"/>
            </w:r>
            <w:r>
              <w:rPr>
                <w:noProof/>
                <w:webHidden/>
              </w:rPr>
              <w:instrText xml:space="preserve"> PAGEREF _Toc235743283 \h </w:instrText>
            </w:r>
            <w:r>
              <w:rPr>
                <w:noProof/>
                <w:webHidden/>
              </w:rPr>
            </w:r>
            <w:r>
              <w:rPr>
                <w:noProof/>
                <w:webHidden/>
              </w:rPr>
              <w:fldChar w:fldCharType="separate"/>
            </w:r>
            <w:r>
              <w:rPr>
                <w:noProof/>
                <w:webHidden/>
              </w:rPr>
              <w:t>17</w:t>
            </w:r>
            <w:r>
              <w:rPr>
                <w:noProof/>
                <w:webHidden/>
              </w:rPr>
              <w:fldChar w:fldCharType="end"/>
            </w:r>
          </w:hyperlink>
        </w:p>
        <w:p w14:paraId="31840CE2" w14:textId="0BD759C3" w:rsidR="00793E15" w:rsidRDefault="00793E15">
          <w:pPr>
            <w:pStyle w:val="TOC2"/>
            <w:tabs>
              <w:tab w:val="right" w:leader="dot" w:pos="9350"/>
            </w:tabs>
            <w:rPr>
              <w:noProof/>
            </w:rPr>
          </w:pPr>
          <w:hyperlink w:anchor="_Toc235743284" w:history="1">
            <w:r w:rsidRPr="00D05E55">
              <w:rPr>
                <w:rStyle w:val="Hyperlink"/>
                <w:noProof/>
              </w:rPr>
              <w:t>3.2 Critical Evaluation of AI Output</w:t>
            </w:r>
            <w:r>
              <w:rPr>
                <w:noProof/>
                <w:webHidden/>
              </w:rPr>
              <w:tab/>
            </w:r>
            <w:r>
              <w:rPr>
                <w:noProof/>
                <w:webHidden/>
              </w:rPr>
              <w:fldChar w:fldCharType="begin"/>
            </w:r>
            <w:r>
              <w:rPr>
                <w:noProof/>
                <w:webHidden/>
              </w:rPr>
              <w:instrText xml:space="preserve"> PAGEREF _Toc235743284 \h </w:instrText>
            </w:r>
            <w:r>
              <w:rPr>
                <w:noProof/>
                <w:webHidden/>
              </w:rPr>
            </w:r>
            <w:r>
              <w:rPr>
                <w:noProof/>
                <w:webHidden/>
              </w:rPr>
              <w:fldChar w:fldCharType="separate"/>
            </w:r>
            <w:r>
              <w:rPr>
                <w:noProof/>
                <w:webHidden/>
              </w:rPr>
              <w:t>19</w:t>
            </w:r>
            <w:r>
              <w:rPr>
                <w:noProof/>
                <w:webHidden/>
              </w:rPr>
              <w:fldChar w:fldCharType="end"/>
            </w:r>
          </w:hyperlink>
        </w:p>
        <w:p w14:paraId="31EEF898" w14:textId="6516B036" w:rsidR="00793E15" w:rsidRDefault="00793E15">
          <w:pPr>
            <w:pStyle w:val="TOC2"/>
            <w:tabs>
              <w:tab w:val="right" w:leader="dot" w:pos="9350"/>
            </w:tabs>
            <w:rPr>
              <w:noProof/>
            </w:rPr>
          </w:pPr>
          <w:hyperlink w:anchor="_Toc235743285" w:history="1">
            <w:r w:rsidRPr="00D05E55">
              <w:rPr>
                <w:rStyle w:val="Hyperlink"/>
                <w:noProof/>
              </w:rPr>
              <w:t>3.3 Contribution Analysis</w:t>
            </w:r>
            <w:r>
              <w:rPr>
                <w:noProof/>
                <w:webHidden/>
              </w:rPr>
              <w:tab/>
            </w:r>
            <w:r>
              <w:rPr>
                <w:noProof/>
                <w:webHidden/>
              </w:rPr>
              <w:fldChar w:fldCharType="begin"/>
            </w:r>
            <w:r>
              <w:rPr>
                <w:noProof/>
                <w:webHidden/>
              </w:rPr>
              <w:instrText xml:space="preserve"> PAGEREF _Toc235743285 \h </w:instrText>
            </w:r>
            <w:r>
              <w:rPr>
                <w:noProof/>
                <w:webHidden/>
              </w:rPr>
            </w:r>
            <w:r>
              <w:rPr>
                <w:noProof/>
                <w:webHidden/>
              </w:rPr>
              <w:fldChar w:fldCharType="separate"/>
            </w:r>
            <w:r>
              <w:rPr>
                <w:noProof/>
                <w:webHidden/>
              </w:rPr>
              <w:t>19</w:t>
            </w:r>
            <w:r>
              <w:rPr>
                <w:noProof/>
                <w:webHidden/>
              </w:rPr>
              <w:fldChar w:fldCharType="end"/>
            </w:r>
          </w:hyperlink>
        </w:p>
        <w:p w14:paraId="37C3A56D" w14:textId="0119DF50" w:rsidR="00793E15" w:rsidRDefault="00793E15">
          <w:pPr>
            <w:pStyle w:val="TOC2"/>
            <w:tabs>
              <w:tab w:val="right" w:leader="dot" w:pos="9350"/>
            </w:tabs>
            <w:rPr>
              <w:noProof/>
            </w:rPr>
          </w:pPr>
          <w:hyperlink w:anchor="_Toc235743286" w:history="1">
            <w:r w:rsidRPr="00D05E55">
              <w:rPr>
                <w:rStyle w:val="Hyperlink"/>
                <w:noProof/>
              </w:rPr>
              <w:t>3.4 Ethical &amp; Professional Reflection</w:t>
            </w:r>
            <w:r>
              <w:rPr>
                <w:noProof/>
                <w:webHidden/>
              </w:rPr>
              <w:tab/>
            </w:r>
            <w:r>
              <w:rPr>
                <w:noProof/>
                <w:webHidden/>
              </w:rPr>
              <w:fldChar w:fldCharType="begin"/>
            </w:r>
            <w:r>
              <w:rPr>
                <w:noProof/>
                <w:webHidden/>
              </w:rPr>
              <w:instrText xml:space="preserve"> PAGEREF _Toc235743286 \h </w:instrText>
            </w:r>
            <w:r>
              <w:rPr>
                <w:noProof/>
                <w:webHidden/>
              </w:rPr>
            </w:r>
            <w:r>
              <w:rPr>
                <w:noProof/>
                <w:webHidden/>
              </w:rPr>
              <w:fldChar w:fldCharType="separate"/>
            </w:r>
            <w:r>
              <w:rPr>
                <w:noProof/>
                <w:webHidden/>
              </w:rPr>
              <w:t>19</w:t>
            </w:r>
            <w:r>
              <w:rPr>
                <w:noProof/>
                <w:webHidden/>
              </w:rPr>
              <w:fldChar w:fldCharType="end"/>
            </w:r>
          </w:hyperlink>
        </w:p>
        <w:p w14:paraId="67AE2801" w14:textId="72C5627B" w:rsidR="00793E15" w:rsidRDefault="00793E15">
          <w:pPr>
            <w:pStyle w:val="TOC1"/>
            <w:tabs>
              <w:tab w:val="right" w:leader="dot" w:pos="9350"/>
            </w:tabs>
            <w:rPr>
              <w:noProof/>
            </w:rPr>
          </w:pPr>
          <w:hyperlink w:anchor="_Toc235743287" w:history="1">
            <w:r w:rsidRPr="00D05E55">
              <w:rPr>
                <w:rStyle w:val="Hyperlink"/>
                <w:noProof/>
              </w:rPr>
              <w:t>Reference list</w:t>
            </w:r>
            <w:r>
              <w:rPr>
                <w:noProof/>
                <w:webHidden/>
              </w:rPr>
              <w:tab/>
            </w:r>
            <w:r>
              <w:rPr>
                <w:noProof/>
                <w:webHidden/>
              </w:rPr>
              <w:fldChar w:fldCharType="begin"/>
            </w:r>
            <w:r>
              <w:rPr>
                <w:noProof/>
                <w:webHidden/>
              </w:rPr>
              <w:instrText xml:space="preserve"> PAGEREF _Toc235743287 \h </w:instrText>
            </w:r>
            <w:r>
              <w:rPr>
                <w:noProof/>
                <w:webHidden/>
              </w:rPr>
            </w:r>
            <w:r>
              <w:rPr>
                <w:noProof/>
                <w:webHidden/>
              </w:rPr>
              <w:fldChar w:fldCharType="separate"/>
            </w:r>
            <w:r>
              <w:rPr>
                <w:noProof/>
                <w:webHidden/>
              </w:rPr>
              <w:t>20</w:t>
            </w:r>
            <w:r>
              <w:rPr>
                <w:noProof/>
                <w:webHidden/>
              </w:rPr>
              <w:fldChar w:fldCharType="end"/>
            </w:r>
          </w:hyperlink>
        </w:p>
        <w:p w14:paraId="1CF7C3FF" w14:textId="1F418D4D" w:rsidR="007B4691" w:rsidRPr="00793E15" w:rsidRDefault="00000000">
          <w:pPr>
            <w:pBdr>
              <w:top w:val="nil"/>
              <w:left w:val="nil"/>
              <w:bottom w:val="nil"/>
              <w:right w:val="nil"/>
              <w:between w:val="nil"/>
            </w:pBdr>
            <w:spacing w:after="100"/>
          </w:pPr>
          <w:r w:rsidRPr="00793E15">
            <w:fldChar w:fldCharType="end"/>
          </w:r>
        </w:p>
      </w:sdtContent>
    </w:sdt>
    <w:p w14:paraId="6826C322" w14:textId="77777777" w:rsidR="007B4691" w:rsidRPr="00793E15" w:rsidRDefault="00000000">
      <w:r w:rsidRPr="00793E15">
        <w:br w:type="page"/>
      </w:r>
    </w:p>
    <w:p w14:paraId="3218E3B7" w14:textId="77777777" w:rsidR="007B4691" w:rsidRPr="00793E15" w:rsidRDefault="00000000">
      <w:pPr>
        <w:pStyle w:val="Heading1"/>
      </w:pPr>
      <w:bookmarkStart w:id="0" w:name="_e5c95pxiqrm1" w:colFirst="0" w:colLast="0"/>
      <w:bookmarkStart w:id="1" w:name="_Toc235743268"/>
      <w:bookmarkEnd w:id="0"/>
      <w:r w:rsidRPr="00793E15">
        <w:lastRenderedPageBreak/>
        <w:t>Task 1: Marketing Environment Analysis</w:t>
      </w:r>
      <w:bookmarkEnd w:id="1"/>
      <w:r w:rsidRPr="00793E15">
        <w:t xml:space="preserve"> </w:t>
      </w:r>
    </w:p>
    <w:p w14:paraId="7FE4C0B0" w14:textId="77777777" w:rsidR="007B4691" w:rsidRPr="00793E15" w:rsidRDefault="00000000">
      <w:pPr>
        <w:pStyle w:val="Heading2"/>
        <w:numPr>
          <w:ilvl w:val="1"/>
          <w:numId w:val="1"/>
        </w:numPr>
      </w:pPr>
      <w:bookmarkStart w:id="2" w:name="_Toc235743269"/>
      <w:r w:rsidRPr="00793E15">
        <w:t>Company selection and context</w:t>
      </w:r>
      <w:bookmarkEnd w:id="2"/>
    </w:p>
    <w:p w14:paraId="05C11EA5" w14:textId="77777777" w:rsidR="007B4691" w:rsidRPr="00793E15" w:rsidRDefault="00000000">
      <w:r w:rsidRPr="00793E15">
        <w:t>Since 1907, Tata Steel is operating as a global steel producer with 35 million tonnes of annual crude steel capacity. In FY2025, Tata Steel produced 30.9 million tonnes of steel that generated ₹2.19 trillion revenue with a market capitalisation of approximately ₹1.97 trillion, while maintaining sustainability strategy of decarbonisation and low-carbon steel production to achieve net-zero emissions target by 2045 (</w:t>
      </w:r>
      <w:proofErr w:type="spellStart"/>
      <w:r w:rsidRPr="00793E15">
        <w:t>Yermolenko</w:t>
      </w:r>
      <w:proofErr w:type="spellEnd"/>
      <w:r w:rsidRPr="00793E15">
        <w:t>, 2025; Tata Steel, 2026).</w:t>
      </w:r>
    </w:p>
    <w:p w14:paraId="5CC15969" w14:textId="77777777" w:rsidR="007B4691" w:rsidRPr="00793E15" w:rsidRDefault="00000000">
      <w:pPr>
        <w:pStyle w:val="Heading2"/>
      </w:pPr>
      <w:bookmarkStart w:id="3" w:name="_Toc235743270"/>
      <w:r w:rsidRPr="00793E15">
        <w:t>1.2 Analysis of Two External Marketing Environment Actors</w:t>
      </w:r>
      <w:bookmarkEnd w:id="3"/>
      <w:r w:rsidRPr="00793E15">
        <w:t xml:space="preserve"> </w:t>
      </w:r>
    </w:p>
    <w:p w14:paraId="008FF733" w14:textId="77777777" w:rsidR="007B4691" w:rsidRPr="00793E15" w:rsidRDefault="00000000">
      <w:pPr>
        <w:pStyle w:val="Heading3"/>
      </w:pPr>
      <w:bookmarkStart w:id="4" w:name="_bx1lr1pvpt2e" w:colFirst="0" w:colLast="0"/>
      <w:bookmarkStart w:id="5" w:name="_Toc235743271"/>
      <w:bookmarkEnd w:id="4"/>
      <w:r w:rsidRPr="00793E15">
        <w:t>1.2.1 Environmental actors</w:t>
      </w:r>
      <w:bookmarkEnd w:id="5"/>
      <w:r w:rsidRPr="00793E15">
        <w:t xml:space="preserve"> </w:t>
      </w:r>
    </w:p>
    <w:p w14:paraId="2E0B2224" w14:textId="77777777" w:rsidR="007B4691" w:rsidRPr="00793E15" w:rsidRDefault="00000000">
      <w:pPr>
        <w:rPr>
          <w:b/>
          <w:bCs/>
        </w:rPr>
      </w:pPr>
      <w:r w:rsidRPr="00793E15">
        <w:rPr>
          <w:b/>
          <w:bCs/>
        </w:rPr>
        <w:t>Climate change and decarbonisation pressures</w:t>
      </w:r>
    </w:p>
    <w:p w14:paraId="7C2984E9" w14:textId="77777777" w:rsidR="007B4691" w:rsidRPr="00793E15" w:rsidRDefault="00000000">
      <w:r w:rsidRPr="00793E15">
        <w:t>External environmental forces, including pressure from decarbonisation policies and climate change, influenced the internal and external business operations of Tata Steel in India. The Indian steel sector accounts for 10-12% of the country's greenhouse gas emissions, making it a major carbon-intensive sector.</w:t>
      </w:r>
    </w:p>
    <w:p w14:paraId="5FDCCF13" w14:textId="77777777" w:rsidR="007B4691" w:rsidRPr="00793E15" w:rsidRDefault="00000000">
      <w:r w:rsidRPr="00793E15">
        <w:t>Additionally, the global average range of emissions around 2.0 tCO2/t has been crossed by the Indian steel sector as it contributes 2.55-2.65 tonnes of CO</w:t>
      </w:r>
      <w:r w:rsidRPr="00793E15">
        <w:rPr>
          <w:rFonts w:ascii="Cambria Math" w:eastAsia="Cambria Math" w:hAnsi="Cambria Math" w:cs="Cambria Math"/>
        </w:rPr>
        <w:t>₂</w:t>
      </w:r>
      <w:r w:rsidRPr="00793E15">
        <w:t xml:space="preserve"> per tonne of steel (</w:t>
      </w:r>
      <w:proofErr w:type="spellStart"/>
      <w:r w:rsidRPr="00793E15">
        <w:t>Myllyvirta</w:t>
      </w:r>
      <w:proofErr w:type="spellEnd"/>
      <w:r w:rsidRPr="00793E15">
        <w:t xml:space="preserve"> and Aggarwal, 2026). Following sustainability standards, the Indian government aims to increase production capacity to 400 million tonnes with an emission reduction by 25% by 2035. </w:t>
      </w:r>
    </w:p>
    <w:p w14:paraId="3500E7D7" w14:textId="77777777" w:rsidR="007B4691" w:rsidRPr="00793E15" w:rsidRDefault="00000000">
      <w:pPr>
        <w:jc w:val="center"/>
      </w:pPr>
      <w:r w:rsidRPr="00793E15">
        <w:rPr>
          <w:noProof/>
        </w:rPr>
        <w:lastRenderedPageBreak/>
        <w:drawing>
          <wp:inline distT="114300" distB="114300" distL="114300" distR="114300" wp14:anchorId="30F52FF1" wp14:editId="493CFBA1">
            <wp:extent cx="5943600" cy="3632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632200"/>
                    </a:xfrm>
                    <a:prstGeom prst="rect">
                      <a:avLst/>
                    </a:prstGeom>
                    <a:ln/>
                  </pic:spPr>
                </pic:pic>
              </a:graphicData>
            </a:graphic>
          </wp:inline>
        </w:drawing>
      </w:r>
    </w:p>
    <w:p w14:paraId="7ECAF812" w14:textId="77777777" w:rsidR="007B4691" w:rsidRPr="00793E15" w:rsidRDefault="00000000">
      <w:pPr>
        <w:jc w:val="center"/>
        <w:rPr>
          <w:b/>
          <w:bCs/>
        </w:rPr>
      </w:pPr>
      <w:r w:rsidRPr="00793E15">
        <w:rPr>
          <w:b/>
          <w:bCs/>
        </w:rPr>
        <w:t>Figure 1: Carbon emission in India through the years</w:t>
      </w:r>
    </w:p>
    <w:p w14:paraId="4B9BC9FE" w14:textId="77777777" w:rsidR="007B4691" w:rsidRPr="00793E15" w:rsidRDefault="00000000">
      <w:pPr>
        <w:jc w:val="center"/>
      </w:pPr>
      <w:r w:rsidRPr="00793E15">
        <w:t xml:space="preserve">(Source: </w:t>
      </w:r>
      <w:proofErr w:type="spellStart"/>
      <w:r w:rsidRPr="00793E15">
        <w:t>Myllyvirta</w:t>
      </w:r>
      <w:proofErr w:type="spellEnd"/>
      <w:r w:rsidRPr="00793E15">
        <w:t xml:space="preserve"> and Aggarwal, 2026)</w:t>
      </w:r>
    </w:p>
    <w:p w14:paraId="32A0EE11" w14:textId="77777777" w:rsidR="007B4691" w:rsidRPr="00793E15" w:rsidRDefault="00000000">
      <w:r w:rsidRPr="00793E15">
        <w:t xml:space="preserve">Henceforth, Tata Steel is also operating to accelerate its decarbonisation strategy and strive to comply with regulatory expectations as well as market demands. In 2025, Tata Steel reported 2.22 </w:t>
      </w:r>
      <w:proofErr w:type="spellStart"/>
      <w:r w:rsidRPr="00793E15">
        <w:t>tCO</w:t>
      </w:r>
      <w:proofErr w:type="spellEnd"/>
      <w:r w:rsidRPr="00793E15">
        <w:rPr>
          <w:rFonts w:ascii="Cambria Math" w:eastAsia="Cambria Math" w:hAnsi="Cambria Math" w:cs="Cambria Math"/>
        </w:rPr>
        <w:t>₂</w:t>
      </w:r>
      <w:r w:rsidRPr="00793E15">
        <w:t xml:space="preserve"> per tonne of crude steel emission and targeted to reduce it to &lt;2.0 </w:t>
      </w:r>
      <w:proofErr w:type="spellStart"/>
      <w:r w:rsidRPr="00793E15">
        <w:t>tCO</w:t>
      </w:r>
      <w:proofErr w:type="spellEnd"/>
      <w:r w:rsidRPr="00793E15">
        <w:rPr>
          <w:rFonts w:ascii="Cambria Math" w:eastAsia="Cambria Math" w:hAnsi="Cambria Math" w:cs="Cambria Math"/>
        </w:rPr>
        <w:t>₂</w:t>
      </w:r>
      <w:r w:rsidRPr="00793E15">
        <w:t xml:space="preserve">/t by 2045 while achieving net-zero emissions (Tata Steel, 2026). Likewise, the investment priorities, production and technological adoption are also transforming in the Indian market. </w:t>
      </w:r>
    </w:p>
    <w:p w14:paraId="62D9BF04" w14:textId="77777777" w:rsidR="007B4691" w:rsidRPr="00793E15" w:rsidRDefault="00000000">
      <w:pPr>
        <w:jc w:val="center"/>
      </w:pPr>
      <w:r w:rsidRPr="00793E15">
        <w:rPr>
          <w:noProof/>
        </w:rPr>
        <w:lastRenderedPageBreak/>
        <w:drawing>
          <wp:inline distT="114300" distB="114300" distL="114300" distR="114300" wp14:anchorId="438E297A" wp14:editId="3FDA0CEE">
            <wp:extent cx="5943600" cy="28956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2895600"/>
                    </a:xfrm>
                    <a:prstGeom prst="rect">
                      <a:avLst/>
                    </a:prstGeom>
                    <a:ln/>
                  </pic:spPr>
                </pic:pic>
              </a:graphicData>
            </a:graphic>
          </wp:inline>
        </w:drawing>
      </w:r>
    </w:p>
    <w:p w14:paraId="5681E92C" w14:textId="77777777" w:rsidR="007B4691" w:rsidRPr="00793E15" w:rsidRDefault="00000000">
      <w:pPr>
        <w:jc w:val="center"/>
        <w:rPr>
          <w:b/>
          <w:bCs/>
        </w:rPr>
      </w:pPr>
      <w:r w:rsidRPr="00793E15">
        <w:rPr>
          <w:b/>
          <w:bCs/>
        </w:rPr>
        <w:t>Figure 2: CO2 emission trend of Tata Steel</w:t>
      </w:r>
    </w:p>
    <w:p w14:paraId="50DB2C54" w14:textId="77777777" w:rsidR="007B4691" w:rsidRPr="00793E15" w:rsidRDefault="00000000">
      <w:pPr>
        <w:jc w:val="center"/>
      </w:pPr>
      <w:r w:rsidRPr="00793E15">
        <w:t>(Source: Tata Steel, 2026)</w:t>
      </w:r>
    </w:p>
    <w:p w14:paraId="03406936" w14:textId="77777777" w:rsidR="007B4691" w:rsidRPr="00793E15" w:rsidRDefault="00000000">
      <w:pPr>
        <w:rPr>
          <w:b/>
          <w:bCs/>
        </w:rPr>
      </w:pPr>
      <w:r w:rsidRPr="00793E15">
        <w:rPr>
          <w:b/>
          <w:bCs/>
        </w:rPr>
        <w:t>Environmental regulations and carbon policies</w:t>
      </w:r>
    </w:p>
    <w:p w14:paraId="5910F629" w14:textId="77777777" w:rsidR="007B4691" w:rsidRPr="00793E15" w:rsidRDefault="00000000">
      <w:r w:rsidRPr="00793E15">
        <w:t xml:space="preserve">Environmental regulations and government policies regarding decarbonisation have influenced Tata Steel's operational transition to lower-carbon production in India. A budget of INR 19,744 crore (US$2.3 billion) has been considered by the National Green Hydrogen Mission to induce hydrogen-based steelmaking and accelerate low-carbon technologies (India Science and Technology, 2026; PIB Delhi, 2025). </w:t>
      </w:r>
    </w:p>
    <w:p w14:paraId="7AC06FEA" w14:textId="77777777" w:rsidR="007B4691" w:rsidRPr="00793E15" w:rsidRDefault="00000000">
      <w:pPr>
        <w:jc w:val="center"/>
      </w:pPr>
      <w:r w:rsidRPr="00793E15">
        <w:rPr>
          <w:noProof/>
        </w:rPr>
        <w:lastRenderedPageBreak/>
        <w:drawing>
          <wp:inline distT="114300" distB="114300" distL="114300" distR="114300" wp14:anchorId="2B2ED79C" wp14:editId="3F124AA6">
            <wp:extent cx="5943600" cy="3568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568700"/>
                    </a:xfrm>
                    <a:prstGeom prst="rect">
                      <a:avLst/>
                    </a:prstGeom>
                    <a:ln/>
                  </pic:spPr>
                </pic:pic>
              </a:graphicData>
            </a:graphic>
          </wp:inline>
        </w:drawing>
      </w:r>
    </w:p>
    <w:p w14:paraId="43925FDD" w14:textId="77777777" w:rsidR="007B4691" w:rsidRPr="00793E15" w:rsidRDefault="00000000">
      <w:pPr>
        <w:jc w:val="center"/>
        <w:rPr>
          <w:b/>
          <w:bCs/>
        </w:rPr>
      </w:pPr>
      <w:r w:rsidRPr="00793E15">
        <w:rPr>
          <w:b/>
          <w:bCs/>
        </w:rPr>
        <w:t>Figure 3: Steel decarbonisation in India</w:t>
      </w:r>
    </w:p>
    <w:p w14:paraId="617484DD" w14:textId="77777777" w:rsidR="007B4691" w:rsidRPr="00793E15" w:rsidRDefault="00000000">
      <w:pPr>
        <w:jc w:val="center"/>
      </w:pPr>
      <w:r w:rsidRPr="00793E15">
        <w:t xml:space="preserve">(Source: Garg </w:t>
      </w:r>
      <w:r w:rsidRPr="00793E15">
        <w:rPr>
          <w:i/>
          <w:iCs/>
        </w:rPr>
        <w:t xml:space="preserve">et al., </w:t>
      </w:r>
      <w:r w:rsidRPr="00793E15">
        <w:t>2023)</w:t>
      </w:r>
    </w:p>
    <w:p w14:paraId="4E19FB7C" w14:textId="77777777" w:rsidR="007B4691" w:rsidRPr="00793E15" w:rsidRDefault="00000000">
      <w:r w:rsidRPr="00793E15">
        <w:t xml:space="preserve">Moreover, the Taxonomy of Green Steel in 2024 framework by the Ministry of Steel enabled strategy integration for categorising steel by emission level and within the threshold of &lt; 2.2 </w:t>
      </w:r>
      <w:proofErr w:type="spellStart"/>
      <w:r w:rsidRPr="00793E15">
        <w:t>tCO</w:t>
      </w:r>
      <w:r w:rsidRPr="00793E15">
        <w:rPr>
          <w:rFonts w:ascii="Cambria Math" w:eastAsia="Cambria Math" w:hAnsi="Cambria Math" w:cs="Cambria Math"/>
        </w:rPr>
        <w:t>₂</w:t>
      </w:r>
      <w:r w:rsidRPr="00793E15">
        <w:t>e</w:t>
      </w:r>
      <w:proofErr w:type="spellEnd"/>
      <w:r w:rsidRPr="00793E15">
        <w:t xml:space="preserve"> per tonne of finished steel for green steel certification (PIB Delhi, 2024). </w:t>
      </w:r>
    </w:p>
    <w:p w14:paraId="55D19EC9" w14:textId="77777777" w:rsidR="007B4691" w:rsidRPr="00793E15" w:rsidRDefault="00000000">
      <w:r w:rsidRPr="00793E15">
        <w:t xml:space="preserve">Operational transparency has been encouraged with the Business Responsibility and Sustainability Reporting (BRSR) framework, which guided Tata Steel to invest in efficient and sustainable technologies with higher credentials and an improved position in the emerging green steel markets. </w:t>
      </w:r>
    </w:p>
    <w:p w14:paraId="65C55D95" w14:textId="77777777" w:rsidR="007B4691" w:rsidRPr="00793E15" w:rsidRDefault="00000000">
      <w:pPr>
        <w:rPr>
          <w:b/>
          <w:bCs/>
        </w:rPr>
      </w:pPr>
      <w:r w:rsidRPr="00793E15">
        <w:rPr>
          <w:b/>
          <w:bCs/>
        </w:rPr>
        <w:t>Tata Steel's sustainability initiatives</w:t>
      </w:r>
    </w:p>
    <w:p w14:paraId="5FA411CA" w14:textId="77777777" w:rsidR="007B4691" w:rsidRPr="00793E15" w:rsidRDefault="00000000">
      <w:r w:rsidRPr="00793E15">
        <w:t xml:space="preserve">The sustainability initiative undertaken by Tata Steel has focused on decarbonisation practices to strengthen its corporate branding as a responsible steel producer. Commissioning 15MW of green hydrogen capacity at Jamshedpur, Tata Steel has increased steel scrap utilisation by 18%, with 22% of electricity consumption highlighting renewable source usage in 2025 (Tata Steel, 2026). The planned investment in </w:t>
      </w:r>
      <w:r w:rsidRPr="00793E15">
        <w:lastRenderedPageBreak/>
        <w:t xml:space="preserve">decarbonisation initiatives of &gt; US$1 billion by 2030 also supported its net-zero target for 2045 (Force for Good, 2026). </w:t>
      </w:r>
    </w:p>
    <w:p w14:paraId="344B6B78" w14:textId="77777777" w:rsidR="007B4691" w:rsidRPr="00793E15" w:rsidRDefault="00000000">
      <w:r w:rsidRPr="00793E15">
        <w:t xml:space="preserve">Considering the corporate branding aspects, sustainability initiatives and prospective investments have increased its environmental credibility, ESG attractiveness and stakeholder confidence and presented it as a stable corporation in the emerging green steel market. On the other hand, Tata Steel competitors such as JSW Steel have aimed to obtain 1.95 </w:t>
      </w:r>
      <w:proofErr w:type="spellStart"/>
      <w:r w:rsidRPr="00793E15">
        <w:t>tCO</w:t>
      </w:r>
      <w:proofErr w:type="spellEnd"/>
      <w:r w:rsidRPr="00793E15">
        <w:rPr>
          <w:rFonts w:ascii="Cambria Math" w:eastAsia="Cambria Math" w:hAnsi="Cambria Math" w:cs="Cambria Math"/>
        </w:rPr>
        <w:t>₂</w:t>
      </w:r>
      <w:r w:rsidRPr="00793E15">
        <w:t>/</w:t>
      </w:r>
      <w:proofErr w:type="spellStart"/>
      <w:r w:rsidRPr="00793E15">
        <w:t>tcs</w:t>
      </w:r>
      <w:proofErr w:type="spellEnd"/>
      <w:r w:rsidRPr="00793E15">
        <w:t xml:space="preserve"> by 2030 and SAIL showed &gt; 2.5 </w:t>
      </w:r>
      <w:proofErr w:type="spellStart"/>
      <w:r w:rsidRPr="00793E15">
        <w:t>tCO</w:t>
      </w:r>
      <w:proofErr w:type="spellEnd"/>
      <w:r w:rsidRPr="00793E15">
        <w:rPr>
          <w:rFonts w:ascii="Cambria Math" w:eastAsia="Cambria Math" w:hAnsi="Cambria Math" w:cs="Cambria Math"/>
        </w:rPr>
        <w:t>₂</w:t>
      </w:r>
      <w:r w:rsidRPr="00793E15">
        <w:t>/</w:t>
      </w:r>
      <w:proofErr w:type="spellStart"/>
      <w:r w:rsidRPr="00793E15">
        <w:t>tcs</w:t>
      </w:r>
      <w:proofErr w:type="spellEnd"/>
      <w:r w:rsidRPr="00793E15">
        <w:t xml:space="preserve"> record in carbon emissions (JSW, 2026; SAIL, 2026). </w:t>
      </w:r>
    </w:p>
    <w:p w14:paraId="4C66A273" w14:textId="77777777" w:rsidR="007B4691" w:rsidRPr="00793E15" w:rsidRDefault="00000000">
      <w:r w:rsidRPr="00793E15">
        <w:t xml:space="preserve">Henceforth, Tata Steel has an opportunistic position with sustainability investments and showed potential in improved environmental performance, gaining innovative brand positioning in the long-term market environment. </w:t>
      </w:r>
    </w:p>
    <w:p w14:paraId="1872F709" w14:textId="77777777" w:rsidR="007B4691" w:rsidRPr="00793E15" w:rsidRDefault="00000000">
      <w:pPr>
        <w:rPr>
          <w:b/>
          <w:bCs/>
        </w:rPr>
      </w:pPr>
      <w:r w:rsidRPr="00793E15">
        <w:rPr>
          <w:b/>
          <w:bCs/>
        </w:rPr>
        <w:t>Opportunities and challenges arising from the environmental actors</w:t>
      </w:r>
    </w:p>
    <w:p w14:paraId="0D7BE545" w14:textId="77777777" w:rsidR="007B4691" w:rsidRPr="00793E15" w:rsidRDefault="00000000">
      <w:pPr>
        <w:rPr>
          <w:b/>
          <w:bCs/>
        </w:rPr>
      </w:pPr>
      <w:r w:rsidRPr="00793E15">
        <w:rPr>
          <w:b/>
          <w:bCs/>
        </w:rPr>
        <w:t>Opportunities</w:t>
      </w:r>
    </w:p>
    <w:p w14:paraId="6517491A" w14:textId="77777777" w:rsidR="007B4691" w:rsidRPr="00793E15" w:rsidRDefault="00000000">
      <w:r w:rsidRPr="00793E15">
        <w:t xml:space="preserve">Tata Steel has obtained strong business growth opportunities with extensive allocation by the National Green Hydrogen Mission. It is estimated that it has the potential to create opportunities for green steel production with low-carbon industrial technologies. Additionally, increased investment in ESG initiatives aligned with rising demand for sustainable materials has improved corporate brand perception of Tata Steel, with increased access in premium markets. </w:t>
      </w:r>
    </w:p>
    <w:p w14:paraId="495C5DC2" w14:textId="77777777" w:rsidR="007B4691" w:rsidRPr="00793E15" w:rsidRDefault="00000000">
      <w:pPr>
        <w:rPr>
          <w:b/>
          <w:bCs/>
        </w:rPr>
      </w:pPr>
      <w:r w:rsidRPr="00793E15">
        <w:rPr>
          <w:b/>
          <w:bCs/>
        </w:rPr>
        <w:t xml:space="preserve">Challenges </w:t>
      </w:r>
    </w:p>
    <w:p w14:paraId="7785CA38" w14:textId="77777777" w:rsidR="007B4691" w:rsidRPr="00793E15" w:rsidRDefault="00000000">
      <w:r w:rsidRPr="00793E15">
        <w:t xml:space="preserve">On the contrary to opportunities, Tata Steel has significant threats that hinders the expansion and sustainability options. Despite the planned investment of &gt; US$1 billion in decarbonisation initiatives showed commitment to sustainable operations, financial burden is evident. In addition to this, increased compliance costs with 100% implementation of the EU Carbon Border Adjustment Mechanism (CBAM) in 2026 can increase technological uncertainties with fluctuations in large-scale production of hydrogen-based steel. </w:t>
      </w:r>
    </w:p>
    <w:p w14:paraId="62ABB204" w14:textId="77777777" w:rsidR="007B4691" w:rsidRPr="00793E15" w:rsidRDefault="00000000">
      <w:pPr>
        <w:pStyle w:val="Heading3"/>
      </w:pPr>
      <w:bookmarkStart w:id="6" w:name="_s6tj3st7drmd" w:colFirst="0" w:colLast="0"/>
      <w:bookmarkStart w:id="7" w:name="_Toc235743272"/>
      <w:bookmarkEnd w:id="6"/>
      <w:r w:rsidRPr="00793E15">
        <w:lastRenderedPageBreak/>
        <w:t>1.2.2 Political and regulatory environment actors</w:t>
      </w:r>
      <w:bookmarkEnd w:id="7"/>
      <w:r w:rsidRPr="00793E15">
        <w:t xml:space="preserve"> </w:t>
      </w:r>
    </w:p>
    <w:p w14:paraId="6FD91E0A" w14:textId="77777777" w:rsidR="007B4691" w:rsidRPr="00793E15" w:rsidRDefault="00000000">
      <w:r w:rsidRPr="00793E15">
        <w:rPr>
          <w:b/>
          <w:bCs/>
          <w:i/>
          <w:iCs/>
        </w:rPr>
        <w:t>Investor and ESG expectations</w:t>
      </w:r>
      <w:r w:rsidRPr="00793E15">
        <w:t xml:space="preserve"> are critical factors as political and regulatory actors that influence organisational transition into a low-</w:t>
      </w:r>
      <w:proofErr w:type="spellStart"/>
      <w:r w:rsidRPr="00793E15">
        <w:t>carb</w:t>
      </w:r>
      <w:proofErr w:type="spellEnd"/>
      <w:r w:rsidRPr="00793E15">
        <w:t xml:space="preserve"> production facility for Tata Steel in the Indian market. On the other hand, policy interventions, sustainability mandates and investor trust are affecting the sustainability initiatives of the company. </w:t>
      </w:r>
    </w:p>
    <w:p w14:paraId="7762569F" w14:textId="77777777" w:rsidR="007B4691" w:rsidRPr="00793E15" w:rsidRDefault="00000000">
      <w:r w:rsidRPr="00793E15">
        <w:t xml:space="preserve">Government initiatives, including mandatory Business Responsibility and Sustainability Reporting (BRSR) and Carbon Credit Trading Scheme (CCTS), have increased the regulatory standards for environment-oriented performance (PIB Delhi, 2026). Moreover, ESG criteria are increasingly supported by institutional investors, while global interest has resulted in a hike of US$1.6 trillion in investment for the same. Hence, climate commitments and sustainability disclosures are encouraged (UNCTAD, 2026). </w:t>
      </w:r>
    </w:p>
    <w:p w14:paraId="12A20EAC" w14:textId="77777777" w:rsidR="007B4691" w:rsidRPr="00793E15" w:rsidRDefault="00000000">
      <w:pPr>
        <w:jc w:val="center"/>
      </w:pPr>
      <w:r w:rsidRPr="00793E15">
        <w:rPr>
          <w:noProof/>
        </w:rPr>
        <w:drawing>
          <wp:inline distT="114300" distB="114300" distL="114300" distR="114300" wp14:anchorId="3BC68704" wp14:editId="4A366D95">
            <wp:extent cx="5943600" cy="3632200"/>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632200"/>
                    </a:xfrm>
                    <a:prstGeom prst="rect">
                      <a:avLst/>
                    </a:prstGeom>
                    <a:ln w="12700">
                      <a:solidFill>
                        <a:srgbClr val="000000"/>
                      </a:solidFill>
                      <a:prstDash val="solid"/>
                    </a:ln>
                  </pic:spPr>
                </pic:pic>
              </a:graphicData>
            </a:graphic>
          </wp:inline>
        </w:drawing>
      </w:r>
    </w:p>
    <w:p w14:paraId="6E19882A" w14:textId="77777777" w:rsidR="007B4691" w:rsidRPr="00793E15" w:rsidRDefault="00000000">
      <w:pPr>
        <w:jc w:val="center"/>
        <w:rPr>
          <w:b/>
          <w:bCs/>
        </w:rPr>
      </w:pPr>
      <w:r w:rsidRPr="00793E15">
        <w:rPr>
          <w:b/>
          <w:bCs/>
        </w:rPr>
        <w:t>Figure 4: Investment and asset pattern for sustainability</w:t>
      </w:r>
    </w:p>
    <w:p w14:paraId="6489AF7D" w14:textId="77777777" w:rsidR="007B4691" w:rsidRPr="00793E15" w:rsidRDefault="00000000">
      <w:pPr>
        <w:jc w:val="center"/>
      </w:pPr>
      <w:r w:rsidRPr="00793E15">
        <w:t>(Source: Morgan Stanley, 2025)</w:t>
      </w:r>
    </w:p>
    <w:p w14:paraId="111E2E8C" w14:textId="77777777" w:rsidR="007B4691" w:rsidRPr="00793E15" w:rsidRDefault="00000000">
      <w:r w:rsidRPr="00793E15">
        <w:t xml:space="preserve">The figure showed that sustainability related investment funds declined in 2025 ($3.92 trillion) by 6.7% compared to 2024, indicating changing flow of global sustainability fund (Morgan Stanley, 2025). Hence, the sustainability strategies are changing in </w:t>
      </w:r>
      <w:r w:rsidRPr="00793E15">
        <w:lastRenderedPageBreak/>
        <w:t xml:space="preserve">organisations. Demand for low-carbon steel products is predicted to increase by 10-15% in the global market. The automotive sector is projected to achieve 40% green steel production, addressing increasing consumption demand in Eurasia by 2035 (Transport Environment, 2025). </w:t>
      </w:r>
    </w:p>
    <w:p w14:paraId="4DEC660F" w14:textId="77777777" w:rsidR="007B4691" w:rsidRPr="00793E15" w:rsidRDefault="00000000">
      <w:r w:rsidRPr="00793E15">
        <w:t xml:space="preserve">Therefore, the low-carbon steel portfolio is also integrated in Tata Steel’s agenda. The Tricomponent Attitude Model has highlighted this behavioural shift and demonstrated the role of stakeholders to develop cognitive awareness leading to organisational transformation as seen in the sustainability initiatives by Tata Steel. </w:t>
      </w:r>
    </w:p>
    <w:p w14:paraId="011425F2" w14:textId="77777777" w:rsidR="007B4691" w:rsidRPr="00793E15" w:rsidRDefault="00000000">
      <w:pPr>
        <w:rPr>
          <w:b/>
          <w:bCs/>
        </w:rPr>
      </w:pPr>
      <w:r w:rsidRPr="00793E15">
        <w:rPr>
          <w:b/>
          <w:bCs/>
        </w:rPr>
        <w:t>Influence on brand positioning and market competitiveness</w:t>
      </w:r>
    </w:p>
    <w:p w14:paraId="7D0055E1" w14:textId="77777777" w:rsidR="007B4691" w:rsidRPr="00793E15" w:rsidRDefault="00000000">
      <w:r w:rsidRPr="00793E15">
        <w:t xml:space="preserve">Following Keller’s Customer-Based Brand Equity (CBBE) model, Tata Steel has developed its identity through reliable products and sustainable operations. Generally, the global steel sector is responsible for 7-9% of global GHG emissions (Idrissov, 2025). Utilising Tata Steel Carbon Bank, the company can produce verifiable proof of GHG emission reduction. Following the meaning and responsive operations, Tata Steel can convince its clients that its green solutions </w:t>
      </w:r>
      <w:proofErr w:type="gramStart"/>
      <w:r w:rsidRPr="00793E15">
        <w:t>are capable of reducing</w:t>
      </w:r>
      <w:proofErr w:type="gramEnd"/>
      <w:r w:rsidRPr="00793E15">
        <w:t xml:space="preserve"> GHG emissions, satisfying cognitive beliefs. As Tata Steel is entering the renewable energy sector, Tata Steel needs to ensure that its sustainable solutions are able to satisfy the logical requirements of B2B clients at a rapid pace to ensure Tata Steel aims to achieve a leading position in the eco-labelled steel sector showing strong customer relationships (Agarwal, 2026). </w:t>
      </w:r>
    </w:p>
    <w:p w14:paraId="10EB95F3" w14:textId="77777777" w:rsidR="007B4691" w:rsidRPr="00793E15" w:rsidRDefault="00000000">
      <w:r w:rsidRPr="00793E15">
        <w:br w:type="page"/>
      </w:r>
    </w:p>
    <w:p w14:paraId="38E43803" w14:textId="77777777" w:rsidR="007B4691" w:rsidRPr="00793E15" w:rsidRDefault="00000000">
      <w:pPr>
        <w:pStyle w:val="Heading1"/>
      </w:pPr>
      <w:bookmarkStart w:id="8" w:name="_d5syjg96at2x" w:colFirst="0" w:colLast="0"/>
      <w:bookmarkStart w:id="9" w:name="_Toc235743273"/>
      <w:bookmarkEnd w:id="8"/>
      <w:r w:rsidRPr="00793E15">
        <w:lastRenderedPageBreak/>
        <w:t>Task 2: Strategic Growth and Competitive Positioning</w:t>
      </w:r>
      <w:bookmarkEnd w:id="9"/>
      <w:r w:rsidRPr="00793E15">
        <w:t xml:space="preserve"> </w:t>
      </w:r>
    </w:p>
    <w:p w14:paraId="26458F6D" w14:textId="77777777" w:rsidR="007B4691" w:rsidRPr="00793E15" w:rsidRDefault="00000000">
      <w:pPr>
        <w:pStyle w:val="Heading2"/>
      </w:pPr>
      <w:bookmarkStart w:id="10" w:name="_tfvxd6wm2kqp" w:colFirst="0" w:colLast="0"/>
      <w:bookmarkStart w:id="11" w:name="_Toc235743274"/>
      <w:bookmarkEnd w:id="10"/>
      <w:r w:rsidRPr="00793E15">
        <w:t>2.1 Recommendation of a Strategic Growth Approach</w:t>
      </w:r>
      <w:bookmarkEnd w:id="11"/>
      <w:r w:rsidRPr="00793E15">
        <w:t xml:space="preserve"> </w:t>
      </w:r>
    </w:p>
    <w:p w14:paraId="559C1540" w14:textId="77777777" w:rsidR="007B4691" w:rsidRPr="00793E15" w:rsidRDefault="00000000">
      <w:pPr>
        <w:pStyle w:val="Heading3"/>
      </w:pPr>
      <w:bookmarkStart w:id="12" w:name="_4065yju1qlty" w:colFirst="0" w:colLast="0"/>
      <w:bookmarkStart w:id="13" w:name="_Toc235743275"/>
      <w:bookmarkEnd w:id="12"/>
      <w:r w:rsidRPr="00793E15">
        <w:t>2.1.1 Application of the Ansoff Matrix</w:t>
      </w:r>
      <w:bookmarkEnd w:id="13"/>
      <w:r w:rsidRPr="00793E15">
        <w:t xml:space="preserve"> </w:t>
      </w:r>
    </w:p>
    <w:p w14:paraId="5FE80B1E" w14:textId="77777777" w:rsidR="007B4691" w:rsidRPr="00793E15" w:rsidRDefault="00000000">
      <w:r w:rsidRPr="00793E15">
        <w:t xml:space="preserve">Applying the Ansoff Matrix framework, the growth opportunities of Tata Steel in the current market scenario can be evaluated. Mapping the existing vs. new products and existing vs. new markets helped to determine the need to focus on product diversification after assessing the environmental and political factors to ensure parallel (Tata Steel, 2026). The execution of this transition may be initiated with eco-friendly technology, as the global green mining sector is growing at a CAGR of 3.55% from 2025 to 2034 (Fortune Business Insights, 2026). </w:t>
      </w:r>
    </w:p>
    <w:p w14:paraId="63FF7A0E" w14:textId="77777777" w:rsidR="007B4691" w:rsidRPr="00793E15" w:rsidRDefault="00000000">
      <w:pPr>
        <w:jc w:val="center"/>
      </w:pPr>
      <w:r w:rsidRPr="00793E15">
        <w:rPr>
          <w:noProof/>
        </w:rPr>
        <w:drawing>
          <wp:inline distT="114300" distB="114300" distL="114300" distR="114300" wp14:anchorId="2516D1C2" wp14:editId="7779D724">
            <wp:extent cx="5731200" cy="28575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2857500"/>
                    </a:xfrm>
                    <a:prstGeom prst="rect">
                      <a:avLst/>
                    </a:prstGeom>
                    <a:ln w="12700">
                      <a:solidFill>
                        <a:srgbClr val="000000"/>
                      </a:solidFill>
                      <a:prstDash val="solid"/>
                    </a:ln>
                  </pic:spPr>
                </pic:pic>
              </a:graphicData>
            </a:graphic>
          </wp:inline>
        </w:drawing>
      </w:r>
    </w:p>
    <w:p w14:paraId="5AFA4419" w14:textId="77777777" w:rsidR="007B4691" w:rsidRPr="00793E15" w:rsidRDefault="00000000">
      <w:pPr>
        <w:jc w:val="center"/>
        <w:rPr>
          <w:b/>
          <w:bCs/>
        </w:rPr>
      </w:pPr>
      <w:r w:rsidRPr="00793E15">
        <w:rPr>
          <w:b/>
          <w:bCs/>
        </w:rPr>
        <w:t>Figure 5: Growth of global green mining technologies</w:t>
      </w:r>
    </w:p>
    <w:p w14:paraId="4E136B31" w14:textId="77777777" w:rsidR="007B4691" w:rsidRPr="00793E15" w:rsidRDefault="00000000">
      <w:pPr>
        <w:jc w:val="center"/>
      </w:pPr>
      <w:r w:rsidRPr="00793E15">
        <w:t>(Source: Fortune Business Insights, 2026)</w:t>
      </w:r>
    </w:p>
    <w:p w14:paraId="5A041728" w14:textId="77777777" w:rsidR="007B4691" w:rsidRPr="00793E15" w:rsidRDefault="00000000">
      <w:pPr>
        <w:rPr>
          <w:b/>
          <w:bCs/>
        </w:rPr>
      </w:pPr>
      <w:r w:rsidRPr="00793E15">
        <w:rPr>
          <w:b/>
          <w:bCs/>
        </w:rPr>
        <w:t>Renewable electricity and green hydrogen as eco-friendly solutions</w:t>
      </w:r>
    </w:p>
    <w:p w14:paraId="69F949FF" w14:textId="77777777" w:rsidR="007B4691" w:rsidRPr="00793E15" w:rsidRDefault="00000000">
      <w:r w:rsidRPr="00793E15">
        <w:t xml:space="preserve">To diversify, Tata Steel is replacing traditional coal-based furnaces with renewable electricity and green hydrogen, applying Direct Reduced Iron, which is exhibited in a low-carbon steel-making process applied by the company in the UK’s largest low-carbon electric arc furnace project at Port Talbot, which is expected to reduce site-wide GHG emissions by 90% (Verma, 2026). Tata Steel has initiated to restructure its production </w:t>
      </w:r>
      <w:r w:rsidRPr="00793E15">
        <w:lastRenderedPageBreak/>
        <w:t>process leveraging hydrogen, aiming to reduce GHG emissions by 35-40% by 2030 and produce 100% CO</w:t>
      </w:r>
      <w:r w:rsidRPr="00793E15">
        <w:rPr>
          <w:vertAlign w:val="subscript"/>
        </w:rPr>
        <w:t>2</w:t>
      </w:r>
      <w:r w:rsidRPr="00793E15">
        <w:t xml:space="preserve">-neutral steel by 2045 (Tata Steel, 2026). </w:t>
      </w:r>
    </w:p>
    <w:p w14:paraId="1B98AE21" w14:textId="77777777" w:rsidR="007B4691" w:rsidRPr="00793E15" w:rsidRDefault="00000000">
      <w:pPr>
        <w:rPr>
          <w:b/>
          <w:bCs/>
        </w:rPr>
      </w:pPr>
      <w:r w:rsidRPr="00793E15">
        <w:rPr>
          <w:b/>
          <w:bCs/>
        </w:rPr>
        <w:t>Recycling and circular economy</w:t>
      </w:r>
    </w:p>
    <w:p w14:paraId="4B5CF072" w14:textId="77777777" w:rsidR="007B4691" w:rsidRPr="00793E15" w:rsidRDefault="00000000">
      <w:r w:rsidRPr="00793E15">
        <w:t xml:space="preserve">Prioritising a diversification strategy is evident from Tata Steel’s recycling initiative to reduce reliance on virgin iron ore and reduce waste. Tata Steel recycles 99.9% of its by-products and by 2030 aims to recycle 100% of its by-products (Tata Steel, 2026; Agarwal, 2026). Overall, Tata’s diversification strategy is rooted in circular economy philosophy, which encourages slag and industrial waste to be reprocessed into raw materials. </w:t>
      </w:r>
    </w:p>
    <w:p w14:paraId="478111B1" w14:textId="77777777" w:rsidR="007B4691" w:rsidRPr="00793E15" w:rsidRDefault="00000000">
      <w:pPr>
        <w:jc w:val="center"/>
      </w:pPr>
      <w:r w:rsidRPr="00793E15">
        <w:rPr>
          <w:noProof/>
        </w:rPr>
        <w:lastRenderedPageBreak/>
        <w:drawing>
          <wp:inline distT="114300" distB="114300" distL="114300" distR="114300" wp14:anchorId="183F6DDA" wp14:editId="5465FBB7">
            <wp:extent cx="2608264" cy="6759336"/>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t="26941"/>
                    <a:stretch>
                      <a:fillRect/>
                    </a:stretch>
                  </pic:blipFill>
                  <pic:spPr>
                    <a:xfrm>
                      <a:off x="0" y="0"/>
                      <a:ext cx="2608264" cy="6759336"/>
                    </a:xfrm>
                    <a:prstGeom prst="rect">
                      <a:avLst/>
                    </a:prstGeom>
                    <a:ln w="12700">
                      <a:solidFill>
                        <a:srgbClr val="000000"/>
                      </a:solidFill>
                      <a:prstDash val="solid"/>
                    </a:ln>
                  </pic:spPr>
                </pic:pic>
              </a:graphicData>
            </a:graphic>
          </wp:inline>
        </w:drawing>
      </w:r>
    </w:p>
    <w:p w14:paraId="3D9089B2" w14:textId="77777777" w:rsidR="007B4691" w:rsidRPr="00793E15" w:rsidRDefault="00000000">
      <w:pPr>
        <w:jc w:val="center"/>
        <w:rPr>
          <w:b/>
          <w:bCs/>
        </w:rPr>
      </w:pPr>
      <w:r w:rsidRPr="00793E15">
        <w:rPr>
          <w:b/>
          <w:bCs/>
        </w:rPr>
        <w:t>Figure 6: Tata Steel’s recycling strategy</w:t>
      </w:r>
    </w:p>
    <w:p w14:paraId="6CFF35B2" w14:textId="77777777" w:rsidR="007B4691" w:rsidRPr="00793E15" w:rsidRDefault="00000000">
      <w:pPr>
        <w:jc w:val="center"/>
      </w:pPr>
      <w:r w:rsidRPr="00793E15">
        <w:t>(Source: Agarwal, 2026)</w:t>
      </w:r>
    </w:p>
    <w:p w14:paraId="15BBEB2C" w14:textId="77777777" w:rsidR="007B4691" w:rsidRPr="00793E15" w:rsidRDefault="00000000">
      <w:r w:rsidRPr="00793E15">
        <w:br w:type="page"/>
      </w:r>
    </w:p>
    <w:p w14:paraId="6539B40D" w14:textId="77777777" w:rsidR="007B4691" w:rsidRPr="00793E15" w:rsidRDefault="00000000">
      <w:pPr>
        <w:rPr>
          <w:b/>
          <w:bCs/>
        </w:rPr>
      </w:pPr>
      <w:r w:rsidRPr="00793E15">
        <w:rPr>
          <w:b/>
          <w:bCs/>
        </w:rPr>
        <w:lastRenderedPageBreak/>
        <w:t>Eco-labelled steel</w:t>
      </w:r>
    </w:p>
    <w:p w14:paraId="71BD31FC" w14:textId="77777777" w:rsidR="007B4691" w:rsidRPr="00793E15" w:rsidRDefault="00000000">
      <w:r w:rsidRPr="00793E15">
        <w:t xml:space="preserve">Tata is diversifying its operations in the renewable energy sector, such as hydrogen and nuclear power plants, by supplying eco-labelled steel, which is growing at a CAGR of 60.4% to meet decarbonisation goals (Tata Steel, 2026; Yahoo Finance, 2026). </w:t>
      </w:r>
    </w:p>
    <w:p w14:paraId="02337388" w14:textId="77777777" w:rsidR="007B4691" w:rsidRPr="00793E15" w:rsidRDefault="00000000">
      <w:r w:rsidRPr="00793E15">
        <w:t xml:space="preserve">Tata Steel’s diversification strategy involves backward vertical integration and related diversification as the company chooses to upgrade and refine its traditional manufacturing </w:t>
      </w:r>
      <w:proofErr w:type="gramStart"/>
      <w:r w:rsidRPr="00793E15">
        <w:t>process, but</w:t>
      </w:r>
      <w:proofErr w:type="gramEnd"/>
      <w:r w:rsidRPr="00793E15">
        <w:t xml:space="preserve"> involves risks of high capital investment and market uncertainty, which may narrow its profit margins. </w:t>
      </w:r>
    </w:p>
    <w:p w14:paraId="0AE3D9F0" w14:textId="77777777" w:rsidR="007B4691" w:rsidRPr="00793E15" w:rsidRDefault="00000000">
      <w:pPr>
        <w:pStyle w:val="Heading3"/>
      </w:pPr>
      <w:bookmarkStart w:id="14" w:name="_u9agwxweos80" w:colFirst="0" w:colLast="0"/>
      <w:bookmarkStart w:id="15" w:name="_Toc235743276"/>
      <w:bookmarkEnd w:id="14"/>
      <w:r w:rsidRPr="00793E15">
        <w:t>2.1.2 Justification for Product Development Strategy</w:t>
      </w:r>
      <w:bookmarkEnd w:id="15"/>
      <w:r w:rsidRPr="00793E15">
        <w:t xml:space="preserve"> </w:t>
      </w:r>
    </w:p>
    <w:p w14:paraId="622C8223" w14:textId="77777777" w:rsidR="007B4691" w:rsidRPr="00793E15" w:rsidRDefault="00000000">
      <w:pPr>
        <w:rPr>
          <w:b/>
          <w:bCs/>
        </w:rPr>
      </w:pPr>
      <w:r w:rsidRPr="00793E15">
        <w:t>Using the Product life cycle model, Tata’s product diversification strategy can be explained addressing its low-carbon steel portfolio, positioned at Early Growth stages with competitive strategies of continuous product innovation, market education and production expansion.</w:t>
      </w:r>
    </w:p>
    <w:tbl>
      <w:tblPr>
        <w:tblStyle w:val="a"/>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7065"/>
      </w:tblGrid>
      <w:tr w:rsidR="007B4691" w:rsidRPr="00793E15" w14:paraId="5363FBDB" w14:textId="77777777">
        <w:trPr>
          <w:jc w:val="center"/>
        </w:trPr>
        <w:tc>
          <w:tcPr>
            <w:tcW w:w="1935" w:type="dxa"/>
            <w:tcMar>
              <w:top w:w="100" w:type="dxa"/>
              <w:left w:w="100" w:type="dxa"/>
              <w:bottom w:w="100" w:type="dxa"/>
              <w:right w:w="100" w:type="dxa"/>
            </w:tcMar>
          </w:tcPr>
          <w:p w14:paraId="60896127" w14:textId="77777777" w:rsidR="007B4691" w:rsidRPr="00793E15" w:rsidRDefault="00000000">
            <w:pPr>
              <w:rPr>
                <w:b/>
                <w:bCs/>
              </w:rPr>
            </w:pPr>
            <w:r w:rsidRPr="00793E15">
              <w:rPr>
                <w:b/>
                <w:bCs/>
              </w:rPr>
              <w:t>Category</w:t>
            </w:r>
          </w:p>
        </w:tc>
        <w:tc>
          <w:tcPr>
            <w:tcW w:w="7065" w:type="dxa"/>
            <w:tcMar>
              <w:top w:w="100" w:type="dxa"/>
              <w:left w:w="100" w:type="dxa"/>
              <w:bottom w:w="100" w:type="dxa"/>
              <w:right w:w="100" w:type="dxa"/>
            </w:tcMar>
          </w:tcPr>
          <w:p w14:paraId="11610E08" w14:textId="77777777" w:rsidR="007B4691" w:rsidRPr="00793E15" w:rsidRDefault="00000000">
            <w:pPr>
              <w:rPr>
                <w:b/>
                <w:bCs/>
              </w:rPr>
            </w:pPr>
            <w:r w:rsidRPr="00793E15">
              <w:rPr>
                <w:b/>
                <w:bCs/>
              </w:rPr>
              <w:t>Implications</w:t>
            </w:r>
          </w:p>
        </w:tc>
      </w:tr>
      <w:tr w:rsidR="007B4691" w:rsidRPr="00793E15" w14:paraId="19FD8819" w14:textId="77777777">
        <w:trPr>
          <w:trHeight w:val="2027"/>
          <w:jc w:val="center"/>
        </w:trPr>
        <w:tc>
          <w:tcPr>
            <w:tcW w:w="1935" w:type="dxa"/>
            <w:tcMar>
              <w:top w:w="100" w:type="dxa"/>
              <w:left w:w="100" w:type="dxa"/>
              <w:bottom w:w="100" w:type="dxa"/>
              <w:right w:w="100" w:type="dxa"/>
            </w:tcMar>
          </w:tcPr>
          <w:p w14:paraId="3DC1EE2E" w14:textId="77777777" w:rsidR="007B4691" w:rsidRPr="00793E15" w:rsidRDefault="00000000">
            <w:r w:rsidRPr="00793E15">
              <w:t>Introduction</w:t>
            </w:r>
          </w:p>
        </w:tc>
        <w:tc>
          <w:tcPr>
            <w:tcW w:w="7065" w:type="dxa"/>
            <w:tcMar>
              <w:top w:w="100" w:type="dxa"/>
              <w:left w:w="100" w:type="dxa"/>
              <w:bottom w:w="100" w:type="dxa"/>
              <w:right w:w="100" w:type="dxa"/>
            </w:tcMar>
          </w:tcPr>
          <w:p w14:paraId="53DB2A95" w14:textId="77777777" w:rsidR="007B4691" w:rsidRPr="00793E15" w:rsidRDefault="00000000">
            <w:r w:rsidRPr="00793E15">
              <w:t xml:space="preserve">Addressing EU regulatory requirements (EU Carbon Border Adjustment Mechanism (CBAM), low-carbon steel products are introduced. Investment in green hydrogen, electric arc furnaces and decarbonisation technologies will support market acceptance. </w:t>
            </w:r>
          </w:p>
        </w:tc>
      </w:tr>
      <w:tr w:rsidR="007B4691" w:rsidRPr="00793E15" w14:paraId="66FF0CBC" w14:textId="77777777">
        <w:trPr>
          <w:trHeight w:val="1084"/>
          <w:jc w:val="center"/>
        </w:trPr>
        <w:tc>
          <w:tcPr>
            <w:tcW w:w="1935" w:type="dxa"/>
            <w:tcMar>
              <w:top w:w="100" w:type="dxa"/>
              <w:left w:w="100" w:type="dxa"/>
              <w:bottom w:w="100" w:type="dxa"/>
              <w:right w:w="100" w:type="dxa"/>
            </w:tcMar>
          </w:tcPr>
          <w:p w14:paraId="2E5AE520" w14:textId="77777777" w:rsidR="007B4691" w:rsidRPr="00793E15" w:rsidRDefault="00000000">
            <w:r w:rsidRPr="00793E15">
              <w:t xml:space="preserve">Growth </w:t>
            </w:r>
          </w:p>
        </w:tc>
        <w:tc>
          <w:tcPr>
            <w:tcW w:w="7065" w:type="dxa"/>
            <w:tcMar>
              <w:top w:w="100" w:type="dxa"/>
              <w:left w:w="100" w:type="dxa"/>
              <w:bottom w:w="100" w:type="dxa"/>
              <w:right w:w="100" w:type="dxa"/>
            </w:tcMar>
          </w:tcPr>
          <w:p w14:paraId="7014BF62" w14:textId="77777777" w:rsidR="007B4691" w:rsidRPr="00793E15" w:rsidRDefault="00000000">
            <w:r w:rsidRPr="00793E15">
              <w:t xml:space="preserve">Capacity is increased with growing customer demand by increasing recycled scrap utilisation and strengthening backward integration. Hence, operational efficiency is achieved with high brand value. </w:t>
            </w:r>
          </w:p>
        </w:tc>
      </w:tr>
      <w:tr w:rsidR="007B4691" w:rsidRPr="00793E15" w14:paraId="190AFCFC" w14:textId="77777777">
        <w:trPr>
          <w:jc w:val="center"/>
        </w:trPr>
        <w:tc>
          <w:tcPr>
            <w:tcW w:w="1935" w:type="dxa"/>
            <w:tcMar>
              <w:top w:w="100" w:type="dxa"/>
              <w:left w:w="100" w:type="dxa"/>
              <w:bottom w:w="100" w:type="dxa"/>
              <w:right w:w="100" w:type="dxa"/>
            </w:tcMar>
          </w:tcPr>
          <w:p w14:paraId="61986522" w14:textId="77777777" w:rsidR="007B4691" w:rsidRPr="00793E15" w:rsidRDefault="00000000">
            <w:r w:rsidRPr="00793E15">
              <w:t xml:space="preserve">Marketing implications </w:t>
            </w:r>
          </w:p>
        </w:tc>
        <w:tc>
          <w:tcPr>
            <w:tcW w:w="7065" w:type="dxa"/>
            <w:tcMar>
              <w:top w:w="100" w:type="dxa"/>
              <w:left w:w="100" w:type="dxa"/>
              <w:bottom w:w="100" w:type="dxa"/>
              <w:right w:w="100" w:type="dxa"/>
            </w:tcMar>
          </w:tcPr>
          <w:p w14:paraId="2E6CA537" w14:textId="77777777" w:rsidR="007B4691" w:rsidRPr="00793E15" w:rsidRDefault="00000000">
            <w:r w:rsidRPr="00793E15">
              <w:t xml:space="preserve">Continued support from innovation and promotional strategies will ensure premium sustainable offering to achieve competitive edge providing approximately 6% year-on-year growth in FY2025.  </w:t>
            </w:r>
          </w:p>
        </w:tc>
      </w:tr>
    </w:tbl>
    <w:p w14:paraId="55980665" w14:textId="77777777" w:rsidR="007B4691" w:rsidRPr="00793E15" w:rsidRDefault="00000000">
      <w:pPr>
        <w:jc w:val="center"/>
        <w:rPr>
          <w:b/>
          <w:bCs/>
        </w:rPr>
      </w:pPr>
      <w:r w:rsidRPr="00793E15">
        <w:rPr>
          <w:b/>
          <w:bCs/>
        </w:rPr>
        <w:t>Table 1: Green diversification strategy through the PLC model</w:t>
      </w:r>
    </w:p>
    <w:p w14:paraId="443A2908" w14:textId="77777777" w:rsidR="007B4691" w:rsidRPr="00793E15" w:rsidRDefault="00000000">
      <w:pPr>
        <w:jc w:val="center"/>
      </w:pPr>
      <w:r w:rsidRPr="00793E15">
        <w:lastRenderedPageBreak/>
        <w:t xml:space="preserve">(Source: Kreimeyer </w:t>
      </w:r>
      <w:r w:rsidRPr="00793E15">
        <w:rPr>
          <w:i/>
          <w:iCs/>
        </w:rPr>
        <w:t xml:space="preserve">et al., </w:t>
      </w:r>
      <w:r w:rsidRPr="00793E15">
        <w:t>2025; Deccan Chronicle, 2026; Carbon Market Watch, 2025)</w:t>
      </w:r>
    </w:p>
    <w:p w14:paraId="0644F7AB" w14:textId="77777777" w:rsidR="007B4691" w:rsidRPr="00793E15" w:rsidRDefault="00000000">
      <w:pPr>
        <w:pStyle w:val="Heading3"/>
      </w:pPr>
      <w:bookmarkStart w:id="16" w:name="_qtaiw8xiymda" w:colFirst="0" w:colLast="0"/>
      <w:bookmarkStart w:id="17" w:name="_Toc235743277"/>
      <w:bookmarkEnd w:id="16"/>
      <w:r w:rsidRPr="00793E15">
        <w:t>2.1.3 Growth Opportunities in the Green Steel Market</w:t>
      </w:r>
      <w:bookmarkEnd w:id="17"/>
      <w:r w:rsidRPr="00793E15">
        <w:t xml:space="preserve"> </w:t>
      </w:r>
    </w:p>
    <w:tbl>
      <w:tblPr>
        <w:tblStyle w:val="a0"/>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6765"/>
      </w:tblGrid>
      <w:tr w:rsidR="007B4691" w:rsidRPr="00793E15" w14:paraId="0B5CEC5A" w14:textId="77777777">
        <w:trPr>
          <w:jc w:val="center"/>
        </w:trPr>
        <w:tc>
          <w:tcPr>
            <w:tcW w:w="2235" w:type="dxa"/>
            <w:tcMar>
              <w:top w:w="100" w:type="dxa"/>
              <w:left w:w="100" w:type="dxa"/>
              <w:bottom w:w="100" w:type="dxa"/>
              <w:right w:w="100" w:type="dxa"/>
            </w:tcMar>
          </w:tcPr>
          <w:p w14:paraId="1EDE13D8" w14:textId="77777777" w:rsidR="007B4691" w:rsidRPr="00793E15" w:rsidRDefault="00000000">
            <w:pPr>
              <w:rPr>
                <w:b/>
                <w:bCs/>
              </w:rPr>
            </w:pPr>
            <w:r w:rsidRPr="00793E15">
              <w:rPr>
                <w:b/>
                <w:bCs/>
              </w:rPr>
              <w:t>PLC stage</w:t>
            </w:r>
          </w:p>
        </w:tc>
        <w:tc>
          <w:tcPr>
            <w:tcW w:w="6765" w:type="dxa"/>
            <w:tcMar>
              <w:top w:w="100" w:type="dxa"/>
              <w:left w:w="100" w:type="dxa"/>
              <w:bottom w:w="100" w:type="dxa"/>
              <w:right w:w="100" w:type="dxa"/>
            </w:tcMar>
          </w:tcPr>
          <w:p w14:paraId="48AC0C33" w14:textId="77777777" w:rsidR="007B4691" w:rsidRPr="00793E15" w:rsidRDefault="00000000">
            <w:pPr>
              <w:rPr>
                <w:b/>
                <w:bCs/>
              </w:rPr>
            </w:pPr>
            <w:r w:rsidRPr="00793E15">
              <w:rPr>
                <w:b/>
                <w:bCs/>
              </w:rPr>
              <w:t xml:space="preserve">Explanation </w:t>
            </w:r>
          </w:p>
        </w:tc>
      </w:tr>
      <w:tr w:rsidR="007B4691" w:rsidRPr="00793E15" w14:paraId="149C201A" w14:textId="77777777">
        <w:trPr>
          <w:jc w:val="center"/>
        </w:trPr>
        <w:tc>
          <w:tcPr>
            <w:tcW w:w="2235" w:type="dxa"/>
            <w:tcMar>
              <w:top w:w="100" w:type="dxa"/>
              <w:left w:w="100" w:type="dxa"/>
              <w:bottom w:w="100" w:type="dxa"/>
              <w:right w:w="100" w:type="dxa"/>
            </w:tcMar>
          </w:tcPr>
          <w:p w14:paraId="06E3FAC9" w14:textId="77777777" w:rsidR="007B4691" w:rsidRPr="00793E15" w:rsidRDefault="00000000">
            <w:r w:rsidRPr="00793E15">
              <w:t xml:space="preserve">Growth transition </w:t>
            </w:r>
          </w:p>
        </w:tc>
        <w:tc>
          <w:tcPr>
            <w:tcW w:w="6765" w:type="dxa"/>
            <w:tcMar>
              <w:top w:w="100" w:type="dxa"/>
              <w:left w:w="100" w:type="dxa"/>
              <w:bottom w:w="100" w:type="dxa"/>
              <w:right w:w="100" w:type="dxa"/>
            </w:tcMar>
          </w:tcPr>
          <w:p w14:paraId="7318AC6F" w14:textId="77777777" w:rsidR="007B4691" w:rsidRPr="00793E15" w:rsidRDefault="00000000">
            <w:r w:rsidRPr="00793E15">
              <w:t>Rising demand from automotive clients to reduce their own respective GHG emissions</w:t>
            </w:r>
          </w:p>
        </w:tc>
      </w:tr>
      <w:tr w:rsidR="007B4691" w:rsidRPr="00793E15" w14:paraId="779AE07E" w14:textId="77777777">
        <w:trPr>
          <w:jc w:val="center"/>
        </w:trPr>
        <w:tc>
          <w:tcPr>
            <w:tcW w:w="2235" w:type="dxa"/>
            <w:tcMar>
              <w:top w:w="100" w:type="dxa"/>
              <w:left w:w="100" w:type="dxa"/>
              <w:bottom w:w="100" w:type="dxa"/>
              <w:right w:w="100" w:type="dxa"/>
            </w:tcMar>
          </w:tcPr>
          <w:p w14:paraId="44885000" w14:textId="77777777" w:rsidR="007B4691" w:rsidRPr="00793E15" w:rsidRDefault="00000000">
            <w:r w:rsidRPr="00793E15">
              <w:t>Growth accelerator</w:t>
            </w:r>
          </w:p>
        </w:tc>
        <w:tc>
          <w:tcPr>
            <w:tcW w:w="6765" w:type="dxa"/>
            <w:tcMar>
              <w:top w:w="100" w:type="dxa"/>
              <w:left w:w="100" w:type="dxa"/>
              <w:bottom w:w="100" w:type="dxa"/>
              <w:right w:w="100" w:type="dxa"/>
            </w:tcMar>
          </w:tcPr>
          <w:p w14:paraId="3C71DF93" w14:textId="77777777" w:rsidR="007B4691" w:rsidRPr="00793E15" w:rsidRDefault="00000000">
            <w:r w:rsidRPr="00793E15">
              <w:t xml:space="preserve">Government of India’s subsidiaries, such as PLI, declared incentives up to </w:t>
            </w:r>
            <w:r w:rsidRPr="00793E15">
              <w:rPr>
                <w:highlight w:val="white"/>
              </w:rPr>
              <w:t>₹17,000 crore</w:t>
            </w:r>
            <w:r w:rsidRPr="00793E15">
              <w:t xml:space="preserve"> to support green steel manufacturing. </w:t>
            </w:r>
          </w:p>
        </w:tc>
      </w:tr>
      <w:tr w:rsidR="007B4691" w:rsidRPr="00793E15" w14:paraId="10B676AD" w14:textId="77777777">
        <w:trPr>
          <w:jc w:val="center"/>
        </w:trPr>
        <w:tc>
          <w:tcPr>
            <w:tcW w:w="2235" w:type="dxa"/>
            <w:tcMar>
              <w:top w:w="100" w:type="dxa"/>
              <w:left w:w="100" w:type="dxa"/>
              <w:bottom w:w="100" w:type="dxa"/>
              <w:right w:w="100" w:type="dxa"/>
            </w:tcMar>
          </w:tcPr>
          <w:p w14:paraId="0BA336AA" w14:textId="77777777" w:rsidR="007B4691" w:rsidRPr="00793E15" w:rsidRDefault="00000000">
            <w:r w:rsidRPr="00793E15">
              <w:t>Growth into early maturity</w:t>
            </w:r>
          </w:p>
        </w:tc>
        <w:tc>
          <w:tcPr>
            <w:tcW w:w="6765" w:type="dxa"/>
            <w:tcMar>
              <w:top w:w="100" w:type="dxa"/>
              <w:left w:w="100" w:type="dxa"/>
              <w:bottom w:w="100" w:type="dxa"/>
              <w:right w:w="100" w:type="dxa"/>
            </w:tcMar>
          </w:tcPr>
          <w:p w14:paraId="0F74D906" w14:textId="77777777" w:rsidR="007B4691" w:rsidRPr="00793E15" w:rsidRDefault="00000000">
            <w:r w:rsidRPr="00793E15">
              <w:t>Alongside securing international projects, aggressive market expansion strategy is obligatory in renewable energy sector.</w:t>
            </w:r>
          </w:p>
        </w:tc>
      </w:tr>
    </w:tbl>
    <w:p w14:paraId="42F386DE" w14:textId="77777777" w:rsidR="007B4691" w:rsidRPr="00793E15" w:rsidRDefault="00000000">
      <w:pPr>
        <w:jc w:val="center"/>
        <w:rPr>
          <w:b/>
          <w:bCs/>
        </w:rPr>
      </w:pPr>
      <w:r w:rsidRPr="00793E15">
        <w:rPr>
          <w:b/>
          <w:bCs/>
        </w:rPr>
        <w:t>Table 2: Assessing growth opportunities</w:t>
      </w:r>
    </w:p>
    <w:p w14:paraId="1389B916" w14:textId="77777777" w:rsidR="007B4691" w:rsidRPr="00793E15" w:rsidRDefault="00000000">
      <w:pPr>
        <w:jc w:val="center"/>
      </w:pPr>
      <w:r w:rsidRPr="00793E15">
        <w:t>(Source: Lecture 6; PIB, 2025)</w:t>
      </w:r>
    </w:p>
    <w:p w14:paraId="258E2A94" w14:textId="77777777" w:rsidR="007B4691" w:rsidRPr="00793E15" w:rsidRDefault="00000000">
      <w:pPr>
        <w:pStyle w:val="Heading2"/>
      </w:pPr>
      <w:bookmarkStart w:id="18" w:name="_2236dkyud54b" w:colFirst="0" w:colLast="0"/>
      <w:bookmarkStart w:id="19" w:name="_Toc235743278"/>
      <w:bookmarkEnd w:id="18"/>
      <w:r w:rsidRPr="00793E15">
        <w:t>2.2 Achieving the Competitive Edge through the Lower-Carbon Business Model</w:t>
      </w:r>
      <w:bookmarkEnd w:id="19"/>
    </w:p>
    <w:p w14:paraId="5A044256" w14:textId="77777777" w:rsidR="007B4691" w:rsidRPr="00793E15" w:rsidRDefault="00000000">
      <w:pPr>
        <w:pStyle w:val="Heading3"/>
      </w:pPr>
      <w:bookmarkStart w:id="20" w:name="_7iv1txvlcun9" w:colFirst="0" w:colLast="0"/>
      <w:bookmarkStart w:id="21" w:name="_Toc235743279"/>
      <w:bookmarkEnd w:id="20"/>
      <w:r w:rsidRPr="00793E15">
        <w:t>2.2.1 Porter’s Generic Model for Competitive Advantage Perspective</w:t>
      </w:r>
      <w:bookmarkEnd w:id="21"/>
      <w:r w:rsidRPr="00793E15">
        <w:t xml:space="preserve"> </w:t>
      </w:r>
    </w:p>
    <w:tbl>
      <w:tblPr>
        <w:tblStyle w:val="a1"/>
        <w:tblW w:w="1049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2355"/>
        <w:gridCol w:w="1806"/>
        <w:gridCol w:w="1806"/>
        <w:gridCol w:w="2690"/>
      </w:tblGrid>
      <w:tr w:rsidR="007B4691" w:rsidRPr="00793E15" w14:paraId="10B65967" w14:textId="77777777">
        <w:trPr>
          <w:jc w:val="center"/>
        </w:trPr>
        <w:tc>
          <w:tcPr>
            <w:tcW w:w="1833" w:type="dxa"/>
            <w:tcMar>
              <w:top w:w="100" w:type="dxa"/>
              <w:left w:w="100" w:type="dxa"/>
              <w:bottom w:w="100" w:type="dxa"/>
              <w:right w:w="100" w:type="dxa"/>
            </w:tcMar>
          </w:tcPr>
          <w:p w14:paraId="7071BD86" w14:textId="77777777" w:rsidR="007B4691" w:rsidRPr="00793E15" w:rsidRDefault="00000000">
            <w:pPr>
              <w:rPr>
                <w:b/>
                <w:bCs/>
              </w:rPr>
            </w:pPr>
            <w:r w:rsidRPr="00793E15">
              <w:rPr>
                <w:b/>
                <w:bCs/>
              </w:rPr>
              <w:t>Strategic metrics</w:t>
            </w:r>
          </w:p>
        </w:tc>
        <w:tc>
          <w:tcPr>
            <w:tcW w:w="2355" w:type="dxa"/>
            <w:tcMar>
              <w:top w:w="100" w:type="dxa"/>
              <w:left w:w="100" w:type="dxa"/>
              <w:bottom w:w="100" w:type="dxa"/>
              <w:right w:w="100" w:type="dxa"/>
            </w:tcMar>
          </w:tcPr>
          <w:p w14:paraId="5680A72D" w14:textId="77777777" w:rsidR="007B4691" w:rsidRPr="00793E15" w:rsidRDefault="00000000">
            <w:pPr>
              <w:rPr>
                <w:b/>
                <w:bCs/>
              </w:rPr>
            </w:pPr>
            <w:r w:rsidRPr="00793E15">
              <w:rPr>
                <w:b/>
                <w:bCs/>
              </w:rPr>
              <w:t>Cost Leadership</w:t>
            </w:r>
          </w:p>
        </w:tc>
        <w:tc>
          <w:tcPr>
            <w:tcW w:w="1806" w:type="dxa"/>
            <w:tcMar>
              <w:top w:w="100" w:type="dxa"/>
              <w:left w:w="100" w:type="dxa"/>
              <w:bottom w:w="100" w:type="dxa"/>
              <w:right w:w="100" w:type="dxa"/>
            </w:tcMar>
          </w:tcPr>
          <w:p w14:paraId="209A5FF6" w14:textId="77777777" w:rsidR="007B4691" w:rsidRPr="00793E15" w:rsidRDefault="00000000">
            <w:pPr>
              <w:rPr>
                <w:b/>
                <w:bCs/>
              </w:rPr>
            </w:pPr>
            <w:r w:rsidRPr="00793E15">
              <w:rPr>
                <w:b/>
                <w:bCs/>
              </w:rPr>
              <w:t>Cost Focus</w:t>
            </w:r>
          </w:p>
        </w:tc>
        <w:tc>
          <w:tcPr>
            <w:tcW w:w="1806" w:type="dxa"/>
            <w:tcMar>
              <w:top w:w="100" w:type="dxa"/>
              <w:left w:w="100" w:type="dxa"/>
              <w:bottom w:w="100" w:type="dxa"/>
              <w:right w:w="100" w:type="dxa"/>
            </w:tcMar>
          </w:tcPr>
          <w:p w14:paraId="5D602872" w14:textId="77777777" w:rsidR="007B4691" w:rsidRPr="00793E15" w:rsidRDefault="00000000">
            <w:pPr>
              <w:rPr>
                <w:b/>
                <w:bCs/>
              </w:rPr>
            </w:pPr>
            <w:r w:rsidRPr="00793E15">
              <w:rPr>
                <w:b/>
                <w:bCs/>
              </w:rPr>
              <w:t>Differentiation</w:t>
            </w:r>
          </w:p>
        </w:tc>
        <w:tc>
          <w:tcPr>
            <w:tcW w:w="2690" w:type="dxa"/>
            <w:tcMar>
              <w:top w:w="100" w:type="dxa"/>
              <w:left w:w="100" w:type="dxa"/>
              <w:bottom w:w="100" w:type="dxa"/>
              <w:right w:w="100" w:type="dxa"/>
            </w:tcMar>
          </w:tcPr>
          <w:p w14:paraId="4CFC9393" w14:textId="77777777" w:rsidR="007B4691" w:rsidRPr="00793E15" w:rsidRDefault="00000000">
            <w:pPr>
              <w:rPr>
                <w:b/>
                <w:bCs/>
              </w:rPr>
            </w:pPr>
            <w:r w:rsidRPr="00793E15">
              <w:rPr>
                <w:b/>
                <w:bCs/>
              </w:rPr>
              <w:t>Differentiation focus</w:t>
            </w:r>
          </w:p>
        </w:tc>
      </w:tr>
      <w:tr w:rsidR="007B4691" w:rsidRPr="00793E15" w14:paraId="721859AB" w14:textId="77777777">
        <w:trPr>
          <w:jc w:val="center"/>
        </w:trPr>
        <w:tc>
          <w:tcPr>
            <w:tcW w:w="1833" w:type="dxa"/>
            <w:tcMar>
              <w:top w:w="100" w:type="dxa"/>
              <w:left w:w="100" w:type="dxa"/>
              <w:bottom w:w="100" w:type="dxa"/>
              <w:right w:w="100" w:type="dxa"/>
            </w:tcMar>
          </w:tcPr>
          <w:p w14:paraId="3E908694" w14:textId="77777777" w:rsidR="007B4691" w:rsidRPr="00793E15" w:rsidRDefault="00000000">
            <w:r w:rsidRPr="00793E15">
              <w:t>Uniquely diversified service portfolio</w:t>
            </w:r>
          </w:p>
        </w:tc>
        <w:tc>
          <w:tcPr>
            <w:tcW w:w="2355" w:type="dxa"/>
            <w:tcMar>
              <w:top w:w="100" w:type="dxa"/>
              <w:left w:w="100" w:type="dxa"/>
              <w:bottom w:w="100" w:type="dxa"/>
              <w:right w:w="100" w:type="dxa"/>
            </w:tcMar>
          </w:tcPr>
          <w:p w14:paraId="4987C484" w14:textId="77777777" w:rsidR="007B4691" w:rsidRPr="00793E15" w:rsidRDefault="00000000">
            <w:r w:rsidRPr="00793E15">
              <w:t>Backward vertical integration, incorporation of AI, and ML allow for reducing the costs of sustainable manufacturing practices</w:t>
            </w:r>
          </w:p>
        </w:tc>
        <w:tc>
          <w:tcPr>
            <w:tcW w:w="1806" w:type="dxa"/>
            <w:tcMar>
              <w:top w:w="100" w:type="dxa"/>
              <w:left w:w="100" w:type="dxa"/>
              <w:bottom w:w="100" w:type="dxa"/>
              <w:right w:w="100" w:type="dxa"/>
            </w:tcMar>
          </w:tcPr>
          <w:p w14:paraId="788AD33E" w14:textId="77777777" w:rsidR="007B4691" w:rsidRPr="00793E15" w:rsidRDefault="00000000">
            <w:r w:rsidRPr="00793E15">
              <w:t>To satisfy price-sensitive clients</w:t>
            </w:r>
          </w:p>
        </w:tc>
        <w:tc>
          <w:tcPr>
            <w:tcW w:w="1806" w:type="dxa"/>
            <w:tcMar>
              <w:top w:w="100" w:type="dxa"/>
              <w:left w:w="100" w:type="dxa"/>
              <w:bottom w:w="100" w:type="dxa"/>
              <w:right w:w="100" w:type="dxa"/>
            </w:tcMar>
          </w:tcPr>
          <w:p w14:paraId="00D6E2D2" w14:textId="77777777" w:rsidR="007B4691" w:rsidRPr="00793E15" w:rsidRDefault="00000000">
            <w:r w:rsidRPr="00793E15">
              <w:t>Developing premium yet unique steelmaking operations</w:t>
            </w:r>
          </w:p>
        </w:tc>
        <w:tc>
          <w:tcPr>
            <w:tcW w:w="2690" w:type="dxa"/>
            <w:tcMar>
              <w:top w:w="100" w:type="dxa"/>
              <w:left w:w="100" w:type="dxa"/>
              <w:bottom w:w="100" w:type="dxa"/>
              <w:right w:w="100" w:type="dxa"/>
            </w:tcMar>
          </w:tcPr>
          <w:p w14:paraId="4EC837FA" w14:textId="77777777" w:rsidR="007B4691" w:rsidRPr="00793E15" w:rsidRDefault="00000000">
            <w:r w:rsidRPr="00793E15">
              <w:t>Reaching net-zero goals and compliance with regulatory standards</w:t>
            </w:r>
          </w:p>
        </w:tc>
      </w:tr>
      <w:tr w:rsidR="007B4691" w:rsidRPr="00793E15" w14:paraId="4300C40E" w14:textId="77777777">
        <w:trPr>
          <w:jc w:val="center"/>
        </w:trPr>
        <w:tc>
          <w:tcPr>
            <w:tcW w:w="1833" w:type="dxa"/>
            <w:tcMar>
              <w:top w:w="100" w:type="dxa"/>
              <w:left w:w="100" w:type="dxa"/>
              <w:bottom w:w="100" w:type="dxa"/>
              <w:right w:w="100" w:type="dxa"/>
            </w:tcMar>
          </w:tcPr>
          <w:p w14:paraId="2B34F759" w14:textId="77777777" w:rsidR="007B4691" w:rsidRPr="00793E15" w:rsidRDefault="00000000">
            <w:r w:rsidRPr="00793E15">
              <w:lastRenderedPageBreak/>
              <w:t>Production costs</w:t>
            </w:r>
          </w:p>
        </w:tc>
        <w:tc>
          <w:tcPr>
            <w:tcW w:w="2355" w:type="dxa"/>
            <w:tcMar>
              <w:top w:w="100" w:type="dxa"/>
              <w:left w:w="100" w:type="dxa"/>
              <w:bottom w:w="100" w:type="dxa"/>
              <w:right w:w="100" w:type="dxa"/>
            </w:tcMar>
          </w:tcPr>
          <w:p w14:paraId="2A01DF7C" w14:textId="77777777" w:rsidR="007B4691" w:rsidRPr="00793E15" w:rsidRDefault="00000000">
            <w:r w:rsidRPr="00793E15">
              <w:t xml:space="preserve">Capital investment in 2026FY increased by 38% to support technology adoption </w:t>
            </w:r>
          </w:p>
        </w:tc>
        <w:tc>
          <w:tcPr>
            <w:tcW w:w="1806" w:type="dxa"/>
            <w:tcMar>
              <w:top w:w="100" w:type="dxa"/>
              <w:left w:w="100" w:type="dxa"/>
              <w:bottom w:w="100" w:type="dxa"/>
              <w:right w:w="100" w:type="dxa"/>
            </w:tcMar>
          </w:tcPr>
          <w:p w14:paraId="24E75CD5" w14:textId="77777777" w:rsidR="007B4691" w:rsidRPr="00793E15" w:rsidRDefault="00000000">
            <w:r w:rsidRPr="00793E15">
              <w:t xml:space="preserve">Expanding technological infrastructure to meet the strategic goal </w:t>
            </w:r>
          </w:p>
        </w:tc>
        <w:tc>
          <w:tcPr>
            <w:tcW w:w="1806" w:type="dxa"/>
            <w:tcMar>
              <w:top w:w="100" w:type="dxa"/>
              <w:left w:w="100" w:type="dxa"/>
              <w:bottom w:w="100" w:type="dxa"/>
              <w:right w:w="100" w:type="dxa"/>
            </w:tcMar>
          </w:tcPr>
          <w:p w14:paraId="5AE1277A" w14:textId="77777777" w:rsidR="007B4691" w:rsidRPr="00793E15" w:rsidRDefault="00000000">
            <w:r w:rsidRPr="00793E15">
              <w:t>Hydrogen in green steel solutions creates vapour by reacting with iron ore instead of CO2</w:t>
            </w:r>
          </w:p>
        </w:tc>
        <w:tc>
          <w:tcPr>
            <w:tcW w:w="2690" w:type="dxa"/>
            <w:tcMar>
              <w:top w:w="100" w:type="dxa"/>
              <w:left w:w="100" w:type="dxa"/>
              <w:bottom w:w="100" w:type="dxa"/>
              <w:right w:w="100" w:type="dxa"/>
            </w:tcMar>
          </w:tcPr>
          <w:p w14:paraId="0AB453D5" w14:textId="77777777" w:rsidR="007B4691" w:rsidRPr="00793E15" w:rsidRDefault="00000000">
            <w:r w:rsidRPr="00793E15">
              <w:t>Assuredly reducing scope 3 GHG emissions for clients</w:t>
            </w:r>
          </w:p>
        </w:tc>
      </w:tr>
    </w:tbl>
    <w:p w14:paraId="0F6E3756" w14:textId="77777777" w:rsidR="007B4691" w:rsidRPr="00793E15" w:rsidRDefault="00000000">
      <w:pPr>
        <w:jc w:val="center"/>
        <w:rPr>
          <w:b/>
          <w:bCs/>
        </w:rPr>
      </w:pPr>
      <w:r w:rsidRPr="00793E15">
        <w:rPr>
          <w:b/>
          <w:bCs/>
        </w:rPr>
        <w:t>Table 3: Assessing competitive advantage for Tata Steel</w:t>
      </w:r>
    </w:p>
    <w:p w14:paraId="124DA773" w14:textId="77777777" w:rsidR="007B4691" w:rsidRPr="00793E15" w:rsidRDefault="00000000">
      <w:pPr>
        <w:jc w:val="center"/>
      </w:pPr>
      <w:r w:rsidRPr="00793E15">
        <w:t>(Source: Lecture 11; SMM, 2026)</w:t>
      </w:r>
    </w:p>
    <w:p w14:paraId="481DAC03" w14:textId="77777777" w:rsidR="007B4691" w:rsidRPr="00793E15" w:rsidRDefault="00000000">
      <w:pPr>
        <w:pStyle w:val="Heading3"/>
      </w:pPr>
      <w:bookmarkStart w:id="22" w:name="_buqkvymwjhiy" w:colFirst="0" w:colLast="0"/>
      <w:bookmarkStart w:id="23" w:name="_Toc235743280"/>
      <w:bookmarkEnd w:id="22"/>
      <w:r w:rsidRPr="00793E15">
        <w:t>2.2.2 Sustainability as a Source of Differentiation</w:t>
      </w:r>
      <w:bookmarkEnd w:id="23"/>
    </w:p>
    <w:p w14:paraId="355CC2A3" w14:textId="77777777" w:rsidR="007B4691" w:rsidRPr="00793E15" w:rsidRDefault="00000000">
      <w:r w:rsidRPr="00793E15">
        <w:t xml:space="preserve">By 2025, green steel is expected to reach a market value of 179.17 million tons, which satisfies the economic aspect of becoming sustainable for Tata Steel (EY, 2026). Alongside economic and regulatory drivers (CBAM), sustainability becomes a differentiating factor because it guarantees investors’ trust and consequently enhances industry reputation. </w:t>
      </w:r>
    </w:p>
    <w:p w14:paraId="42A3AEFF" w14:textId="77777777" w:rsidR="007B4691" w:rsidRPr="00793E15" w:rsidRDefault="00000000">
      <w:r w:rsidRPr="00793E15">
        <w:t xml:space="preserve">By ensuring that Tata Steel can live up to its sustainability goals and replace traditional blast furnaces, which produce high levels of GHG emissions, with green technologies, Tata can achieve the status of preferred supplier for B2B partners, especially in the construction and automotive sectors, who intend to reduce scope 3 carbon emissions from their supply chain.  </w:t>
      </w:r>
    </w:p>
    <w:p w14:paraId="1C7D46EE" w14:textId="77777777" w:rsidR="007B4691" w:rsidRPr="00793E15" w:rsidRDefault="00000000">
      <w:r w:rsidRPr="00793E15">
        <w:t xml:space="preserve">The sustainability strategy strengthens investor trust through the transition toward green hydrogen and steel, offers access to EU markets, and secures its top position in the global steel industry with an annual crude steel capacity of 36 million tons per annum (Tata Steel, 2026). </w:t>
      </w:r>
    </w:p>
    <w:p w14:paraId="0D16C738" w14:textId="77777777" w:rsidR="007B4691" w:rsidRPr="00793E15" w:rsidRDefault="00000000">
      <w:pPr>
        <w:jc w:val="center"/>
      </w:pPr>
      <w:r w:rsidRPr="00793E15">
        <w:rPr>
          <w:noProof/>
        </w:rPr>
        <w:lastRenderedPageBreak/>
        <w:drawing>
          <wp:inline distT="114300" distB="114300" distL="114300" distR="114300" wp14:anchorId="67768C2C" wp14:editId="49EC5504">
            <wp:extent cx="5731200" cy="3378200"/>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731200" cy="3378200"/>
                    </a:xfrm>
                    <a:prstGeom prst="rect">
                      <a:avLst/>
                    </a:prstGeom>
                    <a:ln w="12700">
                      <a:solidFill>
                        <a:srgbClr val="000000"/>
                      </a:solidFill>
                      <a:prstDash val="solid"/>
                    </a:ln>
                  </pic:spPr>
                </pic:pic>
              </a:graphicData>
            </a:graphic>
          </wp:inline>
        </w:drawing>
      </w:r>
    </w:p>
    <w:p w14:paraId="3DE57002" w14:textId="77777777" w:rsidR="007B4691" w:rsidRPr="00793E15" w:rsidRDefault="00000000">
      <w:pPr>
        <w:jc w:val="center"/>
        <w:rPr>
          <w:b/>
          <w:bCs/>
        </w:rPr>
      </w:pPr>
      <w:r w:rsidRPr="00793E15">
        <w:rPr>
          <w:b/>
          <w:bCs/>
        </w:rPr>
        <w:t>Figure 7: Projected growth scope of green steel</w:t>
      </w:r>
    </w:p>
    <w:p w14:paraId="2606CD34" w14:textId="77777777" w:rsidR="007B4691" w:rsidRPr="00793E15" w:rsidRDefault="00000000">
      <w:pPr>
        <w:jc w:val="center"/>
      </w:pPr>
      <w:r w:rsidRPr="00793E15">
        <w:t>(Source: EY, 2026)</w:t>
      </w:r>
    </w:p>
    <w:p w14:paraId="6DFAFA83" w14:textId="77777777" w:rsidR="007B4691" w:rsidRPr="00793E15" w:rsidRDefault="00000000">
      <w:pPr>
        <w:pStyle w:val="Heading3"/>
      </w:pPr>
      <w:bookmarkStart w:id="24" w:name="_ilgutioppcv4" w:colFirst="0" w:colLast="0"/>
      <w:bookmarkStart w:id="25" w:name="_Toc235743281"/>
      <w:bookmarkEnd w:id="24"/>
      <w:r w:rsidRPr="00793E15">
        <w:t>2.2.3 Long-Term Competitive Positioning of Tata Steel</w:t>
      </w:r>
      <w:bookmarkEnd w:id="25"/>
      <w:r w:rsidRPr="00793E15">
        <w:t xml:space="preserve"> </w:t>
      </w:r>
    </w:p>
    <w:p w14:paraId="50695D63" w14:textId="77777777" w:rsidR="007B4691" w:rsidRPr="00793E15" w:rsidRDefault="00000000">
      <w:r w:rsidRPr="00793E15">
        <w:t xml:space="preserve">Tata Steel’s global corporate branding is anchored on three pillars- sustainability, digital innovation, and diversity (Tata Steel, 2026). This brand positioning establishes Tata Steel as a responsible and forward-thinking company. The product diversification strategy attests to the product branding strategy for Tata Steel (Lecture 12, p.11).  The low GHG-emission strategic leap makes the company stand out as a critical supply chain partner in the global mining sector. </w:t>
      </w:r>
    </w:p>
    <w:p w14:paraId="75308B15" w14:textId="77777777" w:rsidR="007B4691" w:rsidRPr="00793E15" w:rsidRDefault="00000000">
      <w:r w:rsidRPr="00793E15">
        <w:t xml:space="preserve">The corporate branding of Tata resonates with the Tata Steel Carbon Bank, which constantly evaluates the reduction of GHG emissions in its services. The partnership with Google Cloud to introduce agentic AI helped Tata Steel emerge as a tech-driven company to automate sustainability operations (Tata Steel, 2026). </w:t>
      </w:r>
    </w:p>
    <w:p w14:paraId="6254A8F3" w14:textId="77777777" w:rsidR="007B4691" w:rsidRPr="00793E15" w:rsidRDefault="00000000">
      <w:r w:rsidRPr="00793E15">
        <w:br w:type="page"/>
      </w:r>
    </w:p>
    <w:p w14:paraId="64E26A16" w14:textId="77777777" w:rsidR="007B4691" w:rsidRPr="00793E15" w:rsidRDefault="00000000">
      <w:pPr>
        <w:pStyle w:val="Heading1"/>
      </w:pPr>
      <w:bookmarkStart w:id="26" w:name="_qluplljayw4w" w:colFirst="0" w:colLast="0"/>
      <w:bookmarkStart w:id="27" w:name="_Toc235743282"/>
      <w:bookmarkEnd w:id="26"/>
      <w:r w:rsidRPr="00793E15">
        <w:lastRenderedPageBreak/>
        <w:t>Task 3: Critical Reflection on AI Usage</w:t>
      </w:r>
      <w:bookmarkEnd w:id="27"/>
    </w:p>
    <w:p w14:paraId="5D0CB8D7" w14:textId="77777777" w:rsidR="007B4691" w:rsidRPr="00793E15" w:rsidRDefault="00000000">
      <w:pPr>
        <w:pStyle w:val="Heading2"/>
      </w:pPr>
      <w:bookmarkStart w:id="28" w:name="_7rqhv844e5kk" w:colFirst="0" w:colLast="0"/>
      <w:bookmarkStart w:id="29" w:name="_Toc235743283"/>
      <w:bookmarkEnd w:id="28"/>
      <w:r w:rsidRPr="00793E15">
        <w:t>3.1 Tool Disclosure</w:t>
      </w:r>
      <w:bookmarkEnd w:id="29"/>
    </w:p>
    <w:p w14:paraId="4C1BEAB2" w14:textId="77777777" w:rsidR="007B4691" w:rsidRPr="00793E15" w:rsidRDefault="00000000">
      <w:r w:rsidRPr="00793E15">
        <w:t xml:space="preserve">The use of AI in producing this report was limited and strictly adhered to the guidelines of the University of Wales, and in no way has AI been used to produce the submitted report. However, occasionally, ChatGPT Plus has been used to brainstorm ideas on a moderate level only, which is already a free version; hence, its assistance was limited to outlining ideas. Mostly, AI’s use has been limited to only enhancing understanding of different marketing theories and concepts, to understand the rationale for why a marketing framework which is discussed in the lecture notes is more applicable to a task, not to copy-paste the answers. The AI usage in this assignment has been justified with illustrative evidence pasted below. </w:t>
      </w:r>
    </w:p>
    <w:p w14:paraId="6607794A" w14:textId="77777777" w:rsidR="007B4691" w:rsidRPr="00793E15" w:rsidRDefault="00000000">
      <w:r w:rsidRPr="00793E15">
        <w:rPr>
          <w:noProof/>
        </w:rPr>
        <w:drawing>
          <wp:inline distT="114300" distB="114300" distL="114300" distR="114300" wp14:anchorId="0A865CEA" wp14:editId="5FA7240B">
            <wp:extent cx="5731200" cy="2717800"/>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731200" cy="2717800"/>
                    </a:xfrm>
                    <a:prstGeom prst="rect">
                      <a:avLst/>
                    </a:prstGeom>
                    <a:ln w="12700">
                      <a:solidFill>
                        <a:srgbClr val="000000"/>
                      </a:solidFill>
                      <a:prstDash val="solid"/>
                    </a:ln>
                  </pic:spPr>
                </pic:pic>
              </a:graphicData>
            </a:graphic>
          </wp:inline>
        </w:drawing>
      </w:r>
    </w:p>
    <w:p w14:paraId="47C508CA" w14:textId="77777777" w:rsidR="007B4691" w:rsidRPr="00793E15" w:rsidRDefault="00000000">
      <w:pPr>
        <w:jc w:val="center"/>
      </w:pPr>
      <w:r w:rsidRPr="00793E15">
        <w:rPr>
          <w:noProof/>
        </w:rPr>
        <w:lastRenderedPageBreak/>
        <w:drawing>
          <wp:inline distT="114300" distB="114300" distL="114300" distR="114300" wp14:anchorId="2A1EAC30" wp14:editId="75C08061">
            <wp:extent cx="5734050" cy="2600325"/>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b="7458"/>
                    <a:stretch>
                      <a:fillRect/>
                    </a:stretch>
                  </pic:blipFill>
                  <pic:spPr>
                    <a:xfrm>
                      <a:off x="0" y="0"/>
                      <a:ext cx="5734050" cy="2600325"/>
                    </a:xfrm>
                    <a:prstGeom prst="rect">
                      <a:avLst/>
                    </a:prstGeom>
                    <a:ln w="12700">
                      <a:solidFill>
                        <a:srgbClr val="000000"/>
                      </a:solidFill>
                      <a:prstDash val="solid"/>
                    </a:ln>
                  </pic:spPr>
                </pic:pic>
              </a:graphicData>
            </a:graphic>
          </wp:inline>
        </w:drawing>
      </w:r>
    </w:p>
    <w:p w14:paraId="6CEEFF5A" w14:textId="77777777" w:rsidR="007B4691" w:rsidRPr="00793E15" w:rsidRDefault="00000000">
      <w:pPr>
        <w:jc w:val="center"/>
      </w:pPr>
      <w:r w:rsidRPr="00793E15">
        <w:rPr>
          <w:noProof/>
        </w:rPr>
        <w:drawing>
          <wp:inline distT="114300" distB="114300" distL="114300" distR="114300" wp14:anchorId="750A0C5C" wp14:editId="1D8920D5">
            <wp:extent cx="5627911" cy="1549565"/>
            <wp:effectExtent l="12700" t="12700" r="12700" b="127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5627911" cy="1549565"/>
                    </a:xfrm>
                    <a:prstGeom prst="rect">
                      <a:avLst/>
                    </a:prstGeom>
                    <a:ln w="12700">
                      <a:solidFill>
                        <a:srgbClr val="000000"/>
                      </a:solidFill>
                      <a:prstDash val="solid"/>
                    </a:ln>
                  </pic:spPr>
                </pic:pic>
              </a:graphicData>
            </a:graphic>
          </wp:inline>
        </w:drawing>
      </w:r>
    </w:p>
    <w:p w14:paraId="27C714F6" w14:textId="77777777" w:rsidR="007B4691" w:rsidRPr="00793E15" w:rsidRDefault="00000000">
      <w:pPr>
        <w:jc w:val="center"/>
      </w:pPr>
      <w:r w:rsidRPr="00793E15">
        <w:rPr>
          <w:noProof/>
        </w:rPr>
        <w:drawing>
          <wp:inline distT="114300" distB="114300" distL="114300" distR="114300" wp14:anchorId="30BD4526" wp14:editId="68129E5D">
            <wp:extent cx="5261095" cy="2089562"/>
            <wp:effectExtent l="12700" t="12700" r="12700" b="127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261095" cy="2089562"/>
                    </a:xfrm>
                    <a:prstGeom prst="rect">
                      <a:avLst/>
                    </a:prstGeom>
                    <a:ln w="12700">
                      <a:solidFill>
                        <a:srgbClr val="000000"/>
                      </a:solidFill>
                      <a:prstDash val="solid"/>
                    </a:ln>
                  </pic:spPr>
                </pic:pic>
              </a:graphicData>
            </a:graphic>
          </wp:inline>
        </w:drawing>
      </w:r>
    </w:p>
    <w:p w14:paraId="1B7BDF30" w14:textId="77777777" w:rsidR="007B4691" w:rsidRPr="00793E15" w:rsidRDefault="00000000">
      <w:pPr>
        <w:jc w:val="center"/>
        <w:rPr>
          <w:b/>
          <w:bCs/>
        </w:rPr>
      </w:pPr>
      <w:r w:rsidRPr="00793E15">
        <w:rPr>
          <w:b/>
          <w:bCs/>
        </w:rPr>
        <w:t>Figure 8: Evidence of ChatGPT responses</w:t>
      </w:r>
    </w:p>
    <w:p w14:paraId="7A2DE24A" w14:textId="77777777" w:rsidR="007B4691" w:rsidRPr="00793E15" w:rsidRDefault="00000000">
      <w:pPr>
        <w:jc w:val="center"/>
      </w:pPr>
      <w:r w:rsidRPr="00793E15">
        <w:t>(Source: Self-developed)</w:t>
      </w:r>
    </w:p>
    <w:p w14:paraId="4D4F3761" w14:textId="77777777" w:rsidR="007B4691" w:rsidRPr="00793E15" w:rsidRDefault="00000000">
      <w:r w:rsidRPr="00793E15">
        <w:t xml:space="preserve">It can be surmised that the use of ChatGPT Plus has been limited to broadening own understanding about which theoretical framework should be used in which sections of the assignment, adhering to university integrity policies. </w:t>
      </w:r>
    </w:p>
    <w:p w14:paraId="730C5FDF" w14:textId="77777777" w:rsidR="007B4691" w:rsidRPr="00793E15" w:rsidRDefault="00000000">
      <w:pPr>
        <w:pStyle w:val="Heading2"/>
      </w:pPr>
      <w:bookmarkStart w:id="30" w:name="_kii7zjqptyf" w:colFirst="0" w:colLast="0"/>
      <w:bookmarkStart w:id="31" w:name="_Toc235743284"/>
      <w:bookmarkEnd w:id="30"/>
      <w:r w:rsidRPr="00793E15">
        <w:lastRenderedPageBreak/>
        <w:t>3.2 Critical Evaluation of AI Output</w:t>
      </w:r>
      <w:bookmarkEnd w:id="31"/>
      <w:r w:rsidRPr="00793E15">
        <w:t xml:space="preserve"> </w:t>
      </w:r>
    </w:p>
    <w:p w14:paraId="3CC6F3D6" w14:textId="77777777" w:rsidR="007B4691" w:rsidRPr="00793E15" w:rsidRDefault="00000000">
      <w:r w:rsidRPr="00793E15">
        <w:t xml:space="preserve">It is widely acknowledged that AI often generates fabricated outputs, which are not based on factual real-life events. Hence, the AI-generated outputs have not been blindly followed; instead, they have been cross-checked with verifiable sources accessible on the internet, and the lecture notes have served as a trusted handbook for this assignment. Other trustworthy and verifiable sources for this assignment include the latest versions of the annual reports and sustainability reports of Tata Steel. During the outlining phase, </w:t>
      </w:r>
      <w:proofErr w:type="spellStart"/>
      <w:r w:rsidRPr="00793E15">
        <w:t>ChatGpt</w:t>
      </w:r>
      <w:proofErr w:type="spellEnd"/>
      <w:r w:rsidRPr="00793E15">
        <w:t xml:space="preserve"> produced a response that claimed that only focusing on the environmental factor would be sufficient for Task 1, but the assignment brief clearly states that I must discuss another relevant factor that encourages Tata Steel’s shift towards incorporating sustainable practices. As I read the assignment brief minutely, I was able to identify this logical error instantly. Throughout the rest of this assignment, whenever I asked AI to help me understand marketing concepts, I always verified the AI output against other verifiable sources to avoid using false information or wrongly applying any theoretical framework. </w:t>
      </w:r>
    </w:p>
    <w:p w14:paraId="37851C1B" w14:textId="77777777" w:rsidR="007B4691" w:rsidRPr="00793E15" w:rsidRDefault="00000000">
      <w:pPr>
        <w:pStyle w:val="Heading2"/>
      </w:pPr>
      <w:bookmarkStart w:id="32" w:name="_p3td1xzcg2qd" w:colFirst="0" w:colLast="0"/>
      <w:bookmarkStart w:id="33" w:name="_Toc235743285"/>
      <w:bookmarkEnd w:id="32"/>
      <w:r w:rsidRPr="00793E15">
        <w:t>3.3 Contribution Analysis</w:t>
      </w:r>
      <w:bookmarkEnd w:id="33"/>
    </w:p>
    <w:p w14:paraId="0893F69A" w14:textId="77777777" w:rsidR="007B4691" w:rsidRPr="00793E15" w:rsidRDefault="00000000">
      <w:r w:rsidRPr="00793E15">
        <w:t xml:space="preserve">I developed the structure for the assignment and chose Tata Steel as the selected company only after independently evaluating the company’s sustainability initiative first. I only used AI tools to receive an abstract idea about whether I can apply the theoretical framework in both Task 1 and Task 2. Apart from this, no AI tool can be given credit for producing this report. I produced the entire report after conducting thorough research and discovered statistical information from Tata Steel’s sustainability report, annual report, and other verifiable sources, such as Yahoo Finance.  </w:t>
      </w:r>
    </w:p>
    <w:p w14:paraId="2F682DAA" w14:textId="77777777" w:rsidR="007B4691" w:rsidRPr="00793E15" w:rsidRDefault="00000000">
      <w:pPr>
        <w:pStyle w:val="Heading2"/>
      </w:pPr>
      <w:bookmarkStart w:id="34" w:name="_n2b89undxnzw" w:colFirst="0" w:colLast="0"/>
      <w:bookmarkStart w:id="35" w:name="_Toc235743286"/>
      <w:bookmarkEnd w:id="34"/>
      <w:r w:rsidRPr="00793E15">
        <w:t>3.4 Ethical &amp; Professional Reflection</w:t>
      </w:r>
      <w:bookmarkEnd w:id="35"/>
      <w:r w:rsidRPr="00793E15">
        <w:t xml:space="preserve"> </w:t>
      </w:r>
    </w:p>
    <w:p w14:paraId="4AACA3AE" w14:textId="77777777" w:rsidR="007B4691" w:rsidRPr="00793E15" w:rsidRDefault="00000000">
      <w:r w:rsidRPr="00793E15">
        <w:t xml:space="preserve">I understand that the incorporation of AI raises ethical integrity concerns, limiting the independent ability to critically analyse that is required for developing a marketing analysis report. This compelled me to conduct the entire research on my own, taking assistance from AI tools only where it was needed. Although I asked AI for the appropriateness of certain theoretical framework, I cross-checked the authenticity of the AI response to ensure human oversight. </w:t>
      </w:r>
      <w:r w:rsidRPr="00793E15">
        <w:br w:type="page"/>
      </w:r>
    </w:p>
    <w:p w14:paraId="5C102AA4" w14:textId="77777777" w:rsidR="007B4691" w:rsidRPr="00793E15" w:rsidRDefault="007B4691"/>
    <w:p w14:paraId="7340CD03" w14:textId="77777777" w:rsidR="007B4691" w:rsidRPr="00793E15" w:rsidRDefault="00000000">
      <w:pPr>
        <w:pStyle w:val="Heading1"/>
      </w:pPr>
      <w:bookmarkStart w:id="36" w:name="_cewjdf7k99xd" w:colFirst="0" w:colLast="0"/>
      <w:bookmarkStart w:id="37" w:name="_Toc235743287"/>
      <w:bookmarkEnd w:id="36"/>
      <w:r w:rsidRPr="00793E15">
        <w:t>Reference list</w:t>
      </w:r>
      <w:bookmarkEnd w:id="37"/>
    </w:p>
    <w:p w14:paraId="1805DA76" w14:textId="77777777" w:rsidR="007B4691" w:rsidRPr="00793E15" w:rsidRDefault="00000000">
      <w:r w:rsidRPr="00793E15">
        <w:t xml:space="preserve">Carbon Market Watch, (2025). </w:t>
      </w:r>
      <w:r w:rsidRPr="00793E15">
        <w:rPr>
          <w:i/>
          <w:iCs/>
        </w:rPr>
        <w:t>Carbon Border Adjustment Mechanism (CBAM)</w:t>
      </w:r>
      <w:r w:rsidRPr="00793E15">
        <w:t xml:space="preserve"> Available at: </w:t>
      </w:r>
      <w:hyperlink r:id="rId18">
        <w:r w:rsidRPr="00793E15">
          <w:rPr>
            <w:u w:val="single"/>
          </w:rPr>
          <w:t>https://carbonmarketwatch.org/glossary/carbon-border-adjustment-mechanism-cbam/</w:t>
        </w:r>
      </w:hyperlink>
      <w:r w:rsidRPr="00793E15">
        <w:t xml:space="preserve"> (Accessed: 5 July 2026).</w:t>
      </w:r>
    </w:p>
    <w:p w14:paraId="339AA9C6" w14:textId="77777777" w:rsidR="007B4691" w:rsidRPr="00793E15" w:rsidRDefault="00000000">
      <w:pPr>
        <w:rPr>
          <w:sz w:val="22"/>
          <w:szCs w:val="22"/>
        </w:rPr>
      </w:pPr>
      <w:r w:rsidRPr="00793E15">
        <w:t xml:space="preserve">Chingis Idrissov (2025). </w:t>
      </w:r>
      <w:r w:rsidRPr="00793E15">
        <w:rPr>
          <w:i/>
          <w:iCs/>
          <w:sz w:val="22"/>
          <w:szCs w:val="22"/>
        </w:rPr>
        <w:t>Key Drivers and Technologies Shaping the Green Steel Market</w:t>
      </w:r>
      <w:r w:rsidRPr="00793E15">
        <w:t xml:space="preserve">. Available at: </w:t>
      </w:r>
      <w:hyperlink r:id="rId19">
        <w:r w:rsidRPr="00793E15">
          <w:rPr>
            <w:u w:val="single"/>
          </w:rPr>
          <w:t>https://www.idtechex.com/en/research-article/key-drivers-and-technologies-shaping-the-green-steel-market/32939</w:t>
        </w:r>
      </w:hyperlink>
      <w:r w:rsidRPr="00793E15">
        <w:t xml:space="preserve"> (Accessed: 4 July 2026).</w:t>
      </w:r>
    </w:p>
    <w:p w14:paraId="4F6FE0A7" w14:textId="77777777" w:rsidR="007B4691" w:rsidRPr="00793E15" w:rsidRDefault="00000000">
      <w:r w:rsidRPr="00793E15">
        <w:t xml:space="preserve">Deccan Chronicle, (2026). </w:t>
      </w:r>
      <w:r w:rsidRPr="00793E15">
        <w:rPr>
          <w:i/>
          <w:iCs/>
        </w:rPr>
        <w:t>Chandrasekaran Unveils Tata Steel's Green Growth Vision.</w:t>
      </w:r>
      <w:r w:rsidRPr="00793E15">
        <w:t xml:space="preserve"> Available at: </w:t>
      </w:r>
      <w:hyperlink r:id="rId20">
        <w:r w:rsidRPr="00793E15">
          <w:rPr>
            <w:u w:val="single"/>
          </w:rPr>
          <w:t>https://www.deccanchronicle.com/business/tata-steel-posts-strong-fy26-growth-pat-surges-243-at-119th-agm-1967767</w:t>
        </w:r>
      </w:hyperlink>
      <w:r w:rsidRPr="00793E15">
        <w:t xml:space="preserve"> (Accessed: 4 July 2026).</w:t>
      </w:r>
    </w:p>
    <w:p w14:paraId="120A4AB3" w14:textId="77777777" w:rsidR="007B4691" w:rsidRPr="00793E15" w:rsidRDefault="00000000">
      <w:r w:rsidRPr="00793E15">
        <w:t xml:space="preserve">EY, (2026). </w:t>
      </w:r>
      <w:r w:rsidRPr="00793E15">
        <w:rPr>
          <w:i/>
          <w:iCs/>
        </w:rPr>
        <w:t>Unlocking green steel demand</w:t>
      </w:r>
      <w:r w:rsidRPr="00793E15">
        <w:t xml:space="preserve">. Available at: </w:t>
      </w:r>
      <w:hyperlink r:id="rId21">
        <w:r w:rsidRPr="00793E15">
          <w:rPr>
            <w:u w:val="single"/>
          </w:rPr>
          <w:t>https://www.ey.com/content/dam/ey-unified-site/ey-com/en-in/insights/mining-metals/doucments/ey-unlocking-green-steel-demand-digital.pdf</w:t>
        </w:r>
      </w:hyperlink>
      <w:r w:rsidRPr="00793E15">
        <w:t xml:space="preserve"> (Accessed: 4 July 2026).</w:t>
      </w:r>
    </w:p>
    <w:p w14:paraId="2FE07B50" w14:textId="77777777" w:rsidR="007B4691" w:rsidRPr="00793E15" w:rsidRDefault="00000000">
      <w:r w:rsidRPr="00793E15">
        <w:t xml:space="preserve">Force for Good (2026). </w:t>
      </w:r>
      <w:r w:rsidRPr="00793E15">
        <w:rPr>
          <w:i/>
          <w:iCs/>
        </w:rPr>
        <w:t xml:space="preserve">One World - United Nations Driving Change. </w:t>
      </w:r>
      <w:r w:rsidRPr="00793E15">
        <w:t>Available at:</w:t>
      </w:r>
      <w:hyperlink r:id="rId22">
        <w:r w:rsidRPr="00793E15">
          <w:t xml:space="preserve"> </w:t>
        </w:r>
      </w:hyperlink>
      <w:hyperlink r:id="rId23">
        <w:r w:rsidRPr="00793E15">
          <w:rPr>
            <w:u w:val="single"/>
          </w:rPr>
          <w:t>https://www.forcegood.org/tab-one-world</w:t>
        </w:r>
      </w:hyperlink>
      <w:r w:rsidRPr="00793E15">
        <w:t xml:space="preserve"> (Accessed: 28 June 2026)</w:t>
      </w:r>
    </w:p>
    <w:p w14:paraId="51E76E13" w14:textId="77777777" w:rsidR="007B4691" w:rsidRPr="00793E15" w:rsidRDefault="00000000">
      <w:r w:rsidRPr="00793E15">
        <w:t xml:space="preserve">Fortune Business Insights (2026). Green Mining Market Size, Share, and Industry Analysis, By Type (Surface Mining and Underground Mining), By Technology (Power Reduction, Fuel &amp; Maintenance Reduction, Emission Reduction, Water Reduction, and Others), and Regional Forecast, 2026-2034. Available at: </w:t>
      </w:r>
      <w:hyperlink r:id="rId24">
        <w:r w:rsidRPr="00793E15">
          <w:rPr>
            <w:u w:val="single"/>
          </w:rPr>
          <w:t>https://www.fortunebusinessinsights.com/green-mining-market-109672?__cf_chl_f_tk=MXlCceuTCirvCL7K1gu.HNlUxknDI5OxVwevI4apGGk-1783409773-1.0.1.1-iU1OCQPqKCTdeNGZs.g3t.0hJXNsOzzoPoTqvIetiow</w:t>
        </w:r>
      </w:hyperlink>
      <w:r w:rsidRPr="00793E15">
        <w:t xml:space="preserve">  (Accessed: 4 July 2026).</w:t>
      </w:r>
    </w:p>
    <w:p w14:paraId="3676A9B7" w14:textId="77777777" w:rsidR="007B4691" w:rsidRPr="00793E15" w:rsidRDefault="00000000">
      <w:r w:rsidRPr="00793E15">
        <w:t xml:space="preserve">Garg, V., Gulia, J., Gupta, K., Shaik, N. and Srivastava, S. (2023). </w:t>
      </w:r>
      <w:r w:rsidRPr="00793E15">
        <w:rPr>
          <w:i/>
          <w:iCs/>
        </w:rPr>
        <w:t>Steel decarbonisation in India</w:t>
      </w:r>
      <w:r w:rsidRPr="00793E15">
        <w:t>. Available at:</w:t>
      </w:r>
      <w:hyperlink r:id="rId25">
        <w:r w:rsidRPr="00793E15">
          <w:t xml:space="preserve"> </w:t>
        </w:r>
      </w:hyperlink>
      <w:hyperlink r:id="rId26">
        <w:r w:rsidRPr="00793E15">
          <w:rPr>
            <w:u w:val="single"/>
          </w:rPr>
          <w:t>https://ieefa.org/resources/steel-decarbonisation-india</w:t>
        </w:r>
      </w:hyperlink>
      <w:r w:rsidRPr="00793E15">
        <w:t xml:space="preserve"> (Accessed: 26 June 2026)</w:t>
      </w:r>
    </w:p>
    <w:p w14:paraId="0159B105" w14:textId="77777777" w:rsidR="007B4691" w:rsidRPr="00793E15" w:rsidRDefault="00000000">
      <w:r w:rsidRPr="00793E15">
        <w:lastRenderedPageBreak/>
        <w:t xml:space="preserve">India Science and Technology (2026). </w:t>
      </w:r>
      <w:r w:rsidRPr="00793E15">
        <w:rPr>
          <w:i/>
          <w:iCs/>
        </w:rPr>
        <w:t>National Green Hydrogen Mission</w:t>
      </w:r>
      <w:r w:rsidRPr="00793E15">
        <w:t>. Available at:</w:t>
      </w:r>
      <w:hyperlink r:id="rId27">
        <w:r w:rsidRPr="00793E15">
          <w:t xml:space="preserve"> </w:t>
        </w:r>
      </w:hyperlink>
      <w:hyperlink r:id="rId28">
        <w:r w:rsidRPr="00793E15">
          <w:rPr>
            <w:u w:val="single"/>
          </w:rPr>
          <w:t>https://www.indiascienceandtechnology.gov.in/st-visions/national-mission/national-green-hydrogen-mission</w:t>
        </w:r>
      </w:hyperlink>
      <w:r w:rsidRPr="00793E15">
        <w:t xml:space="preserve"> (Accessed: 30 June 2026)</w:t>
      </w:r>
    </w:p>
    <w:p w14:paraId="68E8B0A1" w14:textId="77777777" w:rsidR="007B4691" w:rsidRPr="00793E15" w:rsidRDefault="00000000">
      <w:r w:rsidRPr="00793E15">
        <w:t xml:space="preserve">JSW (2026). </w:t>
      </w:r>
      <w:r w:rsidRPr="00793E15">
        <w:rPr>
          <w:i/>
          <w:iCs/>
        </w:rPr>
        <w:t>Climate Change.</w:t>
      </w:r>
      <w:r w:rsidRPr="00793E15">
        <w:t xml:space="preserve"> Available at:</w:t>
      </w:r>
      <w:hyperlink r:id="rId29">
        <w:r w:rsidRPr="00793E15">
          <w:t xml:space="preserve"> </w:t>
        </w:r>
      </w:hyperlink>
      <w:hyperlink r:id="rId30">
        <w:r w:rsidRPr="00793E15">
          <w:rPr>
            <w:u w:val="single"/>
          </w:rPr>
          <w:t>https://group.jsw.in/groups/sustainability-framework-measuring-success-climate-change</w:t>
        </w:r>
      </w:hyperlink>
      <w:r w:rsidRPr="00793E15">
        <w:t xml:space="preserve"> (Accessed: 29 June 2026)</w:t>
      </w:r>
    </w:p>
    <w:p w14:paraId="41CD09F3" w14:textId="77777777" w:rsidR="007B4691" w:rsidRPr="00793E15" w:rsidRDefault="00000000">
      <w:r w:rsidRPr="00793E15">
        <w:t xml:space="preserve">Kreimeyer, M., </w:t>
      </w:r>
      <w:proofErr w:type="spellStart"/>
      <w:r w:rsidRPr="00793E15">
        <w:t>Stölzle</w:t>
      </w:r>
      <w:proofErr w:type="spellEnd"/>
      <w:r w:rsidRPr="00793E15">
        <w:t>, M.G. and Dausch, V., (2025). Product Life Cycle. </w:t>
      </w:r>
      <w:r w:rsidRPr="00793E15">
        <w:rPr>
          <w:i/>
          <w:iCs/>
        </w:rPr>
        <w:t>Product Lifecycle Management</w:t>
      </w:r>
      <w:r w:rsidRPr="00793E15">
        <w:t>, p.7.</w:t>
      </w:r>
    </w:p>
    <w:p w14:paraId="72037F13" w14:textId="77777777" w:rsidR="007B4691" w:rsidRPr="00793E15" w:rsidRDefault="00000000">
      <w:r w:rsidRPr="00793E15">
        <w:t xml:space="preserve">Morgan Stanley (2025). </w:t>
      </w:r>
      <w:r w:rsidRPr="00793E15">
        <w:rPr>
          <w:i/>
          <w:iCs/>
        </w:rPr>
        <w:t>Sustainable Fund Returns Slightly Below Traditional Peers in Second Half of 2025</w:t>
      </w:r>
      <w:r w:rsidRPr="00793E15">
        <w:t>. Available at:</w:t>
      </w:r>
      <w:hyperlink r:id="rId31">
        <w:r w:rsidRPr="00793E15">
          <w:t xml:space="preserve"> </w:t>
        </w:r>
      </w:hyperlink>
      <w:hyperlink r:id="rId32">
        <w:r w:rsidRPr="00793E15">
          <w:rPr>
            <w:u w:val="single"/>
          </w:rPr>
          <w:t>https://www.morganstanley.com/insights/articles/sustainable-fund-performance-second-half-2025</w:t>
        </w:r>
      </w:hyperlink>
      <w:r w:rsidRPr="00793E15">
        <w:t xml:space="preserve"> (Accessed: 27 June 2026)</w:t>
      </w:r>
    </w:p>
    <w:p w14:paraId="0B2EE6E7" w14:textId="77777777" w:rsidR="007B4691" w:rsidRPr="00793E15" w:rsidRDefault="00000000">
      <w:proofErr w:type="spellStart"/>
      <w:r w:rsidRPr="00793E15">
        <w:t>Myllyvirta</w:t>
      </w:r>
      <w:proofErr w:type="spellEnd"/>
      <w:r w:rsidRPr="00793E15">
        <w:t xml:space="preserve">, L. and Aggarwal, A. (2026). </w:t>
      </w:r>
      <w:r w:rsidRPr="00793E15">
        <w:rPr>
          <w:i/>
          <w:iCs/>
        </w:rPr>
        <w:t>Analysis: India’s CO2 emissions in 2025 grew at slowest rate in two decades</w:t>
      </w:r>
      <w:r w:rsidRPr="00793E15">
        <w:t>.</w:t>
      </w:r>
      <w:hyperlink r:id="rId33">
        <w:r w:rsidRPr="00793E15">
          <w:t xml:space="preserve"> </w:t>
        </w:r>
      </w:hyperlink>
      <w:hyperlink r:id="rId34">
        <w:r w:rsidRPr="00793E15">
          <w:rPr>
            <w:u w:val="single"/>
          </w:rPr>
          <w:t>https://www.carbonbrief.org/analysis-indias-co2-emissions-in-2025-grew-at-slowest-rate-in-two-decades/</w:t>
        </w:r>
      </w:hyperlink>
      <w:r w:rsidRPr="00793E15">
        <w:t xml:space="preserve"> (Accessed: 28 June 2026)</w:t>
      </w:r>
    </w:p>
    <w:p w14:paraId="215CEE15" w14:textId="77777777" w:rsidR="007B4691" w:rsidRPr="00793E15" w:rsidRDefault="00000000">
      <w:r w:rsidRPr="00793E15">
        <w:t xml:space="preserve">Palak Agarwal, (2026). </w:t>
      </w:r>
      <w:r w:rsidRPr="00793E15">
        <w:rPr>
          <w:i/>
          <w:iCs/>
        </w:rPr>
        <w:t>How Tata Steel is growing aggressively while minimising its carbon footprint</w:t>
      </w:r>
      <w:r w:rsidRPr="00793E15">
        <w:t xml:space="preserve">. Available at: </w:t>
      </w:r>
      <w:hyperlink r:id="rId35">
        <w:r w:rsidRPr="00793E15">
          <w:rPr>
            <w:u w:val="single"/>
          </w:rPr>
          <w:t>https://www.businesstoday.in/magazine/deep-dive/story/how-tata-steel-is-growing-aggressively-while-minimising-its-carbon-footprint-536099-2026-06-10</w:t>
        </w:r>
      </w:hyperlink>
      <w:r w:rsidRPr="00793E15">
        <w:t xml:space="preserve"> (Accessed: 6 July 2026).</w:t>
      </w:r>
    </w:p>
    <w:p w14:paraId="05265E05" w14:textId="77777777" w:rsidR="007B4691" w:rsidRPr="00793E15" w:rsidRDefault="00000000">
      <w:r w:rsidRPr="00793E15">
        <w:t xml:space="preserve">PIB Delhi (2024). </w:t>
      </w:r>
      <w:r w:rsidRPr="00793E15">
        <w:rPr>
          <w:i/>
          <w:iCs/>
        </w:rPr>
        <w:t>Union Minister of Steel and Heavy Industries, Shri H.D. Kumaraswamy, Releases India’s Green Steel Taxonomy.</w:t>
      </w:r>
      <w:r w:rsidRPr="00793E15">
        <w:t xml:space="preserve"> Available at:</w:t>
      </w:r>
      <w:hyperlink r:id="rId36">
        <w:r w:rsidRPr="00793E15">
          <w:t xml:space="preserve"> </w:t>
        </w:r>
      </w:hyperlink>
      <w:hyperlink r:id="rId37">
        <w:r w:rsidRPr="00793E15">
          <w:rPr>
            <w:u w:val="single"/>
          </w:rPr>
          <w:t>https://www.pib.gov.in/PressReleasePage.aspx?PRID=2083839&amp;reg=48&amp;lang=2</w:t>
        </w:r>
      </w:hyperlink>
      <w:r w:rsidRPr="00793E15">
        <w:t xml:space="preserve"> (Accessed: 29 June 2026)</w:t>
      </w:r>
    </w:p>
    <w:p w14:paraId="2BF196BF" w14:textId="77777777" w:rsidR="007B4691" w:rsidRPr="00793E15" w:rsidRDefault="00000000">
      <w:r w:rsidRPr="00793E15">
        <w:t xml:space="preserve">PIB Delhi (2025). </w:t>
      </w:r>
      <w:r w:rsidRPr="00793E15">
        <w:rPr>
          <w:i/>
          <w:iCs/>
        </w:rPr>
        <w:t>Unlocking India’s Green Hydrogen Production Potential</w:t>
      </w:r>
      <w:r w:rsidRPr="00793E15">
        <w:t>. Available at:</w:t>
      </w:r>
      <w:hyperlink r:id="rId38">
        <w:r w:rsidRPr="00793E15">
          <w:t xml:space="preserve"> </w:t>
        </w:r>
      </w:hyperlink>
      <w:hyperlink r:id="rId39">
        <w:r w:rsidRPr="00793E15">
          <w:rPr>
            <w:u w:val="single"/>
          </w:rPr>
          <w:t>https://www.pib.gov.in/PressReleasePage.aspx?PRID=2189126&amp;reg=48&amp;lang=2</w:t>
        </w:r>
      </w:hyperlink>
      <w:r w:rsidRPr="00793E15">
        <w:t xml:space="preserve"> (Accessed: 30 June 2026)</w:t>
      </w:r>
    </w:p>
    <w:p w14:paraId="6E30E850" w14:textId="77777777" w:rsidR="007B4691" w:rsidRPr="00793E15" w:rsidRDefault="00000000">
      <w:r w:rsidRPr="00793E15">
        <w:t xml:space="preserve">PIB Delhi (2026). </w:t>
      </w:r>
      <w:r w:rsidRPr="00793E15">
        <w:rPr>
          <w:i/>
          <w:iCs/>
        </w:rPr>
        <w:t>India Showcases Carbon Credit Trading Scheme and Renewable Energy Standards at WTO Trade and Environment Week 2026</w:t>
      </w:r>
      <w:r w:rsidRPr="00793E15">
        <w:t>. Available at:</w:t>
      </w:r>
      <w:hyperlink r:id="rId40">
        <w:r w:rsidRPr="00793E15">
          <w:t xml:space="preserve"> </w:t>
        </w:r>
      </w:hyperlink>
      <w:hyperlink r:id="rId41">
        <w:r w:rsidRPr="00793E15">
          <w:rPr>
            <w:u w:val="single"/>
          </w:rPr>
          <w:t>https://www.pib.gov.in/PressReleasePage.aspx?PRID=2269438&amp;reg=3&amp;lang=1</w:t>
        </w:r>
      </w:hyperlink>
      <w:r w:rsidRPr="00793E15">
        <w:t xml:space="preserve"> (Accessed: 24 June 2026)</w:t>
      </w:r>
    </w:p>
    <w:p w14:paraId="654D377A" w14:textId="77777777" w:rsidR="007B4691" w:rsidRPr="00793E15" w:rsidRDefault="00000000">
      <w:r w:rsidRPr="00793E15">
        <w:lastRenderedPageBreak/>
        <w:t xml:space="preserve">PIB, (2025). </w:t>
      </w:r>
      <w:r w:rsidRPr="00793E15">
        <w:rPr>
          <w:i/>
          <w:iCs/>
        </w:rPr>
        <w:t xml:space="preserve">PLI 1.1 Scheme Boosts India’s Specialty Steel Sector. </w:t>
      </w:r>
      <w:r w:rsidRPr="00793E15">
        <w:t xml:space="preserve"> Available at: </w:t>
      </w:r>
      <w:hyperlink r:id="rId42">
        <w:r w:rsidRPr="00793E15">
          <w:rPr>
            <w:u w:val="single"/>
          </w:rPr>
          <w:t>https://www.pib.gov.in/PressReleaseIframePage.aspx?PRID=2114558&amp;reg=48&amp;lang=2</w:t>
        </w:r>
      </w:hyperlink>
      <w:r w:rsidRPr="00793E15">
        <w:t xml:space="preserve"> (Accessed: 6 July 2026).</w:t>
      </w:r>
    </w:p>
    <w:p w14:paraId="5E562B3F" w14:textId="77777777" w:rsidR="007B4691" w:rsidRPr="00793E15" w:rsidRDefault="00000000">
      <w:r w:rsidRPr="00793E15">
        <w:t xml:space="preserve">SAIL (2026). </w:t>
      </w:r>
      <w:r w:rsidRPr="00793E15">
        <w:rPr>
          <w:i/>
          <w:iCs/>
        </w:rPr>
        <w:t>Environment Management Division</w:t>
      </w:r>
      <w:r w:rsidRPr="00793E15">
        <w:t>. Available at:</w:t>
      </w:r>
      <w:hyperlink r:id="rId43">
        <w:r w:rsidRPr="00793E15">
          <w:t xml:space="preserve"> </w:t>
        </w:r>
      </w:hyperlink>
      <w:hyperlink r:id="rId44">
        <w:r w:rsidRPr="00793E15">
          <w:rPr>
            <w:u w:val="single"/>
          </w:rPr>
          <w:t>https://www.sail.co.in/en/plants/environment-management-division</w:t>
        </w:r>
      </w:hyperlink>
      <w:r w:rsidRPr="00793E15">
        <w:t xml:space="preserve"> (Accessed: 26 June 2026)</w:t>
      </w:r>
    </w:p>
    <w:p w14:paraId="2AC5E741" w14:textId="77777777" w:rsidR="007B4691" w:rsidRPr="00793E15" w:rsidRDefault="00000000">
      <w:r w:rsidRPr="00793E15">
        <w:t xml:space="preserve">SMM, (2026). </w:t>
      </w:r>
      <w:r w:rsidRPr="00793E15">
        <w:rPr>
          <w:i/>
          <w:iCs/>
        </w:rPr>
        <w:t xml:space="preserve">[Tata Steel plans Rs 200bn capex for capacity expansion and new technology]. </w:t>
      </w:r>
      <w:r w:rsidRPr="00793E15">
        <w:t xml:space="preserve"> Available at: </w:t>
      </w:r>
      <w:hyperlink r:id="rId45">
        <w:r w:rsidRPr="00793E15">
          <w:rPr>
            <w:u w:val="single"/>
          </w:rPr>
          <w:t>https://news.metal.com/newscontent/103992235-tata-steel-plans-rs-200bn-capex-for-capacity-expansion-and-new-technology</w:t>
        </w:r>
      </w:hyperlink>
      <w:r w:rsidRPr="00793E15">
        <w:t xml:space="preserve"> (Accessed: 7 July 2026).</w:t>
      </w:r>
    </w:p>
    <w:p w14:paraId="05457A84" w14:textId="77777777" w:rsidR="007B4691" w:rsidRPr="00793E15" w:rsidRDefault="00000000">
      <w:r w:rsidRPr="00793E15">
        <w:t xml:space="preserve">Swati Verma, (2026). </w:t>
      </w:r>
      <w:r w:rsidRPr="00793E15">
        <w:rPr>
          <w:i/>
          <w:iCs/>
        </w:rPr>
        <w:t xml:space="preserve">Tata Steel may defer UK low-carbon steel project by up to 8 months; shares </w:t>
      </w:r>
      <w:proofErr w:type="spellStart"/>
      <w:r w:rsidRPr="00793E15">
        <w:rPr>
          <w:i/>
          <w:iCs/>
        </w:rPr>
        <w:t>slip</w:t>
      </w:r>
      <w:proofErr w:type="spellEnd"/>
      <w:r w:rsidRPr="00793E15">
        <w:rPr>
          <w:i/>
          <w:iCs/>
        </w:rPr>
        <w:t xml:space="preserve"> 2%</w:t>
      </w:r>
      <w:r w:rsidRPr="00793E15">
        <w:t xml:space="preserve">. Available at: </w:t>
      </w:r>
      <w:hyperlink r:id="rId46">
        <w:r w:rsidRPr="00793E15">
          <w:rPr>
            <w:u w:val="single"/>
          </w:rPr>
          <w:t>https://upstox.com/news/market-news/stocks/tata-steel-may-defer-uk-low-carbon-steel-project-by-up-to-8-months-amid-power-access-delays-shares-slip-2/article-194938/</w:t>
        </w:r>
      </w:hyperlink>
      <w:r w:rsidRPr="00793E15">
        <w:t xml:space="preserve"> (Accessed: 5 July 2026).</w:t>
      </w:r>
    </w:p>
    <w:p w14:paraId="5579BB85" w14:textId="77777777" w:rsidR="007B4691" w:rsidRPr="00793E15" w:rsidRDefault="00000000">
      <w:r w:rsidRPr="00793E15">
        <w:t xml:space="preserve">Tata Steel (2026). </w:t>
      </w:r>
      <w:r w:rsidRPr="00793E15">
        <w:rPr>
          <w:i/>
          <w:iCs/>
        </w:rPr>
        <w:t>119</w:t>
      </w:r>
      <w:r w:rsidRPr="00793E15">
        <w:rPr>
          <w:i/>
          <w:iCs/>
          <w:vertAlign w:val="superscript"/>
        </w:rPr>
        <w:t>th</w:t>
      </w:r>
      <w:r w:rsidRPr="00793E15">
        <w:rPr>
          <w:i/>
          <w:iCs/>
        </w:rPr>
        <w:t xml:space="preserve"> year - Integrated Report and Annual Accounts 2025-26</w:t>
      </w:r>
      <w:r w:rsidRPr="00793E15">
        <w:t>. Available at:</w:t>
      </w:r>
      <w:hyperlink r:id="rId47">
        <w:r w:rsidRPr="00793E15">
          <w:t xml:space="preserve"> </w:t>
        </w:r>
      </w:hyperlink>
      <w:hyperlink r:id="rId48">
        <w:r w:rsidRPr="00793E15">
          <w:rPr>
            <w:u w:val="single"/>
          </w:rPr>
          <w:t>https://www.tatasteel.com/media/25904/tatasteel-iar-2025-26.pdf</w:t>
        </w:r>
      </w:hyperlink>
      <w:r w:rsidRPr="00793E15">
        <w:t xml:space="preserve"> (Accessed: 25 June 2026)</w:t>
      </w:r>
    </w:p>
    <w:p w14:paraId="3A1BC58B" w14:textId="77777777" w:rsidR="007B4691" w:rsidRPr="00793E15" w:rsidRDefault="00000000">
      <w:pPr>
        <w:rPr>
          <w:sz w:val="22"/>
          <w:szCs w:val="22"/>
        </w:rPr>
      </w:pPr>
      <w:r w:rsidRPr="00793E15">
        <w:t xml:space="preserve">Tata Steel, (2026). </w:t>
      </w:r>
      <w:r w:rsidRPr="00793E15">
        <w:rPr>
          <w:i/>
          <w:iCs/>
        </w:rPr>
        <w:t>Business Responsibility and Sustainability Report for FY 2025-26</w:t>
      </w:r>
      <w:r w:rsidRPr="00793E15">
        <w:t xml:space="preserve">. Available at: </w:t>
      </w:r>
      <w:hyperlink r:id="rId49">
        <w:r w:rsidRPr="00793E15">
          <w:rPr>
            <w:u w:val="single"/>
          </w:rPr>
          <w:t>https://www.tatasteel.com/media/25905/nsebsebrsr.pdf</w:t>
        </w:r>
      </w:hyperlink>
      <w:r w:rsidRPr="00793E15">
        <w:t xml:space="preserve"> (Accessed: 3 July 2026).</w:t>
      </w:r>
    </w:p>
    <w:p w14:paraId="5676325F" w14:textId="77777777" w:rsidR="007B4691" w:rsidRPr="00793E15" w:rsidRDefault="00000000">
      <w:r w:rsidRPr="00793E15">
        <w:t xml:space="preserve">Tata Steel, (2026). </w:t>
      </w:r>
      <w:r w:rsidRPr="00793E15">
        <w:rPr>
          <w:i/>
          <w:iCs/>
        </w:rPr>
        <w:t>Green steel and sustainability</w:t>
      </w:r>
      <w:r w:rsidRPr="00793E15">
        <w:t xml:space="preserve">. Available at: </w:t>
      </w:r>
      <w:hyperlink r:id="rId50">
        <w:r w:rsidRPr="00793E15">
          <w:rPr>
            <w:u w:val="single"/>
          </w:rPr>
          <w:t>https://www.tatasteelnederland.com/en/sustainability</w:t>
        </w:r>
      </w:hyperlink>
      <w:r w:rsidRPr="00793E15">
        <w:t xml:space="preserve"> (Accessed: 1 July 2026).</w:t>
      </w:r>
    </w:p>
    <w:p w14:paraId="0F774E4A" w14:textId="77777777" w:rsidR="007B4691" w:rsidRPr="00793E15" w:rsidRDefault="00000000">
      <w:r w:rsidRPr="00793E15">
        <w:t xml:space="preserve">Tata Steel, (2026). </w:t>
      </w:r>
      <w:r w:rsidRPr="00793E15">
        <w:rPr>
          <w:i/>
          <w:iCs/>
        </w:rPr>
        <w:t>How Tata Steel is growing aggressively while minimising its carbon footprint</w:t>
      </w:r>
      <w:r w:rsidRPr="00793E15">
        <w:t xml:space="preserve">. Available at: </w:t>
      </w:r>
      <w:hyperlink r:id="rId51">
        <w:r w:rsidRPr="00793E15">
          <w:rPr>
            <w:u w:val="single"/>
          </w:rPr>
          <w:t>https://www.tatasteel.com/sustainability/social/climate-action/</w:t>
        </w:r>
      </w:hyperlink>
      <w:r w:rsidRPr="00793E15">
        <w:t xml:space="preserve"> (Accessed: 7 July 2026).</w:t>
      </w:r>
    </w:p>
    <w:p w14:paraId="6F03364F" w14:textId="77777777" w:rsidR="007B4691" w:rsidRPr="00793E15" w:rsidRDefault="00000000">
      <w:pPr>
        <w:rPr>
          <w:sz w:val="22"/>
          <w:szCs w:val="22"/>
        </w:rPr>
      </w:pPr>
      <w:r w:rsidRPr="00793E15">
        <w:t xml:space="preserve">Tata Steel, (2026). </w:t>
      </w:r>
      <w:r w:rsidRPr="00793E15">
        <w:rPr>
          <w:i/>
          <w:iCs/>
          <w:sz w:val="22"/>
          <w:szCs w:val="22"/>
        </w:rPr>
        <w:t>Integrated Report &amp; Annual Accounts 2025-26</w:t>
      </w:r>
      <w:r w:rsidRPr="00793E15">
        <w:t xml:space="preserve">. Available at: </w:t>
      </w:r>
      <w:hyperlink r:id="rId52">
        <w:r w:rsidRPr="00793E15">
          <w:rPr>
            <w:u w:val="single"/>
          </w:rPr>
          <w:t>https://www.tatasteel.com/investors/integrated-reportannual-report/integrated-report-annual-accounts-2025-26-119th-year-and-related-documents/</w:t>
        </w:r>
      </w:hyperlink>
      <w:r w:rsidRPr="00793E15">
        <w:t xml:space="preserve"> (Accessed: 4 July 2026).</w:t>
      </w:r>
    </w:p>
    <w:p w14:paraId="69477533" w14:textId="77777777" w:rsidR="007B4691" w:rsidRPr="00793E15" w:rsidRDefault="00000000">
      <w:r w:rsidRPr="00793E15">
        <w:lastRenderedPageBreak/>
        <w:t xml:space="preserve">Tata Steel, (2026). </w:t>
      </w:r>
      <w:r w:rsidRPr="00793E15">
        <w:rPr>
          <w:i/>
          <w:iCs/>
        </w:rPr>
        <w:t>Our commitment to the planet</w:t>
      </w:r>
      <w:r w:rsidRPr="00793E15">
        <w:t xml:space="preserve">. Available at: </w:t>
      </w:r>
      <w:hyperlink r:id="rId53">
        <w:r w:rsidRPr="00793E15">
          <w:rPr>
            <w:u w:val="single"/>
          </w:rPr>
          <w:t>https://products.tatasteelnederland.com/services/sustainable-solutions/zeremis/carbon-reduction-projects</w:t>
        </w:r>
      </w:hyperlink>
      <w:r w:rsidRPr="00793E15">
        <w:t xml:space="preserve"> (Accessed: 7 July 2026).</w:t>
      </w:r>
    </w:p>
    <w:p w14:paraId="75681325" w14:textId="77777777" w:rsidR="007B4691" w:rsidRPr="00793E15" w:rsidRDefault="00000000">
      <w:pPr>
        <w:rPr>
          <w:sz w:val="22"/>
          <w:szCs w:val="22"/>
        </w:rPr>
      </w:pPr>
      <w:r w:rsidRPr="00793E15">
        <w:t xml:space="preserve">Tata Steel, (2026). </w:t>
      </w:r>
      <w:r w:rsidRPr="00793E15">
        <w:rPr>
          <w:i/>
          <w:iCs/>
          <w:sz w:val="22"/>
          <w:szCs w:val="22"/>
        </w:rPr>
        <w:t xml:space="preserve">Tata Steel Partners with Google Cloud </w:t>
      </w:r>
      <w:proofErr w:type="gramStart"/>
      <w:r w:rsidRPr="00793E15">
        <w:rPr>
          <w:i/>
          <w:iCs/>
          <w:sz w:val="22"/>
          <w:szCs w:val="22"/>
        </w:rPr>
        <w:t>To</w:t>
      </w:r>
      <w:proofErr w:type="gramEnd"/>
      <w:r w:rsidRPr="00793E15">
        <w:rPr>
          <w:i/>
          <w:iCs/>
          <w:sz w:val="22"/>
          <w:szCs w:val="22"/>
        </w:rPr>
        <w:t xml:space="preserve"> Deploy a Unified Agentic AI Across its Global Value Chain</w:t>
      </w:r>
      <w:r w:rsidRPr="00793E15">
        <w:t xml:space="preserve">. Available at: </w:t>
      </w:r>
      <w:hyperlink r:id="rId54">
        <w:r w:rsidRPr="00793E15">
          <w:rPr>
            <w:u w:val="single"/>
          </w:rPr>
          <w:t>https://www.tatasteel.com/newsroom/press-releases/india/2026/tata-steel-partners-with-google-cloud-to-deploy-a-unified-agentic-ai-across-its-global-value-chain/</w:t>
        </w:r>
      </w:hyperlink>
      <w:r w:rsidRPr="00793E15">
        <w:t xml:space="preserve"> (Accessed: 2 July 2026).</w:t>
      </w:r>
    </w:p>
    <w:p w14:paraId="34B368AE" w14:textId="77777777" w:rsidR="007B4691" w:rsidRPr="00793E15" w:rsidRDefault="00000000">
      <w:r w:rsidRPr="00793E15">
        <w:t xml:space="preserve">Transport Environment (2025). </w:t>
      </w:r>
      <w:r w:rsidRPr="00793E15">
        <w:rPr>
          <w:i/>
          <w:iCs/>
        </w:rPr>
        <w:t>Cleaning up steel in cars: why and how?</w:t>
      </w:r>
      <w:r w:rsidRPr="00793E15">
        <w:t xml:space="preserve"> Available at:</w:t>
      </w:r>
      <w:hyperlink r:id="rId55">
        <w:r w:rsidRPr="00793E15">
          <w:t xml:space="preserve"> </w:t>
        </w:r>
      </w:hyperlink>
      <w:hyperlink r:id="rId56">
        <w:r w:rsidRPr="00793E15">
          <w:rPr>
            <w:u w:val="single"/>
          </w:rPr>
          <w:t>https://uploads.transportenvironment.org/production/files/Green-steel-in-cars-briefing_July-2024.docx.pdf</w:t>
        </w:r>
      </w:hyperlink>
      <w:r w:rsidRPr="00793E15">
        <w:t xml:space="preserve"> (Accessed: 26 June 2026)</w:t>
      </w:r>
    </w:p>
    <w:p w14:paraId="61C3A6F6" w14:textId="77777777" w:rsidR="007B4691" w:rsidRPr="00793E15" w:rsidRDefault="00000000">
      <w:r w:rsidRPr="00793E15">
        <w:t xml:space="preserve">UNCTAD (2026). </w:t>
      </w:r>
      <w:r w:rsidRPr="00793E15">
        <w:rPr>
          <w:i/>
          <w:iCs/>
        </w:rPr>
        <w:t>Global investment rises 6% to $1.6 trillion, but development gains remain uneven</w:t>
      </w:r>
      <w:r w:rsidRPr="00793E15">
        <w:t>. Available at:</w:t>
      </w:r>
      <w:hyperlink r:id="rId57">
        <w:r w:rsidRPr="00793E15">
          <w:t xml:space="preserve"> </w:t>
        </w:r>
      </w:hyperlink>
      <w:hyperlink r:id="rId58">
        <w:r w:rsidRPr="00793E15">
          <w:rPr>
            <w:u w:val="single"/>
          </w:rPr>
          <w:t>https://unctad.org/news/global-investment-rises-6-16-trillion-development-gains-remain-uneven</w:t>
        </w:r>
      </w:hyperlink>
      <w:r w:rsidRPr="00793E15">
        <w:t xml:space="preserve"> (Accessed: 28 June 2026)</w:t>
      </w:r>
    </w:p>
    <w:p w14:paraId="29E91DB6" w14:textId="77777777" w:rsidR="007B4691" w:rsidRPr="00793E15" w:rsidRDefault="00000000">
      <w:r w:rsidRPr="00793E15">
        <w:t xml:space="preserve">Yahoo Finance, (2025). </w:t>
      </w:r>
      <w:r w:rsidRPr="00793E15">
        <w:rPr>
          <w:i/>
          <w:iCs/>
        </w:rPr>
        <w:t>Green Steel to Hit USD 189.82 Billion by 2032, at a CAGR of 60.4%, says Coherent Market Insights</w:t>
      </w:r>
      <w:r w:rsidRPr="00793E15">
        <w:t xml:space="preserve">. Available at: </w:t>
      </w:r>
      <w:hyperlink r:id="rId59">
        <w:r w:rsidRPr="00793E15">
          <w:rPr>
            <w:u w:val="single"/>
          </w:rPr>
          <w:t>https://finance.yahoo.com/news/green-steel-hit-usd-189-141900615.html?guccounter=1&amp;guce_referrer=aHR0cHM6Ly93d3cuZ29vZ2xlLmNvbS8&amp;guce_referrer_sig=AQAAANouHC6DvO45B0W-HDskI6kEykhycqUykf3nBX4o2FQ-cNcnN-a_K4YxRwG0x70ZzDXega-Mex5OXPWTUklCyyLYhBRoUVGcbhSTHUNJkcEswTNI3aVDebGnO_Ehw2J7IG_xYi3KdxpNvdqqkgqHiOqMAz3_7WPsKFlNoE6157J0</w:t>
        </w:r>
      </w:hyperlink>
      <w:r w:rsidRPr="00793E15">
        <w:t xml:space="preserve"> (Accessed: 3 July 2026).</w:t>
      </w:r>
    </w:p>
    <w:p w14:paraId="6F2589A2" w14:textId="77777777" w:rsidR="007B4691" w:rsidRPr="00793E15" w:rsidRDefault="00000000">
      <w:r w:rsidRPr="00793E15">
        <w:t>Yermolenko, H. (2025). Tata Steel increased steel production in India by 4% y/y in FY2024/2025. [Online].</w:t>
      </w:r>
      <w:r w:rsidRPr="00793E15">
        <w:rPr>
          <w:i/>
          <w:iCs/>
        </w:rPr>
        <w:t xml:space="preserve"> GMK Centre.</w:t>
      </w:r>
      <w:r w:rsidRPr="00793E15">
        <w:t xml:space="preserve"> Available at: </w:t>
      </w:r>
      <w:hyperlink r:id="rId60">
        <w:r w:rsidRPr="00793E15">
          <w:rPr>
            <w:u w:val="single"/>
          </w:rPr>
          <w:t>https://gmk.center/en/news/tata-steel-increased-steel-production-in-india-by-4-y-y-in-fy2024-2025/</w:t>
        </w:r>
      </w:hyperlink>
      <w:r w:rsidRPr="00793E15">
        <w:t xml:space="preserve"> [Accessed on: 10/07/2026]</w:t>
      </w:r>
    </w:p>
    <w:p w14:paraId="0E1E06BD" w14:textId="77777777" w:rsidR="007B4691" w:rsidRPr="00793E15" w:rsidRDefault="007B4691">
      <w:pPr>
        <w:widowControl w:val="0"/>
        <w:pBdr>
          <w:top w:val="nil"/>
          <w:left w:val="nil"/>
          <w:bottom w:val="nil"/>
          <w:right w:val="nil"/>
          <w:between w:val="nil"/>
        </w:pBdr>
        <w:spacing w:after="0" w:line="276" w:lineRule="auto"/>
        <w:jc w:val="left"/>
      </w:pPr>
    </w:p>
    <w:sectPr w:rsidR="007B4691" w:rsidRPr="00793E15">
      <w:headerReference w:type="default" r:id="rId61"/>
      <w:footerReference w:type="default" r:id="rId62"/>
      <w:headerReference w:type="first" r:id="rId63"/>
      <w:footerReference w:type="first" r:id="rId6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12BA4" w14:textId="77777777" w:rsidR="00D2139F" w:rsidRDefault="00D2139F">
      <w:pPr>
        <w:spacing w:after="0" w:line="240" w:lineRule="auto"/>
      </w:pPr>
      <w:r>
        <w:separator/>
      </w:r>
    </w:p>
  </w:endnote>
  <w:endnote w:type="continuationSeparator" w:id="0">
    <w:p w14:paraId="72B6A98D" w14:textId="77777777" w:rsidR="00D2139F" w:rsidRDefault="00D21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540CBC8E-8A59-4A64-9463-8F5BFA249BCA}"/>
  </w:font>
  <w:font w:name="Calibri">
    <w:panose1 w:val="020F0502020204030204"/>
    <w:charset w:val="00"/>
    <w:family w:val="swiss"/>
    <w:pitch w:val="variable"/>
    <w:sig w:usb0="E4002EFF" w:usb1="C200247B" w:usb2="00000009" w:usb3="00000000" w:csb0="000001FF" w:csb1="00000000"/>
    <w:embedRegular r:id="rId2" w:fontKey="{1AD611B1-9FEE-4402-975C-FCE13492D57A}"/>
  </w:font>
  <w:font w:name="Shruti">
    <w:panose1 w:val="02000500000000000000"/>
    <w:charset w:val="00"/>
    <w:family w:val="swiss"/>
    <w:pitch w:val="variable"/>
    <w:sig w:usb0="00040003" w:usb1="00000000" w:usb2="00000000" w:usb3="00000000" w:csb0="00000001" w:csb1="00000000"/>
    <w:embedRegular r:id="rId3" w:fontKey="{54370F25-A349-413F-96F1-7F3761CD290F}"/>
  </w:font>
  <w:font w:name="Cambria">
    <w:panose1 w:val="02040503050406030204"/>
    <w:charset w:val="00"/>
    <w:family w:val="roman"/>
    <w:pitch w:val="variable"/>
    <w:sig w:usb0="E00006FF" w:usb1="420024FF" w:usb2="02000000" w:usb3="00000000" w:csb0="0000019F" w:csb1="00000000"/>
    <w:embedRegular r:id="rId4" w:fontKey="{3E98252E-3AC3-4141-8A97-F78FE4965D1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26426" w14:textId="77777777" w:rsidR="007B4691" w:rsidRDefault="00000000">
    <w:r>
      <w:fldChar w:fldCharType="begin"/>
    </w:r>
    <w:r>
      <w:instrText>PAGE</w:instrText>
    </w:r>
    <w:r>
      <w:fldChar w:fldCharType="separate"/>
    </w:r>
    <w:r w:rsidR="00793E15">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AB750" w14:textId="77777777" w:rsidR="007B4691" w:rsidRDefault="007B46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0E849" w14:textId="77777777" w:rsidR="00D2139F" w:rsidRDefault="00D2139F">
      <w:pPr>
        <w:spacing w:after="0" w:line="240" w:lineRule="auto"/>
      </w:pPr>
      <w:r>
        <w:separator/>
      </w:r>
    </w:p>
  </w:footnote>
  <w:footnote w:type="continuationSeparator" w:id="0">
    <w:p w14:paraId="53482655" w14:textId="77777777" w:rsidR="00D2139F" w:rsidRDefault="00D213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87B2E" w14:textId="77777777" w:rsidR="007B4691" w:rsidRDefault="007B4691"/>
  <w:p w14:paraId="276A81A2" w14:textId="77777777" w:rsidR="007B4691" w:rsidRDefault="007B4691">
    <w:pPr>
      <w:widowControl w:val="0"/>
      <w:pBdr>
        <w:top w:val="nil"/>
        <w:left w:val="nil"/>
        <w:bottom w:val="nil"/>
        <w:right w:val="nil"/>
        <w:between w:val="nil"/>
      </w:pBdr>
      <w:spacing w:after="0" w:line="276" w:lineRule="auto"/>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940E8" w14:textId="77777777" w:rsidR="007B4691" w:rsidRDefault="00000000">
    <w:r>
      <w:rPr>
        <w:noProof/>
      </w:rPr>
      <w:drawing>
        <wp:inline distT="114300" distB="114300" distL="114300" distR="114300" wp14:anchorId="04677FBC" wp14:editId="119C0ADE">
          <wp:extent cx="1728788" cy="787216"/>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
                  <a:srcRect/>
                  <a:stretch>
                    <a:fillRect/>
                  </a:stretch>
                </pic:blipFill>
                <pic:spPr>
                  <a:xfrm>
                    <a:off x="0" y="0"/>
                    <a:ext cx="1728788" cy="787216"/>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C1D3E"/>
    <w:multiLevelType w:val="multilevel"/>
    <w:tmpl w:val="AC666E14"/>
    <w:lvl w:ilvl="0">
      <w:start w:val="1"/>
      <w:numFmt w:val="decimal"/>
      <w:lvlText w:val="%1"/>
      <w:lvlJc w:val="left"/>
      <w:pPr>
        <w:ind w:left="396" w:hanging="396"/>
      </w:pPr>
    </w:lvl>
    <w:lvl w:ilvl="1">
      <w:start w:val="1"/>
      <w:numFmt w:val="decimal"/>
      <w:lvlText w:val="%1.%2"/>
      <w:lvlJc w:val="left"/>
      <w:pPr>
        <w:ind w:left="396" w:hanging="396"/>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755935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691"/>
    <w:rsid w:val="00793E15"/>
    <w:rsid w:val="007B4691"/>
    <w:rsid w:val="00BF5ED9"/>
    <w:rsid w:val="00D2139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D9487"/>
  <w15:docId w15:val="{8B03B3B2-7858-4F7B-82E8-7C1573D12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gu-IN"/>
      </w:rPr>
    </w:rPrDefault>
    <w:pPrDefault>
      <w:pPr>
        <w:spacing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outlineLvl w:val="3"/>
    </w:pPr>
    <w:rPr>
      <w:color w:val="666666"/>
    </w:rPr>
  </w:style>
  <w:style w:type="paragraph" w:styleId="Heading5">
    <w:name w:val="heading 5"/>
    <w:basedOn w:val="Normal"/>
    <w:next w:val="Normal"/>
    <w:uiPriority w:val="9"/>
    <w:semiHidden/>
    <w:unhideWhenUsed/>
    <w:qFormat/>
    <w:pPr>
      <w:keepNext/>
      <w:keepLines/>
      <w:spacing w:before="24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793E15"/>
    <w:pPr>
      <w:spacing w:after="100"/>
    </w:pPr>
  </w:style>
  <w:style w:type="paragraph" w:styleId="TOC2">
    <w:name w:val="toc 2"/>
    <w:basedOn w:val="Normal"/>
    <w:next w:val="Normal"/>
    <w:autoRedefine/>
    <w:uiPriority w:val="39"/>
    <w:unhideWhenUsed/>
    <w:rsid w:val="00793E15"/>
    <w:pPr>
      <w:spacing w:after="100"/>
      <w:ind w:left="240"/>
    </w:pPr>
  </w:style>
  <w:style w:type="paragraph" w:styleId="TOC3">
    <w:name w:val="toc 3"/>
    <w:basedOn w:val="Normal"/>
    <w:next w:val="Normal"/>
    <w:autoRedefine/>
    <w:uiPriority w:val="39"/>
    <w:unhideWhenUsed/>
    <w:rsid w:val="00793E15"/>
    <w:pPr>
      <w:spacing w:after="100"/>
      <w:ind w:left="480"/>
    </w:pPr>
  </w:style>
  <w:style w:type="character" w:styleId="Hyperlink">
    <w:name w:val="Hyperlink"/>
    <w:basedOn w:val="DefaultParagraphFont"/>
    <w:uiPriority w:val="99"/>
    <w:unhideWhenUsed/>
    <w:rsid w:val="00793E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ieefa.org/resources/steel-decarbonisation-india" TargetMode="External"/><Relationship Id="rId21" Type="http://schemas.openxmlformats.org/officeDocument/2006/relationships/hyperlink" Target="https://www.ey.com/content/dam/ey-unified-site/ey-com/en-in/insights/mining-metals/doucments/ey-unlocking-green-steel-demand-digital.pdf" TargetMode="External"/><Relationship Id="rId34" Type="http://schemas.openxmlformats.org/officeDocument/2006/relationships/hyperlink" Target="https://www.carbonbrief.org/analysis-indias-co2-emissions-in-2025-grew-at-slowest-rate-in-two-decades/" TargetMode="External"/><Relationship Id="rId42" Type="http://schemas.openxmlformats.org/officeDocument/2006/relationships/hyperlink" Target="https://www.pib.gov.in/PressReleaseIframePage.aspx?PRID=2114558&amp;reg=48&amp;lang=2" TargetMode="External"/><Relationship Id="rId47" Type="http://schemas.openxmlformats.org/officeDocument/2006/relationships/hyperlink" Target="https://www.tatasteel.com/media/25904/tatasteel-iar-2025-26.pdf" TargetMode="External"/><Relationship Id="rId50" Type="http://schemas.openxmlformats.org/officeDocument/2006/relationships/hyperlink" Target="https://www.tatasteelnederland.com/en/sustainability" TargetMode="External"/><Relationship Id="rId55" Type="http://schemas.openxmlformats.org/officeDocument/2006/relationships/hyperlink" Target="https://uploads.transportenvironment.org/production/files/Green-steel-in-cars-briefing_July-2024.docx.pdf" TargetMode="External"/><Relationship Id="rId63"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group.jsw.in/groups/sustainability-framework-measuring-success-climate-change" TargetMode="External"/><Relationship Id="rId11" Type="http://schemas.openxmlformats.org/officeDocument/2006/relationships/image" Target="media/image5.png"/><Relationship Id="rId24" Type="http://schemas.openxmlformats.org/officeDocument/2006/relationships/hyperlink" Target="https://www.fortunebusinessinsights.com/green-mining-market-109672?__cf_chl_f_tk=MXlCceuTCirvCL7K1gu.HNlUxknDI5OxVwevI4apGGk-1783409773-1.0.1.1-iU1OCQPqKCTdeNGZs.g3t.0hJXNsOzzoPoTqvIetiow" TargetMode="External"/><Relationship Id="rId32" Type="http://schemas.openxmlformats.org/officeDocument/2006/relationships/hyperlink" Target="https://www.morganstanley.com/insights/articles/sustainable-fund-performance-second-half-2025" TargetMode="External"/><Relationship Id="rId37" Type="http://schemas.openxmlformats.org/officeDocument/2006/relationships/hyperlink" Target="https://www.pib.gov.in/PressReleasePage.aspx?PRID=2083839&amp;reg=48&amp;lang=2" TargetMode="External"/><Relationship Id="rId40" Type="http://schemas.openxmlformats.org/officeDocument/2006/relationships/hyperlink" Target="https://www.pib.gov.in/PressReleasePage.aspx?PRID=2269438&amp;reg=3&amp;lang=1" TargetMode="External"/><Relationship Id="rId45" Type="http://schemas.openxmlformats.org/officeDocument/2006/relationships/hyperlink" Target="https://news.metal.com/newscontent/103992235-tata-steel-plans-rs-200bn-capex-for-capacity-expansion-and-new-technology" TargetMode="External"/><Relationship Id="rId53" Type="http://schemas.openxmlformats.org/officeDocument/2006/relationships/hyperlink" Target="https://products.tatasteelnederland.com/services/sustainable-solutions/zeremis/carbon-reduction-projects" TargetMode="External"/><Relationship Id="rId58" Type="http://schemas.openxmlformats.org/officeDocument/2006/relationships/hyperlink" Target="https://unctad.org/news/global-investment-rises-6-16-trillion-development-gains-remain-uneven"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hyperlink" Target="https://www.idtechex.com/en/research-article/key-drivers-and-technologies-shaping-the-green-steel-market/32939" TargetMode="External"/><Relationship Id="rId14" Type="http://schemas.openxmlformats.org/officeDocument/2006/relationships/image" Target="media/image8.png"/><Relationship Id="rId22" Type="http://schemas.openxmlformats.org/officeDocument/2006/relationships/hyperlink" Target="https://www.forcegood.org/tab-one-world" TargetMode="External"/><Relationship Id="rId27" Type="http://schemas.openxmlformats.org/officeDocument/2006/relationships/hyperlink" Target="https://www.indiascienceandtechnology.gov.in/st-visions/national-mission/national-green-hydrogen-mission" TargetMode="External"/><Relationship Id="rId30" Type="http://schemas.openxmlformats.org/officeDocument/2006/relationships/hyperlink" Target="https://group.jsw.in/groups/sustainability-framework-measuring-success-climate-change" TargetMode="External"/><Relationship Id="rId35" Type="http://schemas.openxmlformats.org/officeDocument/2006/relationships/hyperlink" Target="https://www.businesstoday.in/magazine/deep-dive/story/how-tata-steel-is-growing-aggressively-while-minimising-its-carbon-footprint-536099-2026-06-10" TargetMode="External"/><Relationship Id="rId43" Type="http://schemas.openxmlformats.org/officeDocument/2006/relationships/hyperlink" Target="https://www.sail.co.in/en/plants/environment-management-division" TargetMode="External"/><Relationship Id="rId48" Type="http://schemas.openxmlformats.org/officeDocument/2006/relationships/hyperlink" Target="https://www.tatasteel.com/media/25904/tatasteel-iar-2025-26.pdf" TargetMode="External"/><Relationship Id="rId56" Type="http://schemas.openxmlformats.org/officeDocument/2006/relationships/hyperlink" Target="https://uploads.transportenvironment.org/production/files/Green-steel-in-cars-briefing_July-2024.docx.pdf" TargetMode="External"/><Relationship Id="rId64"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hyperlink" Target="https://www.tatasteel.com/sustainability/social/climate-action/"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ieefa.org/resources/steel-decarbonisation-india" TargetMode="External"/><Relationship Id="rId33" Type="http://schemas.openxmlformats.org/officeDocument/2006/relationships/hyperlink" Target="https://www.carbonbrief.org/analysis-indias-co2-emissions-in-2025-grew-at-slowest-rate-in-two-decades/" TargetMode="External"/><Relationship Id="rId38" Type="http://schemas.openxmlformats.org/officeDocument/2006/relationships/hyperlink" Target="https://www.pib.gov.in/PressReleasePage.aspx?PRID=2189126&amp;reg=48&amp;lang=2" TargetMode="External"/><Relationship Id="rId46" Type="http://schemas.openxmlformats.org/officeDocument/2006/relationships/hyperlink" Target="https://upstox.com/news/market-news/stocks/tata-steel-may-defer-uk-low-carbon-steel-project-by-up-to-8-months-amid-power-access-delays-shares-slip-2/article-194938/" TargetMode="External"/><Relationship Id="rId59" Type="http://schemas.openxmlformats.org/officeDocument/2006/relationships/hyperlink" Target="https://finance.yahoo.com/news/green-steel-hit-usd-189-141900615.html?guccounter=1&amp;guce_referrer=aHR0cHM6Ly93d3cuZ29vZ2xlLmNvbS8&amp;guce_referrer_sig=AQAAANouHC6DvO45B0W-HDskI6kEykhycqUykf3nBX4o2FQ-cNcnN-a_K4YxRwG0x70ZzDXega-Mex5OXPWTUklCyyLYhBRoUVGcbhSTHUNJkcEswTNI3aVDebGnO_Ehw2J7IG_xYi3KdxpNvdqqkgqHiOqMAz3_7WPsKFlNoE6157J0" TargetMode="External"/><Relationship Id="rId20" Type="http://schemas.openxmlformats.org/officeDocument/2006/relationships/hyperlink" Target="https://www.deccanchronicle.com/business/tata-steel-posts-strong-fy26-growth-pat-surges-243-at-119th-agm-1967767" TargetMode="External"/><Relationship Id="rId41" Type="http://schemas.openxmlformats.org/officeDocument/2006/relationships/hyperlink" Target="https://www.pib.gov.in/PressReleasePage.aspx?PRID=2269438&amp;reg=3&amp;lang=1" TargetMode="External"/><Relationship Id="rId54" Type="http://schemas.openxmlformats.org/officeDocument/2006/relationships/hyperlink" Target="https://www.tatasteel.com/newsroom/press-releases/india/2026/tata-steel-partners-with-google-cloud-to-deploy-a-unified-agentic-ai-across-its-global-value-chain/"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forcegood.org/tab-one-world" TargetMode="External"/><Relationship Id="rId28" Type="http://schemas.openxmlformats.org/officeDocument/2006/relationships/hyperlink" Target="https://www.indiascienceandtechnology.gov.in/st-visions/national-mission/national-green-hydrogen-mission" TargetMode="External"/><Relationship Id="rId36" Type="http://schemas.openxmlformats.org/officeDocument/2006/relationships/hyperlink" Target="https://www.pib.gov.in/PressReleasePage.aspx?PRID=2083839&amp;reg=48&amp;lang=2" TargetMode="External"/><Relationship Id="rId49" Type="http://schemas.openxmlformats.org/officeDocument/2006/relationships/hyperlink" Target="https://www.tatasteel.com/media/25905/nsebsebrsr.pdf" TargetMode="External"/><Relationship Id="rId57" Type="http://schemas.openxmlformats.org/officeDocument/2006/relationships/hyperlink" Target="https://unctad.org/news/global-investment-rises-6-16-trillion-development-gains-remain-uneven" TargetMode="External"/><Relationship Id="rId10" Type="http://schemas.openxmlformats.org/officeDocument/2006/relationships/image" Target="media/image4.png"/><Relationship Id="rId31" Type="http://schemas.openxmlformats.org/officeDocument/2006/relationships/hyperlink" Target="https://www.morganstanley.com/insights/articles/sustainable-fund-performance-second-half-2025" TargetMode="External"/><Relationship Id="rId44" Type="http://schemas.openxmlformats.org/officeDocument/2006/relationships/hyperlink" Target="https://www.sail.co.in/en/plants/environment-management-division" TargetMode="External"/><Relationship Id="rId52" Type="http://schemas.openxmlformats.org/officeDocument/2006/relationships/hyperlink" Target="https://www.tatasteel.com/investors/integrated-reportannual-report/integrated-report-annual-accounts-2025-26-119th-year-and-related-documents/" TargetMode="External"/><Relationship Id="rId60" Type="http://schemas.openxmlformats.org/officeDocument/2006/relationships/hyperlink" Target="https://gmk.center/en/news/tata-steel-increased-steel-production-in-india-by-4-y-y-in-fy2024-2025/"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carbonmarketwatch.org/glossary/carbon-border-adjustment-mechanism-cbam/" TargetMode="External"/><Relationship Id="rId39" Type="http://schemas.openxmlformats.org/officeDocument/2006/relationships/hyperlink" Target="https://www.pib.gov.in/PressReleasePage.aspx?PRID=2189126&amp;reg=48&amp;lang=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5014</Words>
  <Characters>28584</Characters>
  <Application>Microsoft Office Word</Application>
  <DocSecurity>0</DocSecurity>
  <Lines>238</Lines>
  <Paragraphs>67</Paragraphs>
  <ScaleCrop>false</ScaleCrop>
  <Company/>
  <LinksUpToDate>false</LinksUpToDate>
  <CharactersWithSpaces>33531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Bending Moments</cp:lastModifiedBy>
  <cp:revision>2</cp:revision>
  <dcterms:created xsi:type="dcterms:W3CDTF">2026-07-23T18:23:00Z</dcterms:created>
  <dcterms:modified xsi:type="dcterms:W3CDTF">2026-07-23T18:24:00Z</dcterms:modified>
</cp:coreProperties>
</file>