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3F07FF" w:rsidRDefault="00EF0CD5">
      <w:r>
        <w:t>To what extent do body-worn cameras reduce incidents of police misconduct and enhance accountability within UK law enforcement agencies?</w:t>
      </w:r>
    </w:p>
    <w:p w14:paraId="00000002" w14:textId="77777777" w:rsidR="003F07FF" w:rsidRDefault="003F07FF"/>
    <w:p w14:paraId="00000003" w14:textId="77777777" w:rsidR="003F07FF" w:rsidRDefault="00EF0CD5">
      <w:r>
        <w:t>Introduction</w:t>
      </w:r>
    </w:p>
    <w:p w14:paraId="00000004" w14:textId="77777777" w:rsidR="003F07FF" w:rsidRDefault="003F07FF"/>
    <w:p w14:paraId="00000005" w14:textId="77777777" w:rsidR="003F07FF" w:rsidRDefault="00EF0CD5">
      <w:r>
        <w:t>Growing calls for increased accountability, openness, and trust in policing have prompted UK law enforcement agencies to adopt body-worn cameras (BWCs). BWCs ‘are recording devices worn by officers’ capturing both ‘audio and video data during police encounters with members of the public’ (College of Policing, 2021). BWCs are now a commonly used solution in UK policing as a result of public concerns about police misconduct and high-profile occurrences, which have heightened calls for methods to monitor polic</w:t>
      </w:r>
      <w:r>
        <w:t xml:space="preserve">e-citizen interactions objectively (College of Policing, 2014; Lum et al., 2019). According to Ariel, Farrar, and Sutherland (2015), body-worn cameras are commonly viewed as instruments to discourage police wrongdoing and promote officers' professional behaviour while interacting with people. In the particular context of UK policing, there are still concerns about the true efficacy of BWCs in lowering misconduct events and improving accountability. This review of the literature examines recent BWC research </w:t>
      </w:r>
      <w:r>
        <w:t>conducted in the UK with three main goals: assessing the behavioural impact of BWCs on police officers, examining officer perceptions of BWCs, and offering evidence-based recommendations to optimise BWC implementation. This study offers a thorough basis for comprehending the function of BWCs in promoting accountability and trust within UK law enforcement by examining research and insights from the UK context (</w:t>
      </w:r>
      <w:proofErr w:type="spellStart"/>
      <w:r>
        <w:t>Grossmith</w:t>
      </w:r>
      <w:proofErr w:type="spellEnd"/>
      <w:r>
        <w:t xml:space="preserve"> et al., 2015; Sandhu &amp; Haggerty, 2017).</w:t>
      </w:r>
    </w:p>
    <w:p w14:paraId="00000006" w14:textId="77777777" w:rsidR="003F07FF" w:rsidRDefault="003F07FF"/>
    <w:p w14:paraId="00000007" w14:textId="77777777" w:rsidR="003F07FF" w:rsidRDefault="00EF0CD5">
      <w:r>
        <w:t xml:space="preserve">What </w:t>
      </w:r>
      <w:proofErr w:type="gramStart"/>
      <w:r>
        <w:t>are</w:t>
      </w:r>
      <w:proofErr w:type="gramEnd"/>
      <w:r>
        <w:t xml:space="preserve"> Body-Worn Cameras? </w:t>
      </w:r>
    </w:p>
    <w:p w14:paraId="00000008" w14:textId="77777777" w:rsidR="003F07FF" w:rsidRDefault="00EF0CD5">
      <w:r>
        <w:t>The College of Policing (2021) outlines BWCs as devices that can record both audio and video data whilst being worn by police officers. This is to ensure that encounters with the public are recorded accurately, preventing any misconduct and reducing opportunity for mistakes. There are specific instances where BWCs must be used by police officers. The Police Performance document (HMICFRS, 2023) explores that officers must use BDCs ‘when exercising any police power, including use of force, stop and search, ma</w:t>
      </w:r>
      <w:r>
        <w:t xml:space="preserve">king an arrest and when attending domestic </w:t>
      </w:r>
      <w:proofErr w:type="gramStart"/>
      <w:r>
        <w:t>incidents’</w:t>
      </w:r>
      <w:proofErr w:type="gramEnd"/>
      <w:r>
        <w:t xml:space="preserve">. It is encouraged that police officers ‘obtain as much evidence as possible, provide additional commentary if possible and begin recording at the earliest opportunity’ and specific guidance is provided to ensure officers are aware of the evidential value of BWC in criminal cases (HMICFRS, 2023). </w:t>
      </w:r>
    </w:p>
    <w:p w14:paraId="00000009" w14:textId="77777777" w:rsidR="003F07FF" w:rsidRDefault="00EF0CD5">
      <w:r>
        <w:t>The NPCC (2024) outline the key principles of BWCs as, ‘BWV is used lawfully and legitimately’, ‘BWV is processed and managed in line with data legislation and information management guidance’, ‘BWV use must be proportionate and related to a meaningful operational encounter’, and ‘BWV is used to engage with communities to promote transparency and accountability’. As the State of Policing (2022) report suggests that the ‘public’s trust and confidence in the police force are at an all-time low’, it is vital t</w:t>
      </w:r>
      <w:r>
        <w:t xml:space="preserve">hat law enforcement take suitable steps to improve accountability and trust. By following the key principles outlined by the NPCC (2024), the UK will work towards developing healthy relationships between police and </w:t>
      </w:r>
      <w:proofErr w:type="gramStart"/>
      <w:r>
        <w:t>public, and</w:t>
      </w:r>
      <w:proofErr w:type="gramEnd"/>
      <w:r>
        <w:t xml:space="preserve"> improve the public's perceptions of the police force. </w:t>
      </w:r>
    </w:p>
    <w:p w14:paraId="0000000A" w14:textId="77777777" w:rsidR="003F07FF" w:rsidRDefault="003F07FF">
      <w:pPr>
        <w:rPr>
          <w:color w:val="0000FF"/>
        </w:rPr>
      </w:pPr>
    </w:p>
    <w:p w14:paraId="0000000B" w14:textId="77777777" w:rsidR="003F07FF" w:rsidRDefault="00EF0CD5">
      <w:r>
        <w:lastRenderedPageBreak/>
        <w:t>Behavioural Impact of Body-Worn Cameras on Police Officers</w:t>
      </w:r>
    </w:p>
    <w:p w14:paraId="0000000C" w14:textId="77777777" w:rsidR="003F07FF" w:rsidRDefault="003F07FF"/>
    <w:p w14:paraId="0000000D" w14:textId="77777777" w:rsidR="003F07FF" w:rsidRDefault="00EF0CD5">
      <w:r>
        <w:t>By changing officer behaviour, the main goal of body-worn cameras in policing has been to promote accountability and reduce wrongdoing. One of the main justifications for the use of BWC is the deterrence theory, which holds that people may be persuaded to behave in a way that conforms to accepted standards of conduct by being aware of surveillance (Ariel et al., 2015). The theory's relevance in UK law enforcement is supported by evidence from UK research suggesting BWCs are linked to a quantifiable decrease</w:t>
      </w:r>
      <w:r>
        <w:t xml:space="preserve"> in police use of force and a drop in complaints against officers (Owens et al., 2014; </w:t>
      </w:r>
      <w:proofErr w:type="spellStart"/>
      <w:r>
        <w:t>Grossmith</w:t>
      </w:r>
      <w:proofErr w:type="spellEnd"/>
      <w:r>
        <w:t xml:space="preserve"> et al., 2015).</w:t>
      </w:r>
    </w:p>
    <w:p w14:paraId="0000000E" w14:textId="77777777" w:rsidR="003F07FF" w:rsidRDefault="003F07FF"/>
    <w:p w14:paraId="0000000F" w14:textId="77777777" w:rsidR="003F07FF" w:rsidRDefault="00EF0CD5">
      <w:r>
        <w:t xml:space="preserve">One of the most thorough studies of BWCs in the UK was carried out by </w:t>
      </w:r>
      <w:proofErr w:type="spellStart"/>
      <w:r>
        <w:t>Grossmith</w:t>
      </w:r>
      <w:proofErr w:type="spellEnd"/>
      <w:r>
        <w:t xml:space="preserve"> et al. (2015), who examined how they affected officer behaviour throughout the London Metropolitan Police. Officers with BWCs received fewer complaints than those without, according to their study, which employed a randomised control trial methodology. This statistic is noteworthy because it emphasises how BWCs might lower the number of misconduct cases, improving police accountability and public confidence. Similar to this, Owens et al. (2014) found that police officers wearing BWCs used less for</w:t>
      </w:r>
      <w:r>
        <w:t>ce, indicating that BWCs work as a reminder to behave properly because supervisors or outside investigators may examine the tape later.</w:t>
      </w:r>
    </w:p>
    <w:p w14:paraId="00000010" w14:textId="77777777" w:rsidR="003F07FF" w:rsidRDefault="003F07FF"/>
    <w:p w14:paraId="00000011" w14:textId="77777777" w:rsidR="003F07FF" w:rsidRDefault="00EF0CD5">
      <w:r>
        <w:t>As officers grow more aware of their job as law enforcement representatives, the perceived positive effects of BWCs on officer behaviour may also result in self-regulation and adherence to procedural justice standards. According to research by Hargreaves (2018), policemen who wore BWCs felt obliged to take a more formal stance since they knew they may be scrutinised. Despite its effectiveness in some situations, research warns that BWCs by themselves cannot completely stop wrongdoing. The effectiveness of B</w:t>
      </w:r>
      <w:r>
        <w:t>WCs as accountability tools may be limited by elements such as officer discretion over activation and disparities in enforcement levels among agencies (Taylor, 2016).</w:t>
      </w:r>
    </w:p>
    <w:p w14:paraId="00000012" w14:textId="77777777" w:rsidR="003F07FF" w:rsidRDefault="003F07FF"/>
    <w:p w14:paraId="00000013" w14:textId="7A0C45BB" w:rsidR="003F07FF" w:rsidRDefault="00EF0CD5">
      <w:r>
        <w:t>The College of Policing (2021) released a summary exploring the effectiveness of BWCs. Law enforcement from various locations, including the UK, USA and Uruguay, were studied and the use of BWCs were found to have an impact on officer and public behaviour. ‘The meta-analysis found a small (15.9%) increase in assaults or resistance against officers wearing BWCs’ (College of Policing, 2021), therefore suggesting that, by wearing BWC, police officers are potentially more likely to be a victim of assault by the</w:t>
      </w:r>
      <w:r>
        <w:t xml:space="preserve"> public. Although there are studies to suggest that BWCs reduce police misconduct, it is unclear whether the behaviour of the public towards officers wearing BWCs has changed for the better. </w:t>
      </w:r>
    </w:p>
    <w:p w14:paraId="1DAD8D6E" w14:textId="77777777" w:rsidR="006B1AA9" w:rsidRDefault="006B1AA9"/>
    <w:p w14:paraId="6FA04DB9" w14:textId="33F4DD6E" w:rsidR="006B1AA9" w:rsidRPr="00F313C3" w:rsidRDefault="006B1AA9">
      <w:r>
        <w:t xml:space="preserve">Despite </w:t>
      </w:r>
      <w:r w:rsidR="00F313C3">
        <w:t>there</w:t>
      </w:r>
      <w:r>
        <w:t xml:space="preserve"> being an overwhelming amount of research to support the fact that BWCs help to decrease police misconduct and improve public trust, this can only be possible if BWC policy is followed by </w:t>
      </w:r>
      <w:r w:rsidR="00F313C3">
        <w:t xml:space="preserve">all </w:t>
      </w:r>
      <w:r>
        <w:t xml:space="preserve">police officers. Research from </w:t>
      </w:r>
      <w:r w:rsidRPr="00F313C3">
        <w:t>Police Performance, PEEL spotlight report (HMICFRS, 2023)</w:t>
      </w:r>
      <w:r w:rsidRPr="00F313C3">
        <w:t xml:space="preserve"> shows that during an inspection it was highlighted that despite </w:t>
      </w:r>
      <w:r w:rsidR="00F313C3">
        <w:t>there</w:t>
      </w:r>
      <w:r w:rsidRPr="00F313C3">
        <w:t xml:space="preserve"> being policies in place regarding BWC usage there was no regular monitoring of the usage. Without this</w:t>
      </w:r>
      <w:r w:rsidR="00F313C3">
        <w:t>,</w:t>
      </w:r>
      <w:r w:rsidRPr="00F313C3">
        <w:t xml:space="preserve"> this police force </w:t>
      </w:r>
      <w:proofErr w:type="gramStart"/>
      <w:r w:rsidRPr="00F313C3">
        <w:t>miss</w:t>
      </w:r>
      <w:proofErr w:type="gramEnd"/>
      <w:r w:rsidRPr="00F313C3">
        <w:t xml:space="preserve"> the opportunity to assess whether officers are treating the public with</w:t>
      </w:r>
      <w:r w:rsidR="00F313C3">
        <w:t xml:space="preserve"> </w:t>
      </w:r>
      <w:r w:rsidRPr="00F313C3">
        <w:lastRenderedPageBreak/>
        <w:t>fairness and respect</w:t>
      </w:r>
      <w:r w:rsidR="00F313C3" w:rsidRPr="00F313C3">
        <w:t xml:space="preserve"> and miss the opportunity to improve the use of the powers to maintain public trust and confidence </w:t>
      </w:r>
    </w:p>
    <w:p w14:paraId="00000014" w14:textId="77777777" w:rsidR="003F07FF" w:rsidRDefault="003F07FF">
      <w:pPr>
        <w:rPr>
          <w:color w:val="0000FF"/>
        </w:rPr>
      </w:pPr>
    </w:p>
    <w:p w14:paraId="00000019" w14:textId="77777777" w:rsidR="003F07FF" w:rsidRDefault="003F07FF">
      <w:pPr>
        <w:rPr>
          <w:color w:val="0000FF"/>
        </w:rPr>
      </w:pPr>
    </w:p>
    <w:p w14:paraId="0000001A" w14:textId="77777777" w:rsidR="003F07FF" w:rsidRDefault="003F07FF"/>
    <w:p w14:paraId="0000001B" w14:textId="77777777" w:rsidR="003F07FF" w:rsidRPr="009C1BDA" w:rsidRDefault="00EF0CD5">
      <w:r w:rsidRPr="009C1BDA">
        <w:t>Police Officers’ Perceptions of Body-Worn Cameras</w:t>
      </w:r>
    </w:p>
    <w:p w14:paraId="3728FB76" w14:textId="77777777" w:rsidR="00D5566D" w:rsidRDefault="00D5566D">
      <w:pPr>
        <w:rPr>
          <w:color w:val="FF0000"/>
        </w:rPr>
      </w:pPr>
    </w:p>
    <w:p w14:paraId="76CBCD35" w14:textId="77777777" w:rsidR="00D5566D" w:rsidRPr="00D5566D" w:rsidRDefault="00D5566D" w:rsidP="00D5566D">
      <w:r w:rsidRPr="00D5566D">
        <w:t>In the UK, police officers' responses to the implementation of BWCs have been mixed. Although officers frequently recognise the benefits of BWCs as instruments for accountability and defence against baseless accusations, they voice worries about autonomy and how it may affect their relationships with the public (Cubitt et al., 2017). When Cubitt et al. (2017) surveyed police in Scotland and Wales, they discovered that although a sizable percentage of officers appreciated how BWCs improved accountability, others were concerned about heightened surveillance and the possible loss of their discretion in encounters.</w:t>
      </w:r>
    </w:p>
    <w:p w14:paraId="4FE06F79" w14:textId="77777777" w:rsidR="00D5566D" w:rsidRDefault="00D5566D">
      <w:pPr>
        <w:rPr>
          <w:color w:val="FF0000"/>
        </w:rPr>
      </w:pPr>
    </w:p>
    <w:p w14:paraId="0000001C" w14:textId="77777777" w:rsidR="003F07FF" w:rsidRPr="00D5566D" w:rsidRDefault="003F07FF"/>
    <w:p w14:paraId="59D86E0E" w14:textId="77777777" w:rsidR="00D5566D" w:rsidRPr="00D5566D" w:rsidRDefault="00D5566D" w:rsidP="00D5566D">
      <w:pPr>
        <w:rPr>
          <w:color w:val="FF0000"/>
        </w:rPr>
      </w:pPr>
      <w:r w:rsidRPr="00D5566D">
        <w:t>Furthermore, research by Sandhu and Haggerty (2017) revealed some officers believe that BWCs can help the "mechanization" of police work, which makes them less inclined to interact with the public in ways that seem instinctive or natural. Although these viewpoints show some opposition, Ariel et al. (2018) discovered that officers who had been using BWCs for a longer period of time were more likely to have a favourable opinion of them, indicating that time and experience with the technology may allay early concerns</w:t>
      </w:r>
      <w:r w:rsidRPr="00D5566D">
        <w:rPr>
          <w:color w:val="FF0000"/>
        </w:rPr>
        <w:t>.</w:t>
      </w:r>
    </w:p>
    <w:p w14:paraId="00000020" w14:textId="77777777" w:rsidR="003F07FF" w:rsidRDefault="003F07FF">
      <w:pPr>
        <w:rPr>
          <w:color w:val="FF0000"/>
        </w:rPr>
      </w:pPr>
    </w:p>
    <w:p w14:paraId="00AA58AB" w14:textId="77777777" w:rsidR="00D5566D" w:rsidRPr="00D5566D" w:rsidRDefault="00D5566D" w:rsidP="00D5566D">
      <w:r w:rsidRPr="00D5566D">
        <w:t xml:space="preserve">The operational context seems to have an impact on officers' perceptions of BWCs as well; some believe that BWCs offer protection against public complaints. According to </w:t>
      </w:r>
      <w:proofErr w:type="spellStart"/>
      <w:r w:rsidRPr="00D5566D">
        <w:t>Grossmith</w:t>
      </w:r>
      <w:proofErr w:type="spellEnd"/>
      <w:r w:rsidRPr="00D5566D">
        <w:t xml:space="preserve"> et al. (2015), several officers viewed BWCs as protection devices that provided a record that may support their conduct in contentious circumstances. In order to develop a more cohesive view of BWCs and encourage uniform use across UK agencies, training initiatives and institutional support are necessary, as seen by the officers' varying levels of acceptability (Hargreaves, 2018).</w:t>
      </w:r>
    </w:p>
    <w:p w14:paraId="00000022" w14:textId="77777777" w:rsidR="003F07FF" w:rsidRDefault="003F07FF">
      <w:pPr>
        <w:rPr>
          <w:color w:val="FF0000"/>
        </w:rPr>
      </w:pPr>
    </w:p>
    <w:p w14:paraId="00000023" w14:textId="77777777" w:rsidR="003F07FF" w:rsidRPr="009C1BDA" w:rsidRDefault="00EF0CD5">
      <w:r w:rsidRPr="009C1BDA">
        <w:t>Evidence-Based Recommendations for BWC Implementation</w:t>
      </w:r>
    </w:p>
    <w:p w14:paraId="00000024" w14:textId="77777777" w:rsidR="003F07FF" w:rsidRDefault="003F07FF">
      <w:pPr>
        <w:rPr>
          <w:color w:val="FF0000"/>
        </w:rPr>
      </w:pPr>
    </w:p>
    <w:p w14:paraId="4513AC29" w14:textId="77777777" w:rsidR="009C1BDA" w:rsidRPr="009C1BDA" w:rsidRDefault="009C1BDA" w:rsidP="009C1BDA">
      <w:r w:rsidRPr="009C1BDA">
        <w:t>A series of evidence-based recommendations can improve the efficacy of BWCs in UK law enforcement, considering their behavioural influence and perceptions. In order to reduce selective recording, which may reduce the ability of BWCs to prevent wrongdoing, policies pertaining to activation processes should first be standardised. According to Lum et al. (2019), discretionary use can compromise the accountability function of BWCs, hence it is crucial to have clear and consistent activation standards.</w:t>
      </w:r>
    </w:p>
    <w:p w14:paraId="00000026" w14:textId="77777777" w:rsidR="003F07FF" w:rsidRDefault="003F07FF">
      <w:pPr>
        <w:rPr>
          <w:color w:val="FF0000"/>
        </w:rPr>
      </w:pPr>
    </w:p>
    <w:p w14:paraId="486D7E73" w14:textId="22508C85" w:rsidR="009C1BDA" w:rsidRPr="009C1BDA" w:rsidRDefault="009C1BDA" w:rsidP="009C1BDA">
      <w:r w:rsidRPr="009C1BDA">
        <w:t>E</w:t>
      </w:r>
      <w:r w:rsidRPr="009C1BDA">
        <w:t xml:space="preserve">ffectiveness can also be increased by training programs that emphasise the use of BWC. According to Ariel et al. (2018), thorough training lowers concerns and enhances protocol adherence by assisting officers in understanding the operational and ethical aspects of BWCs. </w:t>
      </w:r>
      <w:r w:rsidRPr="009C1BDA">
        <w:lastRenderedPageBreak/>
        <w:t>Improved training can help make clear the protocol for using BWCs, guaranteeing that officers are prepared to handle public contacts in a proper manner.</w:t>
      </w:r>
    </w:p>
    <w:p w14:paraId="00000028" w14:textId="77777777" w:rsidR="003F07FF" w:rsidRDefault="003F07FF">
      <w:pPr>
        <w:rPr>
          <w:color w:val="FF0000"/>
        </w:rPr>
      </w:pPr>
    </w:p>
    <w:p w14:paraId="28D66128" w14:textId="77777777" w:rsidR="009C1BDA" w:rsidRPr="009C1BDA" w:rsidRDefault="009C1BDA" w:rsidP="009C1BDA">
      <w:r w:rsidRPr="009C1BDA">
        <w:t>It's crucial to implement privacy-protection measures in addition to training. In order to strike a compromise between transparency and privacy protection, Privacy International (2018) advises redacting sensitive footage prior to public distribution, particularly in the UK setting where privacy is strictly protected. These procedures support preserving public confidence without sacrificing the efficiency of BWCs as accountability instruments. Last but not least, frequent evaluations and feedback systems can give officers helpful criticism on how they utilise BWCs, encouraging cooperation and development rather than only supervision (College of Policing, 2014).</w:t>
      </w:r>
    </w:p>
    <w:p w14:paraId="0000002A" w14:textId="77777777" w:rsidR="003F07FF" w:rsidRDefault="003F07FF">
      <w:pPr>
        <w:rPr>
          <w:color w:val="FF0000"/>
        </w:rPr>
      </w:pPr>
    </w:p>
    <w:p w14:paraId="0000002B" w14:textId="77777777" w:rsidR="003F07FF" w:rsidRPr="009C1BDA" w:rsidRDefault="00EF0CD5">
      <w:r w:rsidRPr="009C1BDA">
        <w:t>Conclusion</w:t>
      </w:r>
    </w:p>
    <w:p w14:paraId="0000002C" w14:textId="77777777" w:rsidR="003F07FF" w:rsidRDefault="003F07FF">
      <w:pPr>
        <w:rPr>
          <w:color w:val="FF0000"/>
        </w:rPr>
      </w:pPr>
    </w:p>
    <w:p w14:paraId="0000002E" w14:textId="3AFB9052" w:rsidR="003F07FF" w:rsidRPr="009C1BDA" w:rsidRDefault="009C1BDA">
      <w:r w:rsidRPr="009C1BDA">
        <w:t>In summary, the use of BWCs by UK law enforcement has demonstrated potential for improving accountability and lowering instances of police misconduct. Research shows that BWCs can have a favourable effect on officer behaviour, resulting in fewer complaints and use of force events (</w:t>
      </w:r>
      <w:proofErr w:type="spellStart"/>
      <w:r w:rsidRPr="009C1BDA">
        <w:t>Grossmith</w:t>
      </w:r>
      <w:proofErr w:type="spellEnd"/>
      <w:r w:rsidRPr="009C1BDA">
        <w:t xml:space="preserve"> et al., 2015; Ariel et al., 2015). There are still issues, though, such as officers' differing opinions about BWCs and the requirement for standardised procedures to guarantee consistent use.</w:t>
      </w:r>
    </w:p>
    <w:p w14:paraId="266C8340" w14:textId="77777777" w:rsidR="009C1BDA" w:rsidRDefault="009C1BDA">
      <w:pPr>
        <w:rPr>
          <w:color w:val="FF0000"/>
        </w:rPr>
      </w:pPr>
    </w:p>
    <w:p w14:paraId="00000030" w14:textId="796DA89C" w:rsidR="003F07FF" w:rsidRDefault="009C1BDA">
      <w:r w:rsidRPr="009C1BDA">
        <w:t>According to the literature, BWCs can best realise their potential as instruments for openness when paired with explicit activation policies, thorough training, and privacy protections. The impact of BWCs on particular kinds of police contacts and their long-term consequences on police-community relations in the UK require more investigation. BWCs can play a crucial role in promoting professionalism, trust, and accountability in UK law enforcement authorities with careful implementation and continual assessment.</w:t>
      </w:r>
    </w:p>
    <w:p w14:paraId="00000031" w14:textId="77777777" w:rsidR="003F07FF" w:rsidRDefault="003F07FF"/>
    <w:p w14:paraId="00000032" w14:textId="77777777" w:rsidR="003F07FF" w:rsidRDefault="003F07FF"/>
    <w:p w14:paraId="00000033" w14:textId="77777777" w:rsidR="003F07FF" w:rsidRDefault="00EF0CD5">
      <w:r>
        <w:t>References</w:t>
      </w:r>
    </w:p>
    <w:p w14:paraId="00000034" w14:textId="77777777" w:rsidR="003F07FF" w:rsidRDefault="003F07FF"/>
    <w:p w14:paraId="00000035" w14:textId="77777777" w:rsidR="003F07FF" w:rsidRDefault="00EF0CD5">
      <w:r>
        <w:t>Ariel, B., Farrar, W. A., &amp; Sutherland, A. (2015). The effect of police body-worn cameras on use of force and citizens' complaints against the police: A randomized controlled trial. *Journal of Quantitative Criminology*, *31*(3), 509-535.</w:t>
      </w:r>
    </w:p>
    <w:p w14:paraId="00000036" w14:textId="77777777" w:rsidR="003F07FF" w:rsidRDefault="003F07FF"/>
    <w:p w14:paraId="00000037" w14:textId="77777777" w:rsidR="003F07FF" w:rsidRDefault="00EF0CD5">
      <w:r>
        <w:t>Ariel, B., Sutherland, A., Henstock, D., Young, J., &amp; Sosinski, G. (2018). The deterrence spectrum: Explaining why police body-worn cameras ‘work’ or ‘backfire’ in aggressive police-public encounters. *Policing: A Journal of Policy and Practice*, *12*(1), 6-26.</w:t>
      </w:r>
    </w:p>
    <w:p w14:paraId="00000038" w14:textId="77777777" w:rsidR="003F07FF" w:rsidRDefault="003F07FF"/>
    <w:p w14:paraId="00000039" w14:textId="77777777" w:rsidR="003F07FF" w:rsidRDefault="00EF0CD5">
      <w:pPr>
        <w:rPr>
          <w:color w:val="1155CC"/>
          <w:u w:val="single"/>
        </w:rPr>
      </w:pPr>
      <w:r>
        <w:t xml:space="preserve">College of Policing. (2014). *Body-worn video guidance for police forces*. College of Policing. Retrieved from </w:t>
      </w:r>
      <w:hyperlink r:id="rId4">
        <w:r>
          <w:rPr>
            <w:color w:val="1155CC"/>
            <w:u w:val="single"/>
          </w:rPr>
          <w:t>https://www.college.police.uk</w:t>
        </w:r>
      </w:hyperlink>
    </w:p>
    <w:p w14:paraId="0000003A" w14:textId="77777777" w:rsidR="003F07FF" w:rsidRDefault="003F07FF"/>
    <w:p w14:paraId="0000003B" w14:textId="77777777" w:rsidR="003F07FF" w:rsidRDefault="00EF0CD5">
      <w:r>
        <w:t xml:space="preserve">Cubitt, T. I., </w:t>
      </w:r>
      <w:proofErr w:type="spellStart"/>
      <w:r>
        <w:t>Lesic</w:t>
      </w:r>
      <w:proofErr w:type="spellEnd"/>
      <w:r>
        <w:t>, R., Myers, G. L., &amp; Corry, R. (2017). Body-worn video: A systematic review of literature. *Australian &amp; New Zealand Journal of Criminology*, *50*(3), 379-396.</w:t>
      </w:r>
    </w:p>
    <w:p w14:paraId="0000003C" w14:textId="77777777" w:rsidR="003F07FF" w:rsidRDefault="003F07FF"/>
    <w:p w14:paraId="0000003D" w14:textId="77777777" w:rsidR="003F07FF" w:rsidRDefault="00EF0CD5">
      <w:proofErr w:type="spellStart"/>
      <w:r>
        <w:t>Grossmith</w:t>
      </w:r>
      <w:proofErr w:type="spellEnd"/>
      <w:r>
        <w:t>, L., Owens, C., Finn, W., Mann, D., Davies, T., &amp; Baika, L. (2015). *Police, camera, evidence: London's cluster randomized controlled trial of body worn video*. College of Policing.</w:t>
      </w:r>
    </w:p>
    <w:p w14:paraId="0000003E" w14:textId="77777777" w:rsidR="003F07FF" w:rsidRDefault="003F07FF"/>
    <w:p w14:paraId="0000003F" w14:textId="77777777" w:rsidR="003F07FF" w:rsidRDefault="00EF0CD5">
      <w:r>
        <w:t>Hargreaves, C. (2018). Police officers’ attitudes to body-worn cameras. *Policing and Society*, *28*(6), 703-717.</w:t>
      </w:r>
    </w:p>
    <w:p w14:paraId="00000040" w14:textId="77777777" w:rsidR="003F07FF" w:rsidRDefault="003F07FF"/>
    <w:p w14:paraId="00000041" w14:textId="77777777" w:rsidR="003F07FF" w:rsidRDefault="00EF0CD5">
      <w:r>
        <w:t>Lum, C., Stoltz, M., Koper, C. S., &amp; Scherer, J. A. (2019). Research on body-worn cameras: What we know, what we need to know. *Criminology &amp; Public Policy*, *18*(1), 93-118.</w:t>
      </w:r>
    </w:p>
    <w:p w14:paraId="00000042" w14:textId="77777777" w:rsidR="003F07FF" w:rsidRDefault="003F07FF"/>
    <w:p w14:paraId="00000043" w14:textId="77777777" w:rsidR="003F07FF" w:rsidRDefault="00EF0CD5">
      <w:r>
        <w:t>Owens, C., Mann, D., &amp; Mckenna, R. (2014). The Essex body-worn video trial: The impact of body-worn video on criminal justice outcomes of domestic abuse incidents. College of Policing.</w:t>
      </w:r>
    </w:p>
    <w:p w14:paraId="00000044" w14:textId="77777777" w:rsidR="003F07FF" w:rsidRDefault="003F07FF"/>
    <w:p w14:paraId="00000045" w14:textId="77777777" w:rsidR="003F07FF" w:rsidRDefault="00EF0CD5">
      <w:r>
        <w:t>Privacy International. (2018). *Privacy and body-worn cameras*. Privacy International.</w:t>
      </w:r>
    </w:p>
    <w:p w14:paraId="00000046" w14:textId="77777777" w:rsidR="003F07FF" w:rsidRDefault="003F07FF"/>
    <w:p w14:paraId="00000047" w14:textId="77777777" w:rsidR="003F07FF" w:rsidRDefault="00EF0CD5">
      <w:r>
        <w:t>Sandhu, A., &amp; Haggerty, K. D. (2017). Policing on camera. *Theoretical Criminology*, *21*(1), 78-95.</w:t>
      </w:r>
    </w:p>
    <w:p w14:paraId="00000048" w14:textId="77777777" w:rsidR="003F07FF" w:rsidRDefault="003F07FF"/>
    <w:p w14:paraId="00000049" w14:textId="77777777" w:rsidR="003F07FF" w:rsidRDefault="00EF0CD5">
      <w:r>
        <w:t>Taylor, E. (2016). Lights, camera, redaction... Body-worn cameras: Autonomy, discretion, and accountability. *Surveillance &amp; Society*, *14*(1), 128-132.</w:t>
      </w:r>
    </w:p>
    <w:p w14:paraId="0000004A" w14:textId="77777777" w:rsidR="003F07FF" w:rsidRDefault="003F07FF"/>
    <w:p w14:paraId="0000004B" w14:textId="77777777" w:rsidR="003F07FF" w:rsidRDefault="00EF0CD5">
      <w:pPr>
        <w:rPr>
          <w:color w:val="0000FF"/>
        </w:rPr>
      </w:pPr>
      <w:r>
        <w:rPr>
          <w:color w:val="0000FF"/>
        </w:rPr>
        <w:t>Police Performance, PEEL spotlight report (HMICFRS, 2023)</w:t>
      </w:r>
      <w:hyperlink r:id="rId5">
        <w:r>
          <w:rPr>
            <w:color w:val="1155CC"/>
            <w:u w:val="single"/>
          </w:rPr>
          <w:t>Police performance: Getting a grip – PEEL spotlight report</w:t>
        </w:r>
      </w:hyperlink>
      <w:r>
        <w:rPr>
          <w:color w:val="0000FF"/>
        </w:rPr>
        <w:t xml:space="preserve"> </w:t>
      </w:r>
    </w:p>
    <w:p w14:paraId="0000004C" w14:textId="77777777" w:rsidR="003F07FF" w:rsidRDefault="003F07FF">
      <w:pPr>
        <w:rPr>
          <w:color w:val="0000FF"/>
        </w:rPr>
      </w:pPr>
    </w:p>
    <w:p w14:paraId="0000004D" w14:textId="77777777" w:rsidR="003F07FF" w:rsidRDefault="00EF0CD5">
      <w:r>
        <w:rPr>
          <w:color w:val="0000FF"/>
        </w:rPr>
        <w:t xml:space="preserve">NPCC (2024) </w:t>
      </w:r>
      <w:hyperlink r:id="rId6">
        <w:r>
          <w:rPr>
            <w:color w:val="1155CC"/>
            <w:u w:val="single"/>
          </w:rPr>
          <w:t>NPCC BWV Guidance 2024</w:t>
        </w:r>
      </w:hyperlink>
      <w:r>
        <w:rPr>
          <w:color w:val="0000FF"/>
        </w:rPr>
        <w:t xml:space="preserve"> Key principles</w:t>
      </w:r>
    </w:p>
    <w:sectPr w:rsidR="003F07F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7FF"/>
    <w:rsid w:val="003F07FF"/>
    <w:rsid w:val="006B1AA9"/>
    <w:rsid w:val="009C1BDA"/>
    <w:rsid w:val="00CF3C2D"/>
    <w:rsid w:val="00D5566D"/>
    <w:rsid w:val="00E45DC0"/>
    <w:rsid w:val="00EF0CD5"/>
    <w:rsid w:val="00F31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7353"/>
  <w15:docId w15:val="{67567FF6-28B7-4B20-8CDE-6A9DD61C0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35704">
      <w:bodyDiv w:val="1"/>
      <w:marLeft w:val="0"/>
      <w:marRight w:val="0"/>
      <w:marTop w:val="0"/>
      <w:marBottom w:val="0"/>
      <w:divBdr>
        <w:top w:val="none" w:sz="0" w:space="0" w:color="auto"/>
        <w:left w:val="none" w:sz="0" w:space="0" w:color="auto"/>
        <w:bottom w:val="none" w:sz="0" w:space="0" w:color="auto"/>
        <w:right w:val="none" w:sz="0" w:space="0" w:color="auto"/>
      </w:divBdr>
    </w:div>
    <w:div w:id="52000589">
      <w:bodyDiv w:val="1"/>
      <w:marLeft w:val="0"/>
      <w:marRight w:val="0"/>
      <w:marTop w:val="0"/>
      <w:marBottom w:val="0"/>
      <w:divBdr>
        <w:top w:val="none" w:sz="0" w:space="0" w:color="auto"/>
        <w:left w:val="none" w:sz="0" w:space="0" w:color="auto"/>
        <w:bottom w:val="none" w:sz="0" w:space="0" w:color="auto"/>
        <w:right w:val="none" w:sz="0" w:space="0" w:color="auto"/>
      </w:divBdr>
    </w:div>
    <w:div w:id="116337325">
      <w:bodyDiv w:val="1"/>
      <w:marLeft w:val="0"/>
      <w:marRight w:val="0"/>
      <w:marTop w:val="0"/>
      <w:marBottom w:val="0"/>
      <w:divBdr>
        <w:top w:val="none" w:sz="0" w:space="0" w:color="auto"/>
        <w:left w:val="none" w:sz="0" w:space="0" w:color="auto"/>
        <w:bottom w:val="none" w:sz="0" w:space="0" w:color="auto"/>
        <w:right w:val="none" w:sz="0" w:space="0" w:color="auto"/>
      </w:divBdr>
    </w:div>
    <w:div w:id="199896854">
      <w:bodyDiv w:val="1"/>
      <w:marLeft w:val="0"/>
      <w:marRight w:val="0"/>
      <w:marTop w:val="0"/>
      <w:marBottom w:val="0"/>
      <w:divBdr>
        <w:top w:val="none" w:sz="0" w:space="0" w:color="auto"/>
        <w:left w:val="none" w:sz="0" w:space="0" w:color="auto"/>
        <w:bottom w:val="none" w:sz="0" w:space="0" w:color="auto"/>
        <w:right w:val="none" w:sz="0" w:space="0" w:color="auto"/>
      </w:divBdr>
    </w:div>
    <w:div w:id="247278128">
      <w:bodyDiv w:val="1"/>
      <w:marLeft w:val="0"/>
      <w:marRight w:val="0"/>
      <w:marTop w:val="0"/>
      <w:marBottom w:val="0"/>
      <w:divBdr>
        <w:top w:val="none" w:sz="0" w:space="0" w:color="auto"/>
        <w:left w:val="none" w:sz="0" w:space="0" w:color="auto"/>
        <w:bottom w:val="none" w:sz="0" w:space="0" w:color="auto"/>
        <w:right w:val="none" w:sz="0" w:space="0" w:color="auto"/>
      </w:divBdr>
    </w:div>
    <w:div w:id="611548271">
      <w:bodyDiv w:val="1"/>
      <w:marLeft w:val="0"/>
      <w:marRight w:val="0"/>
      <w:marTop w:val="0"/>
      <w:marBottom w:val="0"/>
      <w:divBdr>
        <w:top w:val="none" w:sz="0" w:space="0" w:color="auto"/>
        <w:left w:val="none" w:sz="0" w:space="0" w:color="auto"/>
        <w:bottom w:val="none" w:sz="0" w:space="0" w:color="auto"/>
        <w:right w:val="none" w:sz="0" w:space="0" w:color="auto"/>
      </w:divBdr>
    </w:div>
    <w:div w:id="832917413">
      <w:bodyDiv w:val="1"/>
      <w:marLeft w:val="0"/>
      <w:marRight w:val="0"/>
      <w:marTop w:val="0"/>
      <w:marBottom w:val="0"/>
      <w:divBdr>
        <w:top w:val="none" w:sz="0" w:space="0" w:color="auto"/>
        <w:left w:val="none" w:sz="0" w:space="0" w:color="auto"/>
        <w:bottom w:val="none" w:sz="0" w:space="0" w:color="auto"/>
        <w:right w:val="none" w:sz="0" w:space="0" w:color="auto"/>
      </w:divBdr>
    </w:div>
    <w:div w:id="838229498">
      <w:bodyDiv w:val="1"/>
      <w:marLeft w:val="0"/>
      <w:marRight w:val="0"/>
      <w:marTop w:val="0"/>
      <w:marBottom w:val="0"/>
      <w:divBdr>
        <w:top w:val="none" w:sz="0" w:space="0" w:color="auto"/>
        <w:left w:val="none" w:sz="0" w:space="0" w:color="auto"/>
        <w:bottom w:val="none" w:sz="0" w:space="0" w:color="auto"/>
        <w:right w:val="none" w:sz="0" w:space="0" w:color="auto"/>
      </w:divBdr>
    </w:div>
    <w:div w:id="895628990">
      <w:bodyDiv w:val="1"/>
      <w:marLeft w:val="0"/>
      <w:marRight w:val="0"/>
      <w:marTop w:val="0"/>
      <w:marBottom w:val="0"/>
      <w:divBdr>
        <w:top w:val="none" w:sz="0" w:space="0" w:color="auto"/>
        <w:left w:val="none" w:sz="0" w:space="0" w:color="auto"/>
        <w:bottom w:val="none" w:sz="0" w:space="0" w:color="auto"/>
        <w:right w:val="none" w:sz="0" w:space="0" w:color="auto"/>
      </w:divBdr>
    </w:div>
    <w:div w:id="1129670208">
      <w:bodyDiv w:val="1"/>
      <w:marLeft w:val="0"/>
      <w:marRight w:val="0"/>
      <w:marTop w:val="0"/>
      <w:marBottom w:val="0"/>
      <w:divBdr>
        <w:top w:val="none" w:sz="0" w:space="0" w:color="auto"/>
        <w:left w:val="none" w:sz="0" w:space="0" w:color="auto"/>
        <w:bottom w:val="none" w:sz="0" w:space="0" w:color="auto"/>
        <w:right w:val="none" w:sz="0" w:space="0" w:color="auto"/>
      </w:divBdr>
    </w:div>
    <w:div w:id="1175337306">
      <w:bodyDiv w:val="1"/>
      <w:marLeft w:val="0"/>
      <w:marRight w:val="0"/>
      <w:marTop w:val="0"/>
      <w:marBottom w:val="0"/>
      <w:divBdr>
        <w:top w:val="none" w:sz="0" w:space="0" w:color="auto"/>
        <w:left w:val="none" w:sz="0" w:space="0" w:color="auto"/>
        <w:bottom w:val="none" w:sz="0" w:space="0" w:color="auto"/>
        <w:right w:val="none" w:sz="0" w:space="0" w:color="auto"/>
      </w:divBdr>
    </w:div>
    <w:div w:id="1720856709">
      <w:bodyDiv w:val="1"/>
      <w:marLeft w:val="0"/>
      <w:marRight w:val="0"/>
      <w:marTop w:val="0"/>
      <w:marBottom w:val="0"/>
      <w:divBdr>
        <w:top w:val="none" w:sz="0" w:space="0" w:color="auto"/>
        <w:left w:val="none" w:sz="0" w:space="0" w:color="auto"/>
        <w:bottom w:val="none" w:sz="0" w:space="0" w:color="auto"/>
        <w:right w:val="none" w:sz="0" w:space="0" w:color="auto"/>
      </w:divBdr>
    </w:div>
    <w:div w:id="2075660050">
      <w:bodyDiv w:val="1"/>
      <w:marLeft w:val="0"/>
      <w:marRight w:val="0"/>
      <w:marTop w:val="0"/>
      <w:marBottom w:val="0"/>
      <w:divBdr>
        <w:top w:val="none" w:sz="0" w:space="0" w:color="auto"/>
        <w:left w:val="none" w:sz="0" w:space="0" w:color="auto"/>
        <w:bottom w:val="none" w:sz="0" w:space="0" w:color="auto"/>
        <w:right w:val="none" w:sz="0" w:space="0" w:color="auto"/>
      </w:divBdr>
    </w:div>
    <w:div w:id="2116509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pcc.police.uk/SysSiteAssets/media/downloads/publications/publications-log/local-policing-coordination-committee/2024/npcc-bwv-guidance-2024.pdf" TargetMode="External"/><Relationship Id="rId5" Type="http://schemas.openxmlformats.org/officeDocument/2006/relationships/hyperlink" Target="https://assets-hmicfrs.justiceinspectorates.gov.uk/uploads/peel-spotlight-report-police-performance.pdf" TargetMode="External"/><Relationship Id="rId4" Type="http://schemas.openxmlformats.org/officeDocument/2006/relationships/hyperlink" Target="https://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5</Pages>
  <Words>2030</Words>
  <Characters>11571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Churches,Thomas swp8324</dc:creator>
  <cp:lastModifiedBy>Churches,Thomas swp8324</cp:lastModifiedBy>
  <cp:revision>3</cp:revision>
  <dcterms:created xsi:type="dcterms:W3CDTF">2024-11-04T19:50:00Z</dcterms:created>
  <dcterms:modified xsi:type="dcterms:W3CDTF">2024-11-04T21:08:00Z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2024-11-04T19:50:35Z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7061ddac-3ee8-47a4-ab0f-de77a199916e</vt:lpwstr>
  </property>
  <property fmtid="{D5CDD505-2E9C-101B-9397-08002B2CF9AE}" pid="8" name="MSIP_Label_66cf8fe5-b7b7-4df7-b38d-1c61ac2f6639_ContentBits">
    <vt:lpwstr>0</vt:lpwstr>
  </property>
</Properties>
</file>