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17A2" w:rsidRDefault="007B5DFC" w:rsidP="00E620DD">
      <w:pPr>
        <w:spacing w:line="480" w:lineRule="auto"/>
      </w:pPr>
      <w:r>
        <w:t xml:space="preserve">“Narratives shown </w:t>
      </w:r>
      <w:proofErr w:type="gramStart"/>
      <w:r>
        <w:t>through the use of</w:t>
      </w:r>
      <w:proofErr w:type="gramEnd"/>
      <w:r>
        <w:t xml:space="preserve"> colour and composition” is the theme of this art piece exhibition. Hidden narratives are commonly scribed into the artworks through use of these components by creating certain moods and tones which can make the piece have a completely different feel or message to it regarding. The chosen art works in this exhibition reveal narratives through either completely different ways or very similar ways which shows us how easily our thoughts are depicted depending only on the colours our eyes see and how society has deemed we represent each of these. This has become more relevant in recent times due to the ongoing issue of unique identities for </w:t>
      </w:r>
      <w:r w:rsidR="00ED5AA8">
        <w:t>each person being totally wiped. The artworks chosen will touch upon the representation of several different emotions/tones such as happiness, sadness, empathy etc. to show you how the same tone can be created but showed in different contexts throughout the different artworks. They will also use composition in their pieces to determine parts of the message, which could include their use of light and placement to determine such things as hierarchy within the characters of the paintings.</w:t>
      </w:r>
    </w:p>
    <w:p w:rsidR="00ED5AA8" w:rsidRDefault="00ED5AA8" w:rsidP="00E620DD">
      <w:pPr>
        <w:spacing w:line="480" w:lineRule="auto"/>
      </w:pPr>
      <w:r>
        <w:t xml:space="preserve">Everyone falls into the hole of wanting to see the world in the exact same way and act upon things in the same way also. Therefore, the exhibition is built as a test in a way, to think individually and go against the perceptions of colour which have been engineered into you. To allow you to think for yourself and see the hidden messages in your own way. </w:t>
      </w:r>
      <w:r w:rsidR="00660408">
        <w:t xml:space="preserve">However, how do we know that the colours </w:t>
      </w:r>
      <w:proofErr w:type="gramStart"/>
      <w:r w:rsidR="00660408">
        <w:t>actually mean</w:t>
      </w:r>
      <w:proofErr w:type="gramEnd"/>
      <w:r w:rsidR="00660408">
        <w:t xml:space="preserve"> what society say they mean? As </w:t>
      </w:r>
      <w:r w:rsidR="00D063E6">
        <w:t>Berger (</w:t>
      </w:r>
      <w:proofErr w:type="gramStart"/>
      <w:r w:rsidR="00D063E6">
        <w:t>1972 :</w:t>
      </w:r>
      <w:proofErr w:type="gramEnd"/>
      <w:r w:rsidR="00D063E6">
        <w:t xml:space="preserve"> 89) </w:t>
      </w:r>
      <w:r w:rsidR="00E61D49">
        <w:t xml:space="preserve">said “The relation between what we see and what we know is never settled”. There will never be a right way to perceive what the artist has carried out within the art piece as there is no right way of saying what each colour </w:t>
      </w:r>
      <w:proofErr w:type="gramStart"/>
      <w:r w:rsidR="00E61D49">
        <w:t>actually means</w:t>
      </w:r>
      <w:proofErr w:type="gramEnd"/>
      <w:r w:rsidR="00E61D49">
        <w:t xml:space="preserve"> to be true. For example, the colour red is thought of to represent blood and violence, however, poppies are red and are used to represent the life of the soldiers. This is a classic example of cross representation showing that colours can mean whatever you would like them to mean, giving artists the tools to create the story picture that they would like.</w:t>
      </w:r>
      <w:r w:rsidR="00015B50">
        <w:t xml:space="preserve"> This point is supported by John Berger (</w:t>
      </w:r>
      <w:proofErr w:type="gramStart"/>
      <w:r w:rsidR="00015B50">
        <w:t>1972 :</w:t>
      </w:r>
      <w:proofErr w:type="gramEnd"/>
      <w:r w:rsidR="00015B50">
        <w:t xml:space="preserve"> 89)</w:t>
      </w:r>
      <w:r w:rsidR="00E61D49">
        <w:t xml:space="preserve"> “Our perception or </w:t>
      </w:r>
      <w:r w:rsidR="00015B50">
        <w:t>appreciation of</w:t>
      </w:r>
      <w:r w:rsidR="00E61D49">
        <w:t xml:space="preserve"> an image depends</w:t>
      </w:r>
      <w:r w:rsidR="00015B50">
        <w:t xml:space="preserve"> also upon our own way of seeing”, so it is up to the viewer to make up their own story through the artwork and this is </w:t>
      </w:r>
      <w:r w:rsidR="00015B50">
        <w:lastRenderedPageBreak/>
        <w:t xml:space="preserve">why so many different critics have different ideas in what the artist is trying to convey. Composition </w:t>
      </w:r>
      <w:r w:rsidR="00062764">
        <w:t>is another important part to the story of an image, which is included in the narrative of the art show. When an object is placed centrally, all focus is on that object with everything else being of secondary importance as it’s a scientific fact that the eye is always focused centrally.</w:t>
      </w:r>
      <w:r w:rsidR="005665B0">
        <w:t xml:space="preserve"> </w:t>
      </w:r>
      <w:r w:rsidR="004A0E83">
        <w:t>Ryan L. Moule (</w:t>
      </w:r>
      <w:proofErr w:type="gramStart"/>
      <w:r w:rsidR="004A0E83">
        <w:t>2018 :</w:t>
      </w:r>
      <w:proofErr w:type="gramEnd"/>
      <w:r w:rsidR="004A0E83">
        <w:t xml:space="preserve"> 6) “</w:t>
      </w:r>
      <w:r w:rsidR="004A0E83" w:rsidRPr="004A0E83">
        <w:t>When previously under-represented groups do become more visible, they suffer what may be called the ‘Burden of Representation</w:t>
      </w:r>
      <w:r w:rsidR="004A0E83">
        <w:t xml:space="preserve">”. This is put across on in some of the chosen photos within the art work, the less ‘important’ members of the artwork are shown as this </w:t>
      </w:r>
      <w:proofErr w:type="gramStart"/>
      <w:r w:rsidR="004A0E83">
        <w:t>through the use of</w:t>
      </w:r>
      <w:proofErr w:type="gramEnd"/>
      <w:r w:rsidR="004A0E83">
        <w:t xml:space="preserve"> composition being placed behind or to the sides of the paintings. Some of the painters in the art show have famously different ways of painting, such as Van Gogh’s way of using blobs of colour to make an image which may affect the way that </w:t>
      </w:r>
      <w:r w:rsidR="00BD0A3F">
        <w:t xml:space="preserve">people perceive the messages. </w:t>
      </w:r>
      <w:r w:rsidR="00BD0A3F" w:rsidRPr="00BD0A3F">
        <w:rPr>
          <w:i/>
        </w:rPr>
        <w:t>The art story Modern art insight</w:t>
      </w:r>
      <w:r w:rsidR="00BD0A3F">
        <w:rPr>
          <w:i/>
        </w:rPr>
        <w:t xml:space="preserve"> </w:t>
      </w:r>
      <w:proofErr w:type="gramStart"/>
      <w:r w:rsidR="00BD0A3F">
        <w:t>says</w:t>
      </w:r>
      <w:proofErr w:type="gramEnd"/>
      <w:r w:rsidR="00BD0A3F">
        <w:t xml:space="preserve"> “Canvases that convey far more than the mere appearance of the subject.” About Van Gogh’s work whilst another artist </w:t>
      </w:r>
      <w:r w:rsidR="00BA3307">
        <w:t xml:space="preserve">that is featured, Pablo Picasso’s work is described as his </w:t>
      </w:r>
      <w:proofErr w:type="gramStart"/>
      <w:r w:rsidR="00BA3307">
        <w:t xml:space="preserve">work </w:t>
      </w:r>
      <w:r w:rsidR="00BA3307" w:rsidRPr="00BA3307">
        <w:t xml:space="preserve"> usually</w:t>
      </w:r>
      <w:proofErr w:type="gramEnd"/>
      <w:r w:rsidR="00BA3307" w:rsidRPr="00BA3307">
        <w:t xml:space="preserve"> </w:t>
      </w:r>
      <w:r w:rsidR="00BA3307">
        <w:t>being “</w:t>
      </w:r>
      <w:r w:rsidR="00BA3307" w:rsidRPr="00BA3307">
        <w:t>characterized by a single dominant approach</w:t>
      </w:r>
      <w:r w:rsidR="00BA3307">
        <w:t xml:space="preserve">” by the </w:t>
      </w:r>
      <w:r w:rsidR="00BA3307" w:rsidRPr="00BA3307">
        <w:rPr>
          <w:i/>
        </w:rPr>
        <w:t>art story modern art insight</w:t>
      </w:r>
      <w:r w:rsidR="00BA3307">
        <w:t xml:space="preserve">. This is an example of how theorists have looked upon the artists as having different approaches to their works and </w:t>
      </w:r>
      <w:r w:rsidR="00590423">
        <w:t>so this affecting their art works. Emotion is something that people seek from looking at art work and this is something artists try and hide.</w:t>
      </w:r>
    </w:p>
    <w:p w:rsidR="00590423" w:rsidRPr="00BA3307" w:rsidRDefault="00590423" w:rsidP="00ED5AA8"/>
    <w:p w:rsidR="00ED5AA8" w:rsidRDefault="00590423">
      <w:r>
        <w:rPr>
          <w:noProof/>
        </w:rPr>
        <w:drawing>
          <wp:inline distT="0" distB="0" distL="0" distR="0" wp14:anchorId="54E03CBA" wp14:editId="62FE94C2">
            <wp:extent cx="5731510" cy="2595245"/>
            <wp:effectExtent l="0" t="0" r="2540" b="0"/>
            <wp:docPr id="5" name="Content Placeholder 4">
              <a:extLst xmlns:a="http://schemas.openxmlformats.org/drawingml/2006/main">
                <a:ext uri="{FF2B5EF4-FFF2-40B4-BE49-F238E27FC236}">
                  <a16:creationId xmlns:a16="http://schemas.microsoft.com/office/drawing/2014/main" id="{C9F36D08-F1B7-4915-8A08-E5923001030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C9F36D08-F1B7-4915-8A08-E5923001030A}"/>
                        </a:ext>
                      </a:extLst>
                    </pic:cNvPr>
                    <pic:cNvPicPr>
                      <a:picLocks noGrp="1"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2595245"/>
                    </a:xfrm>
                    <a:prstGeom prst="rect">
                      <a:avLst/>
                    </a:prstGeom>
                  </pic:spPr>
                </pic:pic>
              </a:graphicData>
            </a:graphic>
          </wp:inline>
        </w:drawing>
      </w:r>
    </w:p>
    <w:p w:rsidR="00590423" w:rsidRDefault="00590423">
      <w:pPr>
        <w:rPr>
          <w:i/>
        </w:rPr>
      </w:pPr>
      <w:r>
        <w:t xml:space="preserve">                                                                                                                              </w:t>
      </w:r>
      <w:proofErr w:type="gramStart"/>
      <w:r>
        <w:t>Gogh,V</w:t>
      </w:r>
      <w:proofErr w:type="gramEnd"/>
      <w:r>
        <w:t xml:space="preserve"> (1937) </w:t>
      </w:r>
      <w:r w:rsidRPr="00590423">
        <w:rPr>
          <w:i/>
        </w:rPr>
        <w:t>Guernica</w:t>
      </w:r>
    </w:p>
    <w:p w:rsidR="00590423" w:rsidRPr="00183005" w:rsidRDefault="00590423" w:rsidP="00E620DD">
      <w:pPr>
        <w:pStyle w:val="NormalWeb"/>
        <w:spacing w:line="480" w:lineRule="auto"/>
        <w:rPr>
          <w:rFonts w:asciiTheme="minorHAnsi" w:hAnsiTheme="minorHAnsi"/>
        </w:rPr>
      </w:pPr>
      <w:r w:rsidRPr="00183005">
        <w:rPr>
          <w:rFonts w:asciiTheme="minorHAnsi" w:hAnsiTheme="minorHAnsi"/>
        </w:rPr>
        <w:lastRenderedPageBreak/>
        <w:t>Van Gogh’s painting “</w:t>
      </w:r>
      <w:r w:rsidR="003C4545" w:rsidRPr="00183005">
        <w:rPr>
          <w:rFonts w:asciiTheme="minorHAnsi" w:hAnsiTheme="minorHAnsi"/>
        </w:rPr>
        <w:t>Guernica</w:t>
      </w:r>
      <w:r w:rsidRPr="00183005">
        <w:rPr>
          <w:rFonts w:asciiTheme="minorHAnsi" w:hAnsiTheme="minorHAnsi"/>
        </w:rPr>
        <w:t xml:space="preserve">” portrays nothing but horror and torture from first glance in a horrifically abstract way which is his stereotypical way of painting. </w:t>
      </w:r>
      <w:r w:rsidR="003C4545" w:rsidRPr="00183005">
        <w:rPr>
          <w:rFonts w:asciiTheme="minorHAnsi" w:hAnsiTheme="minorHAnsi"/>
        </w:rPr>
        <w:t xml:space="preserve">Guernica was painted as a reaction to the Nazi’s bombing practise on the town of Guernica which wrecked tragedy on the civilians during the civil war. It has become a famous </w:t>
      </w:r>
      <w:proofErr w:type="gramStart"/>
      <w:r w:rsidR="003C4545" w:rsidRPr="00183005">
        <w:rPr>
          <w:rFonts w:asciiTheme="minorHAnsi" w:hAnsiTheme="minorHAnsi"/>
        </w:rPr>
        <w:t>anti war</w:t>
      </w:r>
      <w:proofErr w:type="gramEnd"/>
      <w:r w:rsidR="003C4545" w:rsidRPr="00183005">
        <w:rPr>
          <w:rFonts w:asciiTheme="minorHAnsi" w:hAnsiTheme="minorHAnsi"/>
        </w:rPr>
        <w:t xml:space="preserve"> masterpiece which is used as an example all over the world, showing the horrors using shock tactics through artwork. </w:t>
      </w:r>
    </w:p>
    <w:p w:rsidR="00E824E3" w:rsidRPr="00183005" w:rsidRDefault="003C4545" w:rsidP="00E620DD">
      <w:pPr>
        <w:pStyle w:val="NormalWeb"/>
        <w:spacing w:line="480" w:lineRule="auto"/>
        <w:rPr>
          <w:rFonts w:asciiTheme="minorHAnsi" w:hAnsiTheme="minorHAnsi"/>
        </w:rPr>
      </w:pPr>
      <w:r w:rsidRPr="00183005">
        <w:rPr>
          <w:rFonts w:asciiTheme="minorHAnsi" w:hAnsiTheme="minorHAnsi"/>
        </w:rPr>
        <w:t xml:space="preserve">The black and white tone of the painting creates a feeling of no hope or light being present to ease the horror. Complete darkness and evil. This is hard to perceive in any other way than negatively, unless the white tones could </w:t>
      </w:r>
      <w:proofErr w:type="gramStart"/>
      <w:r w:rsidRPr="00183005">
        <w:rPr>
          <w:rFonts w:asciiTheme="minorHAnsi" w:hAnsiTheme="minorHAnsi"/>
        </w:rPr>
        <w:t>be seen as</w:t>
      </w:r>
      <w:proofErr w:type="gramEnd"/>
      <w:r w:rsidRPr="00183005">
        <w:rPr>
          <w:rFonts w:asciiTheme="minorHAnsi" w:hAnsiTheme="minorHAnsi"/>
        </w:rPr>
        <w:t xml:space="preserve"> lightness within the characters however this is unlikely due to the bull being a symbol of the creator of destruction and the horse cut in half representing the people of Guernica. These two symbols are used by Van Gogh within lots of his paintings </w:t>
      </w:r>
      <w:r w:rsidR="00E824E3" w:rsidRPr="00183005">
        <w:rPr>
          <w:rFonts w:asciiTheme="minorHAnsi" w:hAnsiTheme="minorHAnsi"/>
        </w:rPr>
        <w:t xml:space="preserve">to resemble different meanings and stories as these </w:t>
      </w:r>
      <w:proofErr w:type="gramStart"/>
      <w:r w:rsidR="00E824E3" w:rsidRPr="00183005">
        <w:rPr>
          <w:rFonts w:asciiTheme="minorHAnsi" w:hAnsiTheme="minorHAnsi"/>
        </w:rPr>
        <w:t>are seen as</w:t>
      </w:r>
      <w:proofErr w:type="gramEnd"/>
      <w:r w:rsidR="00E824E3" w:rsidRPr="00183005">
        <w:rPr>
          <w:rFonts w:asciiTheme="minorHAnsi" w:hAnsiTheme="minorHAnsi"/>
        </w:rPr>
        <w:t xml:space="preserve"> important roles in Spanish history. More so obvious to Van Gogh fans than to a usual viewer.</w:t>
      </w:r>
    </w:p>
    <w:p w:rsidR="00E824E3" w:rsidRDefault="00E824E3" w:rsidP="00E824E3">
      <w:pPr>
        <w:pStyle w:val="NormalWeb"/>
        <w:rPr>
          <w:i/>
          <w:sz w:val="18"/>
        </w:rPr>
      </w:pPr>
      <w:r>
        <w:rPr>
          <w:noProof/>
        </w:rPr>
        <w:lastRenderedPageBreak/>
        <w:drawing>
          <wp:inline distT="0" distB="0" distL="0" distR="0" wp14:anchorId="53759B05" wp14:editId="28361364">
            <wp:extent cx="5731510" cy="3168650"/>
            <wp:effectExtent l="0" t="0" r="2540" b="0"/>
            <wp:docPr id="1" name="Content Placeholder 4">
              <a:extLst xmlns:a="http://schemas.openxmlformats.org/drawingml/2006/main">
                <a:ext uri="{FF2B5EF4-FFF2-40B4-BE49-F238E27FC236}">
                  <a16:creationId xmlns:a16="http://schemas.microsoft.com/office/drawing/2014/main" id="{70B1495F-6C89-4630-8C86-0998B9AD2A5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70B1495F-6C89-4630-8C86-0998B9AD2A52}"/>
                        </a:ext>
                      </a:extLst>
                    </pic:cNvPr>
                    <pic:cNvPicPr>
                      <a:picLocks noGrp="1"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68650"/>
                    </a:xfrm>
                    <a:prstGeom prst="rect">
                      <a:avLst/>
                    </a:prstGeom>
                  </pic:spPr>
                </pic:pic>
              </a:graphicData>
            </a:graphic>
          </wp:inline>
        </w:drawing>
      </w:r>
      <w:r>
        <w:t xml:space="preserve">                                                                                                                </w:t>
      </w:r>
      <w:r w:rsidRPr="00E824E3">
        <w:rPr>
          <w:sz w:val="18"/>
        </w:rPr>
        <w:t xml:space="preserve">Piccasso, P (1498) </w:t>
      </w:r>
      <w:r w:rsidRPr="00E824E3">
        <w:rPr>
          <w:i/>
          <w:sz w:val="18"/>
        </w:rPr>
        <w:t>The Last Supper</w:t>
      </w:r>
    </w:p>
    <w:p w:rsidR="00E824E3" w:rsidRPr="00183005" w:rsidRDefault="00C71C45" w:rsidP="00E620DD">
      <w:pPr>
        <w:pStyle w:val="NormalWeb"/>
        <w:spacing w:line="480" w:lineRule="auto"/>
        <w:rPr>
          <w:rFonts w:asciiTheme="minorHAnsi" w:hAnsiTheme="minorHAnsi"/>
        </w:rPr>
      </w:pPr>
      <w:r w:rsidRPr="00183005">
        <w:rPr>
          <w:rFonts w:asciiTheme="minorHAnsi" w:hAnsiTheme="minorHAnsi"/>
        </w:rPr>
        <w:t>In this painting “The Last Supper” it shows Jesus saying that one of his follows will betray him. This painting is solely based on the use of hand gestures to portray the story behind the painting. Each of the followers within the painting are given their own body language and hand gestures depending on what Jesus thought represented their p</w:t>
      </w:r>
      <w:r w:rsidR="00B50916" w:rsidRPr="00183005">
        <w:rPr>
          <w:rFonts w:asciiTheme="minorHAnsi" w:hAnsiTheme="minorHAnsi"/>
        </w:rPr>
        <w:t>ersonalities. The saturation and brightness of the image gives a feel of happiness and fulfilment however you could argue that the body language represents something different. With Jesus being central within the image showing he is the most important, this is the usual placement for holy figures within paintings to show respect.</w:t>
      </w:r>
    </w:p>
    <w:p w:rsidR="00B50916" w:rsidRDefault="00B50916" w:rsidP="00E824E3">
      <w:pPr>
        <w:pStyle w:val="NormalWeb"/>
      </w:pPr>
      <w:r>
        <w:rPr>
          <w:noProof/>
        </w:rPr>
        <w:lastRenderedPageBreak/>
        <w:drawing>
          <wp:inline distT="0" distB="0" distL="0" distR="0" wp14:anchorId="3F24DFFC" wp14:editId="37D0E312">
            <wp:extent cx="5731510" cy="2646045"/>
            <wp:effectExtent l="0" t="0" r="2540" b="1905"/>
            <wp:docPr id="2" name="Content Placeholder 4">
              <a:extLst xmlns:a="http://schemas.openxmlformats.org/drawingml/2006/main">
                <a:ext uri="{FF2B5EF4-FFF2-40B4-BE49-F238E27FC236}">
                  <a16:creationId xmlns:a16="http://schemas.microsoft.com/office/drawing/2014/main" id="{9AE0EE9D-1C01-44E1-8C97-3459B83F377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9AE0EE9D-1C01-44E1-8C97-3459B83F3779}"/>
                        </a:ext>
                      </a:extLst>
                    </pic:cNvPr>
                    <pic:cNvPicPr>
                      <a:picLocks noGrp="1"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2646045"/>
                    </a:xfrm>
                    <a:prstGeom prst="rect">
                      <a:avLst/>
                    </a:prstGeom>
                  </pic:spPr>
                </pic:pic>
              </a:graphicData>
            </a:graphic>
          </wp:inline>
        </w:drawing>
      </w:r>
    </w:p>
    <w:p w:rsidR="00C71C45" w:rsidRPr="00E620DD" w:rsidRDefault="00B50916" w:rsidP="00C71C45">
      <w:pPr>
        <w:pStyle w:val="NormalWeb"/>
        <w:rPr>
          <w:i/>
          <w:sz w:val="18"/>
        </w:rPr>
      </w:pPr>
      <w:r w:rsidRPr="00E620DD">
        <w:rPr>
          <w:sz w:val="18"/>
        </w:rPr>
        <w:t xml:space="preserve">                                                                                                                                             </w:t>
      </w:r>
      <w:r w:rsidR="00C71C45" w:rsidRPr="00E620DD">
        <w:rPr>
          <w:sz w:val="18"/>
        </w:rPr>
        <w:t xml:space="preserve"> </w:t>
      </w:r>
      <w:r w:rsidRPr="00E620DD">
        <w:rPr>
          <w:sz w:val="18"/>
        </w:rPr>
        <w:t xml:space="preserve">Massacio, T (1425) </w:t>
      </w:r>
      <w:r w:rsidRPr="00E620DD">
        <w:rPr>
          <w:i/>
          <w:sz w:val="18"/>
        </w:rPr>
        <w:t>Tribute Money</w:t>
      </w:r>
    </w:p>
    <w:p w:rsidR="00B50916" w:rsidRPr="00183005" w:rsidRDefault="00E620DD" w:rsidP="00E620DD">
      <w:pPr>
        <w:pStyle w:val="NormalWeb"/>
        <w:spacing w:line="480" w:lineRule="auto"/>
        <w:rPr>
          <w:rFonts w:asciiTheme="minorHAnsi" w:hAnsiTheme="minorHAnsi"/>
        </w:rPr>
      </w:pPr>
      <w:r w:rsidRPr="00183005">
        <w:rPr>
          <w:rFonts w:asciiTheme="minorHAnsi" w:hAnsiTheme="minorHAnsi"/>
        </w:rPr>
        <w:t>This painting is famous for its choice of colour and perspectives within this painting representing the trinity. With bright pops of colour fading out to a gradient of blackness to portray the least fortunate in the art work painted in a grayscale wash. Whilst the holys centralised in the middle with a light beaming down almost like God approving of them. This painting is very similar to the Last Supper painting although it shows lesser of the light than the previous art work.</w:t>
      </w:r>
    </w:p>
    <w:p w:rsidR="003D3891" w:rsidRDefault="003D3891" w:rsidP="003D3891">
      <w:pPr>
        <w:pStyle w:val="NormalWeb"/>
        <w:jc w:val="center"/>
      </w:pPr>
      <w:r>
        <w:rPr>
          <w:noProof/>
        </w:rPr>
        <w:lastRenderedPageBreak/>
        <w:drawing>
          <wp:inline distT="0" distB="0" distL="0" distR="0" wp14:anchorId="7081C4D0" wp14:editId="3D684A69">
            <wp:extent cx="3624664" cy="4351338"/>
            <wp:effectExtent l="0" t="0" r="0" b="0"/>
            <wp:docPr id="3" name="Content Placeholder 4">
              <a:extLst xmlns:a="http://schemas.openxmlformats.org/drawingml/2006/main">
                <a:ext uri="{FF2B5EF4-FFF2-40B4-BE49-F238E27FC236}">
                  <a16:creationId xmlns:a16="http://schemas.microsoft.com/office/drawing/2014/main" id="{594B62C0-E6D8-4857-A829-24AA908C603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594B62C0-E6D8-4857-A829-24AA908C603D}"/>
                        </a:ext>
                      </a:extLst>
                    </pic:cNvPr>
                    <pic:cNvPicPr>
                      <a:picLocks noGrp="1"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624664" cy="4351338"/>
                    </a:xfrm>
                    <a:prstGeom prst="rect">
                      <a:avLst/>
                    </a:prstGeom>
                  </pic:spPr>
                </pic:pic>
              </a:graphicData>
            </a:graphic>
          </wp:inline>
        </w:drawing>
      </w:r>
    </w:p>
    <w:p w:rsidR="003D3891" w:rsidRDefault="003D3891" w:rsidP="003D3891">
      <w:pPr>
        <w:rPr>
          <w:sz w:val="18"/>
          <w:lang w:eastAsia="en-GB"/>
        </w:rPr>
      </w:pPr>
      <w:r>
        <w:rPr>
          <w:sz w:val="18"/>
          <w:lang w:eastAsia="en-GB"/>
        </w:rPr>
        <w:t xml:space="preserve">                                                                                                                                 </w:t>
      </w:r>
      <w:proofErr w:type="gramStart"/>
      <w:r w:rsidRPr="003D3891">
        <w:rPr>
          <w:sz w:val="18"/>
          <w:lang w:eastAsia="en-GB"/>
        </w:rPr>
        <w:t>Gogh,V</w:t>
      </w:r>
      <w:proofErr w:type="gramEnd"/>
      <w:r w:rsidRPr="003D3891">
        <w:rPr>
          <w:sz w:val="18"/>
          <w:lang w:eastAsia="en-GB"/>
        </w:rPr>
        <w:t xml:space="preserve"> (1988) </w:t>
      </w:r>
      <w:r w:rsidRPr="003D3891">
        <w:rPr>
          <w:i/>
          <w:sz w:val="18"/>
          <w:lang w:eastAsia="en-GB"/>
        </w:rPr>
        <w:t>Café at night</w:t>
      </w:r>
      <w:r w:rsidRPr="003D3891">
        <w:rPr>
          <w:sz w:val="18"/>
          <w:lang w:eastAsia="en-GB"/>
        </w:rPr>
        <w:t xml:space="preserve"> </w:t>
      </w:r>
    </w:p>
    <w:p w:rsidR="003D3891" w:rsidRPr="003D3891" w:rsidRDefault="003D3891" w:rsidP="003D3891">
      <w:pPr>
        <w:rPr>
          <w:lang w:eastAsia="en-GB"/>
        </w:rPr>
      </w:pPr>
    </w:p>
    <w:p w:rsidR="003D3891" w:rsidRPr="00183005" w:rsidRDefault="003D3891" w:rsidP="00183005">
      <w:pPr>
        <w:spacing w:line="480" w:lineRule="auto"/>
        <w:rPr>
          <w:sz w:val="24"/>
          <w:lang w:eastAsia="en-GB"/>
        </w:rPr>
      </w:pPr>
      <w:r w:rsidRPr="00183005">
        <w:rPr>
          <w:sz w:val="24"/>
          <w:lang w:eastAsia="en-GB"/>
        </w:rPr>
        <w:t xml:space="preserve">This painting is one of two paintings which were made to be </w:t>
      </w:r>
      <w:proofErr w:type="gramStart"/>
      <w:r w:rsidRPr="00183005">
        <w:rPr>
          <w:sz w:val="24"/>
          <w:lang w:eastAsia="en-GB"/>
        </w:rPr>
        <w:t>polar opposites</w:t>
      </w:r>
      <w:proofErr w:type="gramEnd"/>
      <w:r w:rsidRPr="00183005">
        <w:rPr>
          <w:sz w:val="24"/>
          <w:lang w:eastAsia="en-GB"/>
        </w:rPr>
        <w:t xml:space="preserve"> to </w:t>
      </w:r>
      <w:r w:rsidR="002A211A" w:rsidRPr="00183005">
        <w:rPr>
          <w:sz w:val="24"/>
          <w:lang w:eastAsia="en-GB"/>
        </w:rPr>
        <w:t xml:space="preserve">each other one being very colourful and vibrant with a happy feeling behind whilst the other is completely opposite. Gogh has used colourful splodges to create a scene which looks like a holiday night scene all peaceful and full of serenity. With the message not being visually apparent, it’s more left upto you to decide what you think the painting represents. A vibrant city lane with a mystical night sky – a torn horizon line cutting the edge between these two </w:t>
      </w:r>
      <w:proofErr w:type="gramStart"/>
      <w:r w:rsidR="002A211A" w:rsidRPr="00183005">
        <w:rPr>
          <w:sz w:val="24"/>
          <w:lang w:eastAsia="en-GB"/>
        </w:rPr>
        <w:t>polar opposites</w:t>
      </w:r>
      <w:proofErr w:type="gramEnd"/>
      <w:r w:rsidR="002A211A" w:rsidRPr="00183005">
        <w:rPr>
          <w:sz w:val="24"/>
          <w:lang w:eastAsia="en-GB"/>
        </w:rPr>
        <w:t>.</w:t>
      </w:r>
    </w:p>
    <w:p w:rsidR="002A211A" w:rsidRDefault="002A211A" w:rsidP="002A211A">
      <w:pPr>
        <w:jc w:val="center"/>
        <w:rPr>
          <w:lang w:eastAsia="en-GB"/>
        </w:rPr>
      </w:pPr>
      <w:r>
        <w:rPr>
          <w:noProof/>
        </w:rPr>
        <w:lastRenderedPageBreak/>
        <w:drawing>
          <wp:inline distT="0" distB="0" distL="0" distR="0" wp14:anchorId="589EA2E9" wp14:editId="58DCA90C">
            <wp:extent cx="3377717" cy="3362325"/>
            <wp:effectExtent l="0" t="0" r="0" b="0"/>
            <wp:docPr id="4" name="Content Placeholder 4">
              <a:extLst xmlns:a="http://schemas.openxmlformats.org/drawingml/2006/main">
                <a:ext uri="{FF2B5EF4-FFF2-40B4-BE49-F238E27FC236}">
                  <a16:creationId xmlns:a16="http://schemas.microsoft.com/office/drawing/2014/main" id="{D9732741-6181-4BDD-BB44-CC11638FB2F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D9732741-6181-4BDD-BB44-CC11638FB2FA}"/>
                        </a:ext>
                      </a:extLst>
                    </pic:cNvPr>
                    <pic:cNvPicPr>
                      <a:picLocks noGrp="1"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380955" cy="3365548"/>
                    </a:xfrm>
                    <a:prstGeom prst="rect">
                      <a:avLst/>
                    </a:prstGeom>
                  </pic:spPr>
                </pic:pic>
              </a:graphicData>
            </a:graphic>
          </wp:inline>
        </w:drawing>
      </w:r>
    </w:p>
    <w:p w:rsidR="002A211A" w:rsidRDefault="002A211A" w:rsidP="002A211A">
      <w:pPr>
        <w:jc w:val="center"/>
        <w:rPr>
          <w:i/>
          <w:sz w:val="18"/>
          <w:lang w:eastAsia="en-GB"/>
        </w:rPr>
      </w:pPr>
      <w:r>
        <w:rPr>
          <w:sz w:val="18"/>
          <w:lang w:eastAsia="en-GB"/>
        </w:rPr>
        <w:t xml:space="preserve">                                              </w:t>
      </w:r>
      <w:r w:rsidRPr="002A211A">
        <w:rPr>
          <w:sz w:val="18"/>
          <w:lang w:eastAsia="en-GB"/>
        </w:rPr>
        <w:t xml:space="preserve">Turner, J.M.W (1842) </w:t>
      </w:r>
      <w:r w:rsidRPr="002A211A">
        <w:rPr>
          <w:i/>
          <w:sz w:val="18"/>
          <w:lang w:eastAsia="en-GB"/>
        </w:rPr>
        <w:t>The Excile &amp; Rock Limpet</w:t>
      </w:r>
    </w:p>
    <w:p w:rsidR="002A211A" w:rsidRPr="00183005" w:rsidRDefault="002A211A" w:rsidP="002A211A">
      <w:pPr>
        <w:jc w:val="center"/>
        <w:rPr>
          <w:sz w:val="24"/>
          <w:lang w:eastAsia="en-GB"/>
        </w:rPr>
      </w:pPr>
    </w:p>
    <w:p w:rsidR="0089444B" w:rsidRDefault="0089444B" w:rsidP="0089444B">
      <w:pPr>
        <w:spacing w:after="0" w:line="480" w:lineRule="auto"/>
        <w:rPr>
          <w:rFonts w:eastAsiaTheme="minorEastAsia" w:hAnsi="Calibri"/>
          <w:bCs/>
          <w:color w:val="000000" w:themeColor="text1"/>
          <w:kern w:val="24"/>
          <w:sz w:val="24"/>
        </w:rPr>
      </w:pPr>
      <w:r w:rsidRPr="00183005">
        <w:rPr>
          <w:rFonts w:eastAsiaTheme="minorEastAsia" w:hAnsi="Calibri"/>
          <w:color w:val="000000" w:themeColor="text1"/>
          <w:kern w:val="24"/>
          <w:sz w:val="24"/>
          <w:szCs w:val="36"/>
          <w:lang w:eastAsia="en-GB"/>
        </w:rPr>
        <w:t xml:space="preserve">This painting represents Napoleon in exile on the St Helena island. The feeling of this painting is neutral, with the use of dull colours and no apparent horizon line. Napoleon isn’t perceived in any </w:t>
      </w:r>
      <w:proofErr w:type="gramStart"/>
      <w:r w:rsidRPr="00183005">
        <w:rPr>
          <w:rFonts w:eastAsiaTheme="minorEastAsia" w:hAnsi="Calibri"/>
          <w:color w:val="000000" w:themeColor="text1"/>
          <w:kern w:val="24"/>
          <w:sz w:val="24"/>
          <w:szCs w:val="36"/>
          <w:lang w:eastAsia="en-GB"/>
        </w:rPr>
        <w:t>particular way</w:t>
      </w:r>
      <w:proofErr w:type="gramEnd"/>
      <w:r w:rsidRPr="00183005">
        <w:rPr>
          <w:rFonts w:eastAsiaTheme="minorEastAsia" w:hAnsi="Calibri"/>
          <w:color w:val="000000" w:themeColor="text1"/>
          <w:kern w:val="24"/>
          <w:sz w:val="24"/>
          <w:szCs w:val="36"/>
          <w:lang w:eastAsia="en-GB"/>
        </w:rPr>
        <w:t>, he just looks like any old person with a normal story unlike the other paintings.</w:t>
      </w:r>
      <w:r w:rsidRPr="00183005">
        <w:rPr>
          <w:rFonts w:eastAsiaTheme="minorEastAsia" w:hAnsi="Calibri"/>
          <w:color w:val="000000" w:themeColor="text1"/>
          <w:kern w:val="24"/>
          <w:sz w:val="24"/>
        </w:rPr>
        <w:t xml:space="preserve"> The painting gives the atmosphere of </w:t>
      </w:r>
      <w:r w:rsidRPr="00183005">
        <w:rPr>
          <w:rFonts w:eastAsiaTheme="minorEastAsia" w:hAnsi="Calibri"/>
          <w:bCs/>
          <w:color w:val="000000" w:themeColor="text1"/>
          <w:kern w:val="24"/>
          <w:sz w:val="24"/>
        </w:rPr>
        <w:t>loneliness and lost</w:t>
      </w:r>
      <w:r w:rsidRPr="00183005">
        <w:rPr>
          <w:rFonts w:eastAsiaTheme="minorEastAsia" w:hAnsi="Calibri"/>
          <w:color w:val="000000" w:themeColor="text1"/>
          <w:kern w:val="24"/>
          <w:sz w:val="24"/>
        </w:rPr>
        <w:t xml:space="preserve">, with merging colours and no clear horizon line or prominent objects. Similar feeling to Guernica </w:t>
      </w:r>
      <w:r w:rsidRPr="00183005">
        <w:rPr>
          <w:rFonts w:eastAsiaTheme="minorEastAsia" w:hAnsi="Calibri"/>
          <w:bCs/>
          <w:color w:val="000000" w:themeColor="text1"/>
          <w:kern w:val="24"/>
          <w:sz w:val="24"/>
        </w:rPr>
        <w:t xml:space="preserve">although instead of gore and war, this is another type of war; maybe a war with himself, which makes </w:t>
      </w:r>
      <w:proofErr w:type="gramStart"/>
      <w:r w:rsidRPr="00183005">
        <w:rPr>
          <w:rFonts w:eastAsiaTheme="minorEastAsia" w:hAnsi="Calibri"/>
          <w:bCs/>
          <w:color w:val="000000" w:themeColor="text1"/>
          <w:kern w:val="24"/>
          <w:sz w:val="24"/>
        </w:rPr>
        <w:t>all of</w:t>
      </w:r>
      <w:proofErr w:type="gramEnd"/>
      <w:r w:rsidRPr="00183005">
        <w:rPr>
          <w:rFonts w:eastAsiaTheme="minorEastAsia" w:hAnsi="Calibri"/>
          <w:bCs/>
          <w:color w:val="000000" w:themeColor="text1"/>
          <w:kern w:val="24"/>
          <w:sz w:val="24"/>
        </w:rPr>
        <w:t xml:space="preserve"> his surroundings unimportant.</w:t>
      </w:r>
    </w:p>
    <w:p w:rsidR="00183005" w:rsidRDefault="00183005" w:rsidP="0089444B">
      <w:pPr>
        <w:spacing w:after="0" w:line="480" w:lineRule="auto"/>
        <w:rPr>
          <w:rFonts w:eastAsiaTheme="minorEastAsia" w:hAnsi="Calibri"/>
          <w:bCs/>
          <w:color w:val="000000" w:themeColor="text1"/>
          <w:kern w:val="24"/>
          <w:sz w:val="24"/>
        </w:rPr>
      </w:pPr>
    </w:p>
    <w:p w:rsidR="00183005" w:rsidRDefault="00183005" w:rsidP="0089444B">
      <w:pPr>
        <w:spacing w:after="0" w:line="480" w:lineRule="auto"/>
        <w:rPr>
          <w:rFonts w:eastAsiaTheme="minorEastAsia" w:hAnsi="Calibri"/>
          <w:bCs/>
          <w:color w:val="000000" w:themeColor="text1"/>
          <w:kern w:val="24"/>
          <w:sz w:val="24"/>
        </w:rPr>
      </w:pPr>
    </w:p>
    <w:p w:rsidR="00183005" w:rsidRDefault="00183005" w:rsidP="0089444B">
      <w:pPr>
        <w:spacing w:after="0" w:line="480" w:lineRule="auto"/>
        <w:rPr>
          <w:rFonts w:eastAsiaTheme="minorEastAsia" w:hAnsi="Calibri"/>
          <w:bCs/>
          <w:color w:val="000000" w:themeColor="text1"/>
          <w:kern w:val="24"/>
          <w:sz w:val="24"/>
        </w:rPr>
      </w:pPr>
    </w:p>
    <w:p w:rsidR="00183005" w:rsidRDefault="00183005" w:rsidP="0089444B">
      <w:pPr>
        <w:spacing w:after="0" w:line="480" w:lineRule="auto"/>
        <w:rPr>
          <w:rFonts w:eastAsiaTheme="minorEastAsia" w:hAnsi="Calibri"/>
          <w:bCs/>
          <w:color w:val="000000" w:themeColor="text1"/>
          <w:kern w:val="24"/>
          <w:sz w:val="32"/>
        </w:rPr>
      </w:pPr>
    </w:p>
    <w:p w:rsidR="00183005" w:rsidRDefault="00183005" w:rsidP="0089444B">
      <w:pPr>
        <w:spacing w:after="0" w:line="480" w:lineRule="auto"/>
        <w:rPr>
          <w:rFonts w:eastAsiaTheme="minorEastAsia" w:hAnsi="Calibri"/>
          <w:bCs/>
          <w:color w:val="000000" w:themeColor="text1"/>
          <w:kern w:val="24"/>
          <w:sz w:val="32"/>
        </w:rPr>
      </w:pPr>
    </w:p>
    <w:p w:rsidR="00183005" w:rsidRPr="00183005" w:rsidRDefault="00183005" w:rsidP="0089444B">
      <w:pPr>
        <w:spacing w:after="0" w:line="480" w:lineRule="auto"/>
        <w:rPr>
          <w:rFonts w:eastAsiaTheme="minorEastAsia" w:hAnsi="Calibri"/>
          <w:bCs/>
          <w:color w:val="000000" w:themeColor="text1"/>
          <w:kern w:val="24"/>
          <w:sz w:val="32"/>
        </w:rPr>
      </w:pPr>
      <w:bookmarkStart w:id="0" w:name="_GoBack"/>
      <w:bookmarkEnd w:id="0"/>
      <w:r w:rsidRPr="00183005">
        <w:rPr>
          <w:rFonts w:eastAsiaTheme="minorEastAsia" w:hAnsi="Calibri"/>
          <w:bCs/>
          <w:color w:val="000000" w:themeColor="text1"/>
          <w:kern w:val="24"/>
          <w:sz w:val="32"/>
        </w:rPr>
        <w:lastRenderedPageBreak/>
        <w:t>References</w:t>
      </w:r>
    </w:p>
    <w:p w:rsidR="00183005" w:rsidRDefault="00183005" w:rsidP="00183005">
      <w:pPr>
        <w:rPr>
          <w:i/>
          <w:sz w:val="18"/>
          <w:lang w:eastAsia="en-GB"/>
        </w:rPr>
      </w:pPr>
      <w:r w:rsidRPr="002A211A">
        <w:rPr>
          <w:sz w:val="18"/>
          <w:lang w:eastAsia="en-GB"/>
        </w:rPr>
        <w:t xml:space="preserve">Turner, J.M.W (1842) </w:t>
      </w:r>
      <w:r w:rsidRPr="002A211A">
        <w:rPr>
          <w:i/>
          <w:sz w:val="18"/>
          <w:lang w:eastAsia="en-GB"/>
        </w:rPr>
        <w:t>The Excile &amp; Rock Limpet</w:t>
      </w:r>
    </w:p>
    <w:p w:rsidR="00183005" w:rsidRDefault="00183005" w:rsidP="00183005">
      <w:pPr>
        <w:rPr>
          <w:i/>
          <w:sz w:val="18"/>
          <w:lang w:eastAsia="en-GB"/>
        </w:rPr>
      </w:pPr>
      <w:proofErr w:type="gramStart"/>
      <w:r w:rsidRPr="003D3891">
        <w:rPr>
          <w:sz w:val="18"/>
          <w:lang w:eastAsia="en-GB"/>
        </w:rPr>
        <w:t>Gogh,V</w:t>
      </w:r>
      <w:proofErr w:type="gramEnd"/>
      <w:r w:rsidRPr="003D3891">
        <w:rPr>
          <w:sz w:val="18"/>
          <w:lang w:eastAsia="en-GB"/>
        </w:rPr>
        <w:t xml:space="preserve"> (1988) </w:t>
      </w:r>
      <w:r w:rsidRPr="003D3891">
        <w:rPr>
          <w:i/>
          <w:sz w:val="18"/>
          <w:lang w:eastAsia="en-GB"/>
        </w:rPr>
        <w:t>Café at night</w:t>
      </w:r>
    </w:p>
    <w:p w:rsidR="00183005" w:rsidRDefault="00183005" w:rsidP="00183005">
      <w:pPr>
        <w:rPr>
          <w:i/>
          <w:sz w:val="18"/>
          <w:lang w:eastAsia="en-GB"/>
        </w:rPr>
      </w:pPr>
      <w:r w:rsidRPr="00183005">
        <w:rPr>
          <w:i/>
          <w:sz w:val="18"/>
          <w:lang w:eastAsia="en-GB"/>
        </w:rPr>
        <w:t>Massacio, T (1425) Tribute Money</w:t>
      </w:r>
    </w:p>
    <w:p w:rsidR="00183005" w:rsidRDefault="00183005" w:rsidP="00183005">
      <w:pPr>
        <w:rPr>
          <w:i/>
          <w:sz w:val="18"/>
          <w:lang w:eastAsia="en-GB"/>
        </w:rPr>
      </w:pPr>
      <w:r w:rsidRPr="00183005">
        <w:rPr>
          <w:i/>
          <w:sz w:val="18"/>
          <w:lang w:eastAsia="en-GB"/>
        </w:rPr>
        <w:t>Piccasso, P (1498) The Last Supper</w:t>
      </w:r>
    </w:p>
    <w:p w:rsidR="00183005" w:rsidRDefault="00183005" w:rsidP="00183005">
      <w:pPr>
        <w:rPr>
          <w:i/>
          <w:sz w:val="18"/>
          <w:lang w:eastAsia="en-GB"/>
        </w:rPr>
      </w:pPr>
      <w:proofErr w:type="gramStart"/>
      <w:r w:rsidRPr="00183005">
        <w:rPr>
          <w:i/>
          <w:sz w:val="18"/>
          <w:lang w:eastAsia="en-GB"/>
        </w:rPr>
        <w:t>Gogh,V</w:t>
      </w:r>
      <w:proofErr w:type="gramEnd"/>
      <w:r w:rsidRPr="00183005">
        <w:rPr>
          <w:i/>
          <w:sz w:val="18"/>
          <w:lang w:eastAsia="en-GB"/>
        </w:rPr>
        <w:t xml:space="preserve"> (1937) Guernica</w:t>
      </w:r>
    </w:p>
    <w:p w:rsidR="00183005" w:rsidRDefault="00183005" w:rsidP="00183005">
      <w:pPr>
        <w:rPr>
          <w:sz w:val="18"/>
          <w:lang w:eastAsia="en-GB"/>
        </w:rPr>
      </w:pPr>
      <w:r w:rsidRPr="00183005">
        <w:rPr>
          <w:sz w:val="18"/>
          <w:lang w:eastAsia="en-GB"/>
        </w:rPr>
        <w:t>John Berger</w:t>
      </w:r>
      <w:r w:rsidRPr="00183005">
        <w:rPr>
          <w:i/>
          <w:sz w:val="18"/>
          <w:lang w:eastAsia="en-GB"/>
        </w:rPr>
        <w:t xml:space="preserve"> (</w:t>
      </w:r>
      <w:proofErr w:type="gramStart"/>
      <w:r w:rsidRPr="00183005">
        <w:rPr>
          <w:i/>
          <w:sz w:val="18"/>
          <w:lang w:eastAsia="en-GB"/>
        </w:rPr>
        <w:t>1972 :</w:t>
      </w:r>
      <w:proofErr w:type="gramEnd"/>
      <w:r w:rsidRPr="00183005">
        <w:rPr>
          <w:i/>
          <w:sz w:val="18"/>
          <w:lang w:eastAsia="en-GB"/>
        </w:rPr>
        <w:t xml:space="preserve"> 89)</w:t>
      </w:r>
      <w:r>
        <w:rPr>
          <w:i/>
          <w:sz w:val="18"/>
          <w:lang w:eastAsia="en-GB"/>
        </w:rPr>
        <w:t xml:space="preserve"> Ways Of Thinking, </w:t>
      </w:r>
      <w:r w:rsidRPr="00183005">
        <w:rPr>
          <w:sz w:val="18"/>
          <w:lang w:eastAsia="en-GB"/>
        </w:rPr>
        <w:t>London: Penguin Books</w:t>
      </w:r>
    </w:p>
    <w:p w:rsidR="00183005" w:rsidRDefault="00183005" w:rsidP="00183005">
      <w:pPr>
        <w:rPr>
          <w:sz w:val="18"/>
          <w:lang w:eastAsia="en-GB"/>
        </w:rPr>
      </w:pPr>
      <w:r w:rsidRPr="00183005">
        <w:rPr>
          <w:sz w:val="18"/>
          <w:lang w:eastAsia="en-GB"/>
        </w:rPr>
        <w:t>John Berger (</w:t>
      </w:r>
      <w:proofErr w:type="gramStart"/>
      <w:r w:rsidRPr="00183005">
        <w:rPr>
          <w:sz w:val="18"/>
          <w:lang w:eastAsia="en-GB"/>
        </w:rPr>
        <w:t>1972 :</w:t>
      </w:r>
      <w:proofErr w:type="gramEnd"/>
      <w:r w:rsidRPr="00183005">
        <w:rPr>
          <w:sz w:val="18"/>
          <w:lang w:eastAsia="en-GB"/>
        </w:rPr>
        <w:t xml:space="preserve"> 89) Ways Of Thinking, London: Penguin Books</w:t>
      </w:r>
    </w:p>
    <w:p w:rsidR="00183005" w:rsidRPr="00183005" w:rsidRDefault="00183005" w:rsidP="00183005">
      <w:pPr>
        <w:rPr>
          <w:sz w:val="18"/>
          <w:lang w:eastAsia="en-GB"/>
        </w:rPr>
      </w:pPr>
      <w:r w:rsidRPr="00183005">
        <w:rPr>
          <w:sz w:val="18"/>
          <w:lang w:eastAsia="en-GB"/>
        </w:rPr>
        <w:t>Ryan L. Moule (</w:t>
      </w:r>
      <w:proofErr w:type="gramStart"/>
      <w:r w:rsidRPr="00183005">
        <w:rPr>
          <w:sz w:val="18"/>
          <w:lang w:eastAsia="en-GB"/>
        </w:rPr>
        <w:t>2018 :</w:t>
      </w:r>
      <w:proofErr w:type="gramEnd"/>
      <w:r w:rsidRPr="00183005">
        <w:rPr>
          <w:sz w:val="18"/>
          <w:lang w:eastAsia="en-GB"/>
        </w:rPr>
        <w:t xml:space="preserve"> 6)</w:t>
      </w:r>
      <w:r>
        <w:rPr>
          <w:sz w:val="18"/>
          <w:lang w:eastAsia="en-GB"/>
        </w:rPr>
        <w:t xml:space="preserve"> Stereotypes &amp; Representation</w:t>
      </w:r>
    </w:p>
    <w:p w:rsidR="003D3891" w:rsidRDefault="003D3891" w:rsidP="003D3891">
      <w:pPr>
        <w:rPr>
          <w:lang w:eastAsia="en-GB"/>
        </w:rPr>
      </w:pPr>
    </w:p>
    <w:p w:rsidR="00E620DD" w:rsidRPr="003D3891" w:rsidRDefault="003D3891" w:rsidP="003D3891">
      <w:pPr>
        <w:tabs>
          <w:tab w:val="left" w:pos="5640"/>
        </w:tabs>
        <w:rPr>
          <w:lang w:eastAsia="en-GB"/>
        </w:rPr>
      </w:pPr>
      <w:r>
        <w:rPr>
          <w:lang w:eastAsia="en-GB"/>
        </w:rPr>
        <w:tab/>
      </w:r>
    </w:p>
    <w:sectPr w:rsidR="00E620DD" w:rsidRPr="003D38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1BC9" w:rsidRDefault="00011BC9" w:rsidP="007B5DFC">
      <w:pPr>
        <w:spacing w:after="0" w:line="240" w:lineRule="auto"/>
      </w:pPr>
      <w:r>
        <w:separator/>
      </w:r>
    </w:p>
  </w:endnote>
  <w:endnote w:type="continuationSeparator" w:id="0">
    <w:p w:rsidR="00011BC9" w:rsidRDefault="00011BC9" w:rsidP="007B5D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1BC9" w:rsidRDefault="00011BC9" w:rsidP="007B5DFC">
      <w:pPr>
        <w:spacing w:after="0" w:line="240" w:lineRule="auto"/>
      </w:pPr>
      <w:r>
        <w:separator/>
      </w:r>
    </w:p>
  </w:footnote>
  <w:footnote w:type="continuationSeparator" w:id="0">
    <w:p w:rsidR="00011BC9" w:rsidRDefault="00011BC9" w:rsidP="007B5D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DFC"/>
    <w:rsid w:val="00011BC9"/>
    <w:rsid w:val="00015B50"/>
    <w:rsid w:val="00062764"/>
    <w:rsid w:val="00075B76"/>
    <w:rsid w:val="00183005"/>
    <w:rsid w:val="002A211A"/>
    <w:rsid w:val="003C4545"/>
    <w:rsid w:val="003D3891"/>
    <w:rsid w:val="004A0E83"/>
    <w:rsid w:val="005665B0"/>
    <w:rsid w:val="00590423"/>
    <w:rsid w:val="005D4374"/>
    <w:rsid w:val="00660408"/>
    <w:rsid w:val="007B5DFC"/>
    <w:rsid w:val="0089444B"/>
    <w:rsid w:val="00B50916"/>
    <w:rsid w:val="00BA3307"/>
    <w:rsid w:val="00BD0A3F"/>
    <w:rsid w:val="00BE17A2"/>
    <w:rsid w:val="00C71C45"/>
    <w:rsid w:val="00D063E6"/>
    <w:rsid w:val="00E61D49"/>
    <w:rsid w:val="00E620DD"/>
    <w:rsid w:val="00E824E3"/>
    <w:rsid w:val="00ED5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FE5FE"/>
  <w15:chartTrackingRefBased/>
  <w15:docId w15:val="{C69170B1-8E22-4C9F-9AE9-6A47B20BD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5D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5DFC"/>
  </w:style>
  <w:style w:type="paragraph" w:styleId="Footer">
    <w:name w:val="footer"/>
    <w:basedOn w:val="Normal"/>
    <w:link w:val="FooterChar"/>
    <w:uiPriority w:val="99"/>
    <w:unhideWhenUsed/>
    <w:rsid w:val="007B5D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5DFC"/>
  </w:style>
  <w:style w:type="paragraph" w:styleId="NormalWeb">
    <w:name w:val="Normal (Web)"/>
    <w:basedOn w:val="Normal"/>
    <w:uiPriority w:val="99"/>
    <w:unhideWhenUsed/>
    <w:rsid w:val="005904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522603">
      <w:bodyDiv w:val="1"/>
      <w:marLeft w:val="0"/>
      <w:marRight w:val="0"/>
      <w:marTop w:val="0"/>
      <w:marBottom w:val="0"/>
      <w:divBdr>
        <w:top w:val="none" w:sz="0" w:space="0" w:color="auto"/>
        <w:left w:val="none" w:sz="0" w:space="0" w:color="auto"/>
        <w:bottom w:val="none" w:sz="0" w:space="0" w:color="auto"/>
        <w:right w:val="none" w:sz="0" w:space="0" w:color="auto"/>
      </w:divBdr>
      <w:divsChild>
        <w:div w:id="1197156518">
          <w:marLeft w:val="0"/>
          <w:marRight w:val="0"/>
          <w:marTop w:val="0"/>
          <w:marBottom w:val="0"/>
          <w:divBdr>
            <w:top w:val="none" w:sz="0" w:space="0" w:color="auto"/>
            <w:left w:val="none" w:sz="0" w:space="0" w:color="auto"/>
            <w:bottom w:val="none" w:sz="0" w:space="0" w:color="auto"/>
            <w:right w:val="none" w:sz="0" w:space="0" w:color="auto"/>
          </w:divBdr>
          <w:divsChild>
            <w:div w:id="202715962">
              <w:marLeft w:val="0"/>
              <w:marRight w:val="0"/>
              <w:marTop w:val="0"/>
              <w:marBottom w:val="0"/>
              <w:divBdr>
                <w:top w:val="none" w:sz="0" w:space="0" w:color="auto"/>
                <w:left w:val="none" w:sz="0" w:space="0" w:color="auto"/>
                <w:bottom w:val="none" w:sz="0" w:space="0" w:color="auto"/>
                <w:right w:val="none" w:sz="0" w:space="0" w:color="auto"/>
              </w:divBdr>
              <w:divsChild>
                <w:div w:id="2076465285">
                  <w:marLeft w:val="0"/>
                  <w:marRight w:val="0"/>
                  <w:marTop w:val="0"/>
                  <w:marBottom w:val="0"/>
                  <w:divBdr>
                    <w:top w:val="none" w:sz="0" w:space="0" w:color="auto"/>
                    <w:left w:val="none" w:sz="0" w:space="0" w:color="auto"/>
                    <w:bottom w:val="none" w:sz="0" w:space="0" w:color="auto"/>
                    <w:right w:val="none" w:sz="0" w:space="0" w:color="auto"/>
                  </w:divBdr>
                  <w:divsChild>
                    <w:div w:id="1714112090">
                      <w:marLeft w:val="0"/>
                      <w:marRight w:val="0"/>
                      <w:marTop w:val="0"/>
                      <w:marBottom w:val="0"/>
                      <w:divBdr>
                        <w:top w:val="none" w:sz="0" w:space="0" w:color="auto"/>
                        <w:left w:val="none" w:sz="0" w:space="0" w:color="auto"/>
                        <w:bottom w:val="none" w:sz="0" w:space="0" w:color="auto"/>
                        <w:right w:val="none" w:sz="0" w:space="0" w:color="auto"/>
                      </w:divBdr>
                      <w:divsChild>
                        <w:div w:id="1709145049">
                          <w:marLeft w:val="0"/>
                          <w:marRight w:val="0"/>
                          <w:marTop w:val="0"/>
                          <w:marBottom w:val="0"/>
                          <w:divBdr>
                            <w:top w:val="none" w:sz="0" w:space="0" w:color="auto"/>
                            <w:left w:val="none" w:sz="0" w:space="0" w:color="auto"/>
                            <w:bottom w:val="none" w:sz="0" w:space="0" w:color="auto"/>
                            <w:right w:val="none" w:sz="0" w:space="0" w:color="auto"/>
                          </w:divBdr>
                          <w:divsChild>
                            <w:div w:id="412701518">
                              <w:marLeft w:val="0"/>
                              <w:marRight w:val="0"/>
                              <w:marTop w:val="0"/>
                              <w:marBottom w:val="0"/>
                              <w:divBdr>
                                <w:top w:val="none" w:sz="0" w:space="0" w:color="auto"/>
                                <w:left w:val="none" w:sz="0" w:space="0" w:color="auto"/>
                                <w:bottom w:val="none" w:sz="0" w:space="0" w:color="auto"/>
                                <w:right w:val="none" w:sz="0" w:space="0" w:color="auto"/>
                              </w:divBdr>
                              <w:divsChild>
                                <w:div w:id="1931817327">
                                  <w:marLeft w:val="0"/>
                                  <w:marRight w:val="0"/>
                                  <w:marTop w:val="0"/>
                                  <w:marBottom w:val="0"/>
                                  <w:divBdr>
                                    <w:top w:val="none" w:sz="0" w:space="0" w:color="auto"/>
                                    <w:left w:val="none" w:sz="0" w:space="0" w:color="auto"/>
                                    <w:bottom w:val="none" w:sz="0" w:space="0" w:color="auto"/>
                                    <w:right w:val="none" w:sz="0" w:space="0" w:color="auto"/>
                                  </w:divBdr>
                                  <w:divsChild>
                                    <w:div w:id="1256016874">
                                      <w:marLeft w:val="0"/>
                                      <w:marRight w:val="0"/>
                                      <w:marTop w:val="0"/>
                                      <w:marBottom w:val="0"/>
                                      <w:divBdr>
                                        <w:top w:val="none" w:sz="0" w:space="0" w:color="auto"/>
                                        <w:left w:val="none" w:sz="0" w:space="0" w:color="auto"/>
                                        <w:bottom w:val="none" w:sz="0" w:space="0" w:color="auto"/>
                                        <w:right w:val="none" w:sz="0" w:space="0" w:color="auto"/>
                                      </w:divBdr>
                                      <w:divsChild>
                                        <w:div w:id="533229014">
                                          <w:marLeft w:val="0"/>
                                          <w:marRight w:val="0"/>
                                          <w:marTop w:val="0"/>
                                          <w:marBottom w:val="0"/>
                                          <w:divBdr>
                                            <w:top w:val="none" w:sz="0" w:space="0" w:color="auto"/>
                                            <w:left w:val="none" w:sz="0" w:space="0" w:color="auto"/>
                                            <w:bottom w:val="none" w:sz="0" w:space="0" w:color="auto"/>
                                            <w:right w:val="none" w:sz="0" w:space="0" w:color="auto"/>
                                          </w:divBdr>
                                          <w:divsChild>
                                            <w:div w:id="1086808405">
                                              <w:marLeft w:val="150"/>
                                              <w:marRight w:val="0"/>
                                              <w:marTop w:val="75"/>
                                              <w:marBottom w:val="0"/>
                                              <w:divBdr>
                                                <w:top w:val="none" w:sz="0" w:space="0" w:color="auto"/>
                                                <w:left w:val="none" w:sz="0" w:space="0" w:color="auto"/>
                                                <w:bottom w:val="none" w:sz="0" w:space="0" w:color="auto"/>
                                                <w:right w:val="none" w:sz="0" w:space="0" w:color="auto"/>
                                              </w:divBdr>
                                              <w:divsChild>
                                                <w:div w:id="1486583921">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14309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TotalTime>
  <Pages>8</Pages>
  <Words>1270</Words>
  <Characters>7241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Genna Hallam (1702429)</dc:creator>
  <cp:keywords/>
  <dc:description/>
  <cp:lastModifiedBy>Genna Hallam (1702429)</cp:lastModifiedBy>
  <cp:revision>1</cp:revision>
  <dcterms:created xsi:type="dcterms:W3CDTF">2018-05-07T09:50:00Z</dcterms:created>
  <dcterms:modified xsi:type="dcterms:W3CDTF">2018-05-07T18:32:00Z</dcterms:modified>
</cp:coreProperties>
</file>