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19491F" w14:textId="694E04B9" w:rsidR="0030024B" w:rsidRPr="0030024B" w:rsidRDefault="0030024B" w:rsidP="0030024B">
      <w:pPr>
        <w:rPr>
          <w:rFonts w:ascii="Times New Roman" w:hAnsi="Times New Roman" w:cs="Times New Roman"/>
          <w:color w:val="3A3A3A"/>
          <w:sz w:val="24"/>
          <w:szCs w:val="24"/>
          <w:u w:val="single"/>
          <w:shd w:val="clear" w:color="auto" w:fill="FFFFFF"/>
        </w:rPr>
      </w:pPr>
      <w:r>
        <w:rPr>
          <w:rFonts w:ascii="Times New Roman" w:hAnsi="Times New Roman" w:cs="Times New Roman"/>
          <w:color w:val="3A3A3A"/>
          <w:sz w:val="24"/>
          <w:szCs w:val="24"/>
          <w:u w:val="single"/>
          <w:shd w:val="clear" w:color="auto" w:fill="FFFFFF"/>
        </w:rPr>
        <w:t>Reference List 2204849</w:t>
      </w:r>
    </w:p>
    <w:p w14:paraId="4633956D" w14:textId="49925D7C" w:rsidR="0030024B" w:rsidRPr="0030024B" w:rsidRDefault="0030024B" w:rsidP="0030024B">
      <w:pP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30024B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Cho, Y. and Ham, S.-H. (2022) ‘Does career guidance narrow the aspiration gap? Socioeconomic status and occupational aspirations of school children’, </w:t>
      </w:r>
      <w:r w:rsidRPr="0030024B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KEDI journal of educational policy</w:t>
      </w:r>
      <w:r w:rsidRPr="0030024B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19(2), pp. 45–66. Available at: </w:t>
      </w:r>
      <w:hyperlink r:id="rId5" w:history="1">
        <w:r w:rsidRPr="0030024B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https://doi.org/10.22804/kjep.2022.19.1.003</w:t>
        </w:r>
      </w:hyperlink>
      <w:r w:rsidRPr="0030024B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.</w:t>
      </w:r>
    </w:p>
    <w:p w14:paraId="2A0A1527" w14:textId="77777777" w:rsidR="0030024B" w:rsidRPr="0030024B" w:rsidRDefault="0030024B" w:rsidP="0030024B">
      <w:pP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30024B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Cochran, D.B. </w:t>
      </w:r>
      <w:r w:rsidRPr="0030024B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et al.</w:t>
      </w:r>
      <w:r w:rsidRPr="0030024B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 (2011) ‘Adolescent Occupational Aspirations: Test of Gottfredson’s Theory of Circumscription and Compromise’, </w:t>
      </w:r>
      <w:r w:rsidRPr="0030024B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The Career development quarterly</w:t>
      </w:r>
      <w:r w:rsidRPr="0030024B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. Received 07/29/09; Revised 03/04/10; Accepted 03/05/10, 59(5), pp. 412–427. Available at: </w:t>
      </w:r>
      <w:hyperlink r:id="rId6" w:history="1">
        <w:r w:rsidRPr="0030024B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https://doi.org/10.1002/j.2161-0045.2011.tb00968.x</w:t>
        </w:r>
      </w:hyperlink>
      <w:r w:rsidRPr="0030024B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.</w:t>
      </w:r>
    </w:p>
    <w:p w14:paraId="5211AF0A" w14:textId="77777777" w:rsidR="0030024B" w:rsidRPr="0030024B" w:rsidRDefault="0030024B" w:rsidP="0030024B">
      <w:pPr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</w:pPr>
      <w:r w:rsidRPr="0030024B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Gore, J., Holmes, K., Smith, M. </w:t>
      </w:r>
      <w:r w:rsidRPr="0030024B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CFCFC"/>
        </w:rPr>
        <w:t>et al.</w:t>
      </w:r>
      <w:r w:rsidRPr="0030024B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 Socioeconomic status and the career aspirations of Australian school students: Testing enduring assumptions. </w:t>
      </w:r>
      <w:r w:rsidRPr="0030024B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CFCFC"/>
        </w:rPr>
        <w:t>Aust. Educ. Res.</w:t>
      </w:r>
      <w:r w:rsidRPr="0030024B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 </w:t>
      </w:r>
      <w:r w:rsidRPr="0030024B">
        <w:rPr>
          <w:rFonts w:ascii="Times New Roman" w:hAnsi="Times New Roman" w:cs="Times New Roman"/>
          <w:b/>
          <w:bCs/>
          <w:color w:val="333333"/>
          <w:sz w:val="24"/>
          <w:szCs w:val="24"/>
          <w:shd w:val="clear" w:color="auto" w:fill="FCFCFC"/>
        </w:rPr>
        <w:t>42</w:t>
      </w:r>
      <w:r w:rsidRPr="0030024B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 xml:space="preserve">, 155–177 (2015). </w:t>
      </w:r>
      <w:hyperlink r:id="rId7" w:history="1">
        <w:r w:rsidRPr="0030024B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CFCFC"/>
          </w:rPr>
          <w:t>https://doi.org/10.1007/s13384-015-0172-5</w:t>
        </w:r>
      </w:hyperlink>
    </w:p>
    <w:p w14:paraId="22F3895A" w14:textId="77777777" w:rsidR="0030024B" w:rsidRPr="0030024B" w:rsidRDefault="0030024B" w:rsidP="0030024B">
      <w:pPr>
        <w:rPr>
          <w:rFonts w:ascii="Times New Roman" w:hAnsi="Times New Roman" w:cs="Times New Roman"/>
          <w:sz w:val="24"/>
          <w:szCs w:val="24"/>
        </w:rPr>
      </w:pPr>
      <w:r w:rsidRPr="0030024B">
        <w:rPr>
          <w:rFonts w:ascii="Times New Roman" w:hAnsi="Times New Roman" w:cs="Times New Roman"/>
          <w:sz w:val="24"/>
          <w:szCs w:val="24"/>
        </w:rPr>
        <w:t>Gottfredson, L. S. (1981). Circumscription and compromise: A developmental theory of occupational aspirations. Journal of Counselling Psychology, 28, 545-579</w:t>
      </w:r>
    </w:p>
    <w:p w14:paraId="4C2C1DFB" w14:textId="77777777" w:rsidR="0030024B" w:rsidRPr="0030024B" w:rsidRDefault="0030024B" w:rsidP="0030024B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30024B">
        <w:rPr>
          <w:rFonts w:ascii="Times New Roman" w:hAnsi="Times New Roman" w:cs="Times New Roman"/>
          <w:sz w:val="24"/>
          <w:szCs w:val="24"/>
        </w:rPr>
        <w:t>Lergetporer</w:t>
      </w:r>
      <w:proofErr w:type="spellEnd"/>
      <w:r w:rsidRPr="0030024B">
        <w:rPr>
          <w:rFonts w:ascii="Times New Roman" w:hAnsi="Times New Roman" w:cs="Times New Roman"/>
          <w:sz w:val="24"/>
          <w:szCs w:val="24"/>
        </w:rPr>
        <w:t xml:space="preserve">, Philipp &amp; Werner, Katharina &amp; </w:t>
      </w:r>
      <w:proofErr w:type="spellStart"/>
      <w:r w:rsidRPr="0030024B">
        <w:rPr>
          <w:rFonts w:ascii="Times New Roman" w:hAnsi="Times New Roman" w:cs="Times New Roman"/>
          <w:sz w:val="24"/>
          <w:szCs w:val="24"/>
        </w:rPr>
        <w:t>Woessmann</w:t>
      </w:r>
      <w:proofErr w:type="spellEnd"/>
      <w:r w:rsidRPr="0030024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30024B">
        <w:rPr>
          <w:rFonts w:ascii="Times New Roman" w:hAnsi="Times New Roman" w:cs="Times New Roman"/>
          <w:sz w:val="24"/>
          <w:szCs w:val="24"/>
        </w:rPr>
        <w:t>Ludger</w:t>
      </w:r>
      <w:proofErr w:type="spellEnd"/>
      <w:r w:rsidRPr="0030024B">
        <w:rPr>
          <w:rFonts w:ascii="Times New Roman" w:hAnsi="Times New Roman" w:cs="Times New Roman"/>
          <w:sz w:val="24"/>
          <w:szCs w:val="24"/>
        </w:rPr>
        <w:t xml:space="preserve">. (2021). Does Ignorance of Economic Returns and Costs Explain the Educational Aspiration Gap? Representative Evidence from Adults and Adolescents. </w:t>
      </w:r>
      <w:proofErr w:type="spellStart"/>
      <w:r w:rsidRPr="0030024B">
        <w:rPr>
          <w:rFonts w:ascii="Times New Roman" w:hAnsi="Times New Roman" w:cs="Times New Roman"/>
          <w:sz w:val="24"/>
          <w:szCs w:val="24"/>
        </w:rPr>
        <w:t>Economica</w:t>
      </w:r>
      <w:proofErr w:type="spellEnd"/>
      <w:r w:rsidRPr="0030024B">
        <w:rPr>
          <w:rFonts w:ascii="Times New Roman" w:hAnsi="Times New Roman" w:cs="Times New Roman"/>
          <w:sz w:val="24"/>
          <w:szCs w:val="24"/>
        </w:rPr>
        <w:t xml:space="preserve">. 88. </w:t>
      </w:r>
    </w:p>
    <w:p w14:paraId="7FBF1954" w14:textId="77777777" w:rsidR="0030024B" w:rsidRPr="0030024B" w:rsidRDefault="0030024B" w:rsidP="0030024B">
      <w:pPr>
        <w:rPr>
          <w:rFonts w:ascii="Times New Roman" w:hAnsi="Times New Roman" w:cs="Times New Roman"/>
          <w:sz w:val="24"/>
          <w:szCs w:val="24"/>
        </w:rPr>
      </w:pPr>
      <w:r w:rsidRPr="0030024B">
        <w:rPr>
          <w:rFonts w:ascii="Times New Roman" w:hAnsi="Times New Roman" w:cs="Times New Roman"/>
          <w:sz w:val="24"/>
          <w:szCs w:val="24"/>
        </w:rPr>
        <w:t xml:space="preserve">NALDIC (2013) EAL Statistics: EAL pupils in schools. Available at </w:t>
      </w:r>
      <w:hyperlink r:id="rId8" w:history="1">
        <w:r w:rsidRPr="0030024B">
          <w:rPr>
            <w:rStyle w:val="Hyperlink"/>
            <w:rFonts w:ascii="Times New Roman" w:hAnsi="Times New Roman" w:cs="Times New Roman"/>
            <w:sz w:val="24"/>
            <w:szCs w:val="24"/>
          </w:rPr>
          <w:t>https://www.naldic.org.uk/research-and-information/eal-statistics/eal-pupils/</w:t>
        </w:r>
      </w:hyperlink>
      <w:r w:rsidRPr="0030024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ADBF466" w14:textId="4720DBA5" w:rsidR="00E179FC" w:rsidRDefault="0030024B">
      <w:pP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30024B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North, C.E. (2006) ‘More than Words? Delving into the Substantive Meaning(s) of “Social Justice” in Education’, </w:t>
      </w:r>
      <w:r w:rsidRPr="0030024B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Review of educational research</w:t>
      </w:r>
      <w:r w:rsidRPr="0030024B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76(4), pp. 507–535. Available at: </w:t>
      </w:r>
      <w:hyperlink r:id="rId9" w:history="1">
        <w:r w:rsidRPr="0030024B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https://doi.org/10.3102/00346543076004507</w:t>
        </w:r>
      </w:hyperlink>
      <w:r w:rsidRPr="0030024B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.</w:t>
      </w:r>
    </w:p>
    <w:p w14:paraId="0BFB7A60" w14:textId="582E9678" w:rsidR="0030024B" w:rsidRDefault="0030024B" w:rsidP="0030024B">
      <w:pPr>
        <w:rPr>
          <w:rFonts w:ascii="Times New Roman" w:hAnsi="Times New Roman" w:cs="Times New Roman"/>
          <w:sz w:val="24"/>
          <w:szCs w:val="24"/>
        </w:rPr>
      </w:pPr>
      <w:r w:rsidRPr="0030024B">
        <w:rPr>
          <w:rFonts w:ascii="Times New Roman" w:hAnsi="Times New Roman" w:cs="Times New Roman"/>
          <w:sz w:val="24"/>
          <w:szCs w:val="24"/>
        </w:rPr>
        <w:t xml:space="preserve">The Prince’s Trust (2020) ‘The Aspirations Gap’ Available at </w:t>
      </w:r>
      <w:hyperlink r:id="rId10" w:history="1">
        <w:r w:rsidRPr="0030024B">
          <w:rPr>
            <w:rStyle w:val="Hyperlink"/>
            <w:rFonts w:ascii="Times New Roman" w:hAnsi="Times New Roman" w:cs="Times New Roman"/>
            <w:sz w:val="24"/>
            <w:szCs w:val="24"/>
          </w:rPr>
          <w:t>www.princes-trust.org.uk/Document_Aspiration-Gap-2020-research.pdf</w:t>
        </w:r>
      </w:hyperlink>
      <w:r w:rsidRPr="0030024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E4F50D0" w14:textId="08F1FE26" w:rsidR="008047C0" w:rsidRPr="0030024B" w:rsidRDefault="00F65F0A" w:rsidP="0030024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Welsh Government (2014) ‘Successful Futures: Looking at the Curriculum and Assessment Arrangements in Wales’. Cardiff. Available at </w:t>
      </w:r>
      <w:hyperlink r:id="rId11" w:history="1">
        <w:r w:rsidR="00212D4C" w:rsidRPr="00B93134">
          <w:rPr>
            <w:rStyle w:val="Hyperlink"/>
            <w:rFonts w:ascii="Times New Roman" w:hAnsi="Times New Roman" w:cs="Times New Roman"/>
            <w:sz w:val="24"/>
            <w:szCs w:val="24"/>
          </w:rPr>
          <w:t>https://www.gov.wales/sites/default/files/publications/2018-03/succesful-futures-a-summary-of-professor-graham-donaldsons-report.pdf</w:t>
        </w:r>
      </w:hyperlink>
      <w:r w:rsidR="00212D4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BCBB45D" w14:textId="10A0E8DD" w:rsidR="0030024B" w:rsidRPr="0030024B" w:rsidRDefault="0030024B">
      <w:pPr>
        <w:rPr>
          <w:rFonts w:ascii="Times New Roman" w:hAnsi="Times New Roman" w:cs="Times New Roman"/>
          <w:sz w:val="24"/>
          <w:szCs w:val="24"/>
        </w:rPr>
      </w:pPr>
      <w:r w:rsidRPr="0030024B">
        <w:rPr>
          <w:rFonts w:ascii="Times New Roman" w:hAnsi="Times New Roman" w:cs="Times New Roman"/>
          <w:sz w:val="24"/>
          <w:szCs w:val="24"/>
        </w:rPr>
        <w:t xml:space="preserve">Welsh Government (2020) ‘Socio-economic Duty: examples of inequalities of outcome’ report in ‘The Socio-economic Duty: guidance and resources for public </w:t>
      </w:r>
      <w:proofErr w:type="gramStart"/>
      <w:r w:rsidRPr="0030024B">
        <w:rPr>
          <w:rFonts w:ascii="Times New Roman" w:hAnsi="Times New Roman" w:cs="Times New Roman"/>
          <w:sz w:val="24"/>
          <w:szCs w:val="24"/>
        </w:rPr>
        <w:t>bodies’</w:t>
      </w:r>
      <w:proofErr w:type="gramEnd"/>
      <w:r w:rsidRPr="0030024B">
        <w:rPr>
          <w:rFonts w:ascii="Times New Roman" w:hAnsi="Times New Roman" w:cs="Times New Roman"/>
          <w:sz w:val="24"/>
          <w:szCs w:val="24"/>
        </w:rPr>
        <w:t xml:space="preserve">. Cardiff. Available at </w:t>
      </w:r>
      <w:hyperlink r:id="rId12" w:history="1">
        <w:r w:rsidRPr="0030024B">
          <w:rPr>
            <w:rStyle w:val="Hyperlink"/>
            <w:rFonts w:ascii="Times New Roman" w:hAnsi="Times New Roman" w:cs="Times New Roman"/>
            <w:sz w:val="24"/>
            <w:szCs w:val="24"/>
          </w:rPr>
          <w:t>https://www.gov.wales/socio-economic-duty-examples-inequalities-outcome</w:t>
        </w:r>
      </w:hyperlink>
      <w:r w:rsidRPr="0030024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C721317" w14:textId="720030A4" w:rsidR="0030024B" w:rsidRPr="0030024B" w:rsidRDefault="0030024B">
      <w:pPr>
        <w:rPr>
          <w:rFonts w:ascii="Times New Roman" w:hAnsi="Times New Roman" w:cs="Times New Roman"/>
          <w:sz w:val="24"/>
          <w:szCs w:val="24"/>
        </w:rPr>
      </w:pPr>
      <w:r w:rsidRPr="0030024B">
        <w:rPr>
          <w:rFonts w:ascii="Times New Roman" w:hAnsi="Times New Roman" w:cs="Times New Roman"/>
          <w:sz w:val="24"/>
          <w:szCs w:val="24"/>
        </w:rPr>
        <w:t xml:space="preserve">Welsh Government (2022) ‘Wellbeing of Wales: 2022’. Cardiff. Available at </w:t>
      </w:r>
      <w:hyperlink r:id="rId13" w:history="1">
        <w:r w:rsidRPr="0030024B">
          <w:rPr>
            <w:rStyle w:val="Hyperlink"/>
            <w:rFonts w:ascii="Times New Roman" w:hAnsi="Times New Roman" w:cs="Times New Roman"/>
            <w:sz w:val="24"/>
            <w:szCs w:val="24"/>
          </w:rPr>
          <w:t>https://www.gov.wales/wellbeing-wales-2022</w:t>
        </w:r>
      </w:hyperlink>
    </w:p>
    <w:p w14:paraId="209BA1FA" w14:textId="1A545924" w:rsidR="0030024B" w:rsidRPr="0030024B" w:rsidRDefault="0030024B">
      <w:pPr>
        <w:rPr>
          <w:rFonts w:ascii="Times New Roman" w:hAnsi="Times New Roman" w:cs="Times New Roman"/>
          <w:sz w:val="24"/>
          <w:szCs w:val="24"/>
        </w:rPr>
      </w:pPr>
      <w:r w:rsidRPr="0030024B">
        <w:rPr>
          <w:rFonts w:ascii="Times New Roman" w:hAnsi="Times New Roman" w:cs="Times New Roman"/>
          <w:sz w:val="24"/>
          <w:szCs w:val="24"/>
        </w:rPr>
        <w:t xml:space="preserve">Welsh Government (2023) ‘Our national mission: high standards and aspirations for all’. Cardiff. Available at </w:t>
      </w:r>
      <w:hyperlink r:id="rId14" w:history="1">
        <w:r w:rsidRPr="0030024B">
          <w:rPr>
            <w:rStyle w:val="Hyperlink"/>
            <w:rFonts w:ascii="Times New Roman" w:hAnsi="Times New Roman" w:cs="Times New Roman"/>
            <w:sz w:val="24"/>
            <w:szCs w:val="24"/>
          </w:rPr>
          <w:t>https://www.gov.wales/our-national-mission-high-standards-and-aspirations-all-html</w:t>
        </w:r>
      </w:hyperlink>
      <w:r w:rsidRPr="0030024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B6BDA88" w14:textId="77777777" w:rsidR="0030024B" w:rsidRDefault="0030024B"/>
    <w:sectPr w:rsidR="003002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024B"/>
    <w:rsid w:val="00212D4C"/>
    <w:rsid w:val="0030024B"/>
    <w:rsid w:val="008047C0"/>
    <w:rsid w:val="00E179FC"/>
    <w:rsid w:val="00F65F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83E54C"/>
  <w15:chartTrackingRefBased/>
  <w15:docId w15:val="{D346A1F4-A84F-4303-9EBF-2A79E0902F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0024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0024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0024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aldic.org.uk/research-and-information/eal-statistics/eal-pupils/" TargetMode="External"/><Relationship Id="rId13" Type="http://schemas.openxmlformats.org/officeDocument/2006/relationships/hyperlink" Target="https://www.gov.wales/wellbeing-wales-2022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1007/s13384-015-0172-5" TargetMode="External"/><Relationship Id="rId12" Type="http://schemas.openxmlformats.org/officeDocument/2006/relationships/hyperlink" Target="https://www.gov.wales/socio-economic-duty-examples-inequalities-outcome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hyperlink" Target="https://doi.org/10.1002/j.2161-0045.2011.tb00968.x" TargetMode="External"/><Relationship Id="rId11" Type="http://schemas.openxmlformats.org/officeDocument/2006/relationships/hyperlink" Target="https://www.gov.wales/sites/default/files/publications/2018-03/succesful-futures-a-summary-of-professor-graham-donaldsons-report.pdf" TargetMode="External"/><Relationship Id="rId5" Type="http://schemas.openxmlformats.org/officeDocument/2006/relationships/hyperlink" Target="https://doi.org/10.22804/kjep.2022.19.1.003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://www.princes-trust.org.uk/Document_Aspiration-Gap-2020-research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3102/00346543076004507" TargetMode="External"/><Relationship Id="rId14" Type="http://schemas.openxmlformats.org/officeDocument/2006/relationships/hyperlink" Target="https://www.gov.wales/our-national-mission-high-standards-and-aspirations-all-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C85730E-9BEA-479E-A533-6258FCCF5D0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1</Pages>
  <Words>500</Words>
  <Characters>2851</Characters>
  <Application>Microsoft Office Word</Application>
  <DocSecurity>0</DocSecurity>
  <Lines>23</Lines>
  <Paragraphs>6</Paragraphs>
  <ScaleCrop>false</ScaleCrop>
  <Company/>
  <LinksUpToDate>false</LinksUpToDate>
  <CharactersWithSpaces>3345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Saunders</dc:creator>
  <cp:keywords/>
  <dc:description/>
  <cp:lastModifiedBy>Sam Saunders</cp:lastModifiedBy>
  <cp:revision>4</cp:revision>
  <dcterms:created xsi:type="dcterms:W3CDTF">2023-04-11T16:20:00Z</dcterms:created>
  <dcterms:modified xsi:type="dcterms:W3CDTF">2023-04-11T16:44:00Z</dcterms:modified>
</cp:coreProperties>
</file>